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410845</wp:posOffset>
            </wp:positionV>
            <wp:extent cx="7253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342265</wp:posOffset>
            </wp:positionV>
            <wp:extent cx="7253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6985"/>
                    </a:xfrm>
                    <a:prstGeom prst="rect">
                      <a:avLst/>
                    </a:prstGeom>
                    <a:noFill/>
                  </pic:spPr>
                </pic:pic>
              </a:graphicData>
            </a:graphic>
          </wp:anchor>
        </w:drawing>
        <w:t>UNITED STATES</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252095</wp:posOffset>
            </wp:positionV>
            <wp:extent cx="29286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8620" cy="698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262255</wp:posOffset>
            </wp:positionV>
            <wp:extent cx="29286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862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60"/>
        <w:spacing w:after="0"/>
        <w:rPr>
          <w:sz w:val="20"/>
          <w:szCs w:val="20"/>
          <w:color w:val="auto"/>
        </w:rPr>
      </w:pPr>
      <w:r>
        <w:rPr>
          <w:rFonts w:ascii="Arial" w:cs="Arial" w:eastAsia="Arial" w:hAnsi="Arial"/>
          <w:sz w:val="9"/>
          <w:szCs w:val="9"/>
          <w:color w:val="auto"/>
        </w:rPr>
        <w:t>(Mark One)</w:t>
      </w:r>
    </w:p>
    <w:p>
      <w:pPr>
        <w:spacing w:after="0" w:line="25" w:lineRule="exact"/>
        <w:rPr>
          <w:sz w:val="24"/>
          <w:szCs w:val="24"/>
          <w:color w:val="auto"/>
        </w:rPr>
      </w:pPr>
    </w:p>
    <w:p>
      <w:pPr>
        <w:ind w:left="960" w:hanging="523"/>
        <w:spacing w:after="0"/>
        <w:tabs>
          <w:tab w:leader="none" w:pos="96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15" w:lineRule="exact"/>
        <w:rPr>
          <w:rFonts w:ascii="Arial" w:cs="Arial" w:eastAsia="Arial" w:hAnsi="Arial"/>
          <w:sz w:val="13"/>
          <w:szCs w:val="13"/>
          <w:color w:val="auto"/>
        </w:rPr>
      </w:pPr>
    </w:p>
    <w:p>
      <w:pPr>
        <w:ind w:left="4160"/>
        <w:spacing w:after="0"/>
        <w:rPr>
          <w:rFonts w:ascii="Arial" w:cs="Arial" w:eastAsia="Arial" w:hAnsi="Arial"/>
          <w:sz w:val="13"/>
          <w:szCs w:val="13"/>
          <w:color w:val="auto"/>
        </w:rPr>
      </w:pPr>
      <w:r>
        <w:rPr>
          <w:rFonts w:ascii="Arial" w:cs="Arial" w:eastAsia="Arial" w:hAnsi="Arial"/>
          <w:sz w:val="14"/>
          <w:szCs w:val="14"/>
          <w:b w:val="1"/>
          <w:bCs w:val="1"/>
          <w:color w:val="auto"/>
        </w:rPr>
        <w:t>For the quarterly period ended March 31, 2019</w:t>
      </w: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31" w:lineRule="exact"/>
        <w:rPr>
          <w:sz w:val="24"/>
          <w:szCs w:val="24"/>
          <w:color w:val="auto"/>
        </w:rPr>
      </w:pPr>
    </w:p>
    <w:p>
      <w:pPr>
        <w:ind w:left="960" w:hanging="550"/>
        <w:spacing w:after="0"/>
        <w:tabs>
          <w:tab w:leader="none" w:pos="9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3400" w:type="dxa"/>
        <w:tblCellMar>
          <w:top w:w="0" w:type="dxa"/>
          <w:left w:w="0" w:type="dxa"/>
          <w:bottom w:w="0" w:type="dxa"/>
          <w:right w:w="0" w:type="dxa"/>
        </w:tblCellMar>
      </w:tblPr>
      <w:tr>
        <w:trPr>
          <w:trHeight w:val="171"/>
        </w:trPr>
        <w:tc>
          <w:tcPr>
            <w:tcW w:w="2940" w:type="dxa"/>
            <w:vAlign w:val="bottom"/>
          </w:tcPr>
          <w:p>
            <w:pPr>
              <w:ind w:left="880"/>
              <w:spacing w:after="0"/>
              <w:rPr>
                <w:sz w:val="20"/>
                <w:szCs w:val="20"/>
                <w:color w:val="auto"/>
              </w:rPr>
            </w:pPr>
            <w:r>
              <w:rPr>
                <w:rFonts w:ascii="Arial" w:cs="Arial" w:eastAsia="Arial" w:hAnsi="Arial"/>
                <w:sz w:val="13"/>
                <w:szCs w:val="13"/>
                <w:b w:val="1"/>
                <w:bCs w:val="1"/>
                <w:color w:val="auto"/>
              </w:rPr>
              <w:t>For the transition period from</w:t>
            </w:r>
          </w:p>
        </w:tc>
        <w:tc>
          <w:tcPr>
            <w:tcW w:w="1660" w:type="dxa"/>
            <w:vAlign w:val="bottom"/>
          </w:tcPr>
          <w:p>
            <w:pPr>
              <w:ind w:left="260"/>
              <w:spacing w:after="0"/>
              <w:rPr>
                <w:sz w:val="20"/>
                <w:szCs w:val="20"/>
                <w:color w:val="auto"/>
              </w:rPr>
            </w:pPr>
            <w:r>
              <w:rPr>
                <w:rFonts w:ascii="Arial" w:cs="Arial" w:eastAsia="Arial" w:hAnsi="Arial"/>
                <w:sz w:val="13"/>
                <w:szCs w:val="13"/>
                <w:b w:val="1"/>
                <w:bCs w:val="1"/>
                <w:color w:val="auto"/>
              </w:rPr>
              <w:t>to</w:t>
            </w:r>
          </w:p>
        </w:tc>
      </w:tr>
      <w:tr>
        <w:trPr>
          <w:trHeight w:val="194"/>
        </w:trPr>
        <w:tc>
          <w:tcPr>
            <w:tcW w:w="4600" w:type="dxa"/>
            <w:vAlign w:val="bottom"/>
            <w:gridSpan w:val="2"/>
          </w:tcPr>
          <w:p>
            <w:pPr>
              <w:ind w:left="1200"/>
              <w:spacing w:after="0"/>
              <w:rPr>
                <w:sz w:val="20"/>
                <w:szCs w:val="20"/>
                <w:color w:val="auto"/>
              </w:rPr>
            </w:pPr>
            <w:r>
              <w:rPr>
                <w:rFonts w:ascii="Arial" w:cs="Arial" w:eastAsia="Arial" w:hAnsi="Arial"/>
                <w:sz w:val="13"/>
                <w:szCs w:val="13"/>
                <w:b w:val="1"/>
                <w:bCs w:val="1"/>
                <w:color w:val="auto"/>
              </w:rPr>
              <w:t>Commission File Number: 001-35480</w:t>
            </w:r>
          </w:p>
        </w:tc>
      </w:tr>
      <w:tr>
        <w:trPr>
          <w:trHeight w:val="102"/>
        </w:trPr>
        <w:tc>
          <w:tcPr>
            <w:tcW w:w="29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2754630</wp:posOffset>
            </wp:positionH>
            <wp:positionV relativeFrom="paragraph">
              <wp:posOffset>61595</wp:posOffset>
            </wp:positionV>
            <wp:extent cx="1779270" cy="307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30797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tbl>
      <w:tblPr>
        <w:tblLayout w:type="fixed"/>
        <w:tblInd w:w="2020" w:type="dxa"/>
        <w:tblCellMar>
          <w:top w:w="0" w:type="dxa"/>
          <w:left w:w="0" w:type="dxa"/>
          <w:bottom w:w="0" w:type="dxa"/>
          <w:right w:w="0" w:type="dxa"/>
        </w:tblCellMar>
      </w:tblPr>
      <w:tr>
        <w:trPr>
          <w:trHeight w:val="255"/>
        </w:trPr>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960" w:type="dxa"/>
            <w:vAlign w:val="bottom"/>
            <w:gridSpan w:val="2"/>
          </w:tcPr>
          <w:p>
            <w:pPr>
              <w:jc w:val="center"/>
              <w:ind w:right="1537"/>
              <w:spacing w:after="0"/>
              <w:rPr>
                <w:sz w:val="20"/>
                <w:szCs w:val="20"/>
                <w:color w:val="auto"/>
              </w:rPr>
            </w:pPr>
            <w:r>
              <w:rPr>
                <w:rFonts w:ascii="Arial" w:cs="Arial" w:eastAsia="Arial" w:hAnsi="Arial"/>
                <w:sz w:val="20"/>
                <w:szCs w:val="20"/>
                <w:b w:val="1"/>
                <w:bCs w:val="1"/>
                <w:color w:val="auto"/>
                <w:w w:val="99"/>
              </w:rPr>
              <w:t>Enphase Energy, Inc.</w:t>
            </w:r>
          </w:p>
        </w:tc>
      </w:tr>
      <w:tr>
        <w:trPr>
          <w:trHeight w:val="121"/>
        </w:trPr>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960" w:type="dxa"/>
            <w:vAlign w:val="bottom"/>
            <w:gridSpan w:val="2"/>
          </w:tcPr>
          <w:p>
            <w:pPr>
              <w:jc w:val="center"/>
              <w:ind w:right="1537"/>
              <w:spacing w:after="0"/>
              <w:rPr>
                <w:sz w:val="20"/>
                <w:szCs w:val="20"/>
                <w:color w:val="auto"/>
              </w:rPr>
            </w:pPr>
            <w:r>
              <w:rPr>
                <w:rFonts w:ascii="Arial" w:cs="Arial" w:eastAsia="Arial" w:hAnsi="Arial"/>
                <w:sz w:val="10"/>
                <w:szCs w:val="10"/>
                <w:color w:val="auto"/>
              </w:rPr>
              <w:t>(Exact name of registrant as specified in its charter)</w:t>
            </w:r>
          </w:p>
        </w:tc>
      </w:tr>
      <w:tr>
        <w:trPr>
          <w:trHeight w:val="207"/>
        </w:trPr>
        <w:tc>
          <w:tcPr>
            <w:tcW w:w="13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471"/>
        </w:trPr>
        <w:tc>
          <w:tcPr>
            <w:tcW w:w="20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8"/>
              </w:rPr>
              <w:t>Delaware</w:t>
            </w:r>
          </w:p>
        </w:tc>
        <w:tc>
          <w:tcPr>
            <w:tcW w:w="49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20-4645388</w:t>
            </w:r>
          </w:p>
        </w:tc>
      </w:tr>
      <w:tr>
        <w:trPr>
          <w:trHeight w:val="132"/>
        </w:trPr>
        <w:tc>
          <w:tcPr>
            <w:tcW w:w="2020" w:type="dxa"/>
            <w:vAlign w:val="bottom"/>
            <w:gridSpan w:val="2"/>
          </w:tcPr>
          <w:p>
            <w:pPr>
              <w:jc w:val="center"/>
              <w:ind w:right="540"/>
              <w:spacing w:after="0"/>
              <w:rPr>
                <w:sz w:val="20"/>
                <w:szCs w:val="20"/>
                <w:color w:val="auto"/>
              </w:rPr>
            </w:pPr>
            <w:r>
              <w:rPr>
                <w:rFonts w:ascii="Arial" w:cs="Arial" w:eastAsia="Arial" w:hAnsi="Arial"/>
                <w:sz w:val="9"/>
                <w:szCs w:val="9"/>
                <w:color w:val="auto"/>
                <w:w w:val="95"/>
              </w:rPr>
              <w:t>(State or other jurisdiction of</w:t>
            </w:r>
          </w:p>
        </w:tc>
        <w:tc>
          <w:tcPr>
            <w:tcW w:w="3960" w:type="dxa"/>
            <w:vAlign w:val="bottom"/>
          </w:tcPr>
          <w:p>
            <w:pPr>
              <w:spacing w:after="0"/>
              <w:rPr>
                <w:sz w:val="11"/>
                <w:szCs w:val="11"/>
                <w:color w:val="auto"/>
              </w:rPr>
            </w:pPr>
          </w:p>
        </w:tc>
        <w:tc>
          <w:tcPr>
            <w:tcW w:w="1000" w:type="dxa"/>
            <w:vAlign w:val="bottom"/>
          </w:tcPr>
          <w:p>
            <w:pPr>
              <w:jc w:val="center"/>
              <w:ind w:left="257"/>
              <w:spacing w:after="0"/>
              <w:rPr>
                <w:sz w:val="20"/>
                <w:szCs w:val="20"/>
                <w:color w:val="auto"/>
              </w:rPr>
            </w:pPr>
            <w:r>
              <w:rPr>
                <w:rFonts w:ascii="Arial" w:cs="Arial" w:eastAsia="Arial" w:hAnsi="Arial"/>
                <w:sz w:val="9"/>
                <w:szCs w:val="9"/>
                <w:color w:val="auto"/>
                <w:w w:val="93"/>
              </w:rPr>
              <w:t>(I.R.S. Employer</w:t>
            </w:r>
          </w:p>
        </w:tc>
      </w:tr>
      <w:tr>
        <w:trPr>
          <w:trHeight w:val="104"/>
        </w:trPr>
        <w:tc>
          <w:tcPr>
            <w:tcW w:w="2020" w:type="dxa"/>
            <w:vAlign w:val="bottom"/>
            <w:gridSpan w:val="2"/>
          </w:tcPr>
          <w:p>
            <w:pPr>
              <w:jc w:val="center"/>
              <w:ind w:right="540"/>
              <w:spacing w:after="0"/>
              <w:rPr>
                <w:sz w:val="20"/>
                <w:szCs w:val="20"/>
                <w:color w:val="auto"/>
              </w:rPr>
            </w:pPr>
            <w:r>
              <w:rPr>
                <w:rFonts w:ascii="Arial" w:cs="Arial" w:eastAsia="Arial" w:hAnsi="Arial"/>
                <w:sz w:val="9"/>
                <w:szCs w:val="9"/>
                <w:color w:val="auto"/>
                <w:w w:val="95"/>
              </w:rPr>
              <w:t>incorporation or organization)</w:t>
            </w:r>
          </w:p>
        </w:tc>
        <w:tc>
          <w:tcPr>
            <w:tcW w:w="3960" w:type="dxa"/>
            <w:vAlign w:val="bottom"/>
          </w:tcPr>
          <w:p>
            <w:pPr>
              <w:spacing w:after="0"/>
              <w:rPr>
                <w:sz w:val="9"/>
                <w:szCs w:val="9"/>
                <w:color w:val="auto"/>
              </w:rPr>
            </w:pPr>
          </w:p>
        </w:tc>
        <w:tc>
          <w:tcPr>
            <w:tcW w:w="1000" w:type="dxa"/>
            <w:vAlign w:val="bottom"/>
          </w:tcPr>
          <w:p>
            <w:pPr>
              <w:jc w:val="center"/>
              <w:ind w:left="257"/>
              <w:spacing w:after="0"/>
              <w:rPr>
                <w:sz w:val="20"/>
                <w:szCs w:val="20"/>
                <w:color w:val="auto"/>
              </w:rPr>
            </w:pPr>
            <w:r>
              <w:rPr>
                <w:rFonts w:ascii="Arial" w:cs="Arial" w:eastAsia="Arial" w:hAnsi="Arial"/>
                <w:sz w:val="9"/>
                <w:szCs w:val="9"/>
                <w:color w:val="auto"/>
                <w:w w:val="94"/>
              </w:rPr>
              <w:t>Identification No.)</w:t>
            </w:r>
          </w:p>
        </w:tc>
      </w:tr>
      <w:tr>
        <w:trPr>
          <w:trHeight w:val="283"/>
        </w:trPr>
        <w:tc>
          <w:tcPr>
            <w:tcW w:w="20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9"/>
              </w:rPr>
              <w:t>47281 Bayside Parkway</w:t>
            </w:r>
          </w:p>
        </w:tc>
        <w:tc>
          <w:tcPr>
            <w:tcW w:w="3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1"/>
        </w:trPr>
        <w:tc>
          <w:tcPr>
            <w:tcW w:w="20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9"/>
              </w:rPr>
              <w:t>Fremont, CA</w:t>
            </w:r>
          </w:p>
        </w:tc>
        <w:tc>
          <w:tcPr>
            <w:tcW w:w="49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94538</w:t>
            </w:r>
          </w:p>
        </w:tc>
      </w:tr>
      <w:tr>
        <w:trPr>
          <w:trHeight w:val="139"/>
        </w:trPr>
        <w:tc>
          <w:tcPr>
            <w:tcW w:w="2020" w:type="dxa"/>
            <w:vAlign w:val="bottom"/>
            <w:gridSpan w:val="2"/>
          </w:tcPr>
          <w:p>
            <w:pPr>
              <w:jc w:val="center"/>
              <w:ind w:right="540"/>
              <w:spacing w:after="0"/>
              <w:rPr>
                <w:sz w:val="20"/>
                <w:szCs w:val="20"/>
                <w:color w:val="auto"/>
              </w:rPr>
            </w:pPr>
            <w:r>
              <w:rPr>
                <w:rFonts w:ascii="Arial" w:cs="Arial" w:eastAsia="Arial" w:hAnsi="Arial"/>
                <w:sz w:val="9"/>
                <w:szCs w:val="9"/>
                <w:color w:val="auto"/>
                <w:w w:val="96"/>
              </w:rPr>
              <w:t>(Address of principal executive offices)</w:t>
            </w:r>
          </w:p>
        </w:tc>
        <w:tc>
          <w:tcPr>
            <w:tcW w:w="3960" w:type="dxa"/>
            <w:vAlign w:val="bottom"/>
          </w:tcPr>
          <w:p>
            <w:pPr>
              <w:spacing w:after="0"/>
              <w:rPr>
                <w:sz w:val="12"/>
                <w:szCs w:val="12"/>
                <w:color w:val="auto"/>
              </w:rPr>
            </w:pPr>
          </w:p>
        </w:tc>
        <w:tc>
          <w:tcPr>
            <w:tcW w:w="1000" w:type="dxa"/>
            <w:vAlign w:val="bottom"/>
          </w:tcPr>
          <w:p>
            <w:pPr>
              <w:jc w:val="center"/>
              <w:ind w:left="257"/>
              <w:spacing w:after="0"/>
              <w:rPr>
                <w:sz w:val="20"/>
                <w:szCs w:val="20"/>
                <w:color w:val="auto"/>
              </w:rPr>
            </w:pPr>
            <w:r>
              <w:rPr>
                <w:rFonts w:ascii="Arial" w:cs="Arial" w:eastAsia="Arial" w:hAnsi="Arial"/>
                <w:sz w:val="9"/>
                <w:szCs w:val="9"/>
                <w:color w:val="auto"/>
                <w:w w:val="98"/>
              </w:rPr>
              <w:t>(Zip Code)</w:t>
            </w:r>
          </w:p>
        </w:tc>
      </w:tr>
      <w:tr>
        <w:trPr>
          <w:trHeight w:val="327"/>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60" w:type="dxa"/>
            <w:vAlign w:val="bottom"/>
          </w:tcPr>
          <w:p>
            <w:pPr>
              <w:jc w:val="center"/>
              <w:ind w:right="495"/>
              <w:spacing w:after="0"/>
              <w:rPr>
                <w:sz w:val="20"/>
                <w:szCs w:val="20"/>
                <w:color w:val="auto"/>
              </w:rPr>
            </w:pPr>
            <w:r>
              <w:rPr>
                <w:rFonts w:ascii="Arial" w:cs="Arial" w:eastAsia="Arial" w:hAnsi="Arial"/>
                <w:sz w:val="13"/>
                <w:szCs w:val="13"/>
                <w:b w:val="1"/>
                <w:bCs w:val="1"/>
                <w:color w:val="auto"/>
                <w:w w:val="98"/>
              </w:rPr>
              <w:t>(707) 774-7000</w:t>
            </w:r>
          </w:p>
        </w:tc>
        <w:tc>
          <w:tcPr>
            <w:tcW w:w="1000" w:type="dxa"/>
            <w:vAlign w:val="bottom"/>
          </w:tcPr>
          <w:p>
            <w:pPr>
              <w:spacing w:after="0"/>
              <w:rPr>
                <w:sz w:val="24"/>
                <w:szCs w:val="24"/>
                <w:color w:val="auto"/>
              </w:rPr>
            </w:pPr>
          </w:p>
        </w:tc>
      </w:tr>
      <w:tr>
        <w:trPr>
          <w:trHeight w:val="104"/>
        </w:trPr>
        <w:tc>
          <w:tcPr>
            <w:tcW w:w="1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960" w:type="dxa"/>
            <w:vAlign w:val="bottom"/>
            <w:gridSpan w:val="2"/>
          </w:tcPr>
          <w:p>
            <w:pPr>
              <w:jc w:val="center"/>
              <w:ind w:right="1537"/>
              <w:spacing w:after="0"/>
              <w:rPr>
                <w:sz w:val="20"/>
                <w:szCs w:val="20"/>
                <w:color w:val="auto"/>
              </w:rPr>
            </w:pPr>
            <w:r>
              <w:rPr>
                <w:rFonts w:ascii="Arial" w:cs="Arial" w:eastAsia="Arial" w:hAnsi="Arial"/>
                <w:sz w:val="9"/>
                <w:szCs w:val="9"/>
                <w:color w:val="auto"/>
                <w:w w:val="95"/>
              </w:rPr>
              <w:t>(Registrant’s telephone number, including area code)</w:t>
            </w:r>
          </w:p>
        </w:tc>
      </w:tr>
      <w:tr>
        <w:trPr>
          <w:trHeight w:val="103"/>
        </w:trPr>
        <w:tc>
          <w:tcPr>
            <w:tcW w:w="1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r>
    </w:tbl>
    <w:p>
      <w:pPr>
        <w:spacing w:after="0" w:line="187" w:lineRule="exact"/>
        <w:rPr>
          <w:sz w:val="24"/>
          <w:szCs w:val="24"/>
          <w:color w:val="auto"/>
        </w:rPr>
      </w:pPr>
    </w:p>
    <w:p>
      <w:pPr>
        <w:ind w:right="360"/>
        <w:spacing w:after="0" w:line="140"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7" w:lineRule="exact"/>
        <w:rPr>
          <w:sz w:val="24"/>
          <w:szCs w:val="24"/>
          <w:color w:val="auto"/>
        </w:rPr>
      </w:pPr>
    </w:p>
    <w:p>
      <w:pPr>
        <w:spacing w:after="0" w:line="140"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77" w:lineRule="exact"/>
        <w:rPr>
          <w:sz w:val="24"/>
          <w:szCs w:val="24"/>
          <w:color w:val="auto"/>
        </w:rPr>
      </w:pPr>
    </w:p>
    <w:p>
      <w:pPr>
        <w:ind w:right="180"/>
        <w:spacing w:after="0" w:line="26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21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380" w:type="dxa"/>
            <w:vAlign w:val="bottom"/>
          </w:tcPr>
          <w:p>
            <w:pPr>
              <w:ind w:left="820"/>
              <w:spacing w:after="0" w:line="111" w:lineRule="exact"/>
              <w:rPr>
                <w:sz w:val="20"/>
                <w:szCs w:val="20"/>
                <w:color w:val="auto"/>
              </w:rPr>
            </w:pPr>
            <w:r>
              <w:rPr>
                <w:rFonts w:ascii="MS PGothic" w:cs="MS PGothic" w:eastAsia="MS PGothic" w:hAnsi="MS PGothic"/>
                <w:sz w:val="11"/>
                <w:szCs w:val="11"/>
                <w:color w:val="auto"/>
              </w:rPr>
              <w:t>☐</w:t>
            </w:r>
          </w:p>
        </w:tc>
        <w:tc>
          <w:tcPr>
            <w:tcW w:w="4640" w:type="dxa"/>
            <w:vAlign w:val="bottom"/>
          </w:tcPr>
          <w:p>
            <w:pPr>
              <w:ind w:left="2480"/>
              <w:spacing w:after="0"/>
              <w:rPr>
                <w:sz w:val="20"/>
                <w:szCs w:val="20"/>
                <w:color w:val="auto"/>
              </w:rPr>
            </w:pPr>
            <w:r>
              <w:rPr>
                <w:rFonts w:ascii="Arial" w:cs="Arial" w:eastAsia="Arial" w:hAnsi="Arial"/>
                <w:sz w:val="11"/>
                <w:szCs w:val="11"/>
                <w:color w:val="auto"/>
              </w:rPr>
              <w:t>Accelerated filer</w:t>
            </w:r>
          </w:p>
        </w:tc>
        <w:tc>
          <w:tcPr>
            <w:tcW w:w="920" w:type="dxa"/>
            <w:vAlign w:val="bottom"/>
          </w:tcPr>
          <w:p>
            <w:pPr>
              <w:ind w:left="820"/>
              <w:spacing w:after="0"/>
              <w:rPr>
                <w:sz w:val="20"/>
                <w:szCs w:val="20"/>
                <w:color w:val="auto"/>
              </w:rPr>
            </w:pPr>
            <w:r>
              <w:rPr>
                <w:rFonts w:ascii="Arial" w:cs="Arial" w:eastAsia="Arial" w:hAnsi="Arial"/>
                <w:sz w:val="11"/>
                <w:szCs w:val="11"/>
                <w:color w:val="auto"/>
              </w:rPr>
              <w:t>x</w:t>
            </w:r>
          </w:p>
        </w:tc>
      </w:tr>
      <w:tr>
        <w:trPr>
          <w:trHeight w:val="216"/>
        </w:trPr>
        <w:tc>
          <w:tcPr>
            <w:tcW w:w="2180" w:type="dxa"/>
            <w:vAlign w:val="bottom"/>
          </w:tcPr>
          <w:p>
            <w:pPr>
              <w:spacing w:after="0"/>
              <w:rPr>
                <w:sz w:val="20"/>
                <w:szCs w:val="20"/>
                <w:color w:val="auto"/>
              </w:rPr>
            </w:pPr>
            <w:r>
              <w:rPr>
                <w:rFonts w:ascii="Arial" w:cs="Arial" w:eastAsia="Arial" w:hAnsi="Arial"/>
                <w:sz w:val="11"/>
                <w:szCs w:val="11"/>
                <w:color w:val="auto"/>
              </w:rPr>
              <w:t>Non-accelerated filer</w:t>
            </w:r>
          </w:p>
        </w:tc>
        <w:tc>
          <w:tcPr>
            <w:tcW w:w="3380" w:type="dxa"/>
            <w:vAlign w:val="bottom"/>
          </w:tcPr>
          <w:p>
            <w:pPr>
              <w:ind w:left="820"/>
              <w:spacing w:after="0" w:line="111" w:lineRule="exact"/>
              <w:rPr>
                <w:sz w:val="20"/>
                <w:szCs w:val="20"/>
                <w:color w:val="auto"/>
              </w:rPr>
            </w:pPr>
            <w:r>
              <w:rPr>
                <w:rFonts w:ascii="MS PGothic" w:cs="MS PGothic" w:eastAsia="MS PGothic" w:hAnsi="MS PGothic"/>
                <w:sz w:val="11"/>
                <w:szCs w:val="11"/>
                <w:color w:val="auto"/>
              </w:rPr>
              <w:t>☐</w:t>
            </w:r>
          </w:p>
        </w:tc>
        <w:tc>
          <w:tcPr>
            <w:tcW w:w="4640" w:type="dxa"/>
            <w:vAlign w:val="bottom"/>
          </w:tcPr>
          <w:p>
            <w:pPr>
              <w:ind w:left="2480"/>
              <w:spacing w:after="0"/>
              <w:rPr>
                <w:sz w:val="20"/>
                <w:szCs w:val="20"/>
                <w:color w:val="auto"/>
              </w:rPr>
            </w:pPr>
            <w:r>
              <w:rPr>
                <w:rFonts w:ascii="Arial" w:cs="Arial" w:eastAsia="Arial" w:hAnsi="Arial"/>
                <w:sz w:val="11"/>
                <w:szCs w:val="11"/>
                <w:color w:val="auto"/>
              </w:rPr>
              <w:t>Smaller reporting company</w:t>
            </w:r>
          </w:p>
        </w:tc>
        <w:tc>
          <w:tcPr>
            <w:tcW w:w="920" w:type="dxa"/>
            <w:vAlign w:val="bottom"/>
          </w:tcPr>
          <w:p>
            <w:pPr>
              <w:ind w:left="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218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380" w:type="dxa"/>
            <w:vAlign w:val="bottom"/>
          </w:tcPr>
          <w:p>
            <w:pPr>
              <w:ind w:left="820"/>
              <w:spacing w:after="0" w:line="111" w:lineRule="exact"/>
              <w:rPr>
                <w:sz w:val="20"/>
                <w:szCs w:val="20"/>
                <w:color w:val="auto"/>
              </w:rPr>
            </w:pPr>
            <w:r>
              <w:rPr>
                <w:rFonts w:ascii="MS PGothic" w:cs="MS PGothic" w:eastAsia="MS PGothic" w:hAnsi="MS PGothic"/>
                <w:sz w:val="11"/>
                <w:szCs w:val="11"/>
                <w:color w:val="auto"/>
              </w:rPr>
              <w:t>☐</w:t>
            </w:r>
          </w:p>
        </w:tc>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76" w:lineRule="exact"/>
        <w:rPr>
          <w:sz w:val="24"/>
          <w:szCs w:val="24"/>
          <w:color w:val="auto"/>
        </w:rPr>
      </w:pPr>
    </w:p>
    <w:p>
      <w:pPr>
        <w:ind w:right="80"/>
        <w:spacing w:after="0" w:line="14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49" w:lineRule="exact"/>
        <w:rPr>
          <w:sz w:val="24"/>
          <w:szCs w:val="24"/>
          <w:color w:val="auto"/>
        </w:rPr>
      </w:pPr>
    </w:p>
    <w:p>
      <w:pPr>
        <w:ind w:right="4860"/>
        <w:spacing w:after="0" w:line="19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 As of April 23, 2019, there were 110,226,728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129540</wp:posOffset>
            </wp:positionV>
            <wp:extent cx="7253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60960</wp:posOffset>
            </wp:positionV>
            <wp:extent cx="7253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6985"/>
                    </a:xfrm>
                    <a:prstGeom prst="rect">
                      <a:avLst/>
                    </a:prstGeom>
                    <a:noFill/>
                  </pic:spPr>
                </pic:pic>
              </a:graphicData>
            </a:graphic>
          </wp:anchor>
        </w:drawing>
      </w:r>
    </w:p>
    <w:p>
      <w:pPr>
        <w:sectPr>
          <w:pgSz w:w="11900" w:h="16838" w:orient="portrait"/>
          <w:cols w:equalWidth="0" w:num="1">
            <w:col w:w="11420"/>
          </w:cols>
          <w:pgMar w:left="220" w:top="806" w:right="25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4"/>
          <w:szCs w:val="14"/>
          <w:b w:val="1"/>
          <w:bCs w:val="1"/>
          <w:color w:val="auto"/>
        </w:rPr>
        <w:t>ENPHASE ENERGY, INC.</w:t>
      </w: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FORM 10-Q FOR THE QUARTERLY PERIOD ENDED MARCH 31, 2019</w:t>
      </w: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6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Page</w:t>
            </w:r>
          </w:p>
        </w:tc>
      </w:tr>
      <w:tr>
        <w:trPr>
          <w:trHeight w:val="167"/>
        </w:trPr>
        <w:tc>
          <w:tcPr>
            <w:tcW w:w="760" w:type="dxa"/>
            <w:vAlign w:val="bottom"/>
          </w:tcPr>
          <w:p>
            <w:pPr>
              <w:spacing w:after="0"/>
              <w:rPr>
                <w:sz w:val="14"/>
                <w:szCs w:val="14"/>
                <w:color w:val="auto"/>
              </w:rPr>
            </w:pPr>
          </w:p>
        </w:tc>
        <w:tc>
          <w:tcPr>
            <w:tcW w:w="9400" w:type="dxa"/>
            <w:vAlign w:val="bottom"/>
          </w:tcPr>
          <w:p>
            <w:pPr>
              <w:ind w:left="3760"/>
              <w:spacing w:after="0"/>
              <w:rPr>
                <w:rFonts w:ascii="Arial" w:cs="Arial" w:eastAsia="Arial" w:hAnsi="Arial"/>
                <w:sz w:val="13"/>
                <w:szCs w:val="13"/>
                <w:b w:val="1"/>
                <w:bCs w:val="1"/>
                <w:color w:val="auto"/>
              </w:rPr>
            </w:pPr>
            <w:hyperlink w:anchor="page3">
              <w:r>
                <w:rPr>
                  <w:rFonts w:ascii="Arial" w:cs="Arial" w:eastAsia="Arial" w:hAnsi="Arial"/>
                  <w:sz w:val="13"/>
                  <w:szCs w:val="13"/>
                  <w:b w:val="1"/>
                  <w:bCs w:val="1"/>
                  <w:color w:val="auto"/>
                </w:rPr>
                <w:t>PART I. FINANCIAL INFORMATION</w:t>
              </w:r>
            </w:hyperlink>
          </w:p>
        </w:tc>
        <w:tc>
          <w:tcPr>
            <w:tcW w:w="1260" w:type="dxa"/>
            <w:vAlign w:val="bottom"/>
          </w:tcPr>
          <w:p>
            <w:pPr>
              <w:spacing w:after="0"/>
              <w:rPr>
                <w:sz w:val="14"/>
                <w:szCs w:val="14"/>
                <w:color w:val="auto"/>
              </w:rPr>
            </w:pPr>
          </w:p>
        </w:tc>
      </w:tr>
      <w:tr>
        <w:trPr>
          <w:trHeight w:val="463"/>
        </w:trPr>
        <w:tc>
          <w:tcPr>
            <w:tcW w:w="760" w:type="dxa"/>
            <w:vAlign w:val="bottom"/>
          </w:tcPr>
          <w:p>
            <w:pPr>
              <w:spacing w:after="0"/>
              <w:rPr>
                <w:sz w:val="20"/>
                <w:szCs w:val="20"/>
                <w:color w:val="auto"/>
              </w:rPr>
            </w:pPr>
            <w:r>
              <w:rPr>
                <w:rFonts w:ascii="Arial" w:cs="Arial" w:eastAsia="Arial" w:hAnsi="Arial"/>
                <w:sz w:val="13"/>
                <w:szCs w:val="13"/>
                <w:color w:val="auto"/>
              </w:rPr>
              <w:t>Item 1.</w:t>
            </w:r>
          </w:p>
        </w:tc>
        <w:tc>
          <w:tcPr>
            <w:tcW w:w="9400" w:type="dxa"/>
            <w:vAlign w:val="bottom"/>
          </w:tcPr>
          <w:p>
            <w:pPr>
              <w:ind w:left="280"/>
              <w:spacing w:after="0"/>
              <w:rPr>
                <w:rFonts w:ascii="Arial" w:cs="Arial" w:eastAsia="Arial" w:hAnsi="Arial"/>
                <w:sz w:val="13"/>
                <w:szCs w:val="13"/>
                <w:color w:val="auto"/>
              </w:rPr>
            </w:pPr>
            <w:hyperlink w:anchor="page3">
              <w:r>
                <w:rPr>
                  <w:rFonts w:ascii="Arial" w:cs="Arial" w:eastAsia="Arial" w:hAnsi="Arial"/>
                  <w:sz w:val="13"/>
                  <w:szCs w:val="13"/>
                  <w:color w:val="auto"/>
                </w:rPr>
                <w:t>Financial Statements (Unaudited)</w:t>
              </w:r>
            </w:hyperlink>
          </w:p>
        </w:tc>
        <w:tc>
          <w:tcPr>
            <w:tcW w:w="1260" w:type="dxa"/>
            <w:vAlign w:val="bottom"/>
          </w:tcPr>
          <w:p>
            <w:pPr>
              <w:jc w:val="right"/>
              <w:spacing w:after="0"/>
              <w:rPr>
                <w:rFonts w:ascii="Arial" w:cs="Arial" w:eastAsia="Arial" w:hAnsi="Arial"/>
                <w:sz w:val="13"/>
                <w:szCs w:val="13"/>
                <w:color w:val="auto"/>
              </w:rPr>
            </w:pPr>
            <w:hyperlink w:anchor="page3">
              <w:r>
                <w:rPr>
                  <w:rFonts w:ascii="Arial" w:cs="Arial" w:eastAsia="Arial" w:hAnsi="Arial"/>
                  <w:sz w:val="13"/>
                  <w:szCs w:val="13"/>
                  <w:color w:val="auto"/>
                </w:rPr>
                <w:t>1</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3">
              <w:r>
                <w:rPr>
                  <w:rFonts w:ascii="Arial" w:cs="Arial" w:eastAsia="Arial" w:hAnsi="Arial"/>
                  <w:sz w:val="13"/>
                  <w:szCs w:val="13"/>
                  <w:color w:val="auto"/>
                </w:rPr>
                <w:t>Condensed Consolidated Balance Sheets</w:t>
              </w:r>
            </w:hyperlink>
          </w:p>
        </w:tc>
        <w:tc>
          <w:tcPr>
            <w:tcW w:w="1260" w:type="dxa"/>
            <w:vAlign w:val="bottom"/>
          </w:tcPr>
          <w:p>
            <w:pPr>
              <w:jc w:val="right"/>
              <w:spacing w:after="0"/>
              <w:rPr>
                <w:rFonts w:ascii="Arial" w:cs="Arial" w:eastAsia="Arial" w:hAnsi="Arial"/>
                <w:sz w:val="13"/>
                <w:szCs w:val="13"/>
                <w:color w:val="auto"/>
              </w:rPr>
            </w:pPr>
            <w:hyperlink w:anchor="page3">
              <w:r>
                <w:rPr>
                  <w:rFonts w:ascii="Arial" w:cs="Arial" w:eastAsia="Arial" w:hAnsi="Arial"/>
                  <w:sz w:val="13"/>
                  <w:szCs w:val="13"/>
                  <w:color w:val="auto"/>
                </w:rPr>
                <w:t>1</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4">
              <w:r>
                <w:rPr>
                  <w:rFonts w:ascii="Arial" w:cs="Arial" w:eastAsia="Arial" w:hAnsi="Arial"/>
                  <w:sz w:val="13"/>
                  <w:szCs w:val="13"/>
                  <w:color w:val="auto"/>
                </w:rPr>
                <w:t>Condensed Consolidated Statements of Operations</w:t>
              </w:r>
            </w:hyperlink>
          </w:p>
        </w:tc>
        <w:tc>
          <w:tcPr>
            <w:tcW w:w="1260" w:type="dxa"/>
            <w:vAlign w:val="bottom"/>
          </w:tcPr>
          <w:p>
            <w:pPr>
              <w:jc w:val="right"/>
              <w:spacing w:after="0"/>
              <w:rPr>
                <w:rFonts w:ascii="Arial" w:cs="Arial" w:eastAsia="Arial" w:hAnsi="Arial"/>
                <w:sz w:val="13"/>
                <w:szCs w:val="13"/>
                <w:color w:val="auto"/>
              </w:rPr>
            </w:pPr>
            <w:hyperlink w:anchor="page4">
              <w:r>
                <w:rPr>
                  <w:rFonts w:ascii="Arial" w:cs="Arial" w:eastAsia="Arial" w:hAnsi="Arial"/>
                  <w:sz w:val="13"/>
                  <w:szCs w:val="13"/>
                  <w:color w:val="auto"/>
                </w:rPr>
                <w:t>2</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5">
              <w:r>
                <w:rPr>
                  <w:rFonts w:ascii="Arial" w:cs="Arial" w:eastAsia="Arial" w:hAnsi="Arial"/>
                  <w:sz w:val="13"/>
                  <w:szCs w:val="13"/>
                  <w:color w:val="auto"/>
                </w:rPr>
                <w:t>Condensed Consolidated Statements of Comprehensive Income (Loss)</w:t>
              </w:r>
            </w:hyperlink>
          </w:p>
        </w:tc>
        <w:tc>
          <w:tcPr>
            <w:tcW w:w="126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3</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6">
              <w:r>
                <w:rPr>
                  <w:rFonts w:ascii="Arial" w:cs="Arial" w:eastAsia="Arial" w:hAnsi="Arial"/>
                  <w:sz w:val="13"/>
                  <w:szCs w:val="13"/>
                  <w:color w:val="auto"/>
                </w:rPr>
                <w:t>Condensed Consolidated Statements of Stockholders’ Equity (Deficit)</w:t>
              </w:r>
            </w:hyperlink>
          </w:p>
        </w:tc>
        <w:tc>
          <w:tcPr>
            <w:tcW w:w="1260" w:type="dxa"/>
            <w:vAlign w:val="bottom"/>
          </w:tcPr>
          <w:p>
            <w:pPr>
              <w:jc w:val="right"/>
              <w:spacing w:after="0"/>
              <w:rPr>
                <w:rFonts w:ascii="Arial" w:cs="Arial" w:eastAsia="Arial" w:hAnsi="Arial"/>
                <w:sz w:val="13"/>
                <w:szCs w:val="13"/>
                <w:color w:val="auto"/>
              </w:rPr>
            </w:pPr>
            <w:hyperlink w:anchor="page6">
              <w:r>
                <w:rPr>
                  <w:rFonts w:ascii="Arial" w:cs="Arial" w:eastAsia="Arial" w:hAnsi="Arial"/>
                  <w:sz w:val="13"/>
                  <w:szCs w:val="13"/>
                  <w:color w:val="auto"/>
                </w:rPr>
                <w:t>4</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7">
              <w:r>
                <w:rPr>
                  <w:rFonts w:ascii="Arial" w:cs="Arial" w:eastAsia="Arial" w:hAnsi="Arial"/>
                  <w:sz w:val="13"/>
                  <w:szCs w:val="13"/>
                  <w:color w:val="auto"/>
                </w:rPr>
                <w:t>Condensed Consolidated Statements of Cash Flows</w:t>
              </w:r>
            </w:hyperlink>
          </w:p>
        </w:tc>
        <w:tc>
          <w:tcPr>
            <w:tcW w:w="1260" w:type="dxa"/>
            <w:vAlign w:val="bottom"/>
          </w:tcPr>
          <w:p>
            <w:pPr>
              <w:jc w:val="right"/>
              <w:spacing w:after="0"/>
              <w:rPr>
                <w:rFonts w:ascii="Arial" w:cs="Arial" w:eastAsia="Arial" w:hAnsi="Arial"/>
                <w:sz w:val="13"/>
                <w:szCs w:val="13"/>
                <w:color w:val="auto"/>
              </w:rPr>
            </w:pPr>
            <w:hyperlink w:anchor="page7">
              <w:r>
                <w:rPr>
                  <w:rFonts w:ascii="Arial" w:cs="Arial" w:eastAsia="Arial" w:hAnsi="Arial"/>
                  <w:sz w:val="13"/>
                  <w:szCs w:val="13"/>
                  <w:color w:val="auto"/>
                </w:rPr>
                <w:t>5</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8">
              <w:r>
                <w:rPr>
                  <w:rFonts w:ascii="Arial" w:cs="Arial" w:eastAsia="Arial" w:hAnsi="Arial"/>
                  <w:sz w:val="13"/>
                  <w:szCs w:val="13"/>
                  <w:color w:val="auto"/>
                </w:rPr>
                <w:t>Notes to Condensed Consolidated Financial Statements</w:t>
              </w:r>
            </w:hyperlink>
          </w:p>
        </w:tc>
        <w:tc>
          <w:tcPr>
            <w:tcW w:w="1260" w:type="dxa"/>
            <w:vAlign w:val="bottom"/>
          </w:tcPr>
          <w:p>
            <w:pPr>
              <w:jc w:val="right"/>
              <w:spacing w:after="0"/>
              <w:rPr>
                <w:rFonts w:ascii="Arial" w:cs="Arial" w:eastAsia="Arial" w:hAnsi="Arial"/>
                <w:sz w:val="13"/>
                <w:szCs w:val="13"/>
                <w:color w:val="auto"/>
              </w:rPr>
            </w:pPr>
            <w:hyperlink w:anchor="page8">
              <w:r>
                <w:rPr>
                  <w:rFonts w:ascii="Arial" w:cs="Arial" w:eastAsia="Arial" w:hAnsi="Arial"/>
                  <w:sz w:val="13"/>
                  <w:szCs w:val="13"/>
                  <w:color w:val="auto"/>
                </w:rPr>
                <w:t>6</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2.</w:t>
            </w:r>
          </w:p>
        </w:tc>
        <w:tc>
          <w:tcPr>
            <w:tcW w:w="9400" w:type="dxa"/>
            <w:vAlign w:val="bottom"/>
          </w:tcPr>
          <w:p>
            <w:pPr>
              <w:ind w:left="280"/>
              <w:spacing w:after="0"/>
              <w:rPr>
                <w:rFonts w:ascii="Arial" w:cs="Arial" w:eastAsia="Arial" w:hAnsi="Arial"/>
                <w:sz w:val="13"/>
                <w:szCs w:val="13"/>
                <w:color w:val="auto"/>
              </w:rPr>
            </w:pPr>
            <w:hyperlink w:anchor="page24">
              <w:r>
                <w:rPr>
                  <w:rFonts w:ascii="Arial" w:cs="Arial" w:eastAsia="Arial" w:hAnsi="Arial"/>
                  <w:sz w:val="13"/>
                  <w:szCs w:val="13"/>
                  <w:color w:val="auto"/>
                </w:rPr>
                <w:t>Management’s Discussion and Analysis of Financial Condition and Results of Operations</w:t>
              </w:r>
            </w:hyperlink>
          </w:p>
        </w:tc>
        <w:tc>
          <w:tcPr>
            <w:tcW w:w="1260" w:type="dxa"/>
            <w:vAlign w:val="bottom"/>
          </w:tcPr>
          <w:p>
            <w:pPr>
              <w:jc w:val="right"/>
              <w:spacing w:after="0"/>
              <w:rPr>
                <w:rFonts w:ascii="Arial" w:cs="Arial" w:eastAsia="Arial" w:hAnsi="Arial"/>
                <w:sz w:val="13"/>
                <w:szCs w:val="13"/>
                <w:color w:val="auto"/>
              </w:rPr>
            </w:pPr>
            <w:hyperlink w:anchor="page24">
              <w:r>
                <w:rPr>
                  <w:rFonts w:ascii="Arial" w:cs="Arial" w:eastAsia="Arial" w:hAnsi="Arial"/>
                  <w:sz w:val="13"/>
                  <w:szCs w:val="13"/>
                  <w:color w:val="auto"/>
                </w:rPr>
                <w:t>22</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3.</w:t>
            </w:r>
          </w:p>
        </w:tc>
        <w:tc>
          <w:tcPr>
            <w:tcW w:w="9400" w:type="dxa"/>
            <w:vAlign w:val="bottom"/>
          </w:tcPr>
          <w:p>
            <w:pPr>
              <w:ind w:left="280"/>
              <w:spacing w:after="0"/>
              <w:rPr>
                <w:rFonts w:ascii="Arial" w:cs="Arial" w:eastAsia="Arial" w:hAnsi="Arial"/>
                <w:sz w:val="13"/>
                <w:szCs w:val="13"/>
                <w:color w:val="auto"/>
              </w:rPr>
            </w:pPr>
            <w:hyperlink w:anchor="page29">
              <w:r>
                <w:rPr>
                  <w:rFonts w:ascii="Arial" w:cs="Arial" w:eastAsia="Arial" w:hAnsi="Arial"/>
                  <w:sz w:val="13"/>
                  <w:szCs w:val="13"/>
                  <w:color w:val="auto"/>
                </w:rPr>
                <w:t>Quantitative and Qualitative Disclosures About Market Risk</w:t>
              </w:r>
            </w:hyperlink>
          </w:p>
        </w:tc>
        <w:tc>
          <w:tcPr>
            <w:tcW w:w="1260" w:type="dxa"/>
            <w:vAlign w:val="bottom"/>
          </w:tcPr>
          <w:p>
            <w:pPr>
              <w:jc w:val="right"/>
              <w:spacing w:after="0"/>
              <w:rPr>
                <w:rFonts w:ascii="Arial" w:cs="Arial" w:eastAsia="Arial" w:hAnsi="Arial"/>
                <w:sz w:val="13"/>
                <w:szCs w:val="13"/>
                <w:color w:val="auto"/>
              </w:rPr>
            </w:pPr>
            <w:hyperlink w:anchor="page29">
              <w:r>
                <w:rPr>
                  <w:rFonts w:ascii="Arial" w:cs="Arial" w:eastAsia="Arial" w:hAnsi="Arial"/>
                  <w:sz w:val="13"/>
                  <w:szCs w:val="13"/>
                  <w:color w:val="auto"/>
                </w:rPr>
                <w:t>27</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4.</w:t>
            </w:r>
          </w:p>
        </w:tc>
        <w:tc>
          <w:tcPr>
            <w:tcW w:w="9400" w:type="dxa"/>
            <w:vAlign w:val="bottom"/>
          </w:tcPr>
          <w:p>
            <w:pPr>
              <w:ind w:left="280"/>
              <w:spacing w:after="0"/>
              <w:rPr>
                <w:rFonts w:ascii="Arial" w:cs="Arial" w:eastAsia="Arial" w:hAnsi="Arial"/>
                <w:sz w:val="13"/>
                <w:szCs w:val="13"/>
                <w:color w:val="auto"/>
              </w:rPr>
            </w:pPr>
            <w:hyperlink w:anchor="page29">
              <w:r>
                <w:rPr>
                  <w:rFonts w:ascii="Arial" w:cs="Arial" w:eastAsia="Arial" w:hAnsi="Arial"/>
                  <w:sz w:val="13"/>
                  <w:szCs w:val="13"/>
                  <w:color w:val="auto"/>
                </w:rPr>
                <w:t>Controls and Procedures</w:t>
              </w:r>
            </w:hyperlink>
          </w:p>
        </w:tc>
        <w:tc>
          <w:tcPr>
            <w:tcW w:w="1260" w:type="dxa"/>
            <w:vAlign w:val="bottom"/>
          </w:tcPr>
          <w:p>
            <w:pPr>
              <w:jc w:val="right"/>
              <w:spacing w:after="0"/>
              <w:rPr>
                <w:rFonts w:ascii="Arial" w:cs="Arial" w:eastAsia="Arial" w:hAnsi="Arial"/>
                <w:sz w:val="13"/>
                <w:szCs w:val="13"/>
                <w:color w:val="auto"/>
              </w:rPr>
            </w:pPr>
            <w:hyperlink w:anchor="page29">
              <w:r>
                <w:rPr>
                  <w:rFonts w:ascii="Arial" w:cs="Arial" w:eastAsia="Arial" w:hAnsi="Arial"/>
                  <w:sz w:val="13"/>
                  <w:szCs w:val="13"/>
                  <w:color w:val="auto"/>
                </w:rPr>
                <w:t>27</w:t>
              </w:r>
            </w:hyperlink>
          </w:p>
        </w:tc>
      </w:tr>
      <w:tr>
        <w:trPr>
          <w:trHeight w:val="431"/>
        </w:trPr>
        <w:tc>
          <w:tcPr>
            <w:tcW w:w="760" w:type="dxa"/>
            <w:vAlign w:val="bottom"/>
          </w:tcPr>
          <w:p>
            <w:pPr>
              <w:spacing w:after="0"/>
              <w:rPr>
                <w:sz w:val="24"/>
                <w:szCs w:val="24"/>
                <w:color w:val="auto"/>
              </w:rPr>
            </w:pPr>
          </w:p>
        </w:tc>
        <w:tc>
          <w:tcPr>
            <w:tcW w:w="9400" w:type="dxa"/>
            <w:vAlign w:val="bottom"/>
          </w:tcPr>
          <w:p>
            <w:pPr>
              <w:ind w:left="3860"/>
              <w:spacing w:after="0"/>
              <w:rPr>
                <w:rFonts w:ascii="Arial" w:cs="Arial" w:eastAsia="Arial" w:hAnsi="Arial"/>
                <w:sz w:val="13"/>
                <w:szCs w:val="13"/>
                <w:b w:val="1"/>
                <w:bCs w:val="1"/>
                <w:color w:val="auto"/>
              </w:rPr>
            </w:pPr>
            <w:hyperlink w:anchor="page30">
              <w:r>
                <w:rPr>
                  <w:rFonts w:ascii="Arial" w:cs="Arial" w:eastAsia="Arial" w:hAnsi="Arial"/>
                  <w:sz w:val="13"/>
                  <w:szCs w:val="13"/>
                  <w:b w:val="1"/>
                  <w:bCs w:val="1"/>
                  <w:color w:val="auto"/>
                </w:rPr>
                <w:t>PART II. OTHER INFORMATION</w:t>
              </w:r>
            </w:hyperlink>
          </w:p>
        </w:tc>
        <w:tc>
          <w:tcPr>
            <w:tcW w:w="1260" w:type="dxa"/>
            <w:vAlign w:val="bottom"/>
          </w:tcPr>
          <w:p>
            <w:pPr>
              <w:spacing w:after="0"/>
              <w:rPr>
                <w:sz w:val="24"/>
                <w:szCs w:val="24"/>
                <w:color w:val="auto"/>
              </w:rPr>
            </w:pPr>
          </w:p>
        </w:tc>
      </w:tr>
      <w:tr>
        <w:trPr>
          <w:trHeight w:val="453"/>
        </w:trPr>
        <w:tc>
          <w:tcPr>
            <w:tcW w:w="760" w:type="dxa"/>
            <w:vAlign w:val="bottom"/>
          </w:tcPr>
          <w:p>
            <w:pPr>
              <w:spacing w:after="0"/>
              <w:rPr>
                <w:sz w:val="20"/>
                <w:szCs w:val="20"/>
                <w:color w:val="auto"/>
              </w:rPr>
            </w:pPr>
            <w:r>
              <w:rPr>
                <w:rFonts w:ascii="Arial" w:cs="Arial" w:eastAsia="Arial" w:hAnsi="Arial"/>
                <w:sz w:val="13"/>
                <w:szCs w:val="13"/>
                <w:color w:val="auto"/>
              </w:rPr>
              <w:t>Item 1.</w:t>
            </w:r>
          </w:p>
        </w:tc>
        <w:tc>
          <w:tcPr>
            <w:tcW w:w="9400" w:type="dxa"/>
            <w:vAlign w:val="bottom"/>
          </w:tcPr>
          <w:p>
            <w:pPr>
              <w:ind w:left="280"/>
              <w:spacing w:after="0"/>
              <w:rPr>
                <w:rFonts w:ascii="Arial" w:cs="Arial" w:eastAsia="Arial" w:hAnsi="Arial"/>
                <w:sz w:val="13"/>
                <w:szCs w:val="13"/>
                <w:color w:val="auto"/>
              </w:rPr>
            </w:pPr>
            <w:hyperlink w:anchor="page30">
              <w:r>
                <w:rPr>
                  <w:rFonts w:ascii="Arial" w:cs="Arial" w:eastAsia="Arial" w:hAnsi="Arial"/>
                  <w:sz w:val="13"/>
                  <w:szCs w:val="13"/>
                  <w:color w:val="auto"/>
                </w:rPr>
                <w:t>Legal Proceedings</w:t>
              </w:r>
            </w:hyperlink>
          </w:p>
        </w:tc>
        <w:tc>
          <w:tcPr>
            <w:tcW w:w="12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28</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1A.</w:t>
            </w:r>
          </w:p>
        </w:tc>
        <w:tc>
          <w:tcPr>
            <w:tcW w:w="9400" w:type="dxa"/>
            <w:vAlign w:val="bottom"/>
          </w:tcPr>
          <w:p>
            <w:pPr>
              <w:ind w:left="280"/>
              <w:spacing w:after="0"/>
              <w:rPr>
                <w:rFonts w:ascii="Arial" w:cs="Arial" w:eastAsia="Arial" w:hAnsi="Arial"/>
                <w:sz w:val="13"/>
                <w:szCs w:val="13"/>
                <w:color w:val="auto"/>
              </w:rPr>
            </w:pPr>
            <w:hyperlink w:anchor="page30">
              <w:r>
                <w:rPr>
                  <w:rFonts w:ascii="Arial" w:cs="Arial" w:eastAsia="Arial" w:hAnsi="Arial"/>
                  <w:sz w:val="13"/>
                  <w:szCs w:val="13"/>
                  <w:color w:val="auto"/>
                </w:rPr>
                <w:t>Risk Factors</w:t>
              </w:r>
            </w:hyperlink>
          </w:p>
        </w:tc>
        <w:tc>
          <w:tcPr>
            <w:tcW w:w="12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28</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2.</w:t>
            </w:r>
          </w:p>
        </w:tc>
        <w:tc>
          <w:tcPr>
            <w:tcW w:w="9400" w:type="dxa"/>
            <w:vAlign w:val="bottom"/>
          </w:tcPr>
          <w:p>
            <w:pPr>
              <w:ind w:left="280"/>
              <w:spacing w:after="0"/>
              <w:rPr>
                <w:rFonts w:ascii="Arial" w:cs="Arial" w:eastAsia="Arial" w:hAnsi="Arial"/>
                <w:sz w:val="13"/>
                <w:szCs w:val="13"/>
                <w:color w:val="auto"/>
              </w:rPr>
            </w:pPr>
            <w:hyperlink w:anchor="page30">
              <w:r>
                <w:rPr>
                  <w:rFonts w:ascii="Arial" w:cs="Arial" w:eastAsia="Arial" w:hAnsi="Arial"/>
                  <w:sz w:val="13"/>
                  <w:szCs w:val="13"/>
                  <w:color w:val="auto"/>
                </w:rPr>
                <w:t>Unregistered Sales of Equity Securities and Use of Proceeds</w:t>
              </w:r>
            </w:hyperlink>
          </w:p>
        </w:tc>
        <w:tc>
          <w:tcPr>
            <w:tcW w:w="12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28</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3.</w:t>
            </w:r>
          </w:p>
        </w:tc>
        <w:tc>
          <w:tcPr>
            <w:tcW w:w="9400" w:type="dxa"/>
            <w:vAlign w:val="bottom"/>
          </w:tcPr>
          <w:p>
            <w:pPr>
              <w:ind w:left="280"/>
              <w:spacing w:after="0"/>
              <w:rPr>
                <w:rFonts w:ascii="Arial" w:cs="Arial" w:eastAsia="Arial" w:hAnsi="Arial"/>
                <w:sz w:val="13"/>
                <w:szCs w:val="13"/>
                <w:color w:val="auto"/>
              </w:rPr>
            </w:pPr>
            <w:hyperlink w:anchor="page30">
              <w:r>
                <w:rPr>
                  <w:rFonts w:ascii="Arial" w:cs="Arial" w:eastAsia="Arial" w:hAnsi="Arial"/>
                  <w:sz w:val="13"/>
                  <w:szCs w:val="13"/>
                  <w:color w:val="auto"/>
                </w:rPr>
                <w:t>Defaults Upon Senior Securities</w:t>
              </w:r>
            </w:hyperlink>
          </w:p>
        </w:tc>
        <w:tc>
          <w:tcPr>
            <w:tcW w:w="12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28</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4.</w:t>
            </w:r>
          </w:p>
        </w:tc>
        <w:tc>
          <w:tcPr>
            <w:tcW w:w="9400" w:type="dxa"/>
            <w:vAlign w:val="bottom"/>
          </w:tcPr>
          <w:p>
            <w:pPr>
              <w:ind w:left="280"/>
              <w:spacing w:after="0"/>
              <w:rPr>
                <w:sz w:val="20"/>
                <w:szCs w:val="20"/>
                <w:color w:val="auto"/>
              </w:rPr>
            </w:pPr>
            <w:r>
              <w:rPr>
                <w:rFonts w:ascii="Arial" w:cs="Arial" w:eastAsia="Arial" w:hAnsi="Arial"/>
                <w:sz w:val="13"/>
                <w:szCs w:val="13"/>
                <w:color w:val="auto"/>
              </w:rPr>
              <w:t>Mine Safety Disclosures</w:t>
            </w:r>
          </w:p>
        </w:tc>
        <w:tc>
          <w:tcPr>
            <w:tcW w:w="12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28</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5.</w:t>
            </w:r>
          </w:p>
        </w:tc>
        <w:tc>
          <w:tcPr>
            <w:tcW w:w="9400" w:type="dxa"/>
            <w:vAlign w:val="bottom"/>
          </w:tcPr>
          <w:p>
            <w:pPr>
              <w:ind w:left="280"/>
              <w:spacing w:after="0"/>
              <w:rPr>
                <w:rFonts w:ascii="Arial" w:cs="Arial" w:eastAsia="Arial" w:hAnsi="Arial"/>
                <w:sz w:val="13"/>
                <w:szCs w:val="13"/>
                <w:color w:val="auto"/>
              </w:rPr>
            </w:pPr>
            <w:hyperlink w:anchor="page30">
              <w:r>
                <w:rPr>
                  <w:rFonts w:ascii="Arial" w:cs="Arial" w:eastAsia="Arial" w:hAnsi="Arial"/>
                  <w:sz w:val="13"/>
                  <w:szCs w:val="13"/>
                  <w:color w:val="auto"/>
                </w:rPr>
                <w:t>Other Information</w:t>
              </w:r>
            </w:hyperlink>
          </w:p>
        </w:tc>
        <w:tc>
          <w:tcPr>
            <w:tcW w:w="12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28</w:t>
              </w:r>
            </w:hyperlink>
          </w:p>
        </w:tc>
      </w:tr>
      <w:tr>
        <w:trPr>
          <w:trHeight w:val="194"/>
        </w:trPr>
        <w:tc>
          <w:tcPr>
            <w:tcW w:w="760" w:type="dxa"/>
            <w:vAlign w:val="bottom"/>
          </w:tcPr>
          <w:p>
            <w:pPr>
              <w:spacing w:after="0"/>
              <w:rPr>
                <w:sz w:val="20"/>
                <w:szCs w:val="20"/>
                <w:color w:val="auto"/>
              </w:rPr>
            </w:pPr>
            <w:r>
              <w:rPr>
                <w:rFonts w:ascii="Arial" w:cs="Arial" w:eastAsia="Arial" w:hAnsi="Arial"/>
                <w:sz w:val="13"/>
                <w:szCs w:val="13"/>
                <w:color w:val="auto"/>
              </w:rPr>
              <w:t>Item 6.</w:t>
            </w:r>
          </w:p>
        </w:tc>
        <w:tc>
          <w:tcPr>
            <w:tcW w:w="9400" w:type="dxa"/>
            <w:vAlign w:val="bottom"/>
          </w:tcPr>
          <w:p>
            <w:pPr>
              <w:ind w:left="280"/>
              <w:spacing w:after="0"/>
              <w:rPr>
                <w:rFonts w:ascii="Arial" w:cs="Arial" w:eastAsia="Arial" w:hAnsi="Arial"/>
                <w:sz w:val="13"/>
                <w:szCs w:val="13"/>
                <w:color w:val="auto"/>
              </w:rPr>
            </w:pPr>
            <w:hyperlink w:anchor="page31">
              <w:r>
                <w:rPr>
                  <w:rFonts w:ascii="Arial" w:cs="Arial" w:eastAsia="Arial" w:hAnsi="Arial"/>
                  <w:sz w:val="13"/>
                  <w:szCs w:val="13"/>
                  <w:color w:val="auto"/>
                </w:rPr>
                <w:t>Exhibits</w:t>
              </w:r>
            </w:hyperlink>
          </w:p>
        </w:tc>
        <w:tc>
          <w:tcPr>
            <w:tcW w:w="1260" w:type="dxa"/>
            <w:vAlign w:val="bottom"/>
          </w:tcPr>
          <w:p>
            <w:pPr>
              <w:jc w:val="right"/>
              <w:spacing w:after="0"/>
              <w:rPr>
                <w:rFonts w:ascii="Arial" w:cs="Arial" w:eastAsia="Arial" w:hAnsi="Arial"/>
                <w:sz w:val="13"/>
                <w:szCs w:val="13"/>
                <w:color w:val="auto"/>
              </w:rPr>
            </w:pPr>
            <w:hyperlink w:anchor="page31">
              <w:r>
                <w:rPr>
                  <w:rFonts w:ascii="Arial" w:cs="Arial" w:eastAsia="Arial" w:hAnsi="Arial"/>
                  <w:sz w:val="13"/>
                  <w:szCs w:val="13"/>
                  <w:color w:val="auto"/>
                </w:rPr>
                <w:t>29</w:t>
              </w:r>
            </w:hyperlink>
          </w:p>
        </w:tc>
      </w:tr>
      <w:tr>
        <w:trPr>
          <w:trHeight w:val="216"/>
        </w:trPr>
        <w:tc>
          <w:tcPr>
            <w:tcW w:w="760" w:type="dxa"/>
            <w:vAlign w:val="bottom"/>
          </w:tcPr>
          <w:p>
            <w:pPr>
              <w:spacing w:after="0"/>
              <w:rPr>
                <w:sz w:val="18"/>
                <w:szCs w:val="18"/>
                <w:color w:val="auto"/>
              </w:rPr>
            </w:pPr>
          </w:p>
        </w:tc>
        <w:tc>
          <w:tcPr>
            <w:tcW w:w="9400" w:type="dxa"/>
            <w:vAlign w:val="bottom"/>
          </w:tcPr>
          <w:p>
            <w:pPr>
              <w:ind w:left="280"/>
              <w:spacing w:after="0"/>
              <w:rPr>
                <w:rFonts w:ascii="Arial" w:cs="Arial" w:eastAsia="Arial" w:hAnsi="Arial"/>
                <w:sz w:val="13"/>
                <w:szCs w:val="13"/>
                <w:color w:val="auto"/>
              </w:rPr>
            </w:pPr>
            <w:hyperlink w:anchor="page32">
              <w:r>
                <w:rPr>
                  <w:rFonts w:ascii="Arial" w:cs="Arial" w:eastAsia="Arial" w:hAnsi="Arial"/>
                  <w:sz w:val="13"/>
                  <w:szCs w:val="13"/>
                  <w:color w:val="auto"/>
                </w:rPr>
                <w:t>Signature</w:t>
              </w:r>
            </w:hyperlink>
          </w:p>
        </w:tc>
        <w:tc>
          <w:tcPr>
            <w:tcW w:w="1260" w:type="dxa"/>
            <w:vAlign w:val="bottom"/>
          </w:tcPr>
          <w:p>
            <w:pPr>
              <w:jc w:val="right"/>
              <w:spacing w:after="0"/>
              <w:rPr>
                <w:rFonts w:ascii="Arial" w:cs="Arial" w:eastAsia="Arial" w:hAnsi="Arial"/>
                <w:sz w:val="13"/>
                <w:szCs w:val="13"/>
                <w:color w:val="auto"/>
              </w:rPr>
            </w:pPr>
            <w:hyperlink w:anchor="page32">
              <w:r>
                <w:rPr>
                  <w:rFonts w:ascii="Arial" w:cs="Arial" w:eastAsia="Arial" w:hAnsi="Arial"/>
                  <w:sz w:val="13"/>
                  <w:szCs w:val="13"/>
                  <w:color w:val="auto"/>
                </w:rPr>
                <w:t>30</w:t>
              </w:r>
            </w:hyperlink>
          </w:p>
        </w:tc>
      </w:tr>
    </w:tbl>
    <w:p>
      <w:pPr>
        <w:sectPr>
          <w:pgSz w:w="11900" w:h="16838" w:orient="portrait"/>
          <w:cols w:equalWidth="0" w:num="1">
            <w:col w:w="11420"/>
          </w:cols>
          <w:pgMar w:left="260" w:top="401" w:right="219" w:bottom="1440" w:gutter="0" w:footer="0" w:header="0"/>
        </w:sectPr>
      </w:pPr>
    </w:p>
    <w:bookmarkStart w:id="2" w:name="page3"/>
    <w:bookmarkEnd w:id="2"/>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 (Unaudited)</w:t>
      </w:r>
    </w:p>
    <w:p>
      <w:pPr>
        <w:spacing w:after="0" w:line="9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8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March 31,</w:t>
            </w:r>
          </w:p>
        </w:tc>
        <w:tc>
          <w:tcPr>
            <w:tcW w:w="220" w:type="dxa"/>
            <w:vAlign w:val="bottom"/>
          </w:tcPr>
          <w:p>
            <w:pPr>
              <w:spacing w:after="0"/>
              <w:rPr>
                <w:sz w:val="11"/>
                <w:szCs w:val="11"/>
                <w:color w:val="auto"/>
              </w:rPr>
            </w:pPr>
          </w:p>
        </w:tc>
        <w:tc>
          <w:tcPr>
            <w:tcW w:w="1260" w:type="dxa"/>
            <w:vAlign w:val="bottom"/>
          </w:tcPr>
          <w:p>
            <w:pPr>
              <w:jc w:val="right"/>
              <w:ind w:right="323"/>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8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1"/>
        </w:trPr>
        <w:tc>
          <w:tcPr>
            <w:tcW w:w="834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1"/>
                <w:szCs w:val="11"/>
                <w:b w:val="1"/>
                <w:bCs w:val="1"/>
                <w:color w:val="auto"/>
              </w:rPr>
              <w:t>ASSETS</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3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78,087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106,237</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Accounts receivable, net</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81,715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78,938</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Inventory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12,971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16,267</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Prepaid expenses and other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22,669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20,860</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current assets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195,442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222,302</w:t>
            </w:r>
          </w:p>
        </w:tc>
        <w:tc>
          <w:tcPr>
            <w:tcW w:w="0" w:type="dxa"/>
            <w:vAlign w:val="bottom"/>
          </w:tcPr>
          <w:p>
            <w:pPr>
              <w:spacing w:after="0"/>
              <w:rPr>
                <w:sz w:val="1"/>
                <w:szCs w:val="1"/>
                <w:color w:val="auto"/>
              </w:rPr>
            </w:pPr>
          </w:p>
        </w:tc>
      </w:tr>
      <w:tr>
        <w:trPr>
          <w:trHeight w:val="211"/>
        </w:trPr>
        <w:tc>
          <w:tcPr>
            <w:tcW w:w="834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20,178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20,998</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 of use asset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7,963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834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34,124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35,306</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24,783</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36,762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36,548</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Total assets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319,252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339,937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960"/>
              <w:spacing w:after="0"/>
              <w:rPr>
                <w:sz w:val="20"/>
                <w:szCs w:val="20"/>
                <w:color w:val="auto"/>
              </w:rPr>
            </w:pPr>
            <w:r>
              <w:rPr>
                <w:rFonts w:ascii="Arial" w:cs="Arial" w:eastAsia="Arial" w:hAnsi="Arial"/>
                <w:sz w:val="11"/>
                <w:szCs w:val="11"/>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Accounts payable</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52,489</w:t>
            </w:r>
          </w:p>
        </w:tc>
        <w:tc>
          <w:tcPr>
            <w:tcW w:w="12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48,794</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Accrued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29,010</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Deferred revenues, current</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32,916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33,119</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Warranty obligations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8,083</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Debt, current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2,985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28,155</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current liabilities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128,746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147,161</w:t>
            </w:r>
          </w:p>
        </w:tc>
        <w:tc>
          <w:tcPr>
            <w:tcW w:w="0" w:type="dxa"/>
            <w:vAlign w:val="bottom"/>
          </w:tcPr>
          <w:p>
            <w:pPr>
              <w:spacing w:after="0"/>
              <w:rPr>
                <w:sz w:val="1"/>
                <w:szCs w:val="1"/>
                <w:color w:val="auto"/>
              </w:rPr>
            </w:pPr>
          </w:p>
        </w:tc>
      </w:tr>
      <w:tr>
        <w:trPr>
          <w:trHeight w:val="185"/>
        </w:trPr>
        <w:tc>
          <w:tcPr>
            <w:tcW w:w="8340" w:type="dxa"/>
            <w:vAlign w:val="bottom"/>
          </w:tcPr>
          <w:p>
            <w:pPr>
              <w:ind w:left="20"/>
              <w:spacing w:after="0"/>
              <w:rPr>
                <w:sz w:val="20"/>
                <w:szCs w:val="20"/>
                <w:color w:val="auto"/>
              </w:rPr>
            </w:pPr>
            <w:r>
              <w:rPr>
                <w:rFonts w:ascii="Arial" w:cs="Arial" w:eastAsia="Arial" w:hAnsi="Arial"/>
                <w:sz w:val="11"/>
                <w:szCs w:val="11"/>
                <w:color w:val="auto"/>
              </w:rPr>
              <w:t>Long-term liabilities: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Deferred revenues, noncurrent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78,393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76,911</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Warranty obligations, noncurrent</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23,117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23,211</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Other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3,250</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Debt, noncurrent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65,406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81,628</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305,128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332,161</w:t>
            </w:r>
          </w:p>
        </w:tc>
        <w:tc>
          <w:tcPr>
            <w:tcW w:w="0" w:type="dxa"/>
            <w:vAlign w:val="bottom"/>
          </w:tcPr>
          <w:p>
            <w:pPr>
              <w:spacing w:after="0"/>
              <w:rPr>
                <w:sz w:val="1"/>
                <w:szCs w:val="1"/>
                <w:color w:val="auto"/>
              </w:rPr>
            </w:pPr>
          </w:p>
        </w:tc>
      </w:tr>
      <w:tr>
        <w:trPr>
          <w:trHeight w:val="165"/>
        </w:trPr>
        <w:tc>
          <w:tcPr>
            <w:tcW w:w="8340" w:type="dxa"/>
            <w:vAlign w:val="bottom"/>
          </w:tcPr>
          <w:p>
            <w:pPr>
              <w:ind w:left="20"/>
              <w:spacing w:after="0"/>
              <w:rPr>
                <w:sz w:val="20"/>
                <w:szCs w:val="20"/>
                <w:color w:val="auto"/>
              </w:rPr>
            </w:pPr>
            <w:r>
              <w:rPr>
                <w:rFonts w:ascii="Arial" w:cs="Arial" w:eastAsia="Arial" w:hAnsi="Arial"/>
                <w:sz w:val="11"/>
                <w:szCs w:val="11"/>
                <w:color w:val="auto"/>
              </w:rPr>
              <w:t>Commitments and contingent liabilities (Note 9)</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Preferred stock, $0.00001 par value, 10,000 shares authorized; none issued and outstanding</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Common stock, $0.00001 par value, 150,000 shares and 150,000 shares authorized; and 110,211 shares and 107,035 shares issued and outstanding at</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3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March 31, 2019 and December 31, 2018, respectively</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1"/>
        </w:trPr>
        <w:tc>
          <w:tcPr>
            <w:tcW w:w="8340" w:type="dxa"/>
            <w:vAlign w:val="bottom"/>
          </w:tcPr>
          <w:p>
            <w:pPr>
              <w:ind w:left="300"/>
              <w:spacing w:after="0"/>
              <w:rPr>
                <w:sz w:val="20"/>
                <w:szCs w:val="20"/>
                <w:color w:val="auto"/>
              </w:rPr>
            </w:pPr>
            <w:r>
              <w:rPr>
                <w:rFonts w:ascii="Arial" w:cs="Arial" w:eastAsia="Arial" w:hAnsi="Arial"/>
                <w:sz w:val="11"/>
                <w:szCs w:val="11"/>
                <w:color w:val="auto"/>
              </w:rPr>
              <w:t>Additional paid-in capital</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357,023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color w:val="auto"/>
              </w:rPr>
              <w:t>353,335</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Accumulated deficit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(343,563)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(346,302)</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Accumulated other comprehensive income</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14,124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7,776</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319,252</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339,937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w:t>
      </w:r>
    </w:p>
    <w:p>
      <w:pPr>
        <w:sectPr>
          <w:pgSz w:w="11900" w:h="16838" w:orient="portrait"/>
          <w:cols w:equalWidth="0" w:num="1">
            <w:col w:w="11460"/>
          </w:cols>
          <w:pgMar w:left="220" w:top="254" w:right="219" w:bottom="1440" w:gutter="0" w:footer="0" w:header="0"/>
        </w:sectPr>
      </w:pPr>
    </w:p>
    <w:bookmarkStart w:id="3" w:name="page4"/>
    <w:bookmarkEnd w:id="3"/>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7"/>
              </w:rPr>
              <w:t>100,150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69,972</w:t>
            </w: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66,811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51,657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33,339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18,315</w:t>
            </w:r>
          </w:p>
        </w:tc>
        <w:tc>
          <w:tcPr>
            <w:tcW w:w="0" w:type="dxa"/>
            <w:vAlign w:val="bottom"/>
          </w:tcPr>
          <w:p>
            <w:pPr>
              <w:spacing w:after="0"/>
              <w:rPr>
                <w:sz w:val="1"/>
                <w:szCs w:val="1"/>
                <w:color w:val="auto"/>
              </w:rPr>
            </w:pPr>
          </w:p>
        </w:tc>
      </w:tr>
      <w:tr>
        <w:trPr>
          <w:trHeight w:val="198"/>
        </w:trPr>
        <w:tc>
          <w:tcPr>
            <w:tcW w:w="836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8,524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7,620</w:t>
            </w:r>
          </w:p>
        </w:tc>
        <w:tc>
          <w:tcPr>
            <w:tcW w:w="0" w:type="dxa"/>
            <w:vAlign w:val="bottom"/>
          </w:tcPr>
          <w:p>
            <w:pPr>
              <w:spacing w:after="0"/>
              <w:rPr>
                <w:sz w:val="1"/>
                <w:szCs w:val="1"/>
                <w:color w:val="auto"/>
              </w:rPr>
            </w:pPr>
          </w:p>
        </w:tc>
      </w:tr>
      <w:tr>
        <w:trPr>
          <w:trHeight w:val="208"/>
        </w:trPr>
        <w:tc>
          <w:tcPr>
            <w:tcW w:w="8360" w:type="dxa"/>
            <w:vAlign w:val="bottom"/>
          </w:tcPr>
          <w:p>
            <w:pPr>
              <w:ind w:left="300"/>
              <w:spacing w:after="0"/>
              <w:rPr>
                <w:sz w:val="20"/>
                <w:szCs w:val="20"/>
                <w:color w:val="auto"/>
              </w:rPr>
            </w:pPr>
            <w:r>
              <w:rPr>
                <w:rFonts w:ascii="Arial" w:cs="Arial" w:eastAsia="Arial" w:hAnsi="Arial"/>
                <w:sz w:val="13"/>
                <w:szCs w:val="13"/>
                <w:color w:val="auto"/>
              </w:rPr>
              <w:t>Sales and marketing</w:t>
            </w:r>
          </w:p>
        </w:tc>
        <w:tc>
          <w:tcPr>
            <w:tcW w:w="900" w:type="dxa"/>
            <w:vAlign w:val="bottom"/>
          </w:tcPr>
          <w:p>
            <w:pPr>
              <w:spacing w:after="0"/>
              <w:rPr>
                <w:sz w:val="18"/>
                <w:szCs w:val="18"/>
                <w:color w:val="auto"/>
              </w:rPr>
            </w:pP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7,433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6,227</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General and administrative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6,943</w:t>
            </w: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Restructuring charges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Total operating expenses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26,205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20,790</w:t>
            </w:r>
          </w:p>
        </w:tc>
        <w:tc>
          <w:tcPr>
            <w:tcW w:w="0" w:type="dxa"/>
            <w:vAlign w:val="bottom"/>
          </w:tcPr>
          <w:p>
            <w:pPr>
              <w:spacing w:after="0"/>
              <w:rPr>
                <w:sz w:val="1"/>
                <w:szCs w:val="1"/>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900" w:type="dxa"/>
            <w:vAlign w:val="bottom"/>
          </w:tcPr>
          <w:p>
            <w:pPr>
              <w:spacing w:after="0"/>
              <w:rPr>
                <w:sz w:val="17"/>
                <w:szCs w:val="17"/>
                <w:color w:val="auto"/>
              </w:rPr>
            </w:pP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7,134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(2,475)</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300"/>
              <w:spacing w:after="0"/>
              <w:rPr>
                <w:sz w:val="20"/>
                <w:szCs w:val="20"/>
                <w:color w:val="auto"/>
              </w:rPr>
            </w:pPr>
            <w:r>
              <w:rPr>
                <w:rFonts w:ascii="Arial" w:cs="Arial" w:eastAsia="Arial" w:hAnsi="Arial"/>
                <w:sz w:val="13"/>
                <w:szCs w:val="13"/>
                <w:color w:val="auto"/>
              </w:rPr>
              <w:t>Interest expense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(2,292)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expense</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560"/>
              <w:spacing w:after="0"/>
              <w:rPr>
                <w:sz w:val="20"/>
                <w:szCs w:val="20"/>
                <w:color w:val="auto"/>
              </w:rPr>
            </w:pPr>
            <w:r>
              <w:rPr>
                <w:rFonts w:ascii="Arial" w:cs="Arial" w:eastAsia="Arial" w:hAnsi="Arial"/>
                <w:sz w:val="13"/>
                <w:szCs w:val="13"/>
                <w:color w:val="auto"/>
              </w:rPr>
              <w:t>Total other expense, net</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(4,893)</w:t>
            </w: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2,765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(5,128)</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20"/>
              <w:spacing w:after="0"/>
              <w:rPr>
                <w:sz w:val="20"/>
                <w:szCs w:val="20"/>
                <w:color w:val="auto"/>
              </w:rPr>
            </w:pPr>
            <w:r>
              <w:rPr>
                <w:rFonts w:ascii="Arial" w:cs="Arial" w:eastAsia="Arial" w:hAnsi="Arial"/>
                <w:sz w:val="13"/>
                <w:szCs w:val="13"/>
                <w:color w:val="auto"/>
              </w:rPr>
              <w:t>Net income (loss) per share:</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3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Basic</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Diluted</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9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used in per share calculation:</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Basic</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97"/>
              </w:rPr>
              <w:t>108,195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91,422</w:t>
            </w:r>
          </w:p>
        </w:tc>
        <w:tc>
          <w:tcPr>
            <w:tcW w:w="0" w:type="dxa"/>
            <w:vAlign w:val="bottom"/>
          </w:tcPr>
          <w:p>
            <w:pPr>
              <w:spacing w:after="0"/>
              <w:rPr>
                <w:sz w:val="1"/>
                <w:szCs w:val="1"/>
                <w:color w:val="auto"/>
              </w:rPr>
            </w:pPr>
          </w:p>
        </w:tc>
      </w:tr>
      <w:tr>
        <w:trPr>
          <w:trHeight w:val="166"/>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Diluted</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97"/>
              </w:rPr>
              <w:t>115,863</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91,422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w:t>
      </w:r>
    </w:p>
    <w:p>
      <w:pPr>
        <w:sectPr>
          <w:pgSz w:w="11900" w:h="16838" w:orient="portrait"/>
          <w:cols w:equalWidth="0" w:num="1">
            <w:col w:w="11460"/>
          </w:cols>
          <w:pgMar w:left="220" w:top="254" w:right="219" w:bottom="1440" w:gutter="0" w:footer="0" w:header="0"/>
        </w:sectPr>
      </w:pPr>
    </w:p>
    <w:bookmarkStart w:id="4" w:name="page5"/>
    <w:bookmarkEnd w:id="4"/>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CONDENSED CONSOLIDATED STATEMENTS OF COMPREHENSIVE INCOME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(5,128)</w:t>
            </w:r>
          </w:p>
        </w:tc>
      </w:tr>
      <w:tr>
        <w:trPr>
          <w:trHeight w:val="178"/>
        </w:trPr>
        <w:tc>
          <w:tcPr>
            <w:tcW w:w="8360" w:type="dxa"/>
            <w:vAlign w:val="bottom"/>
          </w:tcPr>
          <w:p>
            <w:pPr>
              <w:ind w:left="20"/>
              <w:spacing w:after="0"/>
              <w:rPr>
                <w:sz w:val="20"/>
                <w:szCs w:val="20"/>
                <w:color w:val="auto"/>
              </w:rPr>
            </w:pPr>
            <w:r>
              <w:rPr>
                <w:rFonts w:ascii="Arial" w:cs="Arial" w:eastAsia="Arial" w:hAnsi="Arial"/>
                <w:sz w:val="13"/>
                <w:szCs w:val="13"/>
                <w:color w:val="auto"/>
              </w:rPr>
              <w:t>Other comprehensive (loss) income:</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7"/>
        </w:trPr>
        <w:tc>
          <w:tcPr>
            <w:tcW w:w="8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288</w:t>
            </w:r>
          </w:p>
        </w:tc>
      </w:tr>
      <w:tr>
        <w:trPr>
          <w:trHeight w:val="177"/>
        </w:trPr>
        <w:tc>
          <w:tcPr>
            <w:tcW w:w="836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2,686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(4,840)</w:t>
            </w: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3</w:t>
      </w:r>
    </w:p>
    <w:p>
      <w:pPr>
        <w:sectPr>
          <w:pgSz w:w="11900" w:h="16838" w:orient="portrait"/>
          <w:cols w:equalWidth="0" w:num="1">
            <w:col w:w="11460"/>
          </w:cols>
          <w:pgMar w:left="220" w:top="254" w:right="219" w:bottom="1440" w:gutter="0" w:footer="0" w:header="0"/>
        </w:sectPr>
      </w:pPr>
    </w:p>
    <w:bookmarkStart w:id="5" w:name="page6"/>
    <w:bookmarkEnd w:id="5"/>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CONDENSED CONSOLIDATED STATEMENTS OF STOCKHOLDER’S EQUITY (DEFICIT)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Borders>
              <w:bottom w:val="single" w:sz="8" w:color="CCEEFF"/>
            </w:tcBorders>
          </w:tcPr>
          <w:p>
            <w:pPr>
              <w:spacing w:after="0"/>
              <w:rPr>
                <w:sz w:val="13"/>
                <w:szCs w:val="13"/>
                <w:color w:val="auto"/>
              </w:rPr>
            </w:pPr>
          </w:p>
        </w:tc>
        <w:tc>
          <w:tcPr>
            <w:tcW w:w="7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211"/>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Common stock and paid-in capital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8"/>
        </w:trPr>
        <w:tc>
          <w:tcPr>
            <w:tcW w:w="8360" w:type="dxa"/>
            <w:vAlign w:val="bottom"/>
            <w:gridSpan w:val="2"/>
          </w:tcPr>
          <w:p>
            <w:pPr>
              <w:ind w:left="140"/>
              <w:spacing w:after="0"/>
              <w:rPr>
                <w:sz w:val="20"/>
                <w:szCs w:val="20"/>
                <w:color w:val="auto"/>
              </w:rPr>
            </w:pPr>
            <w:r>
              <w:rPr>
                <w:rFonts w:ascii="Arial" w:cs="Arial" w:eastAsia="Arial" w:hAnsi="Arial"/>
                <w:sz w:val="13"/>
                <w:szCs w:val="13"/>
                <w:color w:val="auto"/>
              </w:rPr>
              <w:t>Balance, beginning of period</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353,336</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287,257</w:t>
            </w:r>
          </w:p>
        </w:tc>
      </w:tr>
      <w:tr>
        <w:trPr>
          <w:trHeight w:val="223"/>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 xml:space="preserve">Cumulative-effect adjustment to additional paid in capital </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08"/>
        </w:trPr>
        <w:tc>
          <w:tcPr>
            <w:tcW w:w="8360" w:type="dxa"/>
            <w:vAlign w:val="bottom"/>
            <w:gridSpan w:val="2"/>
          </w:tcPr>
          <w:p>
            <w:pPr>
              <w:ind w:left="220"/>
              <w:spacing w:after="0"/>
              <w:rPr>
                <w:sz w:val="20"/>
                <w:szCs w:val="20"/>
                <w:color w:val="auto"/>
              </w:rPr>
            </w:pPr>
            <w:r>
              <w:rPr>
                <w:rFonts w:ascii="Arial" w:cs="Arial" w:eastAsia="Arial" w:hAnsi="Arial"/>
                <w:sz w:val="13"/>
                <w:szCs w:val="13"/>
                <w:color w:val="auto"/>
              </w:rPr>
              <w:t>Common stock issued under equity incentive and stock purchase plans, net</w:t>
            </w:r>
          </w:p>
        </w:tc>
        <w:tc>
          <w:tcPr>
            <w:tcW w:w="3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269</w:t>
            </w:r>
          </w:p>
        </w:tc>
      </w:tr>
      <w:tr>
        <w:trPr>
          <w:trHeight w:val="223"/>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Issuance of common stock, net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19,923</w:t>
            </w:r>
          </w:p>
        </w:tc>
      </w:tr>
      <w:tr>
        <w:trPr>
          <w:trHeight w:val="208"/>
        </w:trPr>
        <w:tc>
          <w:tcPr>
            <w:tcW w:w="8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Stock-based compensation expense and 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3,353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1,571</w:t>
            </w:r>
          </w:p>
        </w:tc>
      </w:tr>
      <w:tr>
        <w:trPr>
          <w:trHeight w:val="19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end of period</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357,024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309,020</w:t>
            </w:r>
          </w:p>
        </w:tc>
      </w:tr>
      <w:tr>
        <w:trPr>
          <w:trHeight w:val="96"/>
        </w:trPr>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Retained earnings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8"/>
        </w:trPr>
        <w:tc>
          <w:tcPr>
            <w:tcW w:w="8360" w:type="dxa"/>
            <w:vAlign w:val="bottom"/>
            <w:gridSpan w:val="2"/>
          </w:tcPr>
          <w:p>
            <w:pPr>
              <w:ind w:left="140"/>
              <w:spacing w:after="0"/>
              <w:rPr>
                <w:sz w:val="20"/>
                <w:szCs w:val="20"/>
                <w:color w:val="auto"/>
              </w:rPr>
            </w:pPr>
            <w:r>
              <w:rPr>
                <w:rFonts w:ascii="Arial" w:cs="Arial" w:eastAsia="Arial" w:hAnsi="Arial"/>
                <w:sz w:val="13"/>
                <w:szCs w:val="13"/>
                <w:color w:val="auto"/>
              </w:rPr>
              <w:t>Balance, beginning of period</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(346,302)</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(295,727)</w:t>
            </w:r>
          </w:p>
        </w:tc>
      </w:tr>
      <w:tr>
        <w:trPr>
          <w:trHeight w:val="223"/>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 xml:space="preserve">Cumulative-effect adjustment to accumulated deficit </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(38,948)</w:t>
            </w:r>
          </w:p>
        </w:tc>
      </w:tr>
      <w:tr>
        <w:trPr>
          <w:trHeight w:val="208"/>
        </w:trPr>
        <w:tc>
          <w:tcPr>
            <w:tcW w:w="8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Net income (loss)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2,765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(5,128)</w:t>
            </w:r>
          </w:p>
        </w:tc>
      </w:tr>
      <w:tr>
        <w:trPr>
          <w:trHeight w:val="19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end of period</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(343,563)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(339,803)</w:t>
            </w:r>
          </w:p>
        </w:tc>
      </w:tr>
      <w:tr>
        <w:trPr>
          <w:trHeight w:val="96"/>
        </w:trPr>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Accumulated other comprehensive income (loss)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8"/>
        </w:trPr>
        <w:tc>
          <w:tcPr>
            <w:tcW w:w="8360" w:type="dxa"/>
            <w:vAlign w:val="bottom"/>
            <w:gridSpan w:val="2"/>
          </w:tcPr>
          <w:p>
            <w:pPr>
              <w:ind w:left="140"/>
              <w:spacing w:after="0"/>
              <w:rPr>
                <w:sz w:val="20"/>
                <w:szCs w:val="20"/>
                <w:color w:val="auto"/>
              </w:rPr>
            </w:pPr>
            <w:r>
              <w:rPr>
                <w:rFonts w:ascii="Arial" w:cs="Arial" w:eastAsia="Arial" w:hAnsi="Arial"/>
                <w:sz w:val="13"/>
                <w:szCs w:val="13"/>
                <w:color w:val="auto"/>
              </w:rPr>
              <w:t>Balance, beginning of period</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742</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(656)</w:t>
            </w:r>
          </w:p>
        </w:tc>
      </w:tr>
      <w:tr>
        <w:trPr>
          <w:trHeight w:val="216"/>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Foreign currency translation adjustments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288</w:t>
            </w:r>
          </w:p>
        </w:tc>
      </w:tr>
      <w:tr>
        <w:trPr>
          <w:trHeight w:val="196"/>
        </w:trPr>
        <w:tc>
          <w:tcPr>
            <w:tcW w:w="8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Balance, end of period</w:t>
            </w: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663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w:t>
            </w:r>
          </w:p>
        </w:tc>
      </w:tr>
      <w:tr>
        <w:trPr>
          <w:trHeight w:val="19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stockholders’ equity, ending balance</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14,124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(31,151)</w:t>
            </w: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
        </w:trPr>
        <w:tc>
          <w:tcPr>
            <w:tcW w:w="1160" w:type="dxa"/>
            <w:vAlign w:val="bottom"/>
            <w:tcBorders>
              <w:bottom w:val="single" w:sz="8" w:color="auto"/>
            </w:tcBorders>
          </w:tcPr>
          <w:p>
            <w:pPr>
              <w:spacing w:after="0"/>
              <w:rPr>
                <w:sz w:val="7"/>
                <w:szCs w:val="7"/>
                <w:color w:val="auto"/>
              </w:rPr>
            </w:pPr>
          </w:p>
        </w:tc>
        <w:tc>
          <w:tcPr>
            <w:tcW w:w="7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98" w:lineRule="exact"/>
        <w:rPr>
          <w:sz w:val="20"/>
          <w:szCs w:val="20"/>
          <w:color w:val="auto"/>
        </w:rPr>
      </w:pPr>
    </w:p>
    <w:p>
      <w:pPr>
        <w:ind w:left="400" w:right="560" w:hanging="394"/>
        <w:spacing w:after="0" w:line="251"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the adoption of Accounting Standards Update (“ASU”) 2018-07, “Compensation - Stock Compensation: Improvements to Non-employee Share-Based Payment Accounting” on January 1, 2019 and the adoption of Accounting Standards Codification (“ASC”) No. 606, “Revenue Recognition” on January 1, 2018.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4</w:t>
      </w:r>
    </w:p>
    <w:p>
      <w:pPr>
        <w:sectPr>
          <w:pgSz w:w="11900" w:h="16838" w:orient="portrait"/>
          <w:cols w:equalWidth="0" w:num="1">
            <w:col w:w="11460"/>
          </w:cols>
          <w:pgMar w:left="220" w:top="254" w:right="219" w:bottom="1440" w:gutter="0" w:footer="0" w:header="0"/>
        </w:sectPr>
      </w:pPr>
    </w:p>
    <w:bookmarkStart w:id="6" w:name="page7"/>
    <w:bookmarkEnd w:id="6"/>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8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55"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920" w:type="dxa"/>
            <w:vAlign w:val="bottom"/>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2,765</w:t>
            </w:r>
          </w:p>
        </w:tc>
        <w:tc>
          <w:tcPr>
            <w:tcW w:w="1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(5,128)</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3,572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2,276</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Provision for doubtful accounts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600</w:t>
            </w:r>
          </w:p>
        </w:tc>
        <w:tc>
          <w:tcPr>
            <w:tcW w:w="0" w:type="dxa"/>
            <w:vAlign w:val="bottom"/>
          </w:tcPr>
          <w:p>
            <w:pPr>
              <w:spacing w:after="0"/>
              <w:rPr>
                <w:sz w:val="1"/>
                <w:szCs w:val="1"/>
                <w:color w:val="auto"/>
              </w:rPr>
            </w:pP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Amortization of debt issuance costs</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1,490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537</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Financing fees on extinguishment of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8360" w:type="dxa"/>
            <w:vAlign w:val="bottom"/>
          </w:tcPr>
          <w:p>
            <w:pPr>
              <w:ind w:left="220"/>
              <w:spacing w:after="0"/>
              <w:rPr>
                <w:sz w:val="20"/>
                <w:szCs w:val="20"/>
                <w:color w:val="auto"/>
              </w:rPr>
            </w:pPr>
            <w:r>
              <w:rPr>
                <w:rFonts w:ascii="Arial" w:cs="Arial" w:eastAsia="Arial" w:hAnsi="Arial"/>
                <w:sz w:val="11"/>
                <w:szCs w:val="11"/>
                <w:color w:val="auto"/>
              </w:rPr>
              <w:t>Stock-based compensation</w:t>
            </w:r>
          </w:p>
        </w:tc>
        <w:tc>
          <w:tcPr>
            <w:tcW w:w="920" w:type="dxa"/>
            <w:vAlign w:val="bottom"/>
          </w:tcPr>
          <w:p>
            <w:pPr>
              <w:spacing w:after="0"/>
              <w:rPr>
                <w:sz w:val="18"/>
                <w:szCs w:val="18"/>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3,290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1,571</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300"/>
              <w:spacing w:after="0"/>
              <w:rPr>
                <w:sz w:val="20"/>
                <w:szCs w:val="20"/>
                <w:color w:val="auto"/>
              </w:rPr>
            </w:pPr>
            <w:r>
              <w:rPr>
                <w:rFonts w:ascii="Arial" w:cs="Arial" w:eastAsia="Arial" w:hAnsi="Arial"/>
                <w:sz w:val="11"/>
                <w:szCs w:val="11"/>
                <w:color w:val="auto"/>
              </w:rPr>
              <w:t>Accounts receivable</w:t>
            </w:r>
          </w:p>
        </w:tc>
        <w:tc>
          <w:tcPr>
            <w:tcW w:w="9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(3,266)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9,125</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Inventory</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7,457</w:t>
            </w:r>
          </w:p>
        </w:tc>
        <w:tc>
          <w:tcPr>
            <w:tcW w:w="0" w:type="dxa"/>
            <w:vAlign w:val="bottom"/>
          </w:tcPr>
          <w:p>
            <w:pPr>
              <w:spacing w:after="0"/>
              <w:rPr>
                <w:sz w:val="1"/>
                <w:szCs w:val="1"/>
                <w:color w:val="auto"/>
              </w:rPr>
            </w:pPr>
          </w:p>
        </w:tc>
      </w:tr>
      <w:tr>
        <w:trPr>
          <w:trHeight w:val="211"/>
        </w:trPr>
        <w:tc>
          <w:tcPr>
            <w:tcW w:w="8360" w:type="dxa"/>
            <w:vAlign w:val="bottom"/>
          </w:tcPr>
          <w:p>
            <w:pPr>
              <w:ind w:left="300"/>
              <w:spacing w:after="0"/>
              <w:rPr>
                <w:sz w:val="20"/>
                <w:szCs w:val="20"/>
                <w:color w:val="auto"/>
              </w:rPr>
            </w:pPr>
            <w:r>
              <w:rPr>
                <w:rFonts w:ascii="Arial" w:cs="Arial" w:eastAsia="Arial" w:hAnsi="Arial"/>
                <w:sz w:val="11"/>
                <w:szCs w:val="11"/>
                <w:color w:val="auto"/>
              </w:rPr>
              <w:t>Prepaid expenses and other assets</w:t>
            </w:r>
          </w:p>
        </w:tc>
        <w:tc>
          <w:tcPr>
            <w:tcW w:w="9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(2,413)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(1,039)</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Accounts payable, accrued and other liabilities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4,851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(11,667)</w:t>
            </w:r>
          </w:p>
        </w:tc>
        <w:tc>
          <w:tcPr>
            <w:tcW w:w="0" w:type="dxa"/>
            <w:vAlign w:val="bottom"/>
          </w:tcPr>
          <w:p>
            <w:pPr>
              <w:spacing w:after="0"/>
              <w:rPr>
                <w:sz w:val="1"/>
                <w:szCs w:val="1"/>
                <w:color w:val="auto"/>
              </w:rPr>
            </w:pPr>
          </w:p>
        </w:tc>
      </w:tr>
      <w:tr>
        <w:trPr>
          <w:trHeight w:val="211"/>
        </w:trPr>
        <w:tc>
          <w:tcPr>
            <w:tcW w:w="8360" w:type="dxa"/>
            <w:vAlign w:val="bottom"/>
          </w:tcPr>
          <w:p>
            <w:pPr>
              <w:ind w:left="300"/>
              <w:spacing w:after="0"/>
              <w:rPr>
                <w:sz w:val="20"/>
                <w:szCs w:val="20"/>
                <w:color w:val="auto"/>
              </w:rPr>
            </w:pPr>
            <w:r>
              <w:rPr>
                <w:rFonts w:ascii="Arial" w:cs="Arial" w:eastAsia="Arial" w:hAnsi="Arial"/>
                <w:sz w:val="11"/>
                <w:szCs w:val="11"/>
                <w:color w:val="auto"/>
              </w:rPr>
              <w:t>Warranty obligations</w:t>
            </w:r>
          </w:p>
        </w:tc>
        <w:tc>
          <w:tcPr>
            <w:tcW w:w="9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809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Deferred revenues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1,578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(1,180)</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80"/>
              <w:spacing w:after="0"/>
              <w:rPr>
                <w:sz w:val="20"/>
                <w:szCs w:val="20"/>
                <w:color w:val="auto"/>
              </w:rPr>
            </w:pPr>
            <w:r>
              <w:rPr>
                <w:rFonts w:ascii="Arial" w:cs="Arial" w:eastAsia="Arial" w:hAnsi="Arial"/>
                <w:sz w:val="11"/>
                <w:szCs w:val="11"/>
                <w:color w:val="auto"/>
              </w:rPr>
              <w:t>Net cash provided by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17,063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3,361</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Purchases of property and equipment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(658)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(1,043)</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Net cash used in investing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(658)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(1,043)</w:t>
            </w:r>
          </w:p>
        </w:tc>
        <w:tc>
          <w:tcPr>
            <w:tcW w:w="0" w:type="dxa"/>
            <w:vAlign w:val="bottom"/>
          </w:tcPr>
          <w:p>
            <w:pPr>
              <w:spacing w:after="0"/>
              <w:rPr>
                <w:sz w:val="1"/>
                <w:szCs w:val="1"/>
                <w:color w:val="auto"/>
              </w:rPr>
            </w:pPr>
          </w:p>
        </w:tc>
      </w:tr>
      <w:tr>
        <w:trPr>
          <w:trHeight w:val="202"/>
        </w:trPr>
        <w:tc>
          <w:tcPr>
            <w:tcW w:w="836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issuance of common stock, net of issuance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19,923</w:t>
            </w:r>
          </w:p>
        </w:tc>
        <w:tc>
          <w:tcPr>
            <w:tcW w:w="0" w:type="dxa"/>
            <w:vAlign w:val="bottom"/>
          </w:tcPr>
          <w:p>
            <w:pPr>
              <w:spacing w:after="0"/>
              <w:rPr>
                <w:sz w:val="1"/>
                <w:szCs w:val="1"/>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Proceeds from debt, net of issuance costs</w:t>
            </w:r>
          </w:p>
        </w:tc>
        <w:tc>
          <w:tcPr>
            <w:tcW w:w="9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2,309</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Principal payments and financing fees on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(44,731)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(771)</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Proceeds from issuance of common stock under employee stock plans, net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309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cash provided by (used in)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(44,422)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21,730</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Effect of exchange rate changes on cash</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(decrease) in cash and cash equivalents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(28,150)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24,111</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equivalents—Beginning of period</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106,237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29,144</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equivalents—End of period</w:t>
            </w:r>
          </w:p>
        </w:tc>
        <w:tc>
          <w:tcPr>
            <w:tcW w:w="92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78,087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53,255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20"/>
              <w:spacing w:after="0"/>
              <w:rPr>
                <w:sz w:val="20"/>
                <w:szCs w:val="20"/>
                <w:color w:val="auto"/>
              </w:rPr>
            </w:pPr>
            <w:r>
              <w:rPr>
                <w:rFonts w:ascii="Arial" w:cs="Arial" w:eastAsia="Arial" w:hAnsi="Arial"/>
                <w:sz w:val="11"/>
                <w:szCs w:val="11"/>
                <w:color w:val="auto"/>
              </w:rPr>
              <w:t>Supplemental disclosures of non-cash investing and financing activities: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Purchases of fixed assets included in accounts payable</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206"/>
        </w:trPr>
        <w:tc>
          <w:tcPr>
            <w:tcW w:w="8360" w:type="dxa"/>
            <w:vAlign w:val="bottom"/>
          </w:tcPr>
          <w:p>
            <w:pPr>
              <w:ind w:left="140"/>
              <w:spacing w:after="0"/>
              <w:rPr>
                <w:sz w:val="20"/>
                <w:szCs w:val="20"/>
                <w:color w:val="auto"/>
              </w:rPr>
            </w:pPr>
            <w:r>
              <w:rPr>
                <w:rFonts w:ascii="Arial" w:cs="Arial" w:eastAsia="Arial" w:hAnsi="Arial"/>
                <w:sz w:val="11"/>
                <w:szCs w:val="11"/>
                <w:color w:val="auto"/>
              </w:rPr>
              <w:t>Operating lease, right of use asset</w:t>
            </w:r>
          </w:p>
        </w:tc>
        <w:tc>
          <w:tcPr>
            <w:tcW w:w="920" w:type="dxa"/>
            <w:vAlign w:val="bottom"/>
          </w:tcPr>
          <w:p>
            <w:pPr>
              <w:jc w:val="right"/>
              <w:ind w:right="76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8,392</w:t>
            </w:r>
          </w:p>
        </w:tc>
        <w:tc>
          <w:tcPr>
            <w:tcW w:w="12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194945</wp:posOffset>
            </wp:positionV>
            <wp:extent cx="70897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5</w:t>
      </w:r>
    </w:p>
    <w:p>
      <w:pPr>
        <w:sectPr>
          <w:pgSz w:w="11900" w:h="16838" w:orient="portrait"/>
          <w:cols w:equalWidth="0" w:num="1">
            <w:col w:w="11460"/>
          </w:cols>
          <w:pgMar w:left="220" w:top="254" w:right="219" w:bottom="1440" w:gutter="0" w:footer="0" w:header="0"/>
        </w:sectPr>
      </w:pPr>
    </w:p>
    <w:bookmarkStart w:id="7" w:name="page8"/>
    <w:bookmarkEnd w:id="7"/>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ENPHASE ENERGY, INC.</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9" w:lineRule="exact"/>
        <w:rPr>
          <w:sz w:val="20"/>
          <w:szCs w:val="20"/>
          <w:color w:val="auto"/>
        </w:rPr>
      </w:pPr>
    </w:p>
    <w:p>
      <w:pPr>
        <w:ind w:left="400" w:hanging="394"/>
        <w:spacing w:after="0"/>
        <w:tabs>
          <w:tab w:leader="none" w:pos="40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200" w:lineRule="exact"/>
        <w:rPr>
          <w:sz w:val="20"/>
          <w:szCs w:val="20"/>
          <w:color w:val="auto"/>
        </w:rPr>
      </w:pPr>
    </w:p>
    <w:p>
      <w:pPr>
        <w:ind w:firstLine="388"/>
        <w:spacing w:after="0" w:line="273" w:lineRule="auto"/>
        <w:rPr>
          <w:sz w:val="20"/>
          <w:szCs w:val="20"/>
          <w:color w:val="auto"/>
        </w:rPr>
      </w:pPr>
      <w:r>
        <w:rPr>
          <w:rFonts w:ascii="Arial" w:cs="Arial" w:eastAsia="Arial" w:hAnsi="Arial"/>
          <w:sz w:val="14"/>
          <w:szCs w:val="14"/>
          <w:color w:val="auto"/>
        </w:rPr>
        <w:t>Enphase Energy, Inc. (the “Company”) is a global energy technology company. The Company delivers smart, easy-to-use solutions that connect solar generation, storage and management on one intelligent platform. The Company revolutionized solar with its microinverter technology and produces a fully-integrated solar plus storage solution.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Basis of Presentation and Consolidation</w:t>
      </w:r>
    </w:p>
    <w:p>
      <w:pPr>
        <w:spacing w:after="0" w:line="200" w:lineRule="exact"/>
        <w:rPr>
          <w:sz w:val="20"/>
          <w:szCs w:val="20"/>
          <w:color w:val="auto"/>
        </w:rPr>
      </w:pPr>
    </w:p>
    <w:p>
      <w:pPr>
        <w:ind w:right="60" w:firstLine="388"/>
        <w:spacing w:after="0" w:line="261" w:lineRule="auto"/>
        <w:rPr>
          <w:sz w:val="20"/>
          <w:szCs w:val="20"/>
          <w:color w:val="auto"/>
        </w:rPr>
      </w:pPr>
      <w:r>
        <w:rPr>
          <w:rFonts w:ascii="Arial" w:cs="Arial" w:eastAsia="Arial" w:hAnsi="Arial"/>
          <w:sz w:val="14"/>
          <w:szCs w:val="14"/>
          <w:color w:val="auto"/>
        </w:rPr>
        <w:t>The accompanying condensed consolidated financial statements are presented in accordance with accounting principles generally accepted in the United States (“U.S”), or GAAP. The condensed consolidated financial statements include the accounts of the Company and its wholly owned subsidiaries. All intercompany balances and transactions have been eliminated in consolidation. The year-end condensed consolidated balance sheet data was derived from audited financial statements but does not include all disclosures required by accounting principles generally accepted in the U.S. The Company filed audited consolidated financial statements, which included all information and notes necessary for such a complete presentation in conjunction with its 2018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Interim Financial Information</w:t>
      </w:r>
    </w:p>
    <w:p>
      <w:pPr>
        <w:spacing w:after="0" w:line="200" w:lineRule="exact"/>
        <w:rPr>
          <w:sz w:val="20"/>
          <w:szCs w:val="20"/>
          <w:color w:val="auto"/>
        </w:rPr>
      </w:pPr>
    </w:p>
    <w:p>
      <w:pPr>
        <w:ind w:right="180" w:firstLine="388"/>
        <w:spacing w:after="0" w:line="262" w:lineRule="auto"/>
        <w:rPr>
          <w:sz w:val="20"/>
          <w:szCs w:val="20"/>
          <w:color w:val="auto"/>
        </w:rPr>
      </w:pPr>
      <w:r>
        <w:rPr>
          <w:rFonts w:ascii="Arial" w:cs="Arial" w:eastAsia="Arial" w:hAnsi="Arial"/>
          <w:sz w:val="14"/>
          <w:szCs w:val="14"/>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months ended March 31, 2019 are not necessarily indicative of the operating results for the full year.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0" w:lineRule="exact"/>
        <w:rPr>
          <w:sz w:val="20"/>
          <w:szCs w:val="20"/>
          <w:color w:val="auto"/>
        </w:rPr>
      </w:pPr>
    </w:p>
    <w:p>
      <w:pPr>
        <w:ind w:right="100" w:firstLine="388"/>
        <w:spacing w:after="0" w:line="261"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6</w:t>
      </w:r>
    </w:p>
    <w:p>
      <w:pPr>
        <w:sectPr>
          <w:pgSz w:w="11900" w:h="16838" w:orient="portrait"/>
          <w:cols w:equalWidth="0" w:num="1">
            <w:col w:w="11440"/>
          </w:cols>
          <w:pgMar w:left="220" w:top="254"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200" w:lineRule="exact"/>
        <w:rPr>
          <w:sz w:val="20"/>
          <w:szCs w:val="20"/>
          <w:color w:val="auto"/>
        </w:rPr>
      </w:pPr>
    </w:p>
    <w:p>
      <w:pPr>
        <w:ind w:right="20" w:firstLine="388"/>
        <w:spacing w:after="0" w:line="258" w:lineRule="auto"/>
        <w:rPr>
          <w:sz w:val="20"/>
          <w:szCs w:val="20"/>
          <w:color w:val="auto"/>
        </w:rPr>
      </w:pPr>
      <w:r>
        <w:rPr>
          <w:rFonts w:ascii="Arial" w:cs="Arial" w:eastAsia="Arial" w:hAnsi="Arial"/>
          <w:sz w:val="14"/>
          <w:szCs w:val="14"/>
          <w:color w:val="auto"/>
        </w:rPr>
        <w:t>In February 2016, the Financial Accounting Standards Board (“FASB”) issued Accounting Standards Update (“ASU”) 2016-02, “Leases (Topic 842).” ASU 2016-02 requires an entity to recognize a right-of-use asset and lease liability for all leases with terms of more than 12 months. The guidance requires lessees to recognize all leases, with certain exceptions, on their balance sheets, whether operating or financing, while continuing to recognize the expenses on their income statements in a manner similar to current practice. The guidance states that a lessee must recognize a lease liability for the obligation to make lease payments and a right-to-use asset for the right to use the underlying asset for the lease term. On January 1, 2019, the Company adopted ASU 2016-02 using the modified retrospective transition option of applying the new standard at the adoption date for all leases with terms greater than 12 months. The Company elected certain practical expedients upon adoption and as such did not reassess the following: 1) whether any expired or existing contracts are or contain leases; 2) lease classification for any expired or existing leases; 3) initial direct costs for any expired or existing leases; 4) whether existing or expired land easements are or contain leases; and 5) regarding the lease term, from a hindsight perspective, whether or not the Company is reasonably certain to exercise the lease options. However, the Company will evaluate new or modified land easements under the new guidance after the commencement date. The Company also elected the practical expedient to not separate lease and non-lease components. The adoption of ASU 2016-02 on January 1, 2019 resulted in an increase in operating leases, right of use asset of $8.4 million, an increase in other liabilities of $6.8 million, an increase in accrued liabilities and other of $1.5 million and a decrease in other assets of $0.1 million on the Company’s consolidated balance sheets with no impact on the Company’s consolidated statements of operations.</w:t>
      </w:r>
    </w:p>
    <w:p>
      <w:pPr>
        <w:spacing w:after="0" w:line="165" w:lineRule="exact"/>
        <w:rPr>
          <w:sz w:val="20"/>
          <w:szCs w:val="20"/>
          <w:color w:val="auto"/>
        </w:rPr>
      </w:pPr>
    </w:p>
    <w:p>
      <w:pPr>
        <w:ind w:right="40" w:firstLine="388"/>
        <w:spacing w:after="0" w:line="261" w:lineRule="auto"/>
        <w:rPr>
          <w:sz w:val="20"/>
          <w:szCs w:val="20"/>
          <w:color w:val="auto"/>
        </w:rPr>
      </w:pPr>
      <w:r>
        <w:rPr>
          <w:rFonts w:ascii="Arial" w:cs="Arial" w:eastAsia="Arial" w:hAnsi="Arial"/>
          <w:sz w:val="14"/>
          <w:szCs w:val="14"/>
          <w:color w:val="auto"/>
        </w:rPr>
        <w:t>In June 2018, the FASB issued ASU 2018-07, “Compensation - Stock Compensation: Improvements to Non-employee Share-Based Payment Accounting.” ASU 2018-07 was issued to provide to provide guidance on share-based payments granted to non-employees in exchange for goods or services used or consumed in an entity’s own operations and supersedes the guidance in ASC 505-50, “Equity-Based Payments to Non-Employees.” ASU 2018-07 aligns much of the guidance on measuring and classifying non-employee awards with that of awards to employees. The Company adopted ASU 2018-07 on January 1, 2019 a modified retrospective basis. The adopted standard did not have a material impact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 Not Yet Effective</w:t>
      </w:r>
    </w:p>
    <w:p>
      <w:pPr>
        <w:spacing w:after="0" w:line="200" w:lineRule="exact"/>
        <w:rPr>
          <w:sz w:val="20"/>
          <w:szCs w:val="20"/>
          <w:color w:val="auto"/>
        </w:rPr>
      </w:pPr>
    </w:p>
    <w:p>
      <w:pPr>
        <w:ind w:firstLine="388"/>
        <w:spacing w:after="0" w:line="259" w:lineRule="auto"/>
        <w:rPr>
          <w:sz w:val="20"/>
          <w:szCs w:val="20"/>
          <w:color w:val="auto"/>
        </w:rPr>
      </w:pPr>
      <w:r>
        <w:rPr>
          <w:rFonts w:ascii="Arial" w:cs="Arial" w:eastAsia="Arial" w:hAnsi="Arial"/>
          <w:sz w:val="14"/>
          <w:szCs w:val="14"/>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is currently evaluating the impact this update will have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240665</wp:posOffset>
            </wp:positionV>
            <wp:extent cx="70897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7</w:t>
      </w:r>
    </w:p>
    <w:p>
      <w:pPr>
        <w:sectPr>
          <w:pgSz w:w="11900" w:h="16838" w:orient="portrait"/>
          <w:cols w:equalWidth="0" w:num="1">
            <w:col w:w="11460"/>
          </w:cols>
          <w:pgMar w:left="220" w:top="211" w:right="21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Disaggregated Revenue</w:t>
      </w:r>
    </w:p>
    <w:p>
      <w:pPr>
        <w:spacing w:after="0" w:line="202" w:lineRule="exact"/>
        <w:rPr>
          <w:sz w:val="20"/>
          <w:szCs w:val="20"/>
          <w:color w:val="auto"/>
        </w:rPr>
      </w:pPr>
    </w:p>
    <w:p>
      <w:pPr>
        <w:ind w:right="600" w:firstLine="388"/>
        <w:spacing w:after="0" w:line="273" w:lineRule="auto"/>
        <w:rPr>
          <w:sz w:val="20"/>
          <w:szCs w:val="20"/>
          <w:color w:val="auto"/>
        </w:rPr>
      </w:pPr>
      <w:r>
        <w:rPr>
          <w:rFonts w:ascii="Arial" w:cs="Arial" w:eastAsia="Arial" w:hAnsi="Arial"/>
          <w:sz w:val="14"/>
          <w:szCs w:val="14"/>
          <w:color w:val="auto"/>
        </w:rPr>
        <w:t>The Company has one business activity, which is the design, manufacture and sale of solutions for the solar photovoltaic (“PV”) industry. The following table provides information about disaggregated revenue by primary geographical market and timing of revenue recognition for the Company’s single product line:</w:t>
      </w:r>
    </w:p>
    <w:p>
      <w:pPr>
        <w:spacing w:after="0" w:line="98"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Primary geographical markets: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90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77,686</w:t>
            </w:r>
          </w:p>
        </w:tc>
        <w:tc>
          <w:tcPr>
            <w:tcW w:w="120" w:type="dxa"/>
            <w:vAlign w:val="bottom"/>
          </w:tcPr>
          <w:p>
            <w:pPr>
              <w:spacing w:after="0"/>
              <w:rPr>
                <w:sz w:val="18"/>
                <w:szCs w:val="18"/>
                <w:color w:val="auto"/>
              </w:rPr>
            </w:pPr>
          </w:p>
        </w:tc>
        <w:tc>
          <w:tcPr>
            <w:tcW w:w="4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43,130</w:t>
            </w:r>
          </w:p>
        </w:tc>
      </w:tr>
      <w:tr>
        <w:trPr>
          <w:trHeight w:val="216"/>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22,464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26,842</w:t>
            </w:r>
          </w:p>
        </w:tc>
      </w:tr>
      <w:tr>
        <w:trPr>
          <w:trHeight w:val="230"/>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97"/>
              </w:rPr>
              <w:t>100,150</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69,972</w:t>
            </w:r>
          </w:p>
        </w:tc>
      </w:tr>
      <w:tr>
        <w:trPr>
          <w:trHeight w:val="147"/>
        </w:trPr>
        <w:tc>
          <w:tcPr>
            <w:tcW w:w="8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Timing of revenue recognition:</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Products delivered at a point in time</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90,400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59,371</w:t>
            </w:r>
          </w:p>
        </w:tc>
      </w:tr>
      <w:tr>
        <w:trPr>
          <w:trHeight w:val="20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Products and services delivered over time</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9,750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10,601</w:t>
            </w: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7"/>
              </w:rPr>
              <w:t>100,150</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69,972</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Receivables, and contract assets and contract liabilities from contracts with customers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458"/>
              <w:spacing w:after="0"/>
              <w:rPr>
                <w:sz w:val="20"/>
                <w:szCs w:val="20"/>
                <w:color w:val="auto"/>
              </w:rPr>
            </w:pPr>
            <w:r>
              <w:rPr>
                <w:rFonts w:ascii="Arial" w:cs="Arial" w:eastAsia="Arial" w:hAnsi="Arial"/>
                <w:sz w:val="11"/>
                <w:szCs w:val="11"/>
                <w:b w:val="1"/>
                <w:bCs w:val="1"/>
                <w:color w:val="auto"/>
              </w:rPr>
              <w:t>March 31,</w:t>
            </w:r>
          </w:p>
        </w:tc>
        <w:tc>
          <w:tcPr>
            <w:tcW w:w="440" w:type="dxa"/>
            <w:vAlign w:val="bottom"/>
          </w:tcPr>
          <w:p>
            <w:pPr>
              <w:spacing w:after="0"/>
              <w:rPr>
                <w:sz w:val="11"/>
                <w:szCs w:val="11"/>
                <w:color w:val="auto"/>
              </w:rPr>
            </w:pPr>
          </w:p>
        </w:tc>
        <w:tc>
          <w:tcPr>
            <w:tcW w:w="1140" w:type="dxa"/>
            <w:vAlign w:val="bottom"/>
          </w:tcPr>
          <w:p>
            <w:pPr>
              <w:jc w:val="right"/>
              <w:ind w:right="317"/>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8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81,715</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78,938</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Short-term contract assets (Prepaid expenses and other assets)</w:t>
            </w:r>
          </w:p>
        </w:tc>
        <w:tc>
          <w:tcPr>
            <w:tcW w:w="280" w:type="dxa"/>
            <w:vAlign w:val="bottom"/>
          </w:tcPr>
          <w:p>
            <w:pPr>
              <w:spacing w:after="0"/>
              <w:rPr>
                <w:sz w:val="18"/>
                <w:szCs w:val="18"/>
                <w:color w:val="auto"/>
              </w:rPr>
            </w:pPr>
          </w:p>
        </w:tc>
        <w:tc>
          <w:tcPr>
            <w:tcW w:w="1240" w:type="dxa"/>
            <w:vAlign w:val="bottom"/>
          </w:tcPr>
          <w:p>
            <w:pPr>
              <w:jc w:val="right"/>
              <w:ind w:right="78"/>
              <w:spacing w:after="0"/>
              <w:rPr>
                <w:sz w:val="20"/>
                <w:szCs w:val="20"/>
                <w:color w:val="auto"/>
              </w:rPr>
            </w:pPr>
            <w:r>
              <w:rPr>
                <w:rFonts w:ascii="Arial" w:cs="Arial" w:eastAsia="Arial" w:hAnsi="Arial"/>
                <w:sz w:val="13"/>
                <w:szCs w:val="13"/>
                <w:color w:val="auto"/>
              </w:rPr>
              <w:t>13,595</w:t>
            </w:r>
          </w:p>
        </w:tc>
        <w:tc>
          <w:tcPr>
            <w:tcW w:w="4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13,516</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contract assets (Other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34,683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34,148</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Short-term contract liabilities (Deferred revenues)</w:t>
            </w:r>
          </w:p>
        </w:tc>
        <w:tc>
          <w:tcPr>
            <w:tcW w:w="280" w:type="dxa"/>
            <w:vAlign w:val="bottom"/>
          </w:tcPr>
          <w:p>
            <w:pPr>
              <w:spacing w:after="0"/>
              <w:rPr>
                <w:sz w:val="18"/>
                <w:szCs w:val="18"/>
                <w:color w:val="auto"/>
              </w:rPr>
            </w:pPr>
          </w:p>
        </w:tc>
        <w:tc>
          <w:tcPr>
            <w:tcW w:w="1240" w:type="dxa"/>
            <w:vAlign w:val="bottom"/>
          </w:tcPr>
          <w:p>
            <w:pPr>
              <w:jc w:val="right"/>
              <w:ind w:right="78"/>
              <w:spacing w:after="0"/>
              <w:rPr>
                <w:sz w:val="20"/>
                <w:szCs w:val="20"/>
                <w:color w:val="auto"/>
              </w:rPr>
            </w:pPr>
            <w:r>
              <w:rPr>
                <w:rFonts w:ascii="Arial" w:cs="Arial" w:eastAsia="Arial" w:hAnsi="Arial"/>
                <w:sz w:val="13"/>
                <w:szCs w:val="13"/>
                <w:color w:val="auto"/>
              </w:rPr>
              <w:t>32,916</w:t>
            </w:r>
          </w:p>
        </w:tc>
        <w:tc>
          <w:tcPr>
            <w:tcW w:w="4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33,119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contract liabilities (Deferred revenues)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78,393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76,911</w:t>
            </w:r>
          </w:p>
        </w:tc>
      </w:tr>
    </w:tbl>
    <w:p>
      <w:pPr>
        <w:spacing w:after="0" w:line="344" w:lineRule="exact"/>
        <w:rPr>
          <w:sz w:val="20"/>
          <w:szCs w:val="20"/>
          <w:color w:val="auto"/>
        </w:rPr>
      </w:pPr>
    </w:p>
    <w:p>
      <w:pPr>
        <w:ind w:right="100" w:firstLine="388"/>
        <w:spacing w:after="0" w:line="261"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three months ended March 31, 2019. 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159" w:lineRule="exact"/>
        <w:rPr>
          <w:sz w:val="20"/>
          <w:szCs w:val="20"/>
          <w:color w:val="auto"/>
        </w:rPr>
      </w:pPr>
    </w:p>
    <w:p>
      <w:pPr>
        <w:ind w:right="320" w:firstLine="388"/>
        <w:spacing w:after="0" w:line="273" w:lineRule="auto"/>
        <w:rPr>
          <w:sz w:val="20"/>
          <w:szCs w:val="20"/>
          <w:color w:val="auto"/>
        </w:rPr>
      </w:pPr>
      <w:r>
        <w:rPr>
          <w:rFonts w:ascii="Arial" w:cs="Arial" w:eastAsia="Arial" w:hAnsi="Arial"/>
          <w:sz w:val="14"/>
          <w:szCs w:val="14"/>
          <w:color w:val="auto"/>
        </w:rPr>
        <w:t>Significant changes in the balances of contract assets (prepaid expenses and other assets) and contract liabilities (deferred revenues) during the period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60" w:type="dxa"/>
            <w:vAlign w:val="bottom"/>
          </w:tcPr>
          <w:p>
            <w:pPr>
              <w:ind w:left="20"/>
              <w:spacing w:after="0"/>
              <w:rPr>
                <w:sz w:val="20"/>
                <w:szCs w:val="20"/>
                <w:color w:val="auto"/>
              </w:rPr>
            </w:pPr>
            <w:r>
              <w:rPr>
                <w:rFonts w:ascii="Arial" w:cs="Arial" w:eastAsia="Arial" w:hAnsi="Arial"/>
                <w:sz w:val="13"/>
                <w:szCs w:val="13"/>
                <w:b w:val="1"/>
                <w:bCs w:val="1"/>
                <w:color w:val="auto"/>
              </w:rPr>
              <w:t>Contract Assets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2"/>
        </w:trPr>
        <w:tc>
          <w:tcPr>
            <w:tcW w:w="9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Balance on December 31, 2018</w:t>
            </w: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47,664</w:t>
            </w:r>
          </w:p>
        </w:tc>
      </w:tr>
      <w:tr>
        <w:trPr>
          <w:trHeight w:val="186"/>
        </w:trPr>
        <w:tc>
          <w:tcPr>
            <w:tcW w:w="9960" w:type="dxa"/>
            <w:vAlign w:val="bottom"/>
          </w:tcPr>
          <w:p>
            <w:pPr>
              <w:ind w:left="300"/>
              <w:spacing w:after="0"/>
              <w:rPr>
                <w:sz w:val="20"/>
                <w:szCs w:val="20"/>
                <w:color w:val="auto"/>
              </w:rPr>
            </w:pPr>
            <w:r>
              <w:rPr>
                <w:rFonts w:ascii="Arial" w:cs="Arial" w:eastAsia="Arial" w:hAnsi="Arial"/>
                <w:sz w:val="13"/>
                <w:szCs w:val="13"/>
                <w:color w:val="auto"/>
              </w:rPr>
              <w:t>Amount recognized</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(3,594)</w:t>
            </w:r>
          </w:p>
        </w:tc>
      </w:tr>
      <w:tr>
        <w:trPr>
          <w:trHeight w:val="202"/>
        </w:trPr>
        <w:tc>
          <w:tcPr>
            <w:tcW w:w="9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Increase</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4,208</w:t>
            </w:r>
          </w:p>
        </w:tc>
      </w:tr>
      <w:tr>
        <w:trPr>
          <w:trHeight w:val="177"/>
        </w:trPr>
        <w:tc>
          <w:tcPr>
            <w:tcW w:w="9960" w:type="dxa"/>
            <w:vAlign w:val="bottom"/>
          </w:tcPr>
          <w:p>
            <w:pPr>
              <w:ind w:left="220"/>
              <w:spacing w:after="0"/>
              <w:rPr>
                <w:sz w:val="20"/>
                <w:szCs w:val="20"/>
                <w:color w:val="auto"/>
              </w:rPr>
            </w:pPr>
            <w:r>
              <w:rPr>
                <w:rFonts w:ascii="Arial" w:cs="Arial" w:eastAsia="Arial" w:hAnsi="Arial"/>
                <w:sz w:val="13"/>
                <w:szCs w:val="13"/>
                <w:color w:val="auto"/>
              </w:rPr>
              <w:t>Balance as of March 31, 2019</w:t>
            </w:r>
          </w:p>
        </w:tc>
        <w:tc>
          <w:tcPr>
            <w:tcW w:w="5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48,278</w:t>
            </w:r>
          </w:p>
        </w:tc>
      </w:tr>
      <w:tr>
        <w:trPr>
          <w:trHeight w:val="20"/>
        </w:trPr>
        <w:tc>
          <w:tcPr>
            <w:tcW w:w="9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246380</wp:posOffset>
            </wp:positionV>
            <wp:extent cx="70897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8</w:t>
      </w:r>
    </w:p>
    <w:p>
      <w:pPr>
        <w:sectPr>
          <w:pgSz w:w="11900" w:h="16838" w:orient="portrait"/>
          <w:cols w:equalWidth="0" w:num="1">
            <w:col w:w="11460"/>
          </w:cols>
          <w:pgMar w:left="220" w:top="211"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77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ENPHASE ENERGY, INC.</w:t>
            </w:r>
          </w:p>
        </w:tc>
        <w:tc>
          <w:tcPr>
            <w:tcW w:w="980" w:type="dxa"/>
            <w:vAlign w:val="bottom"/>
          </w:tcPr>
          <w:p>
            <w:pPr>
              <w:spacing w:after="0"/>
              <w:rPr>
                <w:sz w:val="16"/>
                <w:szCs w:val="16"/>
                <w:color w:val="auto"/>
              </w:rPr>
            </w:pPr>
          </w:p>
        </w:tc>
      </w:tr>
      <w:tr>
        <w:trPr>
          <w:trHeight w:val="241"/>
        </w:trPr>
        <w:tc>
          <w:tcPr>
            <w:tcW w:w="2720" w:type="dxa"/>
            <w:vAlign w:val="bottom"/>
          </w:tcPr>
          <w:p>
            <w:pPr>
              <w:spacing w:after="0"/>
              <w:rPr>
                <w:sz w:val="20"/>
                <w:szCs w:val="20"/>
                <w:color w:val="auto"/>
              </w:rPr>
            </w:pPr>
          </w:p>
        </w:tc>
        <w:tc>
          <w:tcPr>
            <w:tcW w:w="77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980" w:type="dxa"/>
            <w:vAlign w:val="bottom"/>
          </w:tcPr>
          <w:p>
            <w:pPr>
              <w:spacing w:after="0"/>
              <w:rPr>
                <w:sz w:val="20"/>
                <w:szCs w:val="20"/>
                <w:color w:val="auto"/>
              </w:rPr>
            </w:pPr>
          </w:p>
        </w:tc>
      </w:tr>
      <w:tr>
        <w:trPr>
          <w:trHeight w:val="190"/>
        </w:trPr>
        <w:tc>
          <w:tcPr>
            <w:tcW w:w="2720" w:type="dxa"/>
            <w:vAlign w:val="bottom"/>
          </w:tcPr>
          <w:p>
            <w:pPr>
              <w:spacing w:after="0"/>
              <w:rPr>
                <w:sz w:val="16"/>
                <w:szCs w:val="16"/>
                <w:color w:val="auto"/>
              </w:rPr>
            </w:pPr>
          </w:p>
        </w:tc>
        <w:tc>
          <w:tcPr>
            <w:tcW w:w="77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855"/>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Contract Liabilities</w:t>
            </w:r>
          </w:p>
        </w:tc>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2"/>
        </w:trPr>
        <w:tc>
          <w:tcPr>
            <w:tcW w:w="2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Balance on December 31, 2018</w:t>
            </w:r>
          </w:p>
        </w:tc>
        <w:tc>
          <w:tcPr>
            <w:tcW w:w="7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110,030</w:t>
            </w:r>
          </w:p>
        </w:tc>
      </w:tr>
      <w:tr>
        <w:trPr>
          <w:trHeight w:val="186"/>
        </w:trPr>
        <w:tc>
          <w:tcPr>
            <w:tcW w:w="2720" w:type="dxa"/>
            <w:vAlign w:val="bottom"/>
          </w:tcPr>
          <w:p>
            <w:pPr>
              <w:ind w:left="300"/>
              <w:spacing w:after="0"/>
              <w:rPr>
                <w:sz w:val="20"/>
                <w:szCs w:val="20"/>
                <w:color w:val="auto"/>
              </w:rPr>
            </w:pPr>
            <w:r>
              <w:rPr>
                <w:rFonts w:ascii="Arial" w:cs="Arial" w:eastAsia="Arial" w:hAnsi="Arial"/>
                <w:sz w:val="13"/>
                <w:szCs w:val="13"/>
                <w:color w:val="auto"/>
              </w:rPr>
              <w:t>Revenue recognized</w:t>
            </w:r>
          </w:p>
        </w:tc>
        <w:tc>
          <w:tcPr>
            <w:tcW w:w="7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(9,750)</w:t>
            </w:r>
          </w:p>
        </w:tc>
      </w:tr>
      <w:tr>
        <w:trPr>
          <w:trHeight w:val="202"/>
        </w:trPr>
        <w:tc>
          <w:tcPr>
            <w:tcW w:w="2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Increase due to billings</w:t>
            </w:r>
          </w:p>
        </w:tc>
        <w:tc>
          <w:tcPr>
            <w:tcW w:w="72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11,029</w:t>
            </w:r>
          </w:p>
        </w:tc>
      </w:tr>
      <w:tr>
        <w:trPr>
          <w:trHeight w:val="177"/>
        </w:trPr>
        <w:tc>
          <w:tcPr>
            <w:tcW w:w="2720" w:type="dxa"/>
            <w:vAlign w:val="bottom"/>
          </w:tcPr>
          <w:p>
            <w:pPr>
              <w:ind w:left="220"/>
              <w:spacing w:after="0"/>
              <w:rPr>
                <w:sz w:val="20"/>
                <w:szCs w:val="20"/>
                <w:color w:val="auto"/>
              </w:rPr>
            </w:pPr>
            <w:r>
              <w:rPr>
                <w:rFonts w:ascii="Arial" w:cs="Arial" w:eastAsia="Arial" w:hAnsi="Arial"/>
                <w:sz w:val="13"/>
                <w:szCs w:val="13"/>
                <w:color w:val="auto"/>
              </w:rPr>
              <w:t>Balance as of March 31, 2019</w:t>
            </w:r>
          </w:p>
        </w:tc>
        <w:tc>
          <w:tcPr>
            <w:tcW w:w="77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111,309</w:t>
            </w:r>
          </w:p>
        </w:tc>
      </w:tr>
      <w:tr>
        <w:trPr>
          <w:trHeight w:val="20"/>
        </w:trPr>
        <w:tc>
          <w:tcPr>
            <w:tcW w:w="2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Remaining Performance Obligations</w:t>
      </w:r>
    </w:p>
    <w:p>
      <w:pPr>
        <w:spacing w:after="0" w:line="202" w:lineRule="exact"/>
        <w:rPr>
          <w:sz w:val="20"/>
          <w:szCs w:val="20"/>
          <w:color w:val="auto"/>
        </w:rPr>
      </w:pPr>
    </w:p>
    <w:p>
      <w:pPr>
        <w:ind w:right="240" w:firstLine="388"/>
        <w:spacing w:after="0" w:line="273" w:lineRule="auto"/>
        <w:rPr>
          <w:sz w:val="20"/>
          <w:szCs w:val="20"/>
          <w:color w:val="auto"/>
        </w:rPr>
      </w:pPr>
      <w:r>
        <w:rPr>
          <w:rFonts w:ascii="Arial" w:cs="Arial" w:eastAsia="Arial" w:hAnsi="Arial"/>
          <w:sz w:val="14"/>
          <w:szCs w:val="14"/>
          <w:color w:val="auto"/>
        </w:rPr>
        <w:t>The following table includes estimated revenue expected to be recognized in future periods related to performance obligations that are unsatisfied or partially unsatisfied at the end of the reporting period.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98"/>
              <w:spacing w:after="0"/>
              <w:rPr>
                <w:sz w:val="20"/>
                <w:szCs w:val="20"/>
                <w:color w:val="auto"/>
              </w:rPr>
            </w:pPr>
            <w:r>
              <w:rPr>
                <w:rFonts w:ascii="Arial" w:cs="Arial" w:eastAsia="Arial" w:hAnsi="Arial"/>
                <w:sz w:val="11"/>
                <w:szCs w:val="11"/>
                <w:b w:val="1"/>
                <w:bCs w:val="1"/>
                <w:color w:val="auto"/>
              </w:rPr>
              <w:t>March 31,</w:t>
            </w:r>
          </w:p>
        </w:tc>
      </w:tr>
      <w:tr>
        <w:trPr>
          <w:trHeight w:val="157"/>
        </w:trPr>
        <w:tc>
          <w:tcPr>
            <w:tcW w:w="9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2019</w:t>
            </w:r>
          </w:p>
        </w:tc>
      </w:tr>
      <w:tr>
        <w:trPr>
          <w:trHeight w:val="159"/>
        </w:trPr>
        <w:tc>
          <w:tcPr>
            <w:tcW w:w="9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8"/>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9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year: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9980" w:type="dxa"/>
            <w:vAlign w:val="bottom"/>
          </w:tcPr>
          <w:p>
            <w:pPr>
              <w:ind w:left="140"/>
              <w:spacing w:after="0"/>
              <w:rPr>
                <w:sz w:val="20"/>
                <w:szCs w:val="20"/>
                <w:color w:val="auto"/>
              </w:rPr>
            </w:pPr>
            <w:r>
              <w:rPr>
                <w:rFonts w:ascii="Arial" w:cs="Arial" w:eastAsia="Arial" w:hAnsi="Arial"/>
                <w:sz w:val="13"/>
                <w:szCs w:val="13"/>
                <w:color w:val="auto"/>
              </w:rPr>
              <w:t>2019 (remaining nine months)</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26,092</w:t>
            </w:r>
          </w:p>
        </w:tc>
      </w:tr>
      <w:tr>
        <w:trPr>
          <w:trHeight w:val="223"/>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27,797</w:t>
            </w:r>
          </w:p>
        </w:tc>
      </w:tr>
      <w:tr>
        <w:trPr>
          <w:trHeight w:val="208"/>
        </w:trPr>
        <w:tc>
          <w:tcPr>
            <w:tcW w:w="9980" w:type="dxa"/>
            <w:vAlign w:val="bottom"/>
          </w:tcPr>
          <w:p>
            <w:pPr>
              <w:ind w:left="140"/>
              <w:spacing w:after="0"/>
              <w:rPr>
                <w:sz w:val="20"/>
                <w:szCs w:val="20"/>
                <w:color w:val="auto"/>
              </w:rPr>
            </w:pPr>
            <w:r>
              <w:rPr>
                <w:rFonts w:ascii="Arial" w:cs="Arial" w:eastAsia="Arial" w:hAnsi="Arial"/>
                <w:sz w:val="13"/>
                <w:szCs w:val="13"/>
                <w:color w:val="auto"/>
              </w:rPr>
              <w:t>2021</w:t>
            </w:r>
          </w:p>
        </w:tc>
        <w:tc>
          <w:tcPr>
            <w:tcW w:w="24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21,626</w:t>
            </w:r>
          </w:p>
        </w:tc>
      </w:tr>
      <w:tr>
        <w:trPr>
          <w:trHeight w:val="223"/>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16,594</w:t>
            </w:r>
          </w:p>
        </w:tc>
      </w:tr>
      <w:tr>
        <w:trPr>
          <w:trHeight w:val="208"/>
        </w:trPr>
        <w:tc>
          <w:tcPr>
            <w:tcW w:w="9980" w:type="dxa"/>
            <w:vAlign w:val="bottom"/>
          </w:tcPr>
          <w:p>
            <w:pPr>
              <w:ind w:left="140"/>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10,801</w:t>
            </w:r>
          </w:p>
        </w:tc>
      </w:tr>
      <w:tr>
        <w:trPr>
          <w:trHeight w:val="216"/>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8,399</w:t>
            </w:r>
          </w:p>
        </w:tc>
      </w:tr>
      <w:tr>
        <w:trPr>
          <w:trHeight w:val="190"/>
        </w:trPr>
        <w:tc>
          <w:tcPr>
            <w:tcW w:w="9980" w:type="dxa"/>
            <w:vAlign w:val="bottom"/>
          </w:tcPr>
          <w:p>
            <w:pPr>
              <w:ind w:left="2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111,309</w:t>
            </w:r>
          </w:p>
        </w:tc>
      </w:tr>
      <w:tr>
        <w:trPr>
          <w:trHeight w:val="20"/>
        </w:trPr>
        <w:tc>
          <w:tcPr>
            <w:tcW w:w="9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9</w:t>
      </w:r>
    </w:p>
    <w:p>
      <w:pPr>
        <w:sectPr>
          <w:pgSz w:w="11900" w:h="16838" w:orient="portrait"/>
          <w:cols w:equalWidth="0" w:num="1">
            <w:col w:w="11460"/>
          </w:cols>
          <w:pgMar w:left="220" w:top="211"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jc w:val="right"/>
        <w:ind w:right="334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Net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Accounts receivable, net consist of the following:</w:t>
      </w:r>
    </w:p>
    <w:p>
      <w:pPr>
        <w:spacing w:after="0" w:line="131" w:lineRule="exact"/>
        <w:rPr>
          <w:sz w:val="20"/>
          <w:szCs w:val="20"/>
          <w:color w:val="auto"/>
        </w:rPr>
      </w:pPr>
    </w:p>
    <w:tbl>
      <w:tblPr>
        <w:tblLayout w:type="fixed"/>
        <w:tblInd w:w="8340" w:type="dxa"/>
        <w:tblCellMar>
          <w:top w:w="0" w:type="dxa"/>
          <w:left w:w="0" w:type="dxa"/>
          <w:bottom w:w="0" w:type="dxa"/>
          <w:right w:w="0" w:type="dxa"/>
        </w:tblCellMar>
      </w:tblPr>
      <w:tr>
        <w:trPr>
          <w:trHeight w:val="129"/>
        </w:trPr>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March 31,</w:t>
            </w:r>
          </w:p>
        </w:tc>
        <w:tc>
          <w:tcPr>
            <w:tcW w:w="1980" w:type="dxa"/>
            <w:vAlign w:val="bottom"/>
          </w:tcPr>
          <w:p>
            <w:pPr>
              <w:jc w:val="center"/>
              <w:ind w:left="443"/>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19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r>
      <w:tr>
        <w:trPr>
          <w:trHeight w:val="159"/>
        </w:trPr>
        <w:tc>
          <w:tcPr>
            <w:tcW w:w="1100" w:type="dxa"/>
            <w:vAlign w:val="bottom"/>
          </w:tcPr>
          <w:p>
            <w:pPr>
              <w:spacing w:after="0"/>
              <w:rPr>
                <w:sz w:val="13"/>
                <w:szCs w:val="13"/>
                <w:color w:val="auto"/>
              </w:rPr>
            </w:pPr>
          </w:p>
        </w:tc>
        <w:tc>
          <w:tcPr>
            <w:tcW w:w="1980" w:type="dxa"/>
            <w:vAlign w:val="bottom"/>
          </w:tcPr>
          <w:p>
            <w:pPr>
              <w:ind w:left="100"/>
              <w:spacing w:after="0"/>
              <w:rPr>
                <w:sz w:val="20"/>
                <w:szCs w:val="20"/>
                <w:color w:val="auto"/>
              </w:rPr>
            </w:pPr>
            <w:r>
              <w:rPr>
                <w:rFonts w:ascii="Arial" w:cs="Arial" w:eastAsia="Arial" w:hAnsi="Arial"/>
                <w:sz w:val="11"/>
                <w:szCs w:val="11"/>
                <w:i w:val="1"/>
                <w:i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5360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ectPr>
          <w:pgSz w:w="11900" w:h="16838" w:orient="portrait"/>
          <w:cols w:equalWidth="0" w:num="1">
            <w:col w:w="11420"/>
          </w:cols>
          <w:pgMar w:left="220" w:top="211" w:right="259"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receivable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Allowance for doubtful accounts</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receivable, net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202" w:lineRule="exact"/>
        <w:rPr>
          <w:sz w:val="20"/>
          <w:szCs w:val="20"/>
          <w:color w:val="auto"/>
        </w:rPr>
      </w:pPr>
    </w:p>
    <w:p>
      <w:pPr>
        <w:jc w:val="right"/>
        <w:ind w:right="5100"/>
        <w:spacing w:after="0"/>
        <w:rPr>
          <w:sz w:val="20"/>
          <w:szCs w:val="20"/>
          <w:color w:val="auto"/>
        </w:rPr>
      </w:pPr>
      <w:r>
        <w:rPr>
          <w:rFonts w:ascii="Arial" w:cs="Arial" w:eastAsia="Arial" w:hAnsi="Arial"/>
          <w:sz w:val="14"/>
          <w:szCs w:val="14"/>
          <w:color w:val="auto"/>
        </w:rPr>
        <w:t>Inventory consist of the following: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83,855</w:t>
            </w:r>
          </w:p>
        </w:tc>
        <w:tc>
          <w:tcPr>
            <w:tcW w:w="120" w:type="dxa"/>
            <w:vAlign w:val="bottom"/>
          </w:tcPr>
          <w:p>
            <w:pPr>
              <w:spacing w:after="0"/>
              <w:rPr>
                <w:sz w:val="13"/>
                <w:szCs w:val="13"/>
                <w:color w:val="auto"/>
              </w:rPr>
            </w:pPr>
          </w:p>
        </w:tc>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81,076</w:t>
            </w:r>
          </w:p>
        </w:tc>
      </w:tr>
      <w:tr>
        <w:trPr>
          <w:trHeight w:val="223"/>
        </w:trPr>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(2,140)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w:t>
            </w:r>
          </w:p>
        </w:tc>
      </w:tr>
      <w:tr>
        <w:trPr>
          <w:trHeight w:val="185"/>
        </w:trPr>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81,715</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78,938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-149860</wp:posOffset>
            </wp:positionV>
            <wp:extent cx="725360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March 31,</w:t>
            </w:r>
          </w:p>
        </w:tc>
        <w:tc>
          <w:tcPr>
            <w:tcW w:w="1980" w:type="dxa"/>
            <w:vAlign w:val="bottom"/>
          </w:tcPr>
          <w:p>
            <w:pPr>
              <w:jc w:val="center"/>
              <w:ind w:left="443"/>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19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r>
      <w:tr>
        <w:trPr>
          <w:trHeight w:val="159"/>
        </w:trPr>
        <w:tc>
          <w:tcPr>
            <w:tcW w:w="1100" w:type="dxa"/>
            <w:vAlign w:val="bottom"/>
          </w:tcPr>
          <w:p>
            <w:pPr>
              <w:spacing w:after="0"/>
              <w:rPr>
                <w:sz w:val="13"/>
                <w:szCs w:val="13"/>
                <w:color w:val="auto"/>
              </w:rPr>
            </w:pPr>
          </w:p>
        </w:tc>
        <w:tc>
          <w:tcPr>
            <w:tcW w:w="1980" w:type="dxa"/>
            <w:vAlign w:val="bottom"/>
          </w:tcPr>
          <w:p>
            <w:pPr>
              <w:ind w:left="100"/>
              <w:spacing w:after="0"/>
              <w:rPr>
                <w:sz w:val="20"/>
                <w:szCs w:val="20"/>
                <w:color w:val="auto"/>
              </w:rPr>
            </w:pPr>
            <w:r>
              <w:rPr>
                <w:rFonts w:ascii="Arial" w:cs="Arial" w:eastAsia="Arial" w:hAnsi="Arial"/>
                <w:sz w:val="11"/>
                <w:szCs w:val="11"/>
                <w:i w:val="1"/>
                <w:i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26035</wp:posOffset>
            </wp:positionV>
            <wp:extent cx="725360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7620" w:space="720"/>
            <w:col w:w="3080"/>
          </w:cols>
          <w:pgMar w:left="220" w:top="211" w:right="2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Raw materials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Finished goods</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inventory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Liabilities</w:t>
      </w:r>
    </w:p>
    <w:p>
      <w:pPr>
        <w:spacing w:after="0" w:line="202" w:lineRule="exact"/>
        <w:rPr>
          <w:sz w:val="20"/>
          <w:szCs w:val="20"/>
          <w:color w:val="auto"/>
        </w:rPr>
      </w:pPr>
    </w:p>
    <w:p>
      <w:pPr>
        <w:jc w:val="right"/>
        <w:ind w:right="4600"/>
        <w:spacing w:after="0"/>
        <w:rPr>
          <w:sz w:val="20"/>
          <w:szCs w:val="20"/>
          <w:color w:val="auto"/>
        </w:rPr>
      </w:pPr>
      <w:r>
        <w:rPr>
          <w:rFonts w:ascii="Arial" w:cs="Arial" w:eastAsia="Arial" w:hAnsi="Arial"/>
          <w:sz w:val="14"/>
          <w:szCs w:val="14"/>
          <w:color w:val="auto"/>
        </w:rPr>
        <w:t>Accrued liabilities consist of the following: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950</w:t>
            </w:r>
          </w:p>
        </w:tc>
        <w:tc>
          <w:tcPr>
            <w:tcW w:w="120" w:type="dxa"/>
            <w:vAlign w:val="bottom"/>
          </w:tcPr>
          <w:p>
            <w:pPr>
              <w:spacing w:after="0"/>
              <w:rPr>
                <w:sz w:val="13"/>
                <w:szCs w:val="13"/>
                <w:color w:val="auto"/>
              </w:rPr>
            </w:pPr>
          </w:p>
        </w:tc>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970</w:t>
            </w:r>
          </w:p>
        </w:tc>
      </w:tr>
      <w:tr>
        <w:trPr>
          <w:trHeight w:val="223"/>
        </w:trPr>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12,021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15,297</w:t>
            </w:r>
          </w:p>
        </w:tc>
      </w:tr>
      <w:tr>
        <w:trPr>
          <w:trHeight w:val="185"/>
        </w:trPr>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12,971</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16,267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-149860</wp:posOffset>
            </wp:positionV>
            <wp:extent cx="725360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March 31,</w:t>
            </w:r>
          </w:p>
        </w:tc>
        <w:tc>
          <w:tcPr>
            <w:tcW w:w="1980" w:type="dxa"/>
            <w:vAlign w:val="bottom"/>
          </w:tcPr>
          <w:p>
            <w:pPr>
              <w:jc w:val="center"/>
              <w:ind w:left="443"/>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19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2018</w:t>
            </w:r>
          </w:p>
        </w:tc>
      </w:tr>
      <w:tr>
        <w:trPr>
          <w:trHeight w:val="159"/>
        </w:trPr>
        <w:tc>
          <w:tcPr>
            <w:tcW w:w="1100" w:type="dxa"/>
            <w:vAlign w:val="bottom"/>
          </w:tcPr>
          <w:p>
            <w:pPr>
              <w:spacing w:after="0"/>
              <w:rPr>
                <w:sz w:val="13"/>
                <w:szCs w:val="13"/>
                <w:color w:val="auto"/>
              </w:rPr>
            </w:pPr>
          </w:p>
        </w:tc>
        <w:tc>
          <w:tcPr>
            <w:tcW w:w="1980" w:type="dxa"/>
            <w:vAlign w:val="bottom"/>
          </w:tcPr>
          <w:p>
            <w:pPr>
              <w:ind w:left="100"/>
              <w:spacing w:after="0"/>
              <w:rPr>
                <w:sz w:val="20"/>
                <w:szCs w:val="20"/>
                <w:color w:val="auto"/>
              </w:rPr>
            </w:pPr>
            <w:r>
              <w:rPr>
                <w:rFonts w:ascii="Arial" w:cs="Arial" w:eastAsia="Arial" w:hAnsi="Arial"/>
                <w:sz w:val="11"/>
                <w:szCs w:val="11"/>
                <w:i w:val="1"/>
                <w:iCs w:val="1"/>
                <w:color w:val="auto"/>
              </w:rPr>
              <w:t>(In thousands)</w:t>
            </w:r>
          </w:p>
        </w:tc>
      </w:tr>
    </w:tbl>
    <w:p>
      <w:pPr>
        <w:spacing w:after="0" w:line="41" w:lineRule="exact"/>
        <w:rPr>
          <w:sz w:val="20"/>
          <w:szCs w:val="20"/>
          <w:color w:val="auto"/>
        </w:rPr>
      </w:pPr>
    </w:p>
    <w:p>
      <w:pPr>
        <w:sectPr>
          <w:pgSz w:w="11900" w:h="16838" w:orient="portrait"/>
          <w:cols w:equalWidth="0" w:num="2">
            <w:col w:w="7620" w:space="720"/>
            <w:col w:w="3080"/>
          </w:cols>
          <w:pgMar w:left="220" w:top="21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Salaries, commissions, incentive compensation and benefits</w:t>
            </w:r>
          </w:p>
        </w:tc>
        <w:tc>
          <w:tcPr>
            <w:tcW w:w="5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6,442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4,107</w:t>
            </w:r>
          </w:p>
        </w:tc>
      </w:tr>
      <w:tr>
        <w:trPr>
          <w:trHeight w:val="208"/>
        </w:trPr>
        <w:tc>
          <w:tcPr>
            <w:tcW w:w="8340" w:type="dxa"/>
            <w:vAlign w:val="bottom"/>
          </w:tcPr>
          <w:p>
            <w:pPr>
              <w:ind w:left="20"/>
              <w:spacing w:after="0"/>
              <w:rPr>
                <w:sz w:val="20"/>
                <w:szCs w:val="20"/>
                <w:color w:val="auto"/>
              </w:rPr>
            </w:pPr>
            <w:r>
              <w:rPr>
                <w:rFonts w:ascii="Arial" w:cs="Arial" w:eastAsia="Arial" w:hAnsi="Arial"/>
                <w:sz w:val="13"/>
                <w:szCs w:val="13"/>
                <w:color w:val="auto"/>
              </w:rPr>
              <w:t>Customer rebates and sales incentives</w:t>
            </w:r>
          </w:p>
        </w:tc>
        <w:tc>
          <w:tcPr>
            <w:tcW w:w="54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8,769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8,527</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Freight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7,599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7,286</w:t>
            </w:r>
          </w:p>
        </w:tc>
      </w:tr>
      <w:tr>
        <w:trPr>
          <w:trHeight w:val="20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9,621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9,090</w:t>
            </w:r>
          </w:p>
        </w:tc>
      </w:tr>
      <w:tr>
        <w:trPr>
          <w:trHeight w:val="190"/>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accrued liabilities</w:t>
            </w: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32,431</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29,010</w:t>
            </w:r>
          </w:p>
        </w:tc>
      </w:tr>
      <w:tr>
        <w:trPr>
          <w:trHeight w:val="20"/>
        </w:trPr>
        <w:tc>
          <w:tcPr>
            <w:tcW w:w="8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10</w:t>
      </w:r>
    </w:p>
    <w:p>
      <w:pPr>
        <w:sectPr>
          <w:pgSz w:w="11900" w:h="16838" w:orient="portrait"/>
          <w:cols w:equalWidth="0" w:num="1">
            <w:col w:w="11420"/>
          </w:cols>
          <w:pgMar w:left="220" w:top="211"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INTANGIBLE ASSETS</w:t>
      </w:r>
    </w:p>
    <w:p>
      <w:pPr>
        <w:spacing w:after="0" w:line="201" w:lineRule="exact"/>
        <w:rPr>
          <w:rFonts w:ascii="Arial" w:cs="Arial" w:eastAsia="Arial" w:hAnsi="Arial"/>
          <w:sz w:val="14"/>
          <w:szCs w:val="14"/>
          <w:b w:val="1"/>
          <w:bCs w:val="1"/>
          <w:color w:val="auto"/>
        </w:rPr>
      </w:pPr>
    </w:p>
    <w:p>
      <w:pPr>
        <w:ind w:left="40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the details of the Company’s goodwill and purchased intangible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March 31, 2019</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480"/>
              <w:spacing w:after="0"/>
              <w:rPr>
                <w:sz w:val="20"/>
                <w:szCs w:val="20"/>
                <w:color w:val="auto"/>
              </w:rPr>
            </w:pPr>
            <w:r>
              <w:rPr>
                <w:rFonts w:ascii="Arial" w:cs="Arial" w:eastAsia="Arial" w:hAnsi="Arial"/>
                <w:sz w:val="11"/>
                <w:szCs w:val="11"/>
                <w:b w:val="1"/>
                <w:bCs w:val="1"/>
                <w:color w:val="auto"/>
              </w:rPr>
              <w:t>December 31, 2018</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08"/>
        </w:trPr>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8"/>
              </w:rPr>
              <w:t>Accumulated</w:t>
            </w: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ind w:left="80"/>
              <w:spacing w:after="0" w:line="108"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40"/>
        </w:trPr>
        <w:tc>
          <w:tcPr>
            <w:tcW w:w="27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Gross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rPr>
              <w:t>Amortization</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Net</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Gross</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Additions</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Amortization</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Net</w:t>
            </w:r>
          </w:p>
        </w:tc>
      </w:tr>
      <w:tr>
        <w:trPr>
          <w:trHeight w:val="161"/>
        </w:trPr>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1"/>
        </w:trPr>
        <w:tc>
          <w:tcPr>
            <w:tcW w:w="2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24,783</w:t>
            </w:r>
          </w:p>
        </w:tc>
      </w:tr>
      <w:tr>
        <w:trPr>
          <w:trHeight w:val="194"/>
        </w:trPr>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2760" w:type="dxa"/>
            <w:vAlign w:val="bottom"/>
          </w:tcPr>
          <w:p>
            <w:pPr>
              <w:ind w:left="140"/>
              <w:spacing w:after="0"/>
              <w:rPr>
                <w:sz w:val="20"/>
                <w:szCs w:val="20"/>
                <w:color w:val="auto"/>
              </w:rPr>
            </w:pPr>
            <w:r>
              <w:rPr>
                <w:rFonts w:ascii="Arial" w:cs="Arial" w:eastAsia="Arial" w:hAnsi="Arial"/>
                <w:sz w:val="13"/>
                <w:szCs w:val="13"/>
                <w:color w:val="auto"/>
              </w:rPr>
              <w:t>Other indefinite-lived intangibles</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8"/>
                <w:szCs w:val="18"/>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286</w:t>
            </w:r>
          </w:p>
        </w:tc>
      </w:tr>
      <w:tr>
        <w:trPr>
          <w:trHeight w:val="223"/>
        </w:trPr>
        <w:tc>
          <w:tcPr>
            <w:tcW w:w="2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 with finite lives: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8"/>
        </w:trPr>
        <w:tc>
          <w:tcPr>
            <w:tcW w:w="2760" w:type="dxa"/>
            <w:vAlign w:val="bottom"/>
          </w:tcPr>
          <w:p>
            <w:pPr>
              <w:ind w:left="220"/>
              <w:spacing w:after="0"/>
              <w:rPr>
                <w:sz w:val="20"/>
                <w:szCs w:val="20"/>
                <w:color w:val="auto"/>
              </w:rPr>
            </w:pPr>
            <w:r>
              <w:rPr>
                <w:rFonts w:ascii="Arial" w:cs="Arial" w:eastAsia="Arial" w:hAnsi="Arial"/>
                <w:sz w:val="13"/>
                <w:szCs w:val="13"/>
                <w:color w:val="auto"/>
              </w:rPr>
              <w:t>Patents and licensed technology</w:t>
            </w:r>
          </w:p>
        </w:tc>
        <w:tc>
          <w:tcPr>
            <w:tcW w:w="28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3"/>
                <w:szCs w:val="13"/>
                <w:color w:val="auto"/>
              </w:rPr>
              <w:t>(1,665)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1,665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23"/>
        </w:trPr>
        <w:tc>
          <w:tcPr>
            <w:tcW w:w="2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Developed technology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12,191</w:t>
            </w:r>
          </w:p>
        </w:tc>
      </w:tr>
      <w:tr>
        <w:trPr>
          <w:trHeight w:val="208"/>
        </w:trPr>
        <w:tc>
          <w:tcPr>
            <w:tcW w:w="2760" w:type="dxa"/>
            <w:vAlign w:val="bottom"/>
          </w:tcPr>
          <w:p>
            <w:pPr>
              <w:ind w:left="220"/>
              <w:spacing w:after="0"/>
              <w:rPr>
                <w:sz w:val="20"/>
                <w:szCs w:val="20"/>
                <w:color w:val="auto"/>
              </w:rPr>
            </w:pPr>
            <w:r>
              <w:rPr>
                <w:rFonts w:ascii="Arial" w:cs="Arial" w:eastAsia="Arial" w:hAnsi="Arial"/>
                <w:sz w:val="13"/>
                <w:szCs w:val="13"/>
                <w:color w:val="auto"/>
              </w:rPr>
              <w:t>Customer relationships</w:t>
            </w:r>
          </w:p>
        </w:tc>
        <w:tc>
          <w:tcPr>
            <w:tcW w:w="28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23,100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22,829</w:t>
            </w:r>
          </w:p>
        </w:tc>
      </w:tr>
      <w:tr>
        <w:trPr>
          <w:trHeight w:val="190"/>
        </w:trPr>
        <w:tc>
          <w:tcPr>
            <w:tcW w:w="2760" w:type="dxa"/>
            <w:vAlign w:val="bottom"/>
          </w:tcPr>
          <w:p>
            <w:pPr>
              <w:ind w:left="300"/>
              <w:spacing w:after="0"/>
              <w:rPr>
                <w:sz w:val="20"/>
                <w:szCs w:val="20"/>
                <w:color w:val="auto"/>
              </w:rPr>
            </w:pPr>
            <w:r>
              <w:rPr>
                <w:rFonts w:ascii="Arial" w:cs="Arial" w:eastAsia="Arial" w:hAnsi="Arial"/>
                <w:sz w:val="13"/>
                <w:szCs w:val="13"/>
                <w:color w:val="auto"/>
              </w:rPr>
              <w:t>Total purchased intangible assets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38,151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3"/>
                <w:szCs w:val="13"/>
                <w:color w:val="auto"/>
              </w:rPr>
              <w:t>(4,027)</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34,124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1,951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36,200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(2,845)</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35,306</w:t>
            </w:r>
          </w:p>
        </w:tc>
      </w:tr>
      <w:tr>
        <w:trPr>
          <w:trHeight w:val="20"/>
        </w:trPr>
        <w:tc>
          <w:tcPr>
            <w:tcW w:w="2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right="180" w:firstLine="388"/>
        <w:spacing w:after="0" w:line="172" w:lineRule="exact"/>
        <w:rPr>
          <w:sz w:val="20"/>
          <w:szCs w:val="20"/>
          <w:color w:val="auto"/>
        </w:rPr>
      </w:pPr>
      <w:r>
        <w:rPr>
          <w:rFonts w:ascii="Arial" w:cs="Arial" w:eastAsia="Arial" w:hAnsi="Arial"/>
          <w:sz w:val="14"/>
          <w:szCs w:val="14"/>
          <w:color w:val="auto"/>
        </w:rPr>
        <w:t>In August 2018, the Company acquired certain finite-lived intangible assets in its acquisition of SunPower Corporation’s (“SunPower”) microinverter business pursuant to an Asset Purchase Agreement (“APA”), primarily developed technology and customer relationships. See Note 20. “Acquisition,” of the notes to consolidated financial statements included in Item 8 of the Company’s 2018 Form 10</w:t>
      </w:r>
      <w:r>
        <w:rPr>
          <w:rFonts w:ascii="MS PGothic" w:cs="MS PGothic" w:eastAsia="MS PGothic" w:hAnsi="MS PGothic"/>
          <w:sz w:val="14"/>
          <w:szCs w:val="14"/>
          <w:color w:val="auto"/>
        </w:rPr>
        <w:t>‑</w:t>
      </w:r>
      <w:r>
        <w:rPr>
          <w:rFonts w:ascii="Arial" w:cs="Arial" w:eastAsia="Arial" w:hAnsi="Arial"/>
          <w:sz w:val="14"/>
          <w:szCs w:val="14"/>
          <w:color w:val="auto"/>
        </w:rPr>
        <w:t>K filed with the SEC on March 15, 2019 for additional information related to this acquisition.</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Amortization expense related to finite-lived intangible assets are as follows:</w:t>
      </w:r>
    </w:p>
    <w:p>
      <w:pPr>
        <w:spacing w:after="0" w:line="131"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 and patents and licensed technology</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Customer relationships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19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amortization expense</w:t>
            </w: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1,182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w:t>
            </w: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220" w:firstLine="388"/>
        <w:spacing w:after="0" w:line="262" w:lineRule="auto"/>
        <w:rPr>
          <w:sz w:val="20"/>
          <w:szCs w:val="20"/>
          <w:color w:val="auto"/>
        </w:rPr>
      </w:pPr>
      <w:r>
        <w:rPr>
          <w:rFonts w:ascii="Arial" w:cs="Arial" w:eastAsia="Arial" w:hAnsi="Arial"/>
          <w:sz w:val="14"/>
          <w:szCs w:val="14"/>
          <w:color w:val="auto"/>
        </w:rPr>
        <w:t>Amortization of developed technology, patents and licensed technology is primarily recorded to sales and marketing expense. The developed technology acquired from the Company’s acquisition of SunPower’s microinverter business is embedded in the microinverters that SunPower sells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159"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The master service agreement (“MSA”) negotiated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the SunPower’s microinverter business by the Company. As the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11</w:t>
      </w:r>
    </w:p>
    <w:p>
      <w:pPr>
        <w:sectPr>
          <w:pgSz w:w="11900" w:h="16838" w:orient="portrait"/>
          <w:cols w:equalWidth="0" w:num="1">
            <w:col w:w="11460"/>
          </w:cols>
          <w:pgMar w:left="220" w:top="211"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jc w:val="right"/>
        <w:ind w:right="338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WARRANTY OBLIGATIONS</w:t>
      </w:r>
    </w:p>
    <w:p>
      <w:pPr>
        <w:sectPr>
          <w:pgSz w:w="11900" w:h="16838" w:orient="portrait"/>
          <w:cols w:equalWidth="0" w:num="1">
            <w:col w:w="11460"/>
          </w:cols>
          <w:pgMar w:left="220" w:top="211" w:right="219" w:bottom="1440" w:gutter="0" w:footer="0" w:header="0"/>
        </w:sectPr>
      </w:pPr>
    </w:p>
    <w:p>
      <w:pPr>
        <w:spacing w:after="0" w:line="202" w:lineRule="exact"/>
        <w:rPr>
          <w:sz w:val="20"/>
          <w:szCs w:val="20"/>
          <w:color w:val="auto"/>
        </w:rPr>
      </w:pPr>
    </w:p>
    <w:p>
      <w:pPr>
        <w:jc w:val="right"/>
        <w:ind w:right="4040"/>
        <w:spacing w:after="0"/>
        <w:rPr>
          <w:sz w:val="20"/>
          <w:szCs w:val="20"/>
          <w:color w:val="auto"/>
        </w:rPr>
      </w:pPr>
      <w:r>
        <w:rPr>
          <w:rFonts w:ascii="Arial" w:cs="Arial" w:eastAsia="Arial" w:hAnsi="Arial"/>
          <w:sz w:val="14"/>
          <w:szCs w:val="14"/>
          <w:color w:val="auto"/>
        </w:rPr>
        <w:t>The Company’s warranty activities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548005</wp:posOffset>
            </wp:positionV>
            <wp:extent cx="72745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Warranty obligations, beginning of period</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Accruals for warranties issued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2745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Changes in estimates</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2745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Increase due to accretion expense</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2745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Warranty obligations, end of period</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2745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Noncurrent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13335</wp:posOffset>
            </wp:positionV>
            <wp:extent cx="196405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22225</wp:posOffset>
            </wp:positionV>
            <wp:extent cx="196405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w:t>
      </w:r>
    </w:p>
    <w:p>
      <w:pPr>
        <w:spacing w:after="0" w:line="110" w:lineRule="exact"/>
        <w:rPr>
          <w:sz w:val="20"/>
          <w:szCs w:val="20"/>
          <w:color w:val="auto"/>
        </w:rPr>
      </w:pPr>
    </w:p>
    <w:p>
      <w:pPr>
        <w:spacing w:after="0"/>
        <w:tabs>
          <w:tab w:leader="none" w:pos="940" w:val="left"/>
          <w:tab w:leader="none" w:pos="1580" w:val="left"/>
          <w:tab w:leader="none" w:pos="25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31,294</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29,816</w:t>
      </w:r>
    </w:p>
    <w:p>
      <w:pPr>
        <w:spacing w:after="0" w:line="66" w:lineRule="exact"/>
        <w:rPr>
          <w:sz w:val="20"/>
          <w:szCs w:val="20"/>
          <w:color w:val="auto"/>
        </w:rPr>
      </w:pPr>
    </w:p>
    <w:p>
      <w:pPr>
        <w:ind w:left="1140"/>
        <w:spacing w:after="0"/>
        <w:tabs>
          <w:tab w:leader="none" w:pos="2720" w:val="left"/>
        </w:tabs>
        <w:rPr>
          <w:sz w:val="20"/>
          <w:szCs w:val="20"/>
          <w:color w:val="auto"/>
        </w:rPr>
      </w:pPr>
      <w:r>
        <w:rPr>
          <w:rFonts w:ascii="Arial" w:cs="Arial" w:eastAsia="Arial" w:hAnsi="Arial"/>
          <w:sz w:val="13"/>
          <w:szCs w:val="13"/>
          <w:color w:val="auto"/>
        </w:rPr>
        <w:t>858</w:t>
      </w:r>
      <w:r>
        <w:rPr>
          <w:sz w:val="20"/>
          <w:szCs w:val="20"/>
          <w:color w:val="auto"/>
        </w:rPr>
        <w:tab/>
      </w:r>
      <w:r>
        <w:rPr>
          <w:rFonts w:ascii="Arial" w:cs="Arial" w:eastAsia="Arial" w:hAnsi="Arial"/>
          <w:sz w:val="13"/>
          <w:szCs w:val="13"/>
          <w:color w:val="auto"/>
        </w:rPr>
        <w:t>758</w:t>
      </w:r>
    </w:p>
    <w:p>
      <w:pPr>
        <w:spacing w:after="0" w:line="66" w:lineRule="exact"/>
        <w:rPr>
          <w:sz w:val="20"/>
          <w:szCs w:val="20"/>
          <w:color w:val="auto"/>
        </w:rPr>
      </w:pPr>
    </w:p>
    <w:p>
      <w:pPr>
        <w:ind w:left="1140"/>
        <w:spacing w:after="0"/>
        <w:tabs>
          <w:tab w:leader="none" w:pos="2620" w:val="left"/>
        </w:tabs>
        <w:rPr>
          <w:sz w:val="20"/>
          <w:szCs w:val="20"/>
          <w:color w:val="auto"/>
        </w:rPr>
      </w:pPr>
      <w:r>
        <w:rPr>
          <w:rFonts w:ascii="Arial" w:cs="Arial" w:eastAsia="Arial" w:hAnsi="Arial"/>
          <w:sz w:val="13"/>
          <w:szCs w:val="13"/>
          <w:color w:val="auto"/>
        </w:rPr>
        <w:t>804</w:t>
      </w:r>
      <w:r>
        <w:rPr>
          <w:sz w:val="20"/>
          <w:szCs w:val="20"/>
          <w:color w:val="auto"/>
        </w:rPr>
        <w:tab/>
      </w:r>
      <w:r>
        <w:rPr>
          <w:rFonts w:ascii="Arial" w:cs="Arial" w:eastAsia="Arial" w:hAnsi="Arial"/>
          <w:sz w:val="13"/>
          <w:szCs w:val="13"/>
          <w:color w:val="auto"/>
        </w:rPr>
        <w:t>1,450</w:t>
      </w:r>
    </w:p>
    <w:p>
      <w:pPr>
        <w:spacing w:after="0" w:line="66" w:lineRule="exact"/>
        <w:rPr>
          <w:sz w:val="20"/>
          <w:szCs w:val="20"/>
          <w:color w:val="auto"/>
        </w:rPr>
      </w:pPr>
    </w:p>
    <w:p>
      <w:pPr>
        <w:jc w:val="both"/>
        <w:ind w:left="980"/>
        <w:spacing w:after="0"/>
        <w:tabs>
          <w:tab w:leader="none" w:pos="2560" w:val="left"/>
        </w:tabs>
        <w:rPr>
          <w:sz w:val="20"/>
          <w:szCs w:val="20"/>
          <w:color w:val="auto"/>
        </w:rPr>
      </w:pPr>
      <w:r>
        <w:rPr>
          <w:rFonts w:ascii="Arial" w:cs="Arial" w:eastAsia="Arial" w:hAnsi="Arial"/>
          <w:sz w:val="13"/>
          <w:szCs w:val="13"/>
          <w:color w:val="auto"/>
        </w:rPr>
        <w:t>(2,296)</w:t>
      </w:r>
      <w:r>
        <w:rPr>
          <w:sz w:val="20"/>
          <w:szCs w:val="20"/>
          <w:color w:val="auto"/>
        </w:rPr>
        <w:tab/>
      </w:r>
      <w:r>
        <w:rPr>
          <w:rFonts w:ascii="Arial" w:cs="Arial" w:eastAsia="Arial" w:hAnsi="Arial"/>
          <w:sz w:val="13"/>
          <w:szCs w:val="13"/>
          <w:color w:val="auto"/>
        </w:rPr>
        <w:t>(1,676)</w:t>
      </w:r>
    </w:p>
    <w:p>
      <w:pPr>
        <w:spacing w:after="0" w:line="66" w:lineRule="exact"/>
        <w:rPr>
          <w:sz w:val="20"/>
          <w:szCs w:val="20"/>
          <w:color w:val="auto"/>
        </w:rPr>
      </w:pPr>
    </w:p>
    <w:p>
      <w:pPr>
        <w:ind w:left="1140"/>
        <w:spacing w:after="0"/>
        <w:tabs>
          <w:tab w:leader="none" w:pos="2720" w:val="left"/>
        </w:tabs>
        <w:rPr>
          <w:sz w:val="20"/>
          <w:szCs w:val="20"/>
          <w:color w:val="auto"/>
        </w:rPr>
      </w:pPr>
      <w:r>
        <w:rPr>
          <w:rFonts w:ascii="Arial" w:cs="Arial" w:eastAsia="Arial" w:hAnsi="Arial"/>
          <w:sz w:val="13"/>
          <w:szCs w:val="13"/>
          <w:color w:val="auto"/>
        </w:rPr>
        <w:t>551</w:t>
      </w:r>
      <w:r>
        <w:rPr>
          <w:sz w:val="20"/>
          <w:szCs w:val="20"/>
          <w:color w:val="auto"/>
        </w:rPr>
        <w:tab/>
      </w:r>
      <w:r>
        <w:rPr>
          <w:rFonts w:ascii="Arial" w:cs="Arial" w:eastAsia="Arial" w:hAnsi="Arial"/>
          <w:sz w:val="13"/>
          <w:szCs w:val="13"/>
          <w:color w:val="auto"/>
        </w:rPr>
        <w:t>419</w:t>
      </w:r>
    </w:p>
    <w:p>
      <w:pPr>
        <w:spacing w:after="0" w:line="66" w:lineRule="exact"/>
        <w:rPr>
          <w:sz w:val="20"/>
          <w:szCs w:val="20"/>
          <w:color w:val="auto"/>
        </w:rPr>
      </w:pPr>
    </w:p>
    <w:p>
      <w:pPr>
        <w:ind w:left="2700" w:hanging="1611"/>
        <w:spacing w:after="0"/>
        <w:tabs>
          <w:tab w:leader="none" w:pos="27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(142)</w:t>
      </w:r>
    </w:p>
    <w:p>
      <w:pPr>
        <w:spacing w:after="0" w:line="78" w:lineRule="exact"/>
        <w:rPr>
          <w:sz w:val="20"/>
          <w:szCs w:val="20"/>
          <w:color w:val="auto"/>
        </w:rPr>
      </w:pPr>
    </w:p>
    <w:p>
      <w:pPr>
        <w:ind w:left="960"/>
        <w:spacing w:after="0"/>
        <w:tabs>
          <w:tab w:leader="none" w:pos="2540" w:val="left"/>
        </w:tabs>
        <w:rPr>
          <w:sz w:val="20"/>
          <w:szCs w:val="20"/>
          <w:color w:val="auto"/>
        </w:rPr>
      </w:pPr>
      <w:r>
        <w:rPr>
          <w:rFonts w:ascii="Arial" w:cs="Arial" w:eastAsia="Arial" w:hAnsi="Arial"/>
          <w:sz w:val="13"/>
          <w:szCs w:val="13"/>
          <w:color w:val="auto"/>
        </w:rPr>
        <w:t>31,042</w:t>
      </w:r>
      <w:r>
        <w:rPr>
          <w:sz w:val="20"/>
          <w:szCs w:val="20"/>
          <w:color w:val="auto"/>
        </w:rPr>
        <w:tab/>
      </w:r>
      <w:r>
        <w:rPr>
          <w:rFonts w:ascii="Arial" w:cs="Arial" w:eastAsia="Arial" w:hAnsi="Arial"/>
          <w:sz w:val="13"/>
          <w:szCs w:val="13"/>
          <w:color w:val="auto"/>
        </w:rPr>
        <w:t>30,625</w:t>
      </w:r>
    </w:p>
    <w:p>
      <w:pPr>
        <w:spacing w:after="0" w:line="66" w:lineRule="exact"/>
        <w:rPr>
          <w:sz w:val="20"/>
          <w:szCs w:val="20"/>
          <w:color w:val="auto"/>
        </w:rPr>
      </w:pPr>
    </w:p>
    <w:p>
      <w:pPr>
        <w:jc w:val="both"/>
        <w:ind w:left="980"/>
        <w:spacing w:after="0"/>
        <w:tabs>
          <w:tab w:leader="none" w:pos="2560" w:val="left"/>
        </w:tabs>
        <w:rPr>
          <w:sz w:val="20"/>
          <w:szCs w:val="20"/>
          <w:color w:val="auto"/>
        </w:rPr>
      </w:pPr>
      <w:r>
        <w:rPr>
          <w:rFonts w:ascii="Arial" w:cs="Arial" w:eastAsia="Arial" w:hAnsi="Arial"/>
          <w:sz w:val="13"/>
          <w:szCs w:val="13"/>
          <w:color w:val="auto"/>
        </w:rPr>
        <w:t>(7,925)</w:t>
      </w:r>
      <w:r>
        <w:rPr>
          <w:sz w:val="20"/>
          <w:szCs w:val="20"/>
          <w:color w:val="auto"/>
        </w:rPr>
        <w:tab/>
      </w:r>
      <w:r>
        <w:rPr>
          <w:rFonts w:ascii="Arial" w:cs="Arial" w:eastAsia="Arial" w:hAnsi="Arial"/>
          <w:sz w:val="13"/>
          <w:szCs w:val="13"/>
          <w:color w:val="auto"/>
        </w:rPr>
        <w:t>(7,699)</w:t>
      </w:r>
    </w:p>
    <w:p>
      <w:pPr>
        <w:spacing w:after="0" w:line="55" w:lineRule="exact"/>
        <w:rPr>
          <w:sz w:val="20"/>
          <w:szCs w:val="20"/>
          <w:color w:val="auto"/>
        </w:rPr>
      </w:pPr>
    </w:p>
    <w:p>
      <w:pPr>
        <w:spacing w:after="0"/>
        <w:tabs>
          <w:tab w:leader="none" w:pos="940" w:val="left"/>
          <w:tab w:leader="none" w:pos="1580" w:val="left"/>
          <w:tab w:leader="none" w:pos="25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23,117</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22,926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27305</wp:posOffset>
            </wp:positionV>
            <wp:extent cx="196405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3060"/>
          </w:cols>
          <w:pgMar w:left="220" w:top="211" w:right="219" w:bottom="1440" w:gutter="0" w:footer="0" w:header="0"/>
          <w:type w:val="continuous"/>
        </w:sectPr>
      </w:pPr>
    </w:p>
    <w:p>
      <w:pPr>
        <w:spacing w:after="0" w:line="223" w:lineRule="exact"/>
        <w:rPr>
          <w:sz w:val="20"/>
          <w:szCs w:val="20"/>
          <w:color w:val="auto"/>
        </w:rPr>
      </w:pPr>
    </w:p>
    <w:p>
      <w:pPr>
        <w:ind w:left="400" w:hanging="394"/>
        <w:spacing w:after="0"/>
        <w:tabs>
          <w:tab w:leader="none" w:pos="40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right="140" w:firstLine="388"/>
        <w:spacing w:after="0" w:line="262" w:lineRule="auto"/>
        <w:rPr>
          <w:sz w:val="20"/>
          <w:szCs w:val="20"/>
          <w:color w:val="auto"/>
        </w:rPr>
      </w:pPr>
      <w:r>
        <w:rPr>
          <w:rFonts w:ascii="Arial" w:cs="Arial" w:eastAsia="Arial" w:hAnsi="Arial"/>
          <w:sz w:val="14"/>
          <w:szCs w:val="14"/>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9" w:lineRule="exact"/>
        <w:rPr>
          <w:sz w:val="20"/>
          <w:szCs w:val="20"/>
          <w:color w:val="auto"/>
        </w:rPr>
      </w:pPr>
    </w:p>
    <w:p>
      <w:pPr>
        <w:ind w:right="120" w:firstLine="388"/>
        <w:spacing w:after="0" w:line="265" w:lineRule="auto"/>
        <w:rPr>
          <w:sz w:val="20"/>
          <w:szCs w:val="20"/>
          <w:color w:val="auto"/>
        </w:rPr>
      </w:pPr>
      <w:r>
        <w:rPr>
          <w:rFonts w:ascii="Arial" w:cs="Arial" w:eastAsia="Arial" w:hAnsi="Arial"/>
          <w:sz w:val="14"/>
          <w:szCs w:val="14"/>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156" w:lineRule="exact"/>
        <w:rPr>
          <w:sz w:val="20"/>
          <w:szCs w:val="20"/>
          <w:color w:val="auto"/>
        </w:rPr>
      </w:pPr>
    </w:p>
    <w:p>
      <w:pPr>
        <w:ind w:left="660" w:right="160" w:hanging="266"/>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151" w:lineRule="exact"/>
        <w:rPr>
          <w:rFonts w:ascii="Arial" w:cs="Arial" w:eastAsia="Arial" w:hAnsi="Arial"/>
          <w:sz w:val="14"/>
          <w:szCs w:val="14"/>
          <w:color w:val="auto"/>
        </w:rPr>
      </w:pPr>
    </w:p>
    <w:p>
      <w:pPr>
        <w:ind w:left="660" w:hanging="266"/>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Level 2—Valuations based on one or more quoted prices in markets that are not active or for which all significant inputs are observable, either directly or indirectly.</w:t>
      </w:r>
    </w:p>
    <w:p>
      <w:pPr>
        <w:spacing w:after="0" w:line="183" w:lineRule="exact"/>
        <w:rPr>
          <w:rFonts w:ascii="Arial" w:cs="Arial" w:eastAsia="Arial" w:hAnsi="Arial"/>
          <w:sz w:val="14"/>
          <w:szCs w:val="14"/>
          <w:color w:val="auto"/>
        </w:rPr>
      </w:pPr>
    </w:p>
    <w:p>
      <w:pPr>
        <w:ind w:left="660" w:hanging="266"/>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Level 3—Valuations based on inputs that are unobservable and significant to the overall fair value measurement.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the Company’s liabilities that were measured at fair value on a recurring basis and its categorization within the fair value hierarchy: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460" w:type="dxa"/>
            <w:vAlign w:val="bottom"/>
          </w:tcPr>
          <w:p>
            <w:pPr>
              <w:spacing w:after="0"/>
              <w:rPr>
                <w:sz w:val="11"/>
                <w:szCs w:val="11"/>
                <w:color w:val="auto"/>
              </w:rPr>
            </w:pPr>
          </w:p>
        </w:tc>
        <w:tc>
          <w:tcPr>
            <w:tcW w:w="3940" w:type="dxa"/>
            <w:vAlign w:val="bottom"/>
          </w:tcPr>
          <w:p>
            <w:pPr>
              <w:jc w:val="center"/>
              <w:ind w:left="2140"/>
              <w:spacing w:after="0"/>
              <w:rPr>
                <w:sz w:val="20"/>
                <w:szCs w:val="20"/>
                <w:color w:val="auto"/>
              </w:rPr>
            </w:pPr>
            <w:r>
              <w:rPr>
                <w:rFonts w:ascii="Arial" w:cs="Arial" w:eastAsia="Arial" w:hAnsi="Arial"/>
                <w:sz w:val="11"/>
                <w:szCs w:val="11"/>
                <w:b w:val="1"/>
                <w:bCs w:val="1"/>
                <w:color w:val="auto"/>
              </w:rPr>
              <w:t>Fair Value</w:t>
            </w:r>
          </w:p>
        </w:tc>
        <w:tc>
          <w:tcPr>
            <w:tcW w:w="28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320" w:type="dxa"/>
            <w:vAlign w:val="bottom"/>
          </w:tcPr>
          <w:p>
            <w:pPr>
              <w:spacing w:after="0"/>
              <w:rPr>
                <w:sz w:val="11"/>
                <w:szCs w:val="11"/>
                <w:color w:val="auto"/>
              </w:rPr>
            </w:pPr>
          </w:p>
        </w:tc>
        <w:tc>
          <w:tcPr>
            <w:tcW w:w="1140" w:type="dxa"/>
            <w:vAlign w:val="bottom"/>
          </w:tcPr>
          <w:p>
            <w:pPr>
              <w:jc w:val="right"/>
              <w:ind w:right="318"/>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4460" w:type="dxa"/>
            <w:vAlign w:val="bottom"/>
          </w:tcPr>
          <w:p>
            <w:pPr>
              <w:spacing w:after="0"/>
              <w:rPr>
                <w:sz w:val="13"/>
                <w:szCs w:val="13"/>
                <w:color w:val="auto"/>
              </w:rPr>
            </w:pPr>
          </w:p>
        </w:tc>
        <w:tc>
          <w:tcPr>
            <w:tcW w:w="3940" w:type="dxa"/>
            <w:vAlign w:val="bottom"/>
          </w:tcPr>
          <w:p>
            <w:pPr>
              <w:jc w:val="center"/>
              <w:ind w:left="2120"/>
              <w:spacing w:after="0"/>
              <w:rPr>
                <w:sz w:val="20"/>
                <w:szCs w:val="20"/>
                <w:color w:val="auto"/>
              </w:rPr>
            </w:pPr>
            <w:r>
              <w:rPr>
                <w:rFonts w:ascii="Arial" w:cs="Arial" w:eastAsia="Arial" w:hAnsi="Arial"/>
                <w:sz w:val="11"/>
                <w:szCs w:val="11"/>
                <w:b w:val="1"/>
                <w:bCs w:val="1"/>
                <w:color w:val="auto"/>
              </w:rPr>
              <w:t>Hierarchy</w:t>
            </w: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2018</w:t>
            </w:r>
          </w:p>
        </w:tc>
      </w:tr>
      <w:tr>
        <w:trPr>
          <w:trHeight w:val="159"/>
        </w:trPr>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3"/>
                <w:szCs w:val="13"/>
                <w:color w:val="auto"/>
              </w:rPr>
            </w:pPr>
          </w:p>
        </w:tc>
      </w:tr>
      <w:tr>
        <w:trPr>
          <w:trHeight w:val="41"/>
        </w:trPr>
        <w:tc>
          <w:tcPr>
            <w:tcW w:w="4460" w:type="dxa"/>
            <w:vAlign w:val="bottom"/>
          </w:tcPr>
          <w:p>
            <w:pPr>
              <w:spacing w:after="0"/>
              <w:rPr>
                <w:sz w:val="3"/>
                <w:szCs w:val="3"/>
                <w:color w:val="auto"/>
              </w:rPr>
            </w:pPr>
          </w:p>
        </w:tc>
        <w:tc>
          <w:tcPr>
            <w:tcW w:w="3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4460" w:type="dxa"/>
            <w:vAlign w:val="bottom"/>
          </w:tcPr>
          <w:p>
            <w:pPr>
              <w:ind w:left="140"/>
              <w:spacing w:after="0"/>
              <w:rPr>
                <w:sz w:val="20"/>
                <w:szCs w:val="20"/>
                <w:color w:val="auto"/>
              </w:rPr>
            </w:pPr>
            <w:r>
              <w:rPr>
                <w:rFonts w:ascii="Arial" w:cs="Arial" w:eastAsia="Arial" w:hAnsi="Arial"/>
                <w:sz w:val="13"/>
                <w:szCs w:val="13"/>
                <w:color w:val="auto"/>
              </w:rPr>
              <w:t>Current</w:t>
            </w:r>
          </w:p>
        </w:tc>
        <w:tc>
          <w:tcPr>
            <w:tcW w:w="3940" w:type="dxa"/>
            <w:vAlign w:val="bottom"/>
          </w:tcPr>
          <w:p>
            <w:pPr>
              <w:spacing w:after="0"/>
              <w:rPr>
                <w:sz w:val="18"/>
                <w:szCs w:val="18"/>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39"/>
              <w:spacing w:after="0"/>
              <w:rPr>
                <w:sz w:val="20"/>
                <w:szCs w:val="20"/>
                <w:color w:val="auto"/>
              </w:rPr>
            </w:pPr>
            <w:r>
              <w:rPr>
                <w:rFonts w:ascii="Arial" w:cs="Arial" w:eastAsia="Arial" w:hAnsi="Arial"/>
                <w:sz w:val="13"/>
                <w:szCs w:val="13"/>
                <w:color w:val="auto"/>
              </w:rPr>
              <w:t>4,237</w:t>
            </w:r>
          </w:p>
        </w:tc>
        <w:tc>
          <w:tcPr>
            <w:tcW w:w="120" w:type="dxa"/>
            <w:vAlign w:val="bottom"/>
          </w:tcPr>
          <w:p>
            <w:pPr>
              <w:spacing w:after="0"/>
              <w:rPr>
                <w:sz w:val="18"/>
                <w:szCs w:val="18"/>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8"/>
              <w:spacing w:after="0"/>
              <w:rPr>
                <w:sz w:val="20"/>
                <w:szCs w:val="20"/>
                <w:color w:val="auto"/>
              </w:rPr>
            </w:pPr>
            <w:r>
              <w:rPr>
                <w:rFonts w:ascii="Arial" w:cs="Arial" w:eastAsia="Arial" w:hAnsi="Arial"/>
                <w:sz w:val="13"/>
                <w:szCs w:val="13"/>
                <w:color w:val="auto"/>
              </w:rPr>
              <w:t>4,288</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3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7,828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7,469</w:t>
            </w:r>
          </w:p>
        </w:tc>
      </w:tr>
      <w:tr>
        <w:trPr>
          <w:trHeight w:val="190"/>
        </w:trPr>
        <w:tc>
          <w:tcPr>
            <w:tcW w:w="4460" w:type="dxa"/>
            <w:vAlign w:val="bottom"/>
          </w:tcPr>
          <w:p>
            <w:pPr>
              <w:ind w:left="220"/>
              <w:spacing w:after="0"/>
              <w:rPr>
                <w:sz w:val="20"/>
                <w:szCs w:val="20"/>
                <w:color w:val="auto"/>
              </w:rPr>
            </w:pPr>
            <w:r>
              <w:rPr>
                <w:rFonts w:ascii="Arial" w:cs="Arial" w:eastAsia="Arial" w:hAnsi="Arial"/>
                <w:sz w:val="13"/>
                <w:szCs w:val="13"/>
                <w:color w:val="auto"/>
              </w:rPr>
              <w:t>Total warranty obligations</w:t>
            </w:r>
          </w:p>
        </w:tc>
        <w:tc>
          <w:tcPr>
            <w:tcW w:w="3940" w:type="dxa"/>
            <w:vAlign w:val="bottom"/>
          </w:tcPr>
          <w:p>
            <w:pPr>
              <w:jc w:val="center"/>
              <w:ind w:left="2140"/>
              <w:spacing w:after="0"/>
              <w:rPr>
                <w:sz w:val="20"/>
                <w:szCs w:val="20"/>
                <w:color w:val="auto"/>
              </w:rPr>
            </w:pPr>
            <w:r>
              <w:rPr>
                <w:rFonts w:ascii="Arial" w:cs="Arial" w:eastAsia="Arial" w:hAnsi="Arial"/>
                <w:sz w:val="13"/>
                <w:szCs w:val="13"/>
                <w:color w:val="auto"/>
              </w:rPr>
              <w:t>Level 3</w:t>
            </w: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12,065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11,757</w:t>
            </w:r>
          </w:p>
        </w:tc>
      </w:tr>
      <w:tr>
        <w:trPr>
          <w:trHeight w:val="20"/>
        </w:trPr>
        <w:tc>
          <w:tcPr>
            <w:tcW w:w="44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12</w:t>
      </w:r>
    </w:p>
    <w:p>
      <w:pPr>
        <w:sectPr>
          <w:pgSz w:w="11900" w:h="16838" w:orient="portrait"/>
          <w:cols w:equalWidth="0" w:num="1">
            <w:col w:w="11460"/>
          </w:cols>
          <w:pgMar w:left="220" w:top="211" w:right="2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Option for Warranty Obligations Related to Microinverters Sold Since January 1, 2014</w:t>
      </w:r>
    </w:p>
    <w:p>
      <w:pPr>
        <w:spacing w:after="0" w:line="245"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159" w:lineRule="exact"/>
        <w:rPr>
          <w:sz w:val="20"/>
          <w:szCs w:val="20"/>
          <w:color w:val="auto"/>
        </w:rPr>
      </w:pPr>
    </w:p>
    <w:p>
      <w:pPr>
        <w:ind w:right="60" w:firstLine="388"/>
        <w:spacing w:after="0" w:line="273" w:lineRule="auto"/>
        <w:rPr>
          <w:sz w:val="20"/>
          <w:szCs w:val="20"/>
          <w:color w:val="auto"/>
        </w:rPr>
      </w:pPr>
      <w:r>
        <w:rPr>
          <w:rFonts w:ascii="Arial" w:cs="Arial" w:eastAsia="Arial" w:hAnsi="Arial"/>
          <w:sz w:val="14"/>
          <w:szCs w:val="14"/>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98"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11,757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9,791</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Accruals for warranties issued during period</w:t>
            </w:r>
          </w:p>
        </w:tc>
        <w:tc>
          <w:tcPr>
            <w:tcW w:w="94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858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758</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estimates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1,785</w:t>
            </w:r>
          </w:p>
        </w:tc>
      </w:tr>
      <w:tr>
        <w:trPr>
          <w:trHeight w:val="208"/>
        </w:trPr>
        <w:tc>
          <w:tcPr>
            <w:tcW w:w="836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(891)</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due to accretion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419</w:t>
            </w:r>
          </w:p>
        </w:tc>
      </w:tr>
      <w:tr>
        <w:trPr>
          <w:trHeight w:val="20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r>
      <w:tr>
        <w:trPr>
          <w:trHeight w:val="19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94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12,065</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11,720</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Information about Level 3 Fair Value Measurements</w:t>
      </w:r>
    </w:p>
    <w:p>
      <w:pPr>
        <w:spacing w:after="0" w:line="202" w:lineRule="exact"/>
        <w:rPr>
          <w:sz w:val="20"/>
          <w:szCs w:val="20"/>
          <w:color w:val="auto"/>
        </w:rPr>
      </w:pPr>
    </w:p>
    <w:p>
      <w:pPr>
        <w:ind w:right="140" w:firstLine="388"/>
        <w:spacing w:after="0" w:line="273" w:lineRule="auto"/>
        <w:rPr>
          <w:sz w:val="20"/>
          <w:szCs w:val="20"/>
          <w:color w:val="auto"/>
        </w:rPr>
      </w:pPr>
      <w:r>
        <w:rPr>
          <w:rFonts w:ascii="Arial" w:cs="Arial" w:eastAsia="Arial" w:hAnsi="Arial"/>
          <w:sz w:val="14"/>
          <w:szCs w:val="14"/>
          <w:color w:val="auto"/>
        </w:rPr>
        <w:t>As of March 31, 2019 and December 31, 2018, the significant unobservable inputs used in the fair value measurement of the Company’s liabilities designated as Level 3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gridSpan w:val="3"/>
          </w:tcPr>
          <w:p>
            <w:pPr>
              <w:jc w:val="center"/>
              <w:ind w:right="943"/>
              <w:spacing w:after="0"/>
              <w:rPr>
                <w:sz w:val="20"/>
                <w:szCs w:val="20"/>
                <w:color w:val="auto"/>
              </w:rPr>
            </w:pPr>
            <w:r>
              <w:rPr>
                <w:rFonts w:ascii="Arial" w:cs="Arial" w:eastAsia="Arial" w:hAnsi="Arial"/>
                <w:sz w:val="11"/>
                <w:szCs w:val="11"/>
                <w:b w:val="1"/>
                <w:bCs w:val="1"/>
                <w:color w:val="auto"/>
              </w:rPr>
              <w:t>Percent Used</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center"/>
              <w:ind w:right="943"/>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36"/>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399"/>
              <w:spacing w:after="0"/>
              <w:rPr>
                <w:sz w:val="20"/>
                <w:szCs w:val="20"/>
                <w:color w:val="auto"/>
              </w:rPr>
            </w:pPr>
            <w:r>
              <w:rPr>
                <w:rFonts w:ascii="Arial" w:cs="Arial" w:eastAsia="Arial" w:hAnsi="Arial"/>
                <w:sz w:val="11"/>
                <w:szCs w:val="11"/>
                <w:b w:val="1"/>
                <w:bCs w:val="1"/>
                <w:color w:val="auto"/>
              </w:rPr>
              <w:t>March 31,</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Item Measured at Fair Value</w:t>
            </w:r>
          </w:p>
        </w:tc>
        <w:tc>
          <w:tcPr>
            <w:tcW w:w="12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Valuation Technique</w:t>
            </w:r>
          </w:p>
        </w:tc>
        <w:tc>
          <w:tcPr>
            <w:tcW w:w="100" w:type="dxa"/>
            <w:vAlign w:val="bottom"/>
            <w:tcBorders>
              <w:bottom w:val="single" w:sz="8" w:color="CCEEFF"/>
            </w:tcBorders>
          </w:tcPr>
          <w:p>
            <w:pPr>
              <w:spacing w:after="0"/>
              <w:rPr>
                <w:sz w:val="13"/>
                <w:szCs w:val="13"/>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Description of Significant Unobservable Input</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ind w:left="439"/>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0" w:type="dxa"/>
            <w:vAlign w:val="bottom"/>
          </w:tcPr>
          <w:p>
            <w:pPr>
              <w:spacing w:after="0"/>
              <w:rPr>
                <w:sz w:val="1"/>
                <w:szCs w:val="1"/>
                <w:color w:val="auto"/>
              </w:rPr>
            </w:pPr>
          </w:p>
        </w:tc>
      </w:tr>
      <w:tr>
        <w:trPr>
          <w:trHeight w:val="200"/>
        </w:trPr>
        <w:tc>
          <w:tcPr>
            <w:tcW w:w="3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Warranty obligations for microinverters sold since</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Discounted cash flows</w:t>
            </w:r>
          </w:p>
        </w:tc>
        <w:tc>
          <w:tcPr>
            <w:tcW w:w="10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Profit element and risk premium</w:t>
            </w:r>
          </w:p>
        </w:tc>
        <w:tc>
          <w:tcPr>
            <w:tcW w:w="1000" w:type="dxa"/>
            <w:vAlign w:val="bottom"/>
            <w:shd w:val="clear" w:color="auto" w:fill="CCEEFF"/>
          </w:tcPr>
          <w:p>
            <w:pPr>
              <w:jc w:val="center"/>
              <w:ind w:left="439"/>
              <w:spacing w:after="0"/>
              <w:rPr>
                <w:sz w:val="20"/>
                <w:szCs w:val="20"/>
                <w:color w:val="auto"/>
              </w:rPr>
            </w:pPr>
            <w:r>
              <w:rPr>
                <w:rFonts w:ascii="Arial" w:cs="Arial" w:eastAsia="Arial" w:hAnsi="Arial"/>
                <w:sz w:val="13"/>
                <w:szCs w:val="13"/>
                <w:color w:val="auto"/>
                <w:w w:val="99"/>
              </w:rPr>
              <w:t>14%</w:t>
            </w:r>
          </w:p>
        </w:tc>
        <w:tc>
          <w:tcPr>
            <w:tcW w:w="2080" w:type="dxa"/>
            <w:vAlign w:val="bottom"/>
            <w:gridSpan w:val="3"/>
            <w:shd w:val="clear" w:color="auto" w:fill="CCEEFF"/>
          </w:tcPr>
          <w:p>
            <w:pPr>
              <w:jc w:val="center"/>
              <w:ind w:left="519"/>
              <w:spacing w:after="0"/>
              <w:rPr>
                <w:sz w:val="20"/>
                <w:szCs w:val="20"/>
                <w:color w:val="auto"/>
              </w:rPr>
            </w:pPr>
            <w:r>
              <w:rPr>
                <w:rFonts w:ascii="Arial" w:cs="Arial" w:eastAsia="Arial" w:hAnsi="Arial"/>
                <w:sz w:val="13"/>
                <w:szCs w:val="13"/>
                <w:color w:val="auto"/>
                <w:w w:val="99"/>
              </w:rPr>
              <w:t>16%</w:t>
            </w:r>
          </w:p>
        </w:tc>
        <w:tc>
          <w:tcPr>
            <w:tcW w:w="0" w:type="dxa"/>
            <w:vAlign w:val="bottom"/>
          </w:tcPr>
          <w:p>
            <w:pPr>
              <w:spacing w:after="0"/>
              <w:rPr>
                <w:sz w:val="1"/>
                <w:szCs w:val="1"/>
                <w:color w:val="auto"/>
              </w:rPr>
            </w:pPr>
          </w:p>
        </w:tc>
      </w:tr>
      <w:tr>
        <w:trPr>
          <w:trHeight w:val="81"/>
        </w:trPr>
        <w:tc>
          <w:tcPr>
            <w:tcW w:w="322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January 1, 2014</w:t>
            </w:r>
          </w:p>
        </w:tc>
        <w:tc>
          <w:tcPr>
            <w:tcW w:w="1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9"/>
              </w:rPr>
              <w:t>Credit-adjusted risk-free rate</w:t>
            </w:r>
          </w:p>
        </w:tc>
        <w:tc>
          <w:tcPr>
            <w:tcW w:w="1000" w:type="dxa"/>
            <w:vAlign w:val="bottom"/>
            <w:vMerge w:val="restart"/>
            <w:shd w:val="clear" w:color="auto" w:fill="CCEEFF"/>
          </w:tcPr>
          <w:p>
            <w:pPr>
              <w:jc w:val="center"/>
              <w:ind w:left="439"/>
              <w:spacing w:after="0"/>
              <w:rPr>
                <w:sz w:val="20"/>
                <w:szCs w:val="20"/>
                <w:color w:val="auto"/>
              </w:rPr>
            </w:pPr>
            <w:r>
              <w:rPr>
                <w:rFonts w:ascii="Arial" w:cs="Arial" w:eastAsia="Arial" w:hAnsi="Arial"/>
                <w:sz w:val="13"/>
                <w:szCs w:val="13"/>
                <w:color w:val="auto"/>
                <w:w w:val="99"/>
              </w:rPr>
              <w:t>18%</w:t>
            </w:r>
          </w:p>
        </w:tc>
        <w:tc>
          <w:tcPr>
            <w:tcW w:w="2080" w:type="dxa"/>
            <w:vAlign w:val="bottom"/>
            <w:gridSpan w:val="3"/>
            <w:vMerge w:val="restart"/>
            <w:shd w:val="clear" w:color="auto" w:fill="CCEEFF"/>
          </w:tcPr>
          <w:p>
            <w:pPr>
              <w:jc w:val="center"/>
              <w:ind w:left="519"/>
              <w:spacing w:after="0"/>
              <w:rPr>
                <w:sz w:val="20"/>
                <w:szCs w:val="20"/>
                <w:color w:val="auto"/>
              </w:rPr>
            </w:pPr>
            <w:r>
              <w:rPr>
                <w:rFonts w:ascii="Arial" w:cs="Arial" w:eastAsia="Arial" w:hAnsi="Arial"/>
                <w:sz w:val="13"/>
                <w:szCs w:val="13"/>
                <w:color w:val="auto"/>
                <w:w w:val="99"/>
              </w:rPr>
              <w:t>19%</w:t>
            </w:r>
          </w:p>
        </w:tc>
        <w:tc>
          <w:tcPr>
            <w:tcW w:w="0" w:type="dxa"/>
            <w:vAlign w:val="bottom"/>
          </w:tcPr>
          <w:p>
            <w:pPr>
              <w:spacing w:after="0"/>
              <w:rPr>
                <w:sz w:val="1"/>
                <w:szCs w:val="1"/>
                <w:color w:val="auto"/>
              </w:rPr>
            </w:pPr>
          </w:p>
        </w:tc>
      </w:tr>
      <w:tr>
        <w:trPr>
          <w:trHeight w:val="108"/>
        </w:trPr>
        <w:tc>
          <w:tcPr>
            <w:tcW w:w="3220" w:type="dxa"/>
            <w:vAlign w:val="bottom"/>
            <w:gridSpan w:val="2"/>
            <w:vMerge w:val="continue"/>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0" w:type="dxa"/>
            <w:vAlign w:val="bottom"/>
            <w:gridSpan w:val="2"/>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208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Sensitivity of Level 3 Inputs - Warranty Obligations</w:t>
      </w:r>
    </w:p>
    <w:p>
      <w:pPr>
        <w:spacing w:after="0" w:line="202" w:lineRule="exact"/>
        <w:rPr>
          <w:sz w:val="20"/>
          <w:szCs w:val="20"/>
          <w:color w:val="auto"/>
        </w:rPr>
      </w:pPr>
    </w:p>
    <w:p>
      <w:pPr>
        <w:ind w:right="20" w:firstLine="388"/>
        <w:spacing w:after="0" w:line="172" w:lineRule="exact"/>
        <w:rPr>
          <w:sz w:val="20"/>
          <w:szCs w:val="20"/>
          <w:color w:val="auto"/>
        </w:rPr>
      </w:pPr>
      <w:r>
        <w:rPr>
          <w:rFonts w:ascii="Arial" w:cs="Arial" w:eastAsia="Arial" w:hAnsi="Arial"/>
          <w:sz w:val="14"/>
          <w:szCs w:val="14"/>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4"/>
          <w:szCs w:val="14"/>
          <w:color w:val="auto"/>
        </w:rPr>
        <w:t>‑</w:t>
      </w:r>
      <w:r>
        <w:rPr>
          <w:rFonts w:ascii="Arial" w:cs="Arial" w:eastAsia="Arial" w:hAnsi="Arial"/>
          <w:sz w:val="14"/>
          <w:szCs w:val="14"/>
          <w:color w:val="auto"/>
        </w:rPr>
        <w:t>adjusted risk</w:t>
      </w:r>
      <w:r>
        <w:rPr>
          <w:rFonts w:ascii="MS PGothic" w:cs="MS PGothic" w:eastAsia="MS PGothic" w:hAnsi="MS PGothic"/>
          <w:sz w:val="14"/>
          <w:szCs w:val="14"/>
          <w:color w:val="auto"/>
        </w:rPr>
        <w:t>‑</w:t>
      </w:r>
      <w:r>
        <w:rPr>
          <w:rFonts w:ascii="Arial" w:cs="Arial" w:eastAsia="Arial" w:hAnsi="Arial"/>
          <w:sz w:val="14"/>
          <w:szCs w:val="14"/>
          <w:color w:val="auto"/>
        </w:rPr>
        <w:t>free rate (“discount rate”) is determined by reference to the Company’s own credit standing at the fair value measurement date. Increasing the profit element and risk premium input by 100 basis points would result in a $0.1 million increase to the liability. Decreasing the profit element and risk premium by 100 basis points would result in a $0.1 million reduction of the liability. Increasing the discount rate by 100 basis points would result in a $0.5 million reduction of the liability. Decreasing the discount rate by 100 basis points would result in a $0.5 million increase to the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248920</wp:posOffset>
            </wp:positionV>
            <wp:extent cx="70897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13</w:t>
      </w:r>
    </w:p>
    <w:p>
      <w:pPr>
        <w:sectPr>
          <w:pgSz w:w="11900" w:h="16838" w:orient="portrait"/>
          <w:cols w:equalWidth="0" w:num="1">
            <w:col w:w="11460"/>
          </w:cols>
          <w:pgMar w:left="220" w:top="211" w:right="21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RESTRUCTURING</w:t>
      </w:r>
    </w:p>
    <w:p>
      <w:pPr>
        <w:spacing w:after="0" w:line="115" w:lineRule="exact"/>
        <w:rPr>
          <w:rFonts w:ascii="Arial" w:cs="Arial" w:eastAsia="Arial" w:hAnsi="Arial"/>
          <w:sz w:val="14"/>
          <w:szCs w:val="14"/>
          <w:b w:val="1"/>
          <w:bCs w:val="1"/>
          <w:color w:val="auto"/>
        </w:rPr>
      </w:pPr>
    </w:p>
    <w:p>
      <w:pPr>
        <w:ind w:left="400"/>
        <w:spacing w:after="0"/>
        <w:rPr>
          <w:rFonts w:ascii="Arial" w:cs="Arial" w:eastAsia="Arial" w:hAnsi="Arial"/>
          <w:sz w:val="14"/>
          <w:szCs w:val="14"/>
          <w:b w:val="1"/>
          <w:bCs w:val="1"/>
          <w:color w:val="auto"/>
        </w:rPr>
      </w:pPr>
      <w:r>
        <w:rPr>
          <w:rFonts w:ascii="Arial" w:cs="Arial" w:eastAsia="Arial" w:hAnsi="Arial"/>
          <w:sz w:val="14"/>
          <w:szCs w:val="14"/>
          <w:color w:val="auto"/>
        </w:rPr>
        <w:t>Restructuring expense consist of the following:</w:t>
      </w:r>
    </w:p>
    <w:p>
      <w:pPr>
        <w:spacing w:after="0" w:line="131"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Redundancy and employee severance and benefit arrangements</w:t>
            </w: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Lease loss reserves</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restructuring charges</w:t>
            </w:r>
          </w:p>
        </w:tc>
        <w:tc>
          <w:tcPr>
            <w:tcW w:w="100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368</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Plan</w:t>
      </w:r>
    </w:p>
    <w:p>
      <w:pPr>
        <w:spacing w:after="0" w:line="200" w:lineRule="exact"/>
        <w:rPr>
          <w:sz w:val="20"/>
          <w:szCs w:val="20"/>
          <w:color w:val="auto"/>
        </w:rPr>
      </w:pPr>
    </w:p>
    <w:p>
      <w:pPr>
        <w:ind w:right="340" w:firstLine="388"/>
        <w:spacing w:after="0" w:line="265" w:lineRule="auto"/>
        <w:rPr>
          <w:sz w:val="20"/>
          <w:szCs w:val="20"/>
          <w:color w:val="auto"/>
        </w:rPr>
      </w:pPr>
      <w:r>
        <w:rPr>
          <w:rFonts w:ascii="Arial" w:cs="Arial" w:eastAsia="Arial" w:hAnsi="Arial"/>
          <w:sz w:val="14"/>
          <w:szCs w:val="14"/>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expects to complete this restructuring in 2019.</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provides information regarding changes in the Company’s 2018 Plan accrued restructuring balance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Redundancy and</w:t>
            </w: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29"/>
        </w:trPr>
        <w:tc>
          <w:tcPr>
            <w:tcW w:w="6760" w:type="dxa"/>
            <w:vAlign w:val="bottom"/>
          </w:tcPr>
          <w:p>
            <w:pPr>
              <w:spacing w:after="0"/>
              <w:rPr>
                <w:sz w:val="11"/>
                <w:szCs w:val="11"/>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Employee Severance and</w:t>
            </w:r>
          </w:p>
        </w:tc>
        <w:tc>
          <w:tcPr>
            <w:tcW w:w="16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Lease Loss Reserves and</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7"/>
        </w:trPr>
        <w:tc>
          <w:tcPr>
            <w:tcW w:w="6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Benefits</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Contractual Obligations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Total</w:t>
            </w:r>
          </w:p>
        </w:tc>
      </w:tr>
      <w:tr>
        <w:trPr>
          <w:trHeight w:val="159"/>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41"/>
        </w:trPr>
        <w:tc>
          <w:tcPr>
            <w:tcW w:w="6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2018</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1,192</w:t>
            </w:r>
          </w:p>
        </w:tc>
      </w:tr>
      <w:tr>
        <w:trPr>
          <w:trHeight w:val="208"/>
        </w:trPr>
        <w:tc>
          <w:tcPr>
            <w:tcW w:w="6760" w:type="dxa"/>
            <w:vAlign w:val="bottom"/>
          </w:tcPr>
          <w:p>
            <w:pPr>
              <w:ind w:left="140"/>
              <w:spacing w:after="0"/>
              <w:rPr>
                <w:sz w:val="20"/>
                <w:szCs w:val="20"/>
                <w:color w:val="auto"/>
              </w:rPr>
            </w:pPr>
            <w:r>
              <w:rPr>
                <w:rFonts w:ascii="Arial" w:cs="Arial" w:eastAsia="Arial" w:hAnsi="Arial"/>
                <w:sz w:val="13"/>
                <w:szCs w:val="13"/>
                <w:color w:val="auto"/>
              </w:rPr>
              <w:t>Charges</w:t>
            </w:r>
          </w:p>
        </w:tc>
        <w:tc>
          <w:tcPr>
            <w:tcW w:w="1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468</w:t>
            </w: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payments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r>
      <w:tr>
        <w:trPr>
          <w:trHeight w:val="208"/>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Non-cash settlement and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r>
      <w:tr>
        <w:trPr>
          <w:trHeight w:val="190"/>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March 31, 2019</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2016 Plan</w:t>
      </w:r>
    </w:p>
    <w:p>
      <w:pPr>
        <w:spacing w:after="0" w:line="200"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substantially completed its restructuring activities under the 2016 Plan in 2017.</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provides information regarding changes in the Company’s 2016 Plan accrued restructuring balance for the periods indicated:</w:t>
      </w:r>
    </w:p>
    <w:p>
      <w:pPr>
        <w:sectPr>
          <w:pgSz w:w="11900" w:h="16838" w:orient="portrait"/>
          <w:cols w:equalWidth="0" w:num="1">
            <w:col w:w="11460"/>
          </w:cols>
          <w:pgMar w:left="220" w:top="21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74560" cy="123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745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3215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1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16"/>
        <w:spacing w:after="0"/>
        <w:rPr>
          <w:sz w:val="20"/>
          <w:szCs w:val="20"/>
          <w:color w:val="auto"/>
        </w:rPr>
      </w:pPr>
      <w:r>
        <w:rPr>
          <w:rFonts w:ascii="Arial" w:cs="Arial" w:eastAsia="Arial" w:hAnsi="Arial"/>
          <w:sz w:val="11"/>
          <w:szCs w:val="11"/>
          <w:b w:val="1"/>
          <w:bCs w:val="1"/>
          <w:color w:val="auto"/>
        </w:rPr>
        <w:t>Lease Loss Reserves and</w:t>
      </w:r>
    </w:p>
    <w:p>
      <w:pPr>
        <w:spacing w:after="0" w:line="17" w:lineRule="exact"/>
        <w:rPr>
          <w:sz w:val="20"/>
          <w:szCs w:val="20"/>
          <w:color w:val="auto"/>
        </w:rPr>
      </w:pPr>
    </w:p>
    <w:p>
      <w:pPr>
        <w:jc w:val="center"/>
        <w:ind w:right="16"/>
        <w:spacing w:after="0"/>
        <w:rPr>
          <w:sz w:val="20"/>
          <w:szCs w:val="20"/>
          <w:color w:val="auto"/>
        </w:rPr>
      </w:pPr>
      <w:r>
        <w:rPr>
          <w:rFonts w:ascii="Arial" w:cs="Arial" w:eastAsia="Arial" w:hAnsi="Arial"/>
          <w:sz w:val="11"/>
          <w:szCs w:val="11"/>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9442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57" w:lineRule="exact"/>
        <w:rPr>
          <w:sz w:val="20"/>
          <w:szCs w:val="20"/>
          <w:color w:val="auto"/>
        </w:rPr>
      </w:pPr>
    </w:p>
    <w:p>
      <w:pPr>
        <w:ind w:left="364"/>
        <w:spacing w:after="0"/>
        <w:rPr>
          <w:sz w:val="20"/>
          <w:szCs w:val="20"/>
          <w:color w:val="auto"/>
        </w:rPr>
      </w:pPr>
      <w:r>
        <w:rPr>
          <w:rFonts w:ascii="Arial" w:cs="Arial" w:eastAsia="Arial" w:hAnsi="Arial"/>
          <w:sz w:val="11"/>
          <w:szCs w:val="11"/>
          <w:i w:val="1"/>
          <w:iCs w:val="1"/>
          <w:color w:val="auto"/>
        </w:rPr>
        <w:t>(In thousands)</w:t>
      </w:r>
    </w:p>
    <w:p>
      <w:pPr>
        <w:spacing w:after="0" w:line="56" w:lineRule="exact"/>
        <w:rPr>
          <w:sz w:val="20"/>
          <w:szCs w:val="20"/>
          <w:color w:val="auto"/>
        </w:rPr>
      </w:pPr>
    </w:p>
    <w:p>
      <w:pPr>
        <w:ind w:left="1044" w:hanging="1044"/>
        <w:spacing w:after="0"/>
        <w:tabs>
          <w:tab w:leader="none" w:pos="1044" w:val="left"/>
        </w:tabs>
        <w:numPr>
          <w:ilvl w:val="0"/>
          <w:numId w:val="13"/>
        </w:numPr>
        <w:rPr>
          <w:rFonts w:ascii="Arial" w:cs="Arial" w:eastAsia="Arial" w:hAnsi="Arial"/>
          <w:sz w:val="13"/>
          <w:szCs w:val="13"/>
          <w:color w:val="auto"/>
        </w:rPr>
      </w:pPr>
      <w:r>
        <w:rPr>
          <w:rFonts w:ascii="Arial" w:cs="Arial" w:eastAsia="Arial" w:hAnsi="Arial"/>
          <w:sz w:val="13"/>
          <w:szCs w:val="13"/>
          <w:color w:val="auto"/>
        </w:rPr>
        <w:t>1,591</w:t>
      </w:r>
    </w:p>
    <w:p>
      <w:pPr>
        <w:spacing w:after="0" w:line="44" w:lineRule="exact"/>
        <w:rPr>
          <w:rFonts w:ascii="Arial" w:cs="Arial" w:eastAsia="Arial" w:hAnsi="Arial"/>
          <w:sz w:val="13"/>
          <w:szCs w:val="13"/>
          <w:color w:val="auto"/>
        </w:rPr>
      </w:pPr>
    </w:p>
    <w:p>
      <w:pPr>
        <w:ind w:left="984"/>
        <w:spacing w:after="0"/>
        <w:rPr>
          <w:rFonts w:ascii="Arial" w:cs="Arial" w:eastAsia="Arial" w:hAnsi="Arial"/>
          <w:sz w:val="13"/>
          <w:szCs w:val="13"/>
          <w:color w:val="auto"/>
        </w:rPr>
      </w:pPr>
      <w:r>
        <w:rPr>
          <w:rFonts w:ascii="Arial" w:cs="Arial" w:eastAsia="Arial" w:hAnsi="Arial"/>
          <w:sz w:val="13"/>
          <w:szCs w:val="13"/>
          <w:color w:val="auto"/>
        </w:rPr>
        <w:t>(1,591)</w:t>
      </w:r>
    </w:p>
    <w:p>
      <w:pPr>
        <w:spacing w:after="0" w:line="55" w:lineRule="exact"/>
        <w:rPr>
          <w:sz w:val="20"/>
          <w:szCs w:val="20"/>
          <w:color w:val="auto"/>
        </w:rPr>
      </w:pPr>
    </w:p>
    <w:p>
      <w:pPr>
        <w:ind w:left="1224" w:hanging="1224"/>
        <w:spacing w:after="0"/>
        <w:tabs>
          <w:tab w:leader="none" w:pos="1224" w:val="left"/>
        </w:tabs>
        <w:numPr>
          <w:ilvl w:val="0"/>
          <w:numId w:val="14"/>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9442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9276" w:space="720"/>
            <w:col w:w="1464"/>
          </w:cols>
          <w:pgMar w:left="220" w:top="211" w:right="219" w:bottom="1440" w:gutter="0" w:footer="0" w:header="0"/>
          <w:type w:val="continuous"/>
        </w:sectPr>
      </w:pPr>
    </w:p>
    <w:p>
      <w:pPr>
        <w:spacing w:after="0" w:line="58" w:lineRule="exact"/>
        <w:rPr>
          <w:sz w:val="20"/>
          <w:szCs w:val="20"/>
          <w:color w:val="auto"/>
        </w:rPr>
      </w:pPr>
    </w:p>
    <w:p>
      <w:pPr>
        <w:ind w:left="400" w:hanging="394"/>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Adoption of ASU 2016-02.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 xml:space="preserve">Enphase Energy, Inc. | Q1 2019 Form 10-Q | </w:t>
      </w:r>
      <w:r>
        <w:rPr>
          <w:rFonts w:ascii="Arial" w:cs="Arial" w:eastAsia="Arial" w:hAnsi="Arial"/>
          <w:sz w:val="8"/>
          <w:szCs w:val="8"/>
          <w:b w:val="1"/>
          <w:bCs w:val="1"/>
          <w:color w:val="828282"/>
        </w:rPr>
        <w:t>14</w:t>
      </w:r>
    </w:p>
    <w:p>
      <w:pPr>
        <w:sectPr>
          <w:pgSz w:w="11900" w:h="16838" w:orient="portrait"/>
          <w:cols w:equalWidth="0" w:num="1">
            <w:col w:w="11460"/>
          </w:cols>
          <w:pgMar w:left="220" w:top="211" w:right="2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20"/>
                <w:szCs w:val="20"/>
                <w:color w:val="auto"/>
              </w:rPr>
            </w:pPr>
            <w:r>
              <w:rPr>
                <w:rFonts w:ascii="Arial" w:cs="Arial" w:eastAsia="Arial" w:hAnsi="Arial"/>
                <w:sz w:val="14"/>
                <w:szCs w:val="14"/>
                <w:b w:val="1"/>
                <w:bCs w:val="1"/>
                <w:color w:val="auto"/>
              </w:rPr>
              <w:t>8.</w:t>
            </w:r>
          </w:p>
        </w:tc>
        <w:tc>
          <w:tcPr>
            <w:tcW w:w="8220" w:type="dxa"/>
            <w:vAlign w:val="bottom"/>
          </w:tcPr>
          <w:p>
            <w:pPr>
              <w:ind w:left="260"/>
              <w:spacing w:after="0"/>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45"/>
        </w:trPr>
        <w:tc>
          <w:tcPr>
            <w:tcW w:w="140" w:type="dxa"/>
            <w:vAlign w:val="bottom"/>
          </w:tcPr>
          <w:p>
            <w:pPr>
              <w:spacing w:after="0"/>
              <w:rPr>
                <w:sz w:val="24"/>
                <w:szCs w:val="24"/>
                <w:color w:val="auto"/>
              </w:rPr>
            </w:pPr>
          </w:p>
        </w:tc>
        <w:tc>
          <w:tcPr>
            <w:tcW w:w="8220" w:type="dxa"/>
            <w:vAlign w:val="bottom"/>
          </w:tcPr>
          <w:p>
            <w:pPr>
              <w:ind w:left="260"/>
              <w:spacing w:after="0"/>
              <w:rPr>
                <w:sz w:val="20"/>
                <w:szCs w:val="20"/>
                <w:color w:val="auto"/>
              </w:rPr>
            </w:pPr>
            <w:r>
              <w:rPr>
                <w:rFonts w:ascii="Arial" w:cs="Arial" w:eastAsia="Arial" w:hAnsi="Arial"/>
                <w:sz w:val="14"/>
                <w:szCs w:val="14"/>
                <w:color w:val="auto"/>
              </w:rPr>
              <w:t>Long-term debt was comprised of the following: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March 31,</w:t>
            </w:r>
          </w:p>
        </w:tc>
        <w:tc>
          <w:tcPr>
            <w:tcW w:w="340" w:type="dxa"/>
            <w:vAlign w:val="bottom"/>
          </w:tcPr>
          <w:p>
            <w:pPr>
              <w:spacing w:after="0"/>
              <w:rPr>
                <w:sz w:val="21"/>
                <w:szCs w:val="21"/>
                <w:color w:val="auto"/>
              </w:rPr>
            </w:pPr>
          </w:p>
        </w:tc>
        <w:tc>
          <w:tcPr>
            <w:tcW w:w="1140" w:type="dxa"/>
            <w:vAlign w:val="bottom"/>
          </w:tcPr>
          <w:p>
            <w:pPr>
              <w:jc w:val="right"/>
              <w:ind w:right="316"/>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14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14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3"/>
                <w:szCs w:val="13"/>
                <w:color w:val="auto"/>
              </w:rPr>
            </w:pPr>
          </w:p>
        </w:tc>
      </w:tr>
      <w:tr>
        <w:trPr>
          <w:trHeight w:val="41"/>
        </w:trPr>
        <w:tc>
          <w:tcPr>
            <w:tcW w:w="83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Convertible notes due 2023</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65,000</w:t>
            </w:r>
          </w:p>
        </w:tc>
      </w:tr>
      <w:tr>
        <w:trPr>
          <w:trHeight w:val="208"/>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unamortized issuance costs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(2,361)</w:t>
            </w:r>
          </w:p>
        </w:tc>
      </w:tr>
      <w:tr>
        <w:trPr>
          <w:trHeight w:val="196"/>
        </w:trPr>
        <w:tc>
          <w:tcPr>
            <w:tcW w:w="140" w:type="dxa"/>
            <w:vAlign w:val="bottom"/>
            <w:shd w:val="clear" w:color="auto" w:fill="CCEEFF"/>
          </w:tcPr>
          <w:p>
            <w:pPr>
              <w:spacing w:after="0"/>
              <w:rPr>
                <w:sz w:val="17"/>
                <w:szCs w:val="17"/>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Carrying amount of convertible notes due 2023</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62,768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62,639</w:t>
            </w:r>
          </w:p>
        </w:tc>
      </w:tr>
      <w:tr>
        <w:trPr>
          <w:trHeight w:val="139"/>
        </w:trPr>
        <w:tc>
          <w:tcPr>
            <w:tcW w:w="14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Term loan</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41,524</w:t>
            </w:r>
          </w:p>
        </w:tc>
      </w:tr>
      <w:tr>
        <w:trPr>
          <w:trHeight w:val="208"/>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unamortized discount and issuance costs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(1,059)</w:t>
            </w:r>
          </w:p>
        </w:tc>
      </w:tr>
      <w:tr>
        <w:trPr>
          <w:trHeight w:val="196"/>
        </w:trPr>
        <w:tc>
          <w:tcPr>
            <w:tcW w:w="140" w:type="dxa"/>
            <w:vAlign w:val="bottom"/>
            <w:shd w:val="clear" w:color="auto" w:fill="CCEEFF"/>
          </w:tcPr>
          <w:p>
            <w:pPr>
              <w:spacing w:after="0"/>
              <w:rPr>
                <w:sz w:val="17"/>
                <w:szCs w:val="17"/>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Carrying amount of term loan</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40,465</w:t>
            </w:r>
          </w:p>
        </w:tc>
      </w:tr>
      <w:tr>
        <w:trPr>
          <w:trHeight w:val="139"/>
        </w:trPr>
        <w:tc>
          <w:tcPr>
            <w:tcW w:w="14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Sale of long-term financing receivable recorded as debt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6,679</w:t>
            </w:r>
          </w:p>
        </w:tc>
      </w:tr>
      <w:tr>
        <w:trPr>
          <w:trHeight w:val="208"/>
        </w:trPr>
        <w:tc>
          <w:tcPr>
            <w:tcW w:w="8360" w:type="dxa"/>
            <w:vAlign w:val="bottom"/>
            <w:gridSpan w:val="2"/>
          </w:tcPr>
          <w:p>
            <w:pPr>
              <w:ind w:left="20"/>
              <w:spacing w:after="0"/>
              <w:rPr>
                <w:sz w:val="20"/>
                <w:szCs w:val="20"/>
                <w:color w:val="auto"/>
              </w:rPr>
            </w:pPr>
            <w:r>
              <w:rPr>
                <w:rFonts w:ascii="Arial" w:cs="Arial" w:eastAsia="Arial" w:hAnsi="Arial"/>
                <w:sz w:val="13"/>
                <w:szCs w:val="13"/>
                <w:color w:val="auto"/>
              </w:rPr>
              <w:t>Less value of future purchase option</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82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Carrying amount of sale of long-term financing receivable recorded as debt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5,623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6,679</w:t>
            </w:r>
          </w:p>
        </w:tc>
      </w:tr>
      <w:tr>
        <w:trPr>
          <w:trHeight w:val="196"/>
        </w:trPr>
        <w:tc>
          <w:tcPr>
            <w:tcW w:w="140" w:type="dxa"/>
            <w:vAlign w:val="bottom"/>
          </w:tcPr>
          <w:p>
            <w:pPr>
              <w:spacing w:after="0"/>
              <w:rPr>
                <w:sz w:val="17"/>
                <w:szCs w:val="17"/>
                <w:color w:val="auto"/>
              </w:rPr>
            </w:pPr>
          </w:p>
        </w:tc>
        <w:tc>
          <w:tcPr>
            <w:tcW w:w="8220" w:type="dxa"/>
            <w:vAlign w:val="bottom"/>
          </w:tcPr>
          <w:p>
            <w:pPr>
              <w:ind w:left="160"/>
              <w:spacing w:after="0"/>
              <w:rPr>
                <w:sz w:val="20"/>
                <w:szCs w:val="20"/>
                <w:color w:val="auto"/>
              </w:rPr>
            </w:pPr>
            <w:r>
              <w:rPr>
                <w:rFonts w:ascii="Arial" w:cs="Arial" w:eastAsia="Arial" w:hAnsi="Arial"/>
                <w:sz w:val="13"/>
                <w:szCs w:val="13"/>
                <w:color w:val="auto"/>
              </w:rPr>
              <w:t>Total carrying amount of debt</w:t>
            </w:r>
          </w:p>
        </w:tc>
        <w:tc>
          <w:tcPr>
            <w:tcW w:w="28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68,391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109,783</w:t>
            </w:r>
          </w:p>
        </w:tc>
      </w:tr>
      <w:tr>
        <w:trPr>
          <w:trHeight w:val="22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current portion term loan</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(25,417)</w:t>
            </w:r>
          </w:p>
        </w:tc>
      </w:tr>
      <w:tr>
        <w:trPr>
          <w:trHeight w:val="208"/>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current portion of long-term financing receivable recorded as debt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(2,738)</w:t>
            </w:r>
          </w:p>
        </w:tc>
      </w:tr>
      <w:tr>
        <w:trPr>
          <w:trHeight w:val="190"/>
        </w:trPr>
        <w:tc>
          <w:tcPr>
            <w:tcW w:w="140" w:type="dxa"/>
            <w:vAlign w:val="bottom"/>
            <w:tcBorders>
              <w:bottom w:val="single" w:sz="8" w:color="CCEEFF"/>
            </w:tcBorders>
            <w:shd w:val="clear" w:color="auto" w:fill="CCEEFF"/>
          </w:tcPr>
          <w:p>
            <w:pPr>
              <w:spacing w:after="0"/>
              <w:rPr>
                <w:sz w:val="16"/>
                <w:szCs w:val="16"/>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65,406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81,628</w:t>
            </w:r>
          </w:p>
        </w:tc>
      </w:tr>
      <w:tr>
        <w:trPr>
          <w:trHeight w:val="20"/>
        </w:trPr>
        <w:tc>
          <w:tcPr>
            <w:tcW w:w="1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Loan</w:t>
      </w:r>
    </w:p>
    <w:p>
      <w:pPr>
        <w:spacing w:after="0" w:line="202" w:lineRule="exact"/>
        <w:rPr>
          <w:sz w:val="20"/>
          <w:szCs w:val="20"/>
          <w:color w:val="auto"/>
        </w:rPr>
      </w:pPr>
    </w:p>
    <w:p>
      <w:pPr>
        <w:ind w:right="60" w:firstLine="388"/>
        <w:spacing w:after="0" w:line="262" w:lineRule="auto"/>
        <w:rPr>
          <w:sz w:val="20"/>
          <w:szCs w:val="20"/>
          <w:color w:val="auto"/>
        </w:rPr>
      </w:pPr>
      <w:r>
        <w:rPr>
          <w:rFonts w:ascii="Arial" w:cs="Arial" w:eastAsia="Arial" w:hAnsi="Arial"/>
          <w:sz w:val="14"/>
          <w:szCs w:val="14"/>
          <w:color w:val="auto"/>
        </w:rPr>
        <w:t>In July 2016, the Company entered into a Loan and Security Agreement (the “Original Term Loan Agreement”) with lenders that are affiliates of Tennenbaum Capital Partners, LLC. In February 2017, the Company entered into an Amended and Restated Loan and Security Agreement (the “Loan Agreement”) that amended and restated the Original Term Loan Agreement. The Loan Agreement provided for a $25.0 million secured term loan to the Company (the “New Term Loan”), which is in addition to the $25.0 million secured term loan borrowed by the Company under the Original Term Loan Agreement (together with the “New Term Loan” the “Term Loans”).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On January 28, 2019, the Company repaid in full the remaining principal amount of the Term Loans of approximately $39.5 million plus accrued 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15</w:t>
      </w:r>
    </w:p>
    <w:p>
      <w:pPr>
        <w:sectPr>
          <w:pgSz w:w="11900" w:h="16838" w:orient="portrait"/>
          <w:cols w:equalWidth="0" w:num="1">
            <w:col w:w="11460"/>
          </w:cols>
          <w:pgMar w:left="220" w:top="211"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CONTINGENT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Leases</w:t>
      </w:r>
    </w:p>
    <w:p>
      <w:pPr>
        <w:spacing w:after="0" w:line="202" w:lineRule="exact"/>
        <w:rPr>
          <w:sz w:val="20"/>
          <w:szCs w:val="20"/>
          <w:color w:val="auto"/>
        </w:rPr>
      </w:pPr>
    </w:p>
    <w:p>
      <w:pPr>
        <w:ind w:right="440" w:firstLine="388"/>
        <w:spacing w:after="0" w:line="273" w:lineRule="auto"/>
        <w:rPr>
          <w:sz w:val="20"/>
          <w:szCs w:val="20"/>
          <w:color w:val="auto"/>
        </w:rPr>
      </w:pPr>
      <w:r>
        <w:rPr>
          <w:rFonts w:ascii="Arial" w:cs="Arial" w:eastAsia="Arial" w:hAnsi="Arial"/>
          <w:sz w:val="14"/>
          <w:szCs w:val="14"/>
          <w:color w:val="auto"/>
        </w:rPr>
        <w:t>The Company leases office facilities under noncancelable operating leases that expire on various dates through 2028, some of which may include options to extend the leases for up to 12 years.</w:t>
      </w:r>
    </w:p>
    <w:p>
      <w:pPr>
        <w:spacing w:after="0" w:line="65" w:lineRule="exact"/>
        <w:rPr>
          <w:sz w:val="20"/>
          <w:szCs w:val="20"/>
          <w:color w:val="auto"/>
        </w:rPr>
      </w:pPr>
    </w:p>
    <w:p>
      <w:pPr>
        <w:ind w:right="140" w:firstLine="388"/>
        <w:spacing w:after="0" w:line="273" w:lineRule="auto"/>
        <w:rPr>
          <w:sz w:val="20"/>
          <w:szCs w:val="20"/>
          <w:color w:val="auto"/>
        </w:rPr>
      </w:pPr>
      <w:r>
        <w:rPr>
          <w:rFonts w:ascii="Arial" w:cs="Arial" w:eastAsia="Arial" w:hAnsi="Arial"/>
          <w:sz w:val="14"/>
          <w:szCs w:val="14"/>
          <w:color w:val="auto"/>
        </w:rPr>
        <w:t>The terms of 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components of lease expense are presented as follows:</w:t>
      </w:r>
    </w:p>
    <w:p>
      <w:pPr>
        <w:spacing w:after="0" w:line="131" w:lineRule="exact"/>
        <w:rPr>
          <w:sz w:val="20"/>
          <w:szCs w:val="20"/>
          <w:color w:val="auto"/>
        </w:rPr>
      </w:pPr>
    </w:p>
    <w:p>
      <w:pPr>
        <w:ind w:left="1014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ind w:left="10300"/>
        <w:spacing w:after="0"/>
        <w:rPr>
          <w:sz w:val="20"/>
          <w:szCs w:val="20"/>
          <w:color w:val="auto"/>
        </w:rPr>
      </w:pPr>
      <w:r>
        <w:rPr>
          <w:rFonts w:ascii="Arial" w:cs="Arial" w:eastAsia="Arial" w:hAnsi="Arial"/>
          <w:sz w:val="11"/>
          <w:szCs w:val="11"/>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13335</wp:posOffset>
            </wp:positionV>
            <wp:extent cx="9442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5" w:lineRule="exact"/>
        <w:rPr>
          <w:sz w:val="20"/>
          <w:szCs w:val="20"/>
          <w:color w:val="auto"/>
        </w:rPr>
      </w:pPr>
    </w:p>
    <w:p>
      <w:pPr>
        <w:ind w:left="10360"/>
        <w:spacing w:after="0"/>
        <w:rPr>
          <w:sz w:val="20"/>
          <w:szCs w:val="20"/>
          <w:color w:val="auto"/>
        </w:rPr>
      </w:pPr>
      <w:r>
        <w:rPr>
          <w:rFonts w:ascii="Arial" w:cs="Arial" w:eastAsia="Arial" w:hAnsi="Arial"/>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274560" cy="123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68" w:lineRule="exact"/>
        <w:rPr>
          <w:sz w:val="20"/>
          <w:szCs w:val="20"/>
          <w:color w:val="auto"/>
        </w:rPr>
      </w:pPr>
    </w:p>
    <w:p>
      <w:pPr>
        <w:ind w:left="20"/>
        <w:spacing w:after="0"/>
        <w:tabs>
          <w:tab w:leader="none" w:pos="9980" w:val="left"/>
          <w:tab w:leader="none" w:pos="11120" w:val="left"/>
        </w:tabs>
        <w:rPr>
          <w:sz w:val="20"/>
          <w:szCs w:val="20"/>
          <w:color w:val="auto"/>
        </w:rPr>
      </w:pPr>
      <w:r>
        <w:rPr>
          <w:rFonts w:ascii="Arial" w:cs="Arial" w:eastAsia="Arial" w:hAnsi="Arial"/>
          <w:sz w:val="13"/>
          <w:szCs w:val="13"/>
          <w:color w:val="auto"/>
        </w:rPr>
        <w:t>Operating lease cost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499</w:t>
      </w:r>
    </w:p>
    <w:p>
      <w:pPr>
        <w:sectPr>
          <w:pgSz w:w="11900" w:h="16838" w:orient="portrait"/>
          <w:cols w:equalWidth="0" w:num="1">
            <w:col w:w="11460"/>
          </w:cols>
          <w:pgMar w:left="220" w:top="211" w:right="219" w:bottom="1440" w:gutter="0" w:footer="0" w:header="0"/>
        </w:sectPr>
      </w:pP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components of lease liabilities are presented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404495</wp:posOffset>
            </wp:positionV>
            <wp:extent cx="7274560" cy="123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Lease liabilities, current (Accrued liabilities)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Lease liabilities, non-current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2745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314960</wp:posOffset>
            </wp:positionV>
            <wp:extent cx="72745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Supplemental lease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274560" cy="123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4560" cy="123190"/>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444"/>
        <w:spacing w:after="0"/>
        <w:rPr>
          <w:sz w:val="20"/>
          <w:szCs w:val="20"/>
          <w:color w:val="auto"/>
        </w:rPr>
      </w:pPr>
      <w:r>
        <w:rPr>
          <w:rFonts w:ascii="Arial" w:cs="Arial" w:eastAsia="Arial" w:hAnsi="Arial"/>
          <w:sz w:val="11"/>
          <w:szCs w:val="11"/>
          <w:b w:val="1"/>
          <w:bCs w:val="1"/>
          <w:color w:val="auto"/>
        </w:rPr>
        <w:t>March 31,</w:t>
      </w:r>
    </w:p>
    <w:p>
      <w:pPr>
        <w:spacing w:after="0" w:line="17" w:lineRule="exact"/>
        <w:rPr>
          <w:sz w:val="20"/>
          <w:szCs w:val="20"/>
          <w:color w:val="auto"/>
        </w:rPr>
      </w:pPr>
    </w:p>
    <w:p>
      <w:pPr>
        <w:ind w:left="604"/>
        <w:spacing w:after="0"/>
        <w:rPr>
          <w:sz w:val="20"/>
          <w:szCs w:val="20"/>
          <w:color w:val="auto"/>
        </w:rPr>
      </w:pP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9442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5" w:lineRule="exact"/>
        <w:rPr>
          <w:sz w:val="20"/>
          <w:szCs w:val="20"/>
          <w:color w:val="auto"/>
        </w:rPr>
      </w:pPr>
    </w:p>
    <w:p>
      <w:pPr>
        <w:ind w:left="364"/>
        <w:spacing w:after="0"/>
        <w:rPr>
          <w:sz w:val="20"/>
          <w:szCs w:val="20"/>
          <w:color w:val="auto"/>
        </w:rPr>
      </w:pPr>
      <w:r>
        <w:rPr>
          <w:rFonts w:ascii="Arial" w:cs="Arial" w:eastAsia="Arial" w:hAnsi="Arial"/>
          <w:sz w:val="11"/>
          <w:szCs w:val="11"/>
          <w:i w:val="1"/>
          <w:iCs w:val="1"/>
          <w:color w:val="auto"/>
        </w:rPr>
        <w:t>(In thousands)</w:t>
      </w:r>
    </w:p>
    <w:p>
      <w:pPr>
        <w:spacing w:after="0" w:line="88" w:lineRule="exact"/>
        <w:rPr>
          <w:sz w:val="20"/>
          <w:szCs w:val="20"/>
          <w:color w:val="auto"/>
        </w:rPr>
      </w:pPr>
    </w:p>
    <w:p>
      <w:pPr>
        <w:ind w:left="1044" w:hanging="1044"/>
        <w:spacing w:after="0"/>
        <w:tabs>
          <w:tab w:leader="none" w:pos="1044" w:val="left"/>
        </w:tabs>
        <w:numPr>
          <w:ilvl w:val="0"/>
          <w:numId w:val="17"/>
        </w:numPr>
        <w:rPr>
          <w:rFonts w:ascii="Arial" w:cs="Arial" w:eastAsia="Arial" w:hAnsi="Arial"/>
          <w:sz w:val="13"/>
          <w:szCs w:val="13"/>
          <w:color w:val="auto"/>
        </w:rPr>
      </w:pPr>
      <w:r>
        <w:rPr>
          <w:rFonts w:ascii="Arial" w:cs="Arial" w:eastAsia="Arial" w:hAnsi="Arial"/>
          <w:sz w:val="13"/>
          <w:szCs w:val="13"/>
          <w:color w:val="auto"/>
        </w:rPr>
        <w:t>2,181</w:t>
      </w:r>
    </w:p>
    <w:p>
      <w:pPr>
        <w:spacing w:after="0" w:line="44" w:lineRule="exact"/>
        <w:rPr>
          <w:rFonts w:ascii="Arial" w:cs="Arial" w:eastAsia="Arial" w:hAnsi="Arial"/>
          <w:sz w:val="13"/>
          <w:szCs w:val="13"/>
          <w:color w:val="auto"/>
        </w:rPr>
      </w:pPr>
    </w:p>
    <w:p>
      <w:pPr>
        <w:ind w:left="1044"/>
        <w:spacing w:after="0"/>
        <w:rPr>
          <w:rFonts w:ascii="Arial" w:cs="Arial" w:eastAsia="Arial" w:hAnsi="Arial"/>
          <w:sz w:val="13"/>
          <w:szCs w:val="13"/>
          <w:color w:val="auto"/>
        </w:rPr>
      </w:pPr>
      <w:r>
        <w:rPr>
          <w:rFonts w:ascii="Arial" w:cs="Arial" w:eastAsia="Arial" w:hAnsi="Arial"/>
          <w:sz w:val="13"/>
          <w:szCs w:val="13"/>
          <w:color w:val="auto"/>
        </w:rPr>
        <w:t>7,837</w:t>
      </w:r>
    </w:p>
    <w:p>
      <w:pPr>
        <w:spacing w:after="0" w:line="55" w:lineRule="exact"/>
        <w:rPr>
          <w:sz w:val="20"/>
          <w:szCs w:val="20"/>
          <w:color w:val="auto"/>
        </w:rPr>
      </w:pPr>
    </w:p>
    <w:p>
      <w:pPr>
        <w:ind w:left="964" w:hanging="964"/>
        <w:spacing w:after="0"/>
        <w:tabs>
          <w:tab w:leader="none" w:pos="964"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9442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42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04"/>
        <w:spacing w:after="0"/>
        <w:rPr>
          <w:sz w:val="20"/>
          <w:szCs w:val="20"/>
          <w:color w:val="auto"/>
        </w:rPr>
      </w:pPr>
      <w:r>
        <w:rPr>
          <w:rFonts w:ascii="Arial" w:cs="Arial" w:eastAsia="Arial" w:hAnsi="Arial"/>
          <w:sz w:val="13"/>
          <w:szCs w:val="13"/>
          <w:color w:val="auto"/>
        </w:rPr>
        <w:t>4.4 years</w:t>
      </w:r>
    </w:p>
    <w:p>
      <w:pPr>
        <w:spacing w:after="0" w:line="44" w:lineRule="exact"/>
        <w:rPr>
          <w:sz w:val="20"/>
          <w:szCs w:val="20"/>
          <w:color w:val="auto"/>
        </w:rPr>
      </w:pPr>
    </w:p>
    <w:p>
      <w:pPr>
        <w:ind w:left="624"/>
        <w:spacing w:after="0"/>
        <w:rPr>
          <w:sz w:val="20"/>
          <w:szCs w:val="20"/>
          <w:color w:val="auto"/>
        </w:rPr>
      </w:pPr>
      <w:r>
        <w:rPr>
          <w:rFonts w:ascii="Arial" w:cs="Arial" w:eastAsia="Arial" w:hAnsi="Arial"/>
          <w:sz w:val="13"/>
          <w:szCs w:val="13"/>
          <w:color w:val="auto"/>
        </w:rPr>
        <w:t>9.2%</w:t>
      </w:r>
    </w:p>
    <w:p>
      <w:pPr>
        <w:spacing w:after="0" w:line="107" w:lineRule="exact"/>
        <w:rPr>
          <w:sz w:val="20"/>
          <w:szCs w:val="20"/>
          <w:color w:val="auto"/>
        </w:rPr>
      </w:pPr>
    </w:p>
    <w:p>
      <w:pPr>
        <w:sectPr>
          <w:pgSz w:w="11900" w:h="16838" w:orient="portrait"/>
          <w:cols w:equalWidth="0" w:num="2">
            <w:col w:w="9276" w:space="720"/>
            <w:col w:w="1464"/>
          </w:cols>
          <w:pgMar w:left="220" w:top="211" w:right="21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Other information related to operating leases,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81"/>
              <w:spacing w:after="0"/>
              <w:rPr>
                <w:sz w:val="20"/>
                <w:szCs w:val="20"/>
                <w:color w:val="auto"/>
              </w:rPr>
            </w:pPr>
            <w:r>
              <w:rPr>
                <w:rFonts w:ascii="Arial" w:cs="Arial" w:eastAsia="Arial" w:hAnsi="Arial"/>
                <w:sz w:val="11"/>
                <w:szCs w:val="11"/>
                <w:b w:val="1"/>
                <w:bCs w:val="1"/>
                <w:color w:val="auto"/>
              </w:rPr>
              <w:t>Three Months Ended</w:t>
            </w:r>
          </w:p>
        </w:tc>
      </w:tr>
      <w:tr>
        <w:trPr>
          <w:trHeight w:val="157"/>
        </w:trPr>
        <w:tc>
          <w:tcPr>
            <w:tcW w:w="9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rPr>
              <w:t>March 31, 2019</w:t>
            </w:r>
          </w:p>
        </w:tc>
      </w:tr>
      <w:tr>
        <w:trPr>
          <w:trHeight w:val="159"/>
        </w:trPr>
        <w:tc>
          <w:tcPr>
            <w:tcW w:w="9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61"/>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9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94"/>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737</w:t>
            </w:r>
          </w:p>
        </w:tc>
      </w:tr>
    </w:tbl>
    <w:p>
      <w:pPr>
        <w:spacing w:after="0" w:line="34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Maturities of lease liabilities as of March 31, 2019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Lease Amounts</w:t>
            </w:r>
          </w:p>
        </w:tc>
      </w:tr>
      <w:tr>
        <w:trPr>
          <w:trHeight w:val="159"/>
        </w:trPr>
        <w:tc>
          <w:tcPr>
            <w:tcW w:w="9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17"/>
              <w:spacing w:after="0"/>
              <w:rPr>
                <w:sz w:val="20"/>
                <w:szCs w:val="20"/>
                <w:color w:val="auto"/>
              </w:rPr>
            </w:pPr>
            <w:r>
              <w:rPr>
                <w:rFonts w:ascii="Arial" w:cs="Arial" w:eastAsia="Arial" w:hAnsi="Arial"/>
                <w:sz w:val="11"/>
                <w:szCs w:val="11"/>
                <w:i w:val="1"/>
                <w:iCs w:val="1"/>
                <w:color w:val="auto"/>
              </w:rPr>
              <w:t>(In thousands)</w:t>
            </w:r>
          </w:p>
        </w:tc>
      </w:tr>
      <w:tr>
        <w:trPr>
          <w:trHeight w:val="41"/>
        </w:trPr>
        <w:tc>
          <w:tcPr>
            <w:tcW w:w="9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2019 (remaining nine months)</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2,248</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3,071</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3,155</w:t>
            </w:r>
          </w:p>
        </w:tc>
      </w:tr>
      <w:tr>
        <w:trPr>
          <w:trHeight w:val="202"/>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1,717</w:t>
            </w:r>
          </w:p>
        </w:tc>
      </w:tr>
      <w:tr>
        <w:trPr>
          <w:trHeight w:val="186"/>
        </w:trPr>
        <w:tc>
          <w:tcPr>
            <w:tcW w:w="9980" w:type="dxa"/>
            <w:vAlign w:val="bottom"/>
          </w:tcPr>
          <w:p>
            <w:pPr>
              <w:ind w:left="140"/>
              <w:spacing w:after="0"/>
              <w:rPr>
                <w:sz w:val="20"/>
                <w:szCs w:val="20"/>
                <w:color w:val="auto"/>
              </w:rPr>
            </w:pPr>
            <w:r>
              <w:rPr>
                <w:rFonts w:ascii="Arial" w:cs="Arial" w:eastAsia="Arial" w:hAnsi="Arial"/>
                <w:sz w:val="13"/>
                <w:szCs w:val="13"/>
                <w:color w:val="auto"/>
              </w:rPr>
              <w:t>2023</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893</w:t>
            </w:r>
          </w:p>
        </w:tc>
      </w:tr>
      <w:tr>
        <w:trPr>
          <w:trHeight w:val="194"/>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Thereafter</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1,227</w:t>
            </w:r>
          </w:p>
        </w:tc>
      </w:tr>
      <w:tr>
        <w:trPr>
          <w:trHeight w:val="185"/>
        </w:trPr>
        <w:tc>
          <w:tcPr>
            <w:tcW w:w="998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12,311</w:t>
            </w:r>
          </w:p>
        </w:tc>
      </w:tr>
      <w:tr>
        <w:trPr>
          <w:trHeight w:val="194"/>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lease interest</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(2,293)</w:t>
            </w:r>
          </w:p>
        </w:tc>
      </w:tr>
      <w:tr>
        <w:trPr>
          <w:trHeight w:val="190"/>
        </w:trPr>
        <w:tc>
          <w:tcPr>
            <w:tcW w:w="9980" w:type="dxa"/>
            <w:vAlign w:val="bottom"/>
          </w:tcPr>
          <w:p>
            <w:pPr>
              <w:ind w:left="20"/>
              <w:spacing w:after="0"/>
              <w:rPr>
                <w:sz w:val="20"/>
                <w:szCs w:val="20"/>
                <w:color w:val="auto"/>
              </w:rPr>
            </w:pPr>
            <w:r>
              <w:rPr>
                <w:rFonts w:ascii="Arial" w:cs="Arial" w:eastAsia="Arial" w:hAnsi="Arial"/>
                <w:sz w:val="13"/>
                <w:szCs w:val="13"/>
                <w:color w:val="auto"/>
              </w:rPr>
              <w:t>Total lease liabilities</w:t>
            </w: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10,018</w:t>
            </w:r>
          </w:p>
        </w:tc>
      </w:tr>
      <w:tr>
        <w:trPr>
          <w:trHeight w:val="20"/>
        </w:trPr>
        <w:tc>
          <w:tcPr>
            <w:tcW w:w="9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16</w:t>
      </w:r>
    </w:p>
    <w:p>
      <w:pPr>
        <w:sectPr>
          <w:pgSz w:w="11900" w:h="16838" w:orient="portrait"/>
          <w:cols w:equalWidth="0" w:num="1">
            <w:col w:w="11460"/>
          </w:cols>
          <w:pgMar w:left="220" w:top="211" w:right="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202" w:lineRule="exact"/>
        <w:rPr>
          <w:sz w:val="20"/>
          <w:szCs w:val="20"/>
          <w:color w:val="auto"/>
        </w:rPr>
      </w:pPr>
    </w:p>
    <w:p>
      <w:pPr>
        <w:ind w:right="160" w:firstLine="388"/>
        <w:spacing w:after="0" w:line="265" w:lineRule="auto"/>
        <w:rPr>
          <w:sz w:val="20"/>
          <w:szCs w:val="20"/>
          <w:color w:val="auto"/>
        </w:rPr>
      </w:pPr>
      <w:r>
        <w:rPr>
          <w:rFonts w:ascii="Arial" w:cs="Arial" w:eastAsia="Arial" w:hAnsi="Arial"/>
          <w:sz w:val="14"/>
          <w:szCs w:val="14"/>
          <w:color w:val="auto"/>
        </w:rPr>
        <w:t>From time-to-time, the Company may be involved in litigation relating to claims arising out of its operations. The Company is not currently involved in any material legal proceedings; however, the Company may be involved in material legal proceedings in the future. Such matters are subject to uncertainty and there can be no assurance that such legal proceedings will not have a material effect on its business, results of operations, financial position or cash flows.</w:t>
      </w:r>
    </w:p>
    <w:p>
      <w:pPr>
        <w:spacing w:after="0" w:line="182" w:lineRule="exact"/>
        <w:rPr>
          <w:sz w:val="20"/>
          <w:szCs w:val="20"/>
          <w:color w:val="auto"/>
        </w:rPr>
      </w:pPr>
    </w:p>
    <w:p>
      <w:pPr>
        <w:ind w:left="400" w:hanging="394"/>
        <w:spacing w:after="0"/>
        <w:tabs>
          <w:tab w:leader="none" w:pos="40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202" w:lineRule="exact"/>
        <w:rPr>
          <w:sz w:val="20"/>
          <w:szCs w:val="20"/>
          <w:color w:val="auto"/>
        </w:rPr>
      </w:pPr>
    </w:p>
    <w:p>
      <w:pPr>
        <w:ind w:right="220" w:firstLine="388"/>
        <w:spacing w:after="0" w:line="265" w:lineRule="auto"/>
        <w:rPr>
          <w:sz w:val="20"/>
          <w:szCs w:val="20"/>
          <w:color w:val="auto"/>
        </w:rPr>
      </w:pPr>
      <w:r>
        <w:rPr>
          <w:rFonts w:ascii="Arial" w:cs="Arial" w:eastAsia="Arial" w:hAnsi="Arial"/>
          <w:sz w:val="14"/>
          <w:szCs w:val="14"/>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condensed consolidated statements of operations for the periods presented:</w:t>
      </w:r>
    </w:p>
    <w:p>
      <w:pPr>
        <w:spacing w:after="0" w:line="104"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198</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618</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361</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98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1,288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394</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77"/>
        </w:trPr>
        <w:tc>
          <w:tcPr>
            <w:tcW w:w="8360" w:type="dxa"/>
            <w:vAlign w:val="bottom"/>
          </w:tcPr>
          <w:p>
            <w:pPr>
              <w:ind w:left="300"/>
              <w:spacing w:after="0"/>
              <w:rPr>
                <w:sz w:val="20"/>
                <w:szCs w:val="20"/>
                <w:color w:val="auto"/>
              </w:rPr>
            </w:pPr>
            <w:r>
              <w:rPr>
                <w:rFonts w:ascii="Arial" w:cs="Arial" w:eastAsia="Arial" w:hAnsi="Arial"/>
                <w:sz w:val="13"/>
                <w:szCs w:val="13"/>
                <w:color w:val="auto"/>
              </w:rPr>
              <w:t>Total</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3,289</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1,571</w:t>
            </w: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summarizes the various types of stock-based compensation expense for the periods presented:</w:t>
      </w:r>
    </w:p>
    <w:p>
      <w:pPr>
        <w:spacing w:after="0" w:line="131"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69"/>
        </w:trPr>
        <w:tc>
          <w:tcPr>
            <w:tcW w:w="8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4"/>
                <w:szCs w:val="14"/>
                <w:color w:val="auto"/>
              </w:rPr>
            </w:pPr>
          </w:p>
        </w:tc>
      </w:tr>
      <w:tr>
        <w:trPr>
          <w:trHeight w:val="31"/>
        </w:trPr>
        <w:tc>
          <w:tcPr>
            <w:tcW w:w="8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RSUs, and PSUs</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1,317</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Employee stock purchase plan</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254</w:t>
            </w:r>
          </w:p>
        </w:tc>
      </w:tr>
      <w:tr>
        <w:trPr>
          <w:trHeight w:val="185"/>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3,289</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1,571</w:t>
            </w: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right="340" w:firstLine="388"/>
        <w:spacing w:after="0" w:line="273" w:lineRule="auto"/>
        <w:rPr>
          <w:sz w:val="20"/>
          <w:szCs w:val="20"/>
          <w:color w:val="auto"/>
        </w:rPr>
      </w:pPr>
      <w:r>
        <w:rPr>
          <w:rFonts w:ascii="Arial" w:cs="Arial" w:eastAsia="Arial" w:hAnsi="Arial"/>
          <w:sz w:val="14"/>
          <w:szCs w:val="14"/>
          <w:color w:val="auto"/>
        </w:rPr>
        <w:t>As of March 31, 2019, there was approximately $30.3 million of total unrecognized stock-based compensation expense related to unvested equity awards expected to be recognized over a weighted-average period of 2.1 years.</w:t>
      </w:r>
    </w:p>
    <w:p>
      <w:pPr>
        <w:spacing w:after="0" w:line="151" w:lineRule="exact"/>
        <w:rPr>
          <w:sz w:val="20"/>
          <w:szCs w:val="20"/>
          <w:color w:val="auto"/>
        </w:rPr>
      </w:pPr>
    </w:p>
    <w:p>
      <w:pPr>
        <w:ind w:right="120" w:firstLine="388"/>
        <w:spacing w:after="0" w:line="273" w:lineRule="auto"/>
        <w:rPr>
          <w:sz w:val="20"/>
          <w:szCs w:val="20"/>
          <w:color w:val="auto"/>
        </w:rPr>
      </w:pPr>
      <w:r>
        <w:rPr>
          <w:rFonts w:ascii="Arial" w:cs="Arial" w:eastAsia="Arial" w:hAnsi="Arial"/>
          <w:sz w:val="14"/>
          <w:szCs w:val="14"/>
          <w:color w:val="auto"/>
        </w:rPr>
        <w:t>No income tax benefit has been recognized relating to stock-based compensation expense and no tax benefits have been realized from exercised stock options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17</w:t>
      </w:r>
    </w:p>
    <w:p>
      <w:pPr>
        <w:sectPr>
          <w:pgSz w:w="11900" w:h="16838" w:orient="portrait"/>
          <w:cols w:equalWidth="0" w:num="1">
            <w:col w:w="11460"/>
          </w:cols>
          <w:pgMar w:left="220" w:top="211" w:right="21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Equity Awards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fair value of each option granted was estimated on the date of grant using the Black-Scholes option-pricing model with the following assumptions:</w:t>
      </w:r>
    </w:p>
    <w:p>
      <w:pPr>
        <w:spacing w:after="0" w:line="170" w:lineRule="exact"/>
        <w:rPr>
          <w:sz w:val="20"/>
          <w:szCs w:val="20"/>
          <w:color w:val="auto"/>
        </w:rPr>
      </w:pPr>
    </w:p>
    <w:p>
      <w:pPr>
        <w:jc w:val="both"/>
        <w:ind w:left="660" w:right="240" w:hanging="266"/>
        <w:spacing w:after="0" w:line="275" w:lineRule="auto"/>
        <w:tabs>
          <w:tab w:leader="none" w:pos="66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The expected term of the option awards represents the period of time between the grant date of the option awards and the date the option awards are</w:t>
      </w:r>
      <w:r>
        <w:rPr>
          <w:rFonts w:ascii="Arial" w:cs="Arial" w:eastAsia="Arial" w:hAnsi="Arial"/>
          <w:sz w:val="14"/>
          <w:szCs w:val="14"/>
          <w:i w:val="1"/>
          <w:iCs w:val="1"/>
          <w:color w:val="auto"/>
        </w:rPr>
        <w:t xml:space="preserve"> </w:t>
      </w:r>
      <w:r>
        <w:rPr>
          <w:rFonts w:ascii="Arial" w:cs="Arial" w:eastAsia="Arial" w:hAnsi="Arial"/>
          <w:sz w:val="14"/>
          <w:szCs w:val="14"/>
          <w:color w:val="auto"/>
        </w:rPr>
        <w:t>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136" w:lineRule="exact"/>
        <w:rPr>
          <w:rFonts w:ascii="Arial" w:cs="Arial" w:eastAsia="Arial" w:hAnsi="Arial"/>
          <w:sz w:val="14"/>
          <w:szCs w:val="14"/>
          <w:i w:val="1"/>
          <w:iCs w:val="1"/>
          <w:color w:val="auto"/>
        </w:rPr>
      </w:pPr>
    </w:p>
    <w:p>
      <w:pPr>
        <w:ind w:left="660" w:right="360" w:hanging="266"/>
        <w:spacing w:after="0" w:line="294" w:lineRule="auto"/>
        <w:tabs>
          <w:tab w:leader="none" w:pos="66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The expected volatility was calculated based on the Company’s historical stock prices, supplemented as necessary with historical volatility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of several peer companies with characteristics similar to those of the Company.</w:t>
      </w:r>
    </w:p>
    <w:p>
      <w:pPr>
        <w:spacing w:after="0" w:line="122" w:lineRule="exact"/>
        <w:rPr>
          <w:rFonts w:ascii="Arial" w:cs="Arial" w:eastAsia="Arial" w:hAnsi="Arial"/>
          <w:sz w:val="14"/>
          <w:szCs w:val="14"/>
          <w:i w:val="1"/>
          <w:iCs w:val="1"/>
          <w:color w:val="auto"/>
        </w:rPr>
      </w:pPr>
    </w:p>
    <w:p>
      <w:pPr>
        <w:ind w:left="660" w:right="420" w:hanging="266"/>
        <w:spacing w:after="0" w:line="294"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risk-free interest rate was based on the U.S. Treasury yield curve in effect at the time of grant and with a maturity that approximated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expected term.</w:t>
      </w:r>
    </w:p>
    <w:p>
      <w:pPr>
        <w:spacing w:after="0" w:line="122" w:lineRule="exact"/>
        <w:rPr>
          <w:rFonts w:ascii="Arial" w:cs="Arial" w:eastAsia="Arial" w:hAnsi="Arial"/>
          <w:sz w:val="14"/>
          <w:szCs w:val="14"/>
          <w:color w:val="auto"/>
        </w:rPr>
      </w:pPr>
    </w:p>
    <w:p>
      <w:pPr>
        <w:ind w:left="660" w:hanging="266"/>
        <w:spacing w:after="0"/>
        <w:tabs>
          <w:tab w:leader="none" w:pos="66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dividend yield was based on the Company’s dividend history and the anticipated dividend payout over its expected term.</w:t>
      </w:r>
    </w:p>
    <w:p>
      <w:pPr>
        <w:spacing w:after="0" w:line="198" w:lineRule="exact"/>
        <w:rPr>
          <w:sz w:val="20"/>
          <w:szCs w:val="20"/>
          <w:color w:val="auto"/>
        </w:rPr>
      </w:pPr>
    </w:p>
    <w:p>
      <w:pPr>
        <w:ind w:right="40" w:firstLine="388"/>
        <w:spacing w:after="0" w:line="273" w:lineRule="auto"/>
        <w:rPr>
          <w:sz w:val="20"/>
          <w:szCs w:val="20"/>
          <w:color w:val="auto"/>
        </w:rPr>
      </w:pPr>
      <w:r>
        <w:rPr>
          <w:rFonts w:ascii="Arial" w:cs="Arial" w:eastAsia="Arial" w:hAnsi="Arial"/>
          <w:sz w:val="14"/>
          <w:szCs w:val="14"/>
          <w:color w:val="auto"/>
        </w:rPr>
        <w:t>The following table presents the weighted-average grant date fair value of options granted for the periods presented and the assumptions used to estimate those values using a Black-Scholes option pricing model:</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6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3"/>
          </w:tcPr>
          <w:p>
            <w:pPr>
              <w:jc w:val="center"/>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Pr>
          <w:p>
            <w:pPr>
              <w:spacing w:after="0"/>
              <w:rPr>
                <w:sz w:val="11"/>
                <w:szCs w:val="11"/>
                <w:color w:val="auto"/>
              </w:rPr>
            </w:pPr>
          </w:p>
        </w:tc>
      </w:tr>
      <w:tr>
        <w:trPr>
          <w:trHeight w:val="157"/>
        </w:trPr>
        <w:tc>
          <w:tcPr>
            <w:tcW w:w="116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March 31,</w:t>
            </w:r>
          </w:p>
        </w:tc>
        <w:tc>
          <w:tcPr>
            <w:tcW w:w="980" w:type="dxa"/>
            <w:vAlign w:val="bottom"/>
            <w:tcBorders>
              <w:bottom w:val="single" w:sz="8" w:color="auto"/>
            </w:tcBorders>
          </w:tcPr>
          <w:p>
            <w:pPr>
              <w:spacing w:after="0"/>
              <w:rPr>
                <w:sz w:val="13"/>
                <w:szCs w:val="13"/>
                <w:color w:val="auto"/>
              </w:rPr>
            </w:pPr>
          </w:p>
        </w:tc>
      </w:tr>
      <w:tr>
        <w:trPr>
          <w:trHeight w:val="206"/>
        </w:trPr>
        <w:tc>
          <w:tcPr>
            <w:tcW w:w="1160" w:type="dxa"/>
            <w:vAlign w:val="bottom"/>
            <w:tcBorders>
              <w:bottom w:val="single" w:sz="8" w:color="CCEEFF"/>
            </w:tcBorders>
          </w:tcPr>
          <w:p>
            <w:pPr>
              <w:spacing w:after="0"/>
              <w:rPr>
                <w:sz w:val="17"/>
                <w:szCs w:val="17"/>
                <w:color w:val="auto"/>
              </w:rPr>
            </w:pPr>
          </w:p>
        </w:tc>
        <w:tc>
          <w:tcPr>
            <w:tcW w:w="7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ind w:left="457"/>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2018</w:t>
            </w:r>
          </w:p>
        </w:tc>
      </w:tr>
      <w:tr>
        <w:trPr>
          <w:trHeight w:val="20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w:t>
            </w:r>
          </w:p>
        </w:tc>
        <w:tc>
          <w:tcPr>
            <w:tcW w:w="940" w:type="dxa"/>
            <w:vAlign w:val="bottom"/>
            <w:shd w:val="clear" w:color="auto" w:fill="CCEEFF"/>
          </w:tcPr>
          <w:p>
            <w:pPr>
              <w:jc w:val="center"/>
              <w:ind w:left="457"/>
              <w:spacing w:after="0"/>
              <w:rPr>
                <w:sz w:val="20"/>
                <w:szCs w:val="20"/>
                <w:color w:val="auto"/>
              </w:rPr>
            </w:pPr>
            <w:r>
              <w:rPr>
                <w:rFonts w:ascii="Arial" w:cs="Arial" w:eastAsia="Arial" w:hAnsi="Arial"/>
                <w:sz w:val="13"/>
                <w:szCs w:val="13"/>
                <w:color w:val="auto"/>
                <w:w w:val="98"/>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1.83</w:t>
            </w:r>
          </w:p>
        </w:tc>
      </w:tr>
      <w:tr>
        <w:trPr>
          <w:trHeight w:val="208"/>
        </w:trPr>
        <w:tc>
          <w:tcPr>
            <w:tcW w:w="8280" w:type="dxa"/>
            <w:vAlign w:val="bottom"/>
            <w:gridSpan w:val="2"/>
          </w:tcPr>
          <w:p>
            <w:pPr>
              <w:ind w:left="20"/>
              <w:spacing w:after="0"/>
              <w:rPr>
                <w:sz w:val="20"/>
                <w:szCs w:val="20"/>
                <w:color w:val="auto"/>
              </w:rPr>
            </w:pPr>
            <w:r>
              <w:rPr>
                <w:rFonts w:ascii="Arial" w:cs="Arial" w:eastAsia="Arial" w:hAnsi="Arial"/>
                <w:sz w:val="13"/>
                <w:szCs w:val="13"/>
                <w:color w:val="auto"/>
              </w:rPr>
              <w:t>Expected term (in years)</w:t>
            </w:r>
          </w:p>
        </w:tc>
        <w:tc>
          <w:tcPr>
            <w:tcW w:w="940" w:type="dxa"/>
            <w:vAlign w:val="bottom"/>
          </w:tcPr>
          <w:p>
            <w:pPr>
              <w:jc w:val="center"/>
              <w:ind w:left="457"/>
              <w:spacing w:after="0"/>
              <w:rPr>
                <w:sz w:val="20"/>
                <w:szCs w:val="20"/>
                <w:color w:val="auto"/>
              </w:rPr>
            </w:pPr>
            <w:r>
              <w:rPr>
                <w:rFonts w:ascii="Arial" w:cs="Arial" w:eastAsia="Arial" w:hAnsi="Arial"/>
                <w:sz w:val="13"/>
                <w:szCs w:val="13"/>
                <w:color w:val="auto"/>
                <w:w w:val="98"/>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4.2</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volatility</w:t>
            </w:r>
          </w:p>
        </w:tc>
        <w:tc>
          <w:tcPr>
            <w:tcW w:w="940" w:type="dxa"/>
            <w:vAlign w:val="bottom"/>
            <w:shd w:val="clear" w:color="auto" w:fill="CCEEFF"/>
          </w:tcPr>
          <w:p>
            <w:pPr>
              <w:jc w:val="center"/>
              <w:ind w:left="457"/>
              <w:spacing w:after="0"/>
              <w:rPr>
                <w:sz w:val="20"/>
                <w:szCs w:val="20"/>
                <w:color w:val="auto"/>
              </w:rPr>
            </w:pPr>
            <w:r>
              <w:rPr>
                <w:rFonts w:ascii="Arial" w:cs="Arial" w:eastAsia="Arial" w:hAnsi="Arial"/>
                <w:sz w:val="13"/>
                <w:szCs w:val="13"/>
                <w:color w:val="auto"/>
                <w:w w:val="98"/>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86.4%</w:t>
            </w:r>
          </w:p>
        </w:tc>
      </w:tr>
      <w:tr>
        <w:trPr>
          <w:trHeight w:val="208"/>
        </w:trPr>
        <w:tc>
          <w:tcPr>
            <w:tcW w:w="8280" w:type="dxa"/>
            <w:vAlign w:val="bottom"/>
            <w:gridSpan w:val="2"/>
          </w:tcPr>
          <w:p>
            <w:pPr>
              <w:ind w:left="20"/>
              <w:spacing w:after="0"/>
              <w:rPr>
                <w:sz w:val="20"/>
                <w:szCs w:val="20"/>
                <w:color w:val="auto"/>
              </w:rPr>
            </w:pPr>
            <w:r>
              <w:rPr>
                <w:rFonts w:ascii="Arial" w:cs="Arial" w:eastAsia="Arial" w:hAnsi="Arial"/>
                <w:sz w:val="13"/>
                <w:szCs w:val="13"/>
                <w:color w:val="auto"/>
              </w:rPr>
              <w:t>Annual risk-free rate of return</w:t>
            </w:r>
          </w:p>
        </w:tc>
        <w:tc>
          <w:tcPr>
            <w:tcW w:w="940" w:type="dxa"/>
            <w:vAlign w:val="bottom"/>
          </w:tcPr>
          <w:p>
            <w:pPr>
              <w:jc w:val="center"/>
              <w:ind w:left="457"/>
              <w:spacing w:after="0"/>
              <w:rPr>
                <w:sz w:val="20"/>
                <w:szCs w:val="20"/>
                <w:color w:val="auto"/>
              </w:rPr>
            </w:pPr>
            <w:r>
              <w:rPr>
                <w:rFonts w:ascii="Arial" w:cs="Arial" w:eastAsia="Arial" w:hAnsi="Arial"/>
                <w:sz w:val="13"/>
                <w:szCs w:val="13"/>
                <w:color w:val="auto"/>
                <w:w w:val="98"/>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2.4%</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 yield</w:t>
            </w:r>
          </w:p>
        </w:tc>
        <w:tc>
          <w:tcPr>
            <w:tcW w:w="940" w:type="dxa"/>
            <w:vAlign w:val="bottom"/>
            <w:shd w:val="clear" w:color="auto" w:fill="CCEEFF"/>
          </w:tcPr>
          <w:p>
            <w:pPr>
              <w:jc w:val="center"/>
              <w:ind w:left="457"/>
              <w:spacing w:after="0"/>
              <w:rPr>
                <w:sz w:val="20"/>
                <w:szCs w:val="20"/>
                <w:color w:val="auto"/>
              </w:rPr>
            </w:pPr>
            <w:r>
              <w:rPr>
                <w:rFonts w:ascii="Arial" w:cs="Arial" w:eastAsia="Arial" w:hAnsi="Arial"/>
                <w:sz w:val="13"/>
                <w:szCs w:val="13"/>
                <w:color w:val="auto"/>
                <w:w w:val="98"/>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08"/>
        </w:trPr>
        <w:tc>
          <w:tcPr>
            <w:tcW w:w="1160" w:type="dxa"/>
            <w:vAlign w:val="bottom"/>
            <w:tcBorders>
              <w:bottom w:val="single" w:sz="8" w:color="auto"/>
            </w:tcBorders>
          </w:tcPr>
          <w:p>
            <w:pPr>
              <w:spacing w:after="0"/>
              <w:rPr>
                <w:sz w:val="9"/>
                <w:szCs w:val="9"/>
                <w:color w:val="auto"/>
              </w:rPr>
            </w:pPr>
          </w:p>
        </w:tc>
        <w:tc>
          <w:tcPr>
            <w:tcW w:w="7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96" w:lineRule="exact"/>
        <w:rPr>
          <w:sz w:val="20"/>
          <w:szCs w:val="20"/>
          <w:color w:val="auto"/>
        </w:rPr>
      </w:pPr>
    </w:p>
    <w:p>
      <w:pPr>
        <w:ind w:left="400" w:hanging="394"/>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stock options were granted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fair value of the Company’s restricted stock units (“RSU”) awards granted is based upon the closing price of the Company’s stock price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Stock Units</w:t>
      </w:r>
    </w:p>
    <w:p>
      <w:pPr>
        <w:spacing w:after="0" w:line="198" w:lineRule="exact"/>
        <w:rPr>
          <w:sz w:val="20"/>
          <w:szCs w:val="20"/>
          <w:color w:val="auto"/>
        </w:rPr>
      </w:pPr>
    </w:p>
    <w:p>
      <w:pPr>
        <w:ind w:right="180" w:firstLine="388"/>
        <w:spacing w:after="0" w:line="265" w:lineRule="auto"/>
        <w:rPr>
          <w:sz w:val="20"/>
          <w:szCs w:val="20"/>
          <w:color w:val="auto"/>
        </w:rPr>
      </w:pPr>
      <w:r>
        <w:rPr>
          <w:rFonts w:ascii="Arial" w:cs="Arial" w:eastAsia="Arial" w:hAnsi="Arial"/>
          <w:sz w:val="14"/>
          <w:szCs w:val="14"/>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346075</wp:posOffset>
            </wp:positionV>
            <wp:extent cx="70897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18</w:t>
      </w:r>
    </w:p>
    <w:p>
      <w:pPr>
        <w:sectPr>
          <w:pgSz w:w="11900" w:h="16838" w:orient="portrait"/>
          <w:cols w:equalWidth="0" w:num="1">
            <w:col w:w="11460"/>
          </w:cols>
          <w:pgMar w:left="220" w:top="211" w:right="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Awards Activity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per Share</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9"/>
              </w:rPr>
              <w:t>(Years)</w:t>
            </w:r>
          </w:p>
        </w:tc>
        <w:tc>
          <w:tcPr>
            <w:tcW w:w="24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December 31, 2018</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6,772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ind w:left="2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Exercised</w:t>
            </w:r>
          </w:p>
        </w:tc>
        <w:tc>
          <w:tcPr>
            <w:tcW w:w="15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10,715</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Canceled</w:t>
            </w: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5.55</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March 31, 2019</w:t>
            </w:r>
          </w:p>
        </w:tc>
        <w:tc>
          <w:tcPr>
            <w:tcW w:w="1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5,144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1.94</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37,671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0"/>
              <w:spacing w:after="0"/>
              <w:rPr>
                <w:sz w:val="20"/>
                <w:szCs w:val="20"/>
                <w:color w:val="auto"/>
              </w:rPr>
            </w:pPr>
            <w:r>
              <w:rPr>
                <w:rFonts w:ascii="Arial" w:cs="Arial" w:eastAsia="Arial" w:hAnsi="Arial"/>
                <w:sz w:val="13"/>
                <w:szCs w:val="13"/>
                <w:color w:val="auto"/>
              </w:rPr>
              <w:t>Vested and expected to vest at March 31,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tcBorders>
              <w:bottom w:val="single" w:sz="8" w:color="CCEEFF"/>
            </w:tcBorders>
            <w:gridSpan w:val="2"/>
            <w:vMerge w:val="continue"/>
          </w:tcPr>
          <w:p>
            <w:pPr>
              <w:spacing w:after="0"/>
              <w:rPr>
                <w:sz w:val="17"/>
                <w:szCs w:val="17"/>
                <w:color w:val="auto"/>
              </w:rPr>
            </w:pP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5,144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1.94</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37,671</w:t>
            </w:r>
          </w:p>
        </w:tc>
        <w:tc>
          <w:tcPr>
            <w:tcW w:w="0" w:type="dxa"/>
            <w:vAlign w:val="bottom"/>
          </w:tcPr>
          <w:p>
            <w:pPr>
              <w:spacing w:after="0"/>
              <w:rPr>
                <w:sz w:val="1"/>
                <w:szCs w:val="1"/>
                <w:color w:val="auto"/>
              </w:rPr>
            </w:pPr>
          </w:p>
        </w:tc>
      </w:tr>
      <w:tr>
        <w:trPr>
          <w:trHeight w:val="166"/>
        </w:trPr>
        <w:tc>
          <w:tcPr>
            <w:tcW w:w="5160" w:type="dxa"/>
            <w:vAlign w:val="bottom"/>
            <w:tcBorders>
              <w:bottom w:val="single" w:sz="8" w:color="CCEEFF"/>
            </w:tcBorders>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rPr>
              <w:t>Exercisable at March 31, 2019</w:t>
            </w:r>
          </w:p>
        </w:tc>
        <w:tc>
          <w:tcPr>
            <w:tcW w:w="1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3,318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4.6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23,471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0" w:hanging="394"/>
        <w:spacing w:after="0" w:line="265" w:lineRule="auto"/>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intrinsic value of options exercised is based upon the value of the Company’s stock at exercise. The intrinsic value of options outstanding, vested and expected to vest, and exercisable as of March 31, 2019 is based on the closing price of the Company’s stock fair value on March 31, 2019 or the earlier of the last trading day prior to March 31, 2019, if March 31, 2019 is a non-trading day. The Company’s stock fair value used in this computation was $9.23 per share.</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summarizes information about stock options outstanding at March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Options Outstanding</w:t>
            </w:r>
          </w:p>
        </w:tc>
        <w:tc>
          <w:tcPr>
            <w:tcW w:w="10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Borders>
              <w:bottom w:val="single" w:sz="8" w:color="auto"/>
            </w:tcBorders>
            <w:gridSpan w:val="4"/>
          </w:tcPr>
          <w:p>
            <w:pPr>
              <w:jc w:val="right"/>
              <w:ind w:right="898"/>
              <w:spacing w:after="0"/>
              <w:rPr>
                <w:sz w:val="20"/>
                <w:szCs w:val="20"/>
                <w:color w:val="auto"/>
              </w:rPr>
            </w:pPr>
            <w:r>
              <w:rPr>
                <w:rFonts w:ascii="Arial" w:cs="Arial" w:eastAsia="Arial" w:hAnsi="Arial"/>
                <w:sz w:val="11"/>
                <w:szCs w:val="11"/>
                <w:b w:val="1"/>
                <w:bCs w:val="1"/>
                <w:color w:val="auto"/>
              </w:rPr>
              <w:t>Options Exercisable</w:t>
            </w:r>
          </w:p>
        </w:tc>
      </w:tr>
      <w:tr>
        <w:trPr>
          <w:trHeight w:val="136"/>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Weighted-</w:t>
            </w:r>
          </w:p>
        </w:tc>
        <w:tc>
          <w:tcPr>
            <w:tcW w:w="1080" w:type="dxa"/>
            <w:vAlign w:val="bottom"/>
          </w:tcPr>
          <w:p>
            <w:pPr>
              <w:jc w:val="center"/>
              <w:ind w:left="361"/>
              <w:spacing w:after="0"/>
              <w:rPr>
                <w:sz w:val="20"/>
                <w:szCs w:val="20"/>
                <w:color w:val="auto"/>
              </w:rPr>
            </w:pPr>
            <w:r>
              <w:rPr>
                <w:rFonts w:ascii="Arial" w:cs="Arial" w:eastAsia="Arial" w:hAnsi="Arial"/>
                <w:sz w:val="11"/>
                <w:szCs w:val="11"/>
                <w:b w:val="1"/>
                <w:bCs w:val="1"/>
                <w:color w:val="auto"/>
              </w:rPr>
              <w:t>Weighted-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98"/>
              <w:spacing w:after="0"/>
              <w:rPr>
                <w:sz w:val="20"/>
                <w:szCs w:val="20"/>
                <w:color w:val="auto"/>
              </w:rPr>
            </w:pPr>
            <w:r>
              <w:rPr>
                <w:rFonts w:ascii="Arial" w:cs="Arial" w:eastAsia="Arial" w:hAnsi="Arial"/>
                <w:sz w:val="11"/>
                <w:szCs w:val="11"/>
                <w:b w:val="1"/>
                <w:bCs w:val="1"/>
                <w:color w:val="auto"/>
              </w:rPr>
              <w:t>Weighted-</w:t>
            </w:r>
          </w:p>
        </w:tc>
      </w:tr>
      <w:tr>
        <w:trPr>
          <w:trHeight w:val="129"/>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Average</w:t>
            </w:r>
          </w:p>
        </w:tc>
        <w:tc>
          <w:tcPr>
            <w:tcW w:w="1080" w:type="dxa"/>
            <w:vAlign w:val="bottom"/>
          </w:tcPr>
          <w:p>
            <w:pPr>
              <w:jc w:val="center"/>
              <w:ind w:left="361"/>
              <w:spacing w:after="0"/>
              <w:rPr>
                <w:sz w:val="20"/>
                <w:szCs w:val="20"/>
                <w:color w:val="auto"/>
              </w:rPr>
            </w:pPr>
            <w:r>
              <w:rPr>
                <w:rFonts w:ascii="Arial" w:cs="Arial" w:eastAsia="Arial" w:hAnsi="Arial"/>
                <w:sz w:val="11"/>
                <w:szCs w:val="11"/>
                <w:b w:val="1"/>
                <w:bCs w:val="1"/>
                <w:color w:val="auto"/>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98"/>
              <w:spacing w:after="0"/>
              <w:rPr>
                <w:sz w:val="20"/>
                <w:szCs w:val="20"/>
                <w:color w:val="auto"/>
              </w:rPr>
            </w:pPr>
            <w:r>
              <w:rPr>
                <w:rFonts w:ascii="Arial" w:cs="Arial" w:eastAsia="Arial" w:hAnsi="Arial"/>
                <w:sz w:val="11"/>
                <w:szCs w:val="11"/>
                <w:b w:val="1"/>
                <w:bCs w:val="1"/>
                <w:color w:val="auto"/>
              </w:rPr>
              <w:t>Average</w:t>
            </w:r>
          </w:p>
        </w:tc>
      </w:tr>
      <w:tr>
        <w:trPr>
          <w:trHeight w:val="129"/>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Remaining</w:t>
            </w:r>
          </w:p>
        </w:tc>
        <w:tc>
          <w:tcPr>
            <w:tcW w:w="1080" w:type="dxa"/>
            <w:vAlign w:val="bottom"/>
          </w:tcPr>
          <w:p>
            <w:pPr>
              <w:jc w:val="center"/>
              <w:ind w:left="361"/>
              <w:spacing w:after="0"/>
              <w:rPr>
                <w:sz w:val="20"/>
                <w:szCs w:val="20"/>
                <w:color w:val="auto"/>
              </w:rPr>
            </w:pPr>
            <w:r>
              <w:rPr>
                <w:rFonts w:ascii="Arial" w:cs="Arial" w:eastAsia="Arial" w:hAnsi="Arial"/>
                <w:sz w:val="11"/>
                <w:szCs w:val="11"/>
                <w:b w:val="1"/>
                <w:bCs w:val="1"/>
                <w:color w:val="auto"/>
              </w:rPr>
              <w:t>Exercise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98"/>
              <w:spacing w:after="0"/>
              <w:rPr>
                <w:sz w:val="20"/>
                <w:szCs w:val="20"/>
                <w:color w:val="auto"/>
              </w:rPr>
            </w:pPr>
            <w:r>
              <w:rPr>
                <w:rFonts w:ascii="Arial" w:cs="Arial" w:eastAsia="Arial" w:hAnsi="Arial"/>
                <w:sz w:val="11"/>
                <w:szCs w:val="11"/>
                <w:b w:val="1"/>
                <w:bCs w:val="1"/>
                <w:color w:val="auto"/>
              </w:rPr>
              <w:t>Exercise</w:t>
            </w:r>
          </w:p>
        </w:tc>
      </w:tr>
      <w:tr>
        <w:trPr>
          <w:trHeight w:val="157"/>
        </w:trPr>
        <w:tc>
          <w:tcPr>
            <w:tcW w:w="344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Range of Exercise Prices</w:t>
            </w: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center"/>
              <w:ind w:left="341"/>
              <w:spacing w:after="0"/>
              <w:rPr>
                <w:sz w:val="20"/>
                <w:szCs w:val="20"/>
                <w:color w:val="auto"/>
              </w:rPr>
            </w:pPr>
            <w:r>
              <w:rPr>
                <w:rFonts w:ascii="Arial" w:cs="Arial" w:eastAsia="Arial" w:hAnsi="Arial"/>
                <w:sz w:val="11"/>
                <w:szCs w:val="11"/>
                <w:b w:val="1"/>
                <w:bCs w:val="1"/>
                <w:color w:val="auto"/>
              </w:rPr>
              <w:t>Price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8"/>
              <w:spacing w:after="0"/>
              <w:rPr>
                <w:sz w:val="20"/>
                <w:szCs w:val="20"/>
                <w:color w:val="auto"/>
              </w:rPr>
            </w:pPr>
            <w:r>
              <w:rPr>
                <w:rFonts w:ascii="Arial" w:cs="Arial" w:eastAsia="Arial" w:hAnsi="Arial"/>
                <w:sz w:val="11"/>
                <w:szCs w:val="11"/>
                <w:b w:val="1"/>
                <w:bCs w:val="1"/>
                <w:color w:val="auto"/>
              </w:rPr>
              <w:t>Price</w:t>
            </w:r>
          </w:p>
        </w:tc>
      </w:tr>
      <w:tr>
        <w:trPr>
          <w:trHeight w:val="159"/>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1"/>
                <w:szCs w:val="11"/>
                <w:i w:val="1"/>
                <w:iCs w:val="1"/>
                <w:color w:val="auto"/>
                <w:w w:val="99"/>
              </w:rPr>
              <w:t>(Years)</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52"/>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6"/>
        </w:trPr>
        <w:tc>
          <w:tcPr>
            <w:tcW w:w="35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9"/>
              </w:rPr>
              <w:t>$0.27 —– $1.14</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1,061</w:t>
            </w:r>
          </w:p>
        </w:tc>
        <w:tc>
          <w:tcPr>
            <w:tcW w:w="160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99"/>
              </w:rPr>
              <w:t>5.6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0.83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0.79</w:t>
            </w:r>
          </w:p>
        </w:tc>
      </w:tr>
      <w:tr>
        <w:trPr>
          <w:trHeight w:val="208"/>
        </w:trPr>
        <w:tc>
          <w:tcPr>
            <w:tcW w:w="3560" w:type="dxa"/>
            <w:vAlign w:val="bottom"/>
            <w:gridSpan w:val="2"/>
          </w:tcPr>
          <w:p>
            <w:pPr>
              <w:jc w:val="center"/>
              <w:ind w:left="16"/>
              <w:spacing w:after="0"/>
              <w:rPr>
                <w:sz w:val="20"/>
                <w:szCs w:val="20"/>
                <w:color w:val="auto"/>
              </w:rPr>
            </w:pPr>
            <w:r>
              <w:rPr>
                <w:rFonts w:ascii="Arial" w:cs="Arial" w:eastAsia="Arial" w:hAnsi="Arial"/>
                <w:sz w:val="13"/>
                <w:szCs w:val="13"/>
                <w:color w:val="auto"/>
                <w:w w:val="99"/>
              </w:rPr>
              <w:t>$1.29 —– $1.29</w:t>
            </w: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1,000</w:t>
            </w:r>
          </w:p>
        </w:tc>
        <w:tc>
          <w:tcPr>
            <w:tcW w:w="1600" w:type="dxa"/>
            <w:vAlign w:val="bottom"/>
            <w:gridSpan w:val="2"/>
          </w:tcPr>
          <w:p>
            <w:pPr>
              <w:jc w:val="center"/>
              <w:ind w:left="75"/>
              <w:spacing w:after="0"/>
              <w:rPr>
                <w:sz w:val="20"/>
                <w:szCs w:val="20"/>
                <w:color w:val="auto"/>
              </w:rPr>
            </w:pPr>
            <w:r>
              <w:rPr>
                <w:rFonts w:ascii="Arial" w:cs="Arial" w:eastAsia="Arial" w:hAnsi="Arial"/>
                <w:sz w:val="13"/>
                <w:szCs w:val="13"/>
                <w:color w:val="auto"/>
                <w:w w:val="99"/>
              </w:rPr>
              <w:t>5.5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8"/>
                <w:szCs w:val="18"/>
                <w:color w:val="auto"/>
              </w:rPr>
            </w:pPr>
          </w:p>
        </w:tc>
        <w:tc>
          <w:tcPr>
            <w:tcW w:w="1480" w:type="dxa"/>
            <w:vAlign w:val="bottom"/>
          </w:tcPr>
          <w:p>
            <w:pPr>
              <w:jc w:val="right"/>
              <w:ind w:right="58"/>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1.29</w:t>
            </w:r>
          </w:p>
        </w:tc>
      </w:tr>
      <w:tr>
        <w:trPr>
          <w:trHeight w:val="223"/>
        </w:trPr>
        <w:tc>
          <w:tcPr>
            <w:tcW w:w="35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9"/>
              </w:rPr>
              <w:t>$1.31 —– $1.31</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1,752</w:t>
            </w:r>
          </w:p>
        </w:tc>
        <w:tc>
          <w:tcPr>
            <w:tcW w:w="160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99"/>
              </w:rPr>
              <w:t>5.0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1.31</w:t>
            </w:r>
          </w:p>
        </w:tc>
      </w:tr>
      <w:tr>
        <w:trPr>
          <w:trHeight w:val="208"/>
        </w:trPr>
        <w:tc>
          <w:tcPr>
            <w:tcW w:w="3560" w:type="dxa"/>
            <w:vAlign w:val="bottom"/>
            <w:gridSpan w:val="2"/>
          </w:tcPr>
          <w:p>
            <w:pPr>
              <w:jc w:val="center"/>
              <w:ind w:left="16"/>
              <w:spacing w:after="0"/>
              <w:rPr>
                <w:sz w:val="20"/>
                <w:szCs w:val="20"/>
                <w:color w:val="auto"/>
              </w:rPr>
            </w:pPr>
            <w:r>
              <w:rPr>
                <w:rFonts w:ascii="Arial" w:cs="Arial" w:eastAsia="Arial" w:hAnsi="Arial"/>
                <w:sz w:val="13"/>
                <w:szCs w:val="13"/>
                <w:color w:val="auto"/>
                <w:w w:val="99"/>
              </w:rPr>
              <w:t>$1.37 —– $6.98</w:t>
            </w:r>
          </w:p>
        </w:tc>
        <w:tc>
          <w:tcPr>
            <w:tcW w:w="1500" w:type="dxa"/>
            <w:vAlign w:val="bottom"/>
          </w:tcPr>
          <w:p>
            <w:pPr>
              <w:jc w:val="right"/>
              <w:ind w:right="58"/>
              <w:spacing w:after="0"/>
              <w:rPr>
                <w:sz w:val="20"/>
                <w:szCs w:val="20"/>
                <w:color w:val="auto"/>
              </w:rPr>
            </w:pPr>
            <w:r>
              <w:rPr>
                <w:rFonts w:ascii="Arial" w:cs="Arial" w:eastAsia="Arial" w:hAnsi="Arial"/>
                <w:sz w:val="13"/>
                <w:szCs w:val="13"/>
                <w:color w:val="auto"/>
              </w:rPr>
              <w:t>1,034</w:t>
            </w:r>
          </w:p>
        </w:tc>
        <w:tc>
          <w:tcPr>
            <w:tcW w:w="1600" w:type="dxa"/>
            <w:vAlign w:val="bottom"/>
            <w:gridSpan w:val="2"/>
          </w:tcPr>
          <w:p>
            <w:pPr>
              <w:jc w:val="center"/>
              <w:ind w:left="75"/>
              <w:spacing w:after="0"/>
              <w:rPr>
                <w:sz w:val="20"/>
                <w:szCs w:val="20"/>
                <w:color w:val="auto"/>
              </w:rPr>
            </w:pPr>
            <w:r>
              <w:rPr>
                <w:rFonts w:ascii="Arial" w:cs="Arial" w:eastAsia="Arial" w:hAnsi="Arial"/>
                <w:sz w:val="13"/>
                <w:szCs w:val="13"/>
                <w:color w:val="auto"/>
                <w:w w:val="99"/>
              </w:rPr>
              <w:t>3.9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8"/>
                <w:szCs w:val="18"/>
                <w:color w:val="auto"/>
              </w:rPr>
            </w:pPr>
          </w:p>
        </w:tc>
        <w:tc>
          <w:tcPr>
            <w:tcW w:w="1480" w:type="dxa"/>
            <w:vAlign w:val="bottom"/>
          </w:tcPr>
          <w:p>
            <w:pPr>
              <w:jc w:val="right"/>
              <w:ind w:right="58"/>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3.03</w:t>
            </w:r>
          </w:p>
        </w:tc>
      </w:tr>
      <w:tr>
        <w:trPr>
          <w:trHeight w:val="223"/>
        </w:trPr>
        <w:tc>
          <w:tcPr>
            <w:tcW w:w="35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$7.01 —– $12.57</w:t>
            </w:r>
          </w:p>
        </w:tc>
        <w:tc>
          <w:tcPr>
            <w:tcW w:w="1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297</w:t>
            </w:r>
          </w:p>
        </w:tc>
        <w:tc>
          <w:tcPr>
            <w:tcW w:w="160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99"/>
              </w:rPr>
              <w:t>2.2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8.40</w:t>
            </w:r>
          </w:p>
        </w:tc>
      </w:tr>
      <w:tr>
        <w:trPr>
          <w:trHeight w:val="182"/>
        </w:trPr>
        <w:tc>
          <w:tcPr>
            <w:tcW w:w="35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5,144</w:t>
            </w:r>
          </w:p>
        </w:tc>
        <w:tc>
          <w:tcPr>
            <w:tcW w:w="1600" w:type="dxa"/>
            <w:vAlign w:val="bottom"/>
            <w:gridSpan w:val="2"/>
          </w:tcPr>
          <w:p>
            <w:pPr>
              <w:jc w:val="center"/>
              <w:ind w:left="75"/>
              <w:spacing w:after="0"/>
              <w:rPr>
                <w:sz w:val="20"/>
                <w:szCs w:val="20"/>
                <w:color w:val="auto"/>
              </w:rPr>
            </w:pPr>
            <w:r>
              <w:rPr>
                <w:rFonts w:ascii="Arial" w:cs="Arial" w:eastAsia="Arial" w:hAnsi="Arial"/>
                <w:sz w:val="13"/>
                <w:szCs w:val="13"/>
                <w:color w:val="auto"/>
                <w:w w:val="99"/>
              </w:rPr>
              <w:t>4.8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3,318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2.20</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0897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19</w:t>
      </w:r>
    </w:p>
    <w:p>
      <w:pPr>
        <w:sectPr>
          <w:pgSz w:w="11900" w:h="16838" w:orient="portrait"/>
          <w:cols w:equalWidth="0" w:num="1">
            <w:col w:w="11460"/>
          </w:cols>
          <w:pgMar w:left="220" w:top="211"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RSU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40" w:type="dxa"/>
            <w:vAlign w:val="bottom"/>
          </w:tcPr>
          <w:p>
            <w:pPr>
              <w:jc w:val="center"/>
              <w:ind w:left="403"/>
              <w:spacing w:after="0"/>
              <w:rPr>
                <w:sz w:val="20"/>
                <w:szCs w:val="20"/>
                <w:color w:val="auto"/>
              </w:rPr>
            </w:pPr>
            <w:r>
              <w:rPr>
                <w:rFonts w:ascii="Arial" w:cs="Arial" w:eastAsia="Arial" w:hAnsi="Arial"/>
                <w:sz w:val="11"/>
                <w:szCs w:val="11"/>
                <w:b w:val="1"/>
                <w:bCs w:val="1"/>
                <w:color w:val="auto"/>
              </w:rPr>
              <w:t>Number of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Aggregate</w:t>
            </w: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40" w:type="dxa"/>
            <w:vAlign w:val="bottom"/>
          </w:tcPr>
          <w:p>
            <w:pPr>
              <w:jc w:val="center"/>
              <w:ind w:left="403"/>
              <w:spacing w:after="0"/>
              <w:rPr>
                <w:sz w:val="20"/>
                <w:szCs w:val="20"/>
                <w:color w:val="auto"/>
              </w:rPr>
            </w:pPr>
            <w:r>
              <w:rPr>
                <w:rFonts w:ascii="Arial" w:cs="Arial" w:eastAsia="Arial" w:hAnsi="Arial"/>
                <w:sz w:val="11"/>
                <w:szCs w:val="11"/>
                <w:b w:val="1"/>
                <w:bCs w:val="1"/>
                <w:color w:val="auto"/>
              </w:rPr>
              <w:t>Shares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per Share at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Intrinsic</w:t>
            </w:r>
          </w:p>
        </w:tc>
      </w:tr>
      <w:tr>
        <w:trPr>
          <w:trHeight w:val="161"/>
        </w:trPr>
        <w:tc>
          <w:tcPr>
            <w:tcW w:w="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rPr>
              <w:t>Grant Date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r>
      <w:tr>
        <w:trPr>
          <w:trHeight w:val="154"/>
        </w:trPr>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9"/>
              </w:rPr>
              <w:t>(Years)</w:t>
            </w:r>
          </w:p>
        </w:tc>
        <w:tc>
          <w:tcPr>
            <w:tcW w:w="24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Arial" w:cs="Arial" w:eastAsia="Arial" w:hAnsi="Arial"/>
                <w:sz w:val="11"/>
                <w:szCs w:val="11"/>
                <w:i w:val="1"/>
                <w:iCs w:val="1"/>
                <w:color w:val="auto"/>
              </w:rPr>
              <w:t>(In thousands)</w:t>
            </w:r>
          </w:p>
        </w:tc>
      </w:tr>
      <w:tr>
        <w:trPr>
          <w:trHeight w:val="52"/>
        </w:trPr>
        <w:tc>
          <w:tcPr>
            <w:tcW w:w="7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Outstanding at December 31, 2018</w:t>
            </w:r>
          </w:p>
        </w:tc>
        <w:tc>
          <w:tcPr>
            <w:tcW w:w="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8"/>
              </w:rPr>
              <w:t>4,352</w:t>
            </w:r>
          </w:p>
        </w:tc>
        <w:tc>
          <w:tcPr>
            <w:tcW w:w="1220" w:type="dxa"/>
            <w:vAlign w:val="bottom"/>
            <w:gridSpan w:val="2"/>
            <w:shd w:val="clear" w:color="auto" w:fill="CCEEFF"/>
          </w:tcPr>
          <w:p>
            <w:pPr>
              <w:jc w:val="right"/>
              <w:ind w:right="96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6200" w:type="dxa"/>
            <w:vAlign w:val="bottom"/>
            <w:gridSpan w:val="3"/>
          </w:tcPr>
          <w:p>
            <w:pPr>
              <w:ind w:left="220"/>
              <w:spacing w:after="0"/>
              <w:rPr>
                <w:sz w:val="20"/>
                <w:szCs w:val="20"/>
                <w:color w:val="auto"/>
              </w:rPr>
            </w:pPr>
            <w:r>
              <w:rPr>
                <w:rFonts w:ascii="Arial" w:cs="Arial" w:eastAsia="Arial" w:hAnsi="Arial"/>
                <w:sz w:val="13"/>
                <w:szCs w:val="13"/>
                <w:color w:val="auto"/>
              </w:rPr>
              <w:t>Granted</w:t>
            </w:r>
          </w:p>
        </w:tc>
        <w:tc>
          <w:tcPr>
            <w:tcW w:w="460" w:type="dxa"/>
            <w:vAlign w:val="bottom"/>
          </w:tcPr>
          <w:p>
            <w:pPr>
              <w:jc w:val="right"/>
              <w:ind w:right="55"/>
              <w:spacing w:after="0"/>
              <w:rPr>
                <w:sz w:val="20"/>
                <w:szCs w:val="20"/>
                <w:color w:val="auto"/>
              </w:rPr>
            </w:pPr>
            <w:r>
              <w:rPr>
                <w:rFonts w:ascii="Arial" w:cs="Arial" w:eastAsia="Arial" w:hAnsi="Arial"/>
                <w:sz w:val="13"/>
                <w:szCs w:val="13"/>
                <w:color w:val="auto"/>
                <w:w w:val="98"/>
              </w:rPr>
              <w:t>1,114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8.12</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620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Vested</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(716)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6,255</w:t>
            </w: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Canceled</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(216)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ind w:right="55"/>
              <w:spacing w:after="0"/>
              <w:rPr>
                <w:sz w:val="20"/>
                <w:szCs w:val="20"/>
                <w:color w:val="auto"/>
              </w:rPr>
            </w:pPr>
            <w:r>
              <w:rPr>
                <w:rFonts w:ascii="Arial" w:cs="Arial" w:eastAsia="Arial" w:hAnsi="Arial"/>
                <w:sz w:val="13"/>
                <w:szCs w:val="13"/>
                <w:color w:val="auto"/>
              </w:rPr>
              <w:t>2.02</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r>
      <w:tr>
        <w:trPr>
          <w:trHeight w:val="19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March 31, 2019</w:t>
            </w:r>
          </w:p>
        </w:tc>
        <w:tc>
          <w:tcPr>
            <w:tcW w:w="10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98"/>
              </w:rPr>
              <w:t>4,534</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4.70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41,845</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6"/>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Expected to vest at March 31, 2019</w:t>
            </w:r>
          </w:p>
        </w:tc>
        <w:tc>
          <w:tcPr>
            <w:tcW w:w="460" w:type="dxa"/>
            <w:vAlign w:val="bottom"/>
          </w:tcPr>
          <w:p>
            <w:pPr>
              <w:jc w:val="right"/>
              <w:ind w:right="55"/>
              <w:spacing w:after="0"/>
              <w:rPr>
                <w:sz w:val="20"/>
                <w:szCs w:val="20"/>
                <w:color w:val="auto"/>
              </w:rPr>
            </w:pPr>
            <w:r>
              <w:rPr>
                <w:rFonts w:ascii="Arial" w:cs="Arial" w:eastAsia="Arial" w:hAnsi="Arial"/>
                <w:sz w:val="13"/>
                <w:szCs w:val="13"/>
                <w:color w:val="auto"/>
                <w:w w:val="98"/>
              </w:rPr>
              <w:t>4,532</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9"/>
              </w:rPr>
              <w:t>1.5</w:t>
            </w:r>
          </w:p>
        </w:tc>
        <w:tc>
          <w:tcPr>
            <w:tcW w:w="100" w:type="dxa"/>
            <w:vAlign w:val="bottom"/>
          </w:tcPr>
          <w:p>
            <w:pPr>
              <w:spacing w:after="0"/>
              <w:rPr>
                <w:sz w:val="14"/>
                <w:szCs w:val="14"/>
                <w:color w:val="auto"/>
              </w:rPr>
            </w:pP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9"/>
              <w:spacing w:after="0"/>
              <w:rPr>
                <w:sz w:val="20"/>
                <w:szCs w:val="20"/>
                <w:color w:val="auto"/>
              </w:rPr>
            </w:pPr>
            <w:r>
              <w:rPr>
                <w:rFonts w:ascii="Arial" w:cs="Arial" w:eastAsia="Arial" w:hAnsi="Arial"/>
                <w:sz w:val="13"/>
                <w:szCs w:val="13"/>
                <w:color w:val="auto"/>
              </w:rPr>
              <w:t>41,835</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96" w:lineRule="exact"/>
        <w:rPr>
          <w:sz w:val="20"/>
          <w:szCs w:val="20"/>
          <w:color w:val="auto"/>
        </w:rPr>
      </w:pPr>
    </w:p>
    <w:p>
      <w:pPr>
        <w:ind w:left="400" w:right="180" w:hanging="394"/>
        <w:spacing w:after="0" w:line="265"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intrinsic value of RSUs vested is based upon the value of the Company’s stock when vested. The intrinsic value of RSUs outstanding and expected to vest as of March 31, 2019 is based on the closing price of the Company’s stock on March 31, 2019 or the earlier of the last trading day prior to March 31, 2019, if March 31, 2019 is a non-trading day. The Company’s stock fair value used in this computation was $9.23 per share.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Stock Units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PSU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2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Aggregate</w:t>
            </w:r>
          </w:p>
        </w:tc>
      </w:tr>
      <w:tr>
        <w:trPr>
          <w:trHeight w:val="129"/>
        </w:trPr>
        <w:tc>
          <w:tcPr>
            <w:tcW w:w="7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jc w:val="center"/>
              <w:ind w:left="463"/>
              <w:spacing w:after="0"/>
              <w:rPr>
                <w:sz w:val="20"/>
                <w:szCs w:val="20"/>
                <w:color w:val="auto"/>
              </w:rPr>
            </w:pPr>
            <w:r>
              <w:rPr>
                <w:rFonts w:ascii="Arial" w:cs="Arial" w:eastAsia="Arial" w:hAnsi="Arial"/>
                <w:sz w:val="11"/>
                <w:szCs w:val="11"/>
                <w:b w:val="1"/>
                <w:bCs w:val="1"/>
                <w:color w:val="auto"/>
              </w:rPr>
              <w:t>Shares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343"/>
              <w:spacing w:after="0"/>
              <w:rPr>
                <w:sz w:val="20"/>
                <w:szCs w:val="20"/>
                <w:color w:val="auto"/>
              </w:rPr>
            </w:pPr>
            <w:r>
              <w:rPr>
                <w:rFonts w:ascii="Arial" w:cs="Arial" w:eastAsia="Arial" w:hAnsi="Arial"/>
                <w:sz w:val="11"/>
                <w:szCs w:val="11"/>
                <w:b w:val="1"/>
                <w:bCs w:val="1"/>
                <w:color w:val="auto"/>
              </w:rPr>
              <w:t>per Share at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1"/>
                <w:szCs w:val="11"/>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rPr>
              <w:t>Intrinsic</w:t>
            </w:r>
          </w:p>
        </w:tc>
      </w:tr>
      <w:tr>
        <w:trPr>
          <w:trHeight w:val="161"/>
        </w:trPr>
        <w:tc>
          <w:tcPr>
            <w:tcW w:w="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rPr>
              <w:t>Grant Date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r>
      <w:tr>
        <w:trPr>
          <w:trHeight w:val="154"/>
        </w:trPr>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9"/>
              </w:rPr>
              <w:t>(Years)</w:t>
            </w:r>
          </w:p>
        </w:tc>
        <w:tc>
          <w:tcPr>
            <w:tcW w:w="24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Arial" w:cs="Arial" w:eastAsia="Arial" w:hAnsi="Arial"/>
                <w:sz w:val="11"/>
                <w:szCs w:val="11"/>
                <w:i w:val="1"/>
                <w:iCs w:val="1"/>
                <w:color w:val="auto"/>
              </w:rPr>
              <w:t>(In thousands)</w:t>
            </w:r>
          </w:p>
        </w:tc>
      </w:tr>
      <w:tr>
        <w:trPr>
          <w:trHeight w:val="52"/>
        </w:trPr>
        <w:tc>
          <w:tcPr>
            <w:tcW w:w="7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Outstanding at December 31, 2018</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1,330</w:t>
            </w:r>
          </w:p>
        </w:tc>
        <w:tc>
          <w:tcPr>
            <w:tcW w:w="1220" w:type="dxa"/>
            <w:vAlign w:val="bottom"/>
            <w:gridSpan w:val="2"/>
            <w:shd w:val="clear" w:color="auto" w:fill="CCEEFF"/>
          </w:tcPr>
          <w:p>
            <w:pPr>
              <w:jc w:val="right"/>
              <w:ind w:right="96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6140" w:type="dxa"/>
            <w:vAlign w:val="bottom"/>
            <w:gridSpan w:val="3"/>
          </w:tcPr>
          <w:p>
            <w:pPr>
              <w:ind w:left="220"/>
              <w:spacing w:after="0"/>
              <w:rPr>
                <w:sz w:val="20"/>
                <w:szCs w:val="20"/>
                <w:color w:val="auto"/>
              </w:rPr>
            </w:pPr>
            <w:r>
              <w:rPr>
                <w:rFonts w:ascii="Arial" w:cs="Arial" w:eastAsia="Arial" w:hAnsi="Arial"/>
                <w:sz w:val="13"/>
                <w:szCs w:val="13"/>
                <w:color w:val="auto"/>
              </w:rPr>
              <w:t>Granted</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1,046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61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Vested</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9,925</w:t>
            </w:r>
          </w:p>
        </w:tc>
      </w:tr>
      <w:tr>
        <w:trPr>
          <w:trHeight w:val="208"/>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Canceled</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(337)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ind w:right="55"/>
              <w:spacing w:after="0"/>
              <w:rPr>
                <w:sz w:val="20"/>
                <w:szCs w:val="20"/>
                <w:color w:val="auto"/>
              </w:rPr>
            </w:pPr>
            <w:r>
              <w:rPr>
                <w:rFonts w:ascii="Arial" w:cs="Arial" w:eastAsia="Arial" w:hAnsi="Arial"/>
                <w:sz w:val="13"/>
                <w:szCs w:val="13"/>
                <w:color w:val="auto"/>
              </w:rPr>
              <w:t>4.78</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r>
      <w:tr>
        <w:trPr>
          <w:trHeight w:val="19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March 31, 2019</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1,013</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8.64</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9,349</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6"/>
        </w:trPr>
        <w:tc>
          <w:tcPr>
            <w:tcW w:w="6140" w:type="dxa"/>
            <w:vAlign w:val="bottom"/>
            <w:gridSpan w:val="3"/>
          </w:tcPr>
          <w:p>
            <w:pPr>
              <w:ind w:left="20"/>
              <w:spacing w:after="0"/>
              <w:rPr>
                <w:sz w:val="20"/>
                <w:szCs w:val="20"/>
                <w:color w:val="auto"/>
              </w:rPr>
            </w:pPr>
            <w:r>
              <w:rPr>
                <w:rFonts w:ascii="Arial" w:cs="Arial" w:eastAsia="Arial" w:hAnsi="Arial"/>
                <w:sz w:val="13"/>
                <w:szCs w:val="13"/>
                <w:color w:val="auto"/>
              </w:rPr>
              <w:t>Expected to vest at March 31, 2019</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1,013</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8.64</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9"/>
              </w:rPr>
              <w:t>1.0</w:t>
            </w:r>
          </w:p>
        </w:tc>
        <w:tc>
          <w:tcPr>
            <w:tcW w:w="100" w:type="dxa"/>
            <w:vAlign w:val="bottom"/>
          </w:tcPr>
          <w:p>
            <w:pPr>
              <w:spacing w:after="0"/>
              <w:rPr>
                <w:sz w:val="14"/>
                <w:szCs w:val="14"/>
                <w:color w:val="auto"/>
              </w:rPr>
            </w:pP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9"/>
              <w:spacing w:after="0"/>
              <w:rPr>
                <w:sz w:val="20"/>
                <w:szCs w:val="20"/>
                <w:color w:val="auto"/>
              </w:rPr>
            </w:pPr>
            <w:r>
              <w:rPr>
                <w:rFonts w:ascii="Arial" w:cs="Arial" w:eastAsia="Arial" w:hAnsi="Arial"/>
                <w:sz w:val="13"/>
                <w:szCs w:val="13"/>
                <w:color w:val="auto"/>
              </w:rPr>
              <w:t>9,349</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96" w:lineRule="exact"/>
        <w:rPr>
          <w:sz w:val="20"/>
          <w:szCs w:val="20"/>
          <w:color w:val="auto"/>
        </w:rPr>
      </w:pPr>
    </w:p>
    <w:p>
      <w:pPr>
        <w:ind w:left="400" w:right="180" w:hanging="394"/>
        <w:spacing w:after="0" w:line="265" w:lineRule="auto"/>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intrinsic value of PSUs vested is based upon the value of the Company’s stock when vested. The intrinsic value of PSUs outstanding and expected to vest as of March 31, 2019 is based on the closing price of the Company’s stock on March 31, 2019 or the earlier of the last trading day prior to March 31, 2019, if March 31, 2019 is a non-trading day. The Company’s stock fair value used in this computation was $9.23 per share.</w:t>
      </w:r>
    </w:p>
    <w:p>
      <w:pPr>
        <w:spacing w:after="0" w:line="182" w:lineRule="exact"/>
        <w:rPr>
          <w:sz w:val="20"/>
          <w:szCs w:val="20"/>
          <w:color w:val="auto"/>
        </w:rPr>
      </w:pPr>
    </w:p>
    <w:p>
      <w:pPr>
        <w:ind w:left="400" w:hanging="394"/>
        <w:spacing w:after="0"/>
        <w:tabs>
          <w:tab w:leader="none" w:pos="4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right="360" w:firstLine="388"/>
        <w:spacing w:after="0" w:line="262" w:lineRule="auto"/>
        <w:rPr>
          <w:sz w:val="20"/>
          <w:szCs w:val="20"/>
          <w:color w:val="auto"/>
        </w:rPr>
      </w:pPr>
      <w:r>
        <w:rPr>
          <w:rFonts w:ascii="Arial" w:cs="Arial" w:eastAsia="Arial" w:hAnsi="Arial"/>
          <w:sz w:val="14"/>
          <w:szCs w:val="14"/>
          <w:color w:val="auto"/>
        </w:rPr>
        <w:t>The Company used the discrete tax approach in calculating the tax expense for the three months ended March 31, 2019 and 2018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20</w:t>
      </w:r>
    </w:p>
    <w:p>
      <w:pPr>
        <w:sectPr>
          <w:pgSz w:w="11900" w:h="16838" w:orient="portrait"/>
          <w:cols w:equalWidth="0" w:num="1">
            <w:col w:w="11420"/>
          </w:cols>
          <w:pgMar w:left="220" w:top="211" w:right="25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0000EE"/>
        </w:rPr>
        <w:t>Table of Contents</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ENPHASE ENERGY, INC.</w:t>
      </w:r>
    </w:p>
    <w:p>
      <w:pPr>
        <w:spacing w:after="0" w:line="98"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4"/>
        <w:spacing w:after="0"/>
        <w:tabs>
          <w:tab w:leader="none" w:pos="40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(LOSS) PER SHARE</w:t>
      </w:r>
    </w:p>
    <w:p>
      <w:pPr>
        <w:spacing w:after="0" w:line="202" w:lineRule="exact"/>
        <w:rPr>
          <w:sz w:val="20"/>
          <w:szCs w:val="20"/>
          <w:color w:val="auto"/>
        </w:rPr>
      </w:pPr>
    </w:p>
    <w:p>
      <w:pPr>
        <w:ind w:right="20" w:firstLine="388"/>
        <w:spacing w:after="0" w:line="261" w:lineRule="auto"/>
        <w:rPr>
          <w:sz w:val="20"/>
          <w:szCs w:val="20"/>
          <w:color w:val="auto"/>
        </w:rPr>
      </w:pPr>
      <w:r>
        <w:rPr>
          <w:rFonts w:ascii="Arial" w:cs="Arial" w:eastAsia="Arial" w:hAnsi="Arial"/>
          <w:sz w:val="14"/>
          <w:szCs w:val="14"/>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 Potential common shares include stock options, RSUs, PSUs, shares to be purchased under the Company’s employee stock purchase program (“ESPP”), and the convertible notes. The dilutive effect of potentially dilutive common shares is reflected in diluted earnings per share by application of the treasury stock method. To the extent these potential common shares are antidilutive, they are excluded from the calculation of diluted net income (loss) per share.</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the computation of basic and diluted net income (loss) per share for the periods presented:</w:t>
      </w:r>
    </w:p>
    <w:p>
      <w:pPr>
        <w:spacing w:after="0" w:line="131"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p>
      <w:pPr>
        <w:ind w:left="9000"/>
        <w:spacing w:after="0"/>
        <w:tabs>
          <w:tab w:leader="none" w:pos="1058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22225</wp:posOffset>
            </wp:positionV>
            <wp:extent cx="196405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39" w:lineRule="exact"/>
        <w:rPr>
          <w:sz w:val="20"/>
          <w:szCs w:val="20"/>
          <w:color w:val="auto"/>
        </w:rPr>
      </w:pPr>
    </w:p>
    <w:p>
      <w:pPr>
        <w:ind w:left="8980"/>
        <w:spacing w:after="0"/>
        <w:rPr>
          <w:sz w:val="20"/>
          <w:szCs w:val="20"/>
          <w:color w:val="auto"/>
        </w:rPr>
      </w:pPr>
      <w:r>
        <w:rPr>
          <w:rFonts w:ascii="Arial" w:cs="Arial" w:eastAsia="Arial" w:hAnsi="Arial"/>
          <w:sz w:val="11"/>
          <w:szCs w:val="11"/>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2745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Numerator:</w:t>
      </w:r>
    </w:p>
    <w:p>
      <w:pPr>
        <w:sectPr>
          <w:pgSz w:w="11900" w:h="16838" w:orient="portrait"/>
          <w:cols w:equalWidth="0" w:num="1">
            <w:col w:w="11460"/>
          </w:cols>
          <w:pgMar w:left="220" w:top="211" w:right="219" w:bottom="1440" w:gutter="0" w:footer="0" w:header="0"/>
        </w:sectPr>
      </w:pP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income (loss)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Denominator:</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Weighted average common shares outstanding</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Effect of dilutive securities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Employee stock-based awards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000" w:val="left"/>
          <w:tab w:leader="none" w:pos="1580" w:val="left"/>
          <w:tab w:leader="none" w:pos="25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2,765</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(5,128)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280670</wp:posOffset>
            </wp:positionV>
            <wp:extent cx="72745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13335</wp:posOffset>
            </wp:positionV>
            <wp:extent cx="7274560" cy="130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4560" cy="1301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3"/>
          <w:szCs w:val="13"/>
          <w:color w:val="auto"/>
        </w:rPr>
        <w:t>108,195</w:t>
      </w:r>
      <w:r>
        <w:rPr>
          <w:sz w:val="20"/>
          <w:szCs w:val="20"/>
          <w:color w:val="auto"/>
        </w:rPr>
        <w:tab/>
      </w:r>
      <w:r>
        <w:rPr>
          <w:rFonts w:ascii="Arial" w:cs="Arial" w:eastAsia="Arial" w:hAnsi="Arial"/>
          <w:sz w:val="13"/>
          <w:szCs w:val="13"/>
          <w:color w:val="auto"/>
        </w:rPr>
        <w:t>91,422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170815</wp:posOffset>
            </wp:positionV>
            <wp:extent cx="72745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27305</wp:posOffset>
            </wp:positionV>
            <wp:extent cx="19640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294" w:lineRule="exact"/>
        <w:rPr>
          <w:sz w:val="20"/>
          <w:szCs w:val="20"/>
          <w:color w:val="auto"/>
        </w:rPr>
      </w:pPr>
    </w:p>
    <w:p>
      <w:pPr>
        <w:ind w:left="1020"/>
        <w:spacing w:after="0"/>
        <w:tabs>
          <w:tab w:leader="none" w:pos="2800" w:val="left"/>
        </w:tabs>
        <w:rPr>
          <w:sz w:val="20"/>
          <w:szCs w:val="20"/>
          <w:color w:val="auto"/>
        </w:rPr>
      </w:pPr>
      <w:r>
        <w:rPr>
          <w:rFonts w:ascii="Arial" w:cs="Arial" w:eastAsia="Arial" w:hAnsi="Arial"/>
          <w:sz w:val="13"/>
          <w:szCs w:val="13"/>
          <w:color w:val="auto"/>
        </w:rPr>
        <w:t>7,668</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13335</wp:posOffset>
            </wp:positionV>
            <wp:extent cx="196405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7680" w:space="720"/>
            <w:col w:w="3060"/>
          </w:cols>
          <w:pgMar w:left="220" w:top="211"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36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Weighted average common shares outstanding for diluted calculation</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115,863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91,422</w:t>
            </w:r>
          </w:p>
        </w:tc>
      </w:tr>
      <w:tr>
        <w:trPr>
          <w:trHeight w:val="158"/>
        </w:trPr>
        <w:tc>
          <w:tcPr>
            <w:tcW w:w="8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2"/>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income (loss) per share, basic</w:t>
            </w:r>
          </w:p>
        </w:tc>
        <w:tc>
          <w:tcPr>
            <w:tcW w:w="52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0.03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r>
      <w:tr>
        <w:trPr>
          <w:trHeight w:val="16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income (loss) per share, diluted</w:t>
            </w: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(0.06)</w:t>
            </w:r>
          </w:p>
        </w:tc>
      </w:tr>
      <w:tr>
        <w:trPr>
          <w:trHeight w:val="20"/>
        </w:trPr>
        <w:tc>
          <w:tcPr>
            <w:tcW w:w="8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right="320" w:firstLine="388"/>
        <w:spacing w:after="0" w:line="265" w:lineRule="auto"/>
        <w:rPr>
          <w:sz w:val="20"/>
          <w:szCs w:val="20"/>
          <w:color w:val="auto"/>
        </w:rPr>
      </w:pPr>
      <w:r>
        <w:rPr>
          <w:rFonts w:ascii="Arial" w:cs="Arial" w:eastAsia="Arial" w:hAnsi="Arial"/>
          <w:sz w:val="14"/>
          <w:szCs w:val="14"/>
          <w:color w:val="auto"/>
        </w:rPr>
        <w:t>As the Company incurred a net loss for the three months ended March 31, 2018, potential dilutive securities from employee stock options, RSUs, PSUs, and shares to be purchased under the Company’s ESPP have been excluded from the diluted net loss per share computation because the effect of including such shares would have been antidilutive.</w:t>
      </w:r>
    </w:p>
    <w:p>
      <w:pPr>
        <w:spacing w:after="0" w:line="156" w:lineRule="exact"/>
        <w:rPr>
          <w:sz w:val="20"/>
          <w:szCs w:val="20"/>
          <w:color w:val="auto"/>
        </w:rPr>
      </w:pPr>
    </w:p>
    <w:p>
      <w:pPr>
        <w:ind w:right="680" w:firstLine="388"/>
        <w:spacing w:after="0" w:line="273" w:lineRule="auto"/>
        <w:rPr>
          <w:sz w:val="20"/>
          <w:szCs w:val="20"/>
          <w:color w:val="auto"/>
        </w:rPr>
      </w:pPr>
      <w:r>
        <w:rPr>
          <w:rFonts w:ascii="Arial" w:cs="Arial" w:eastAsia="Arial" w:hAnsi="Arial"/>
          <w:sz w:val="14"/>
          <w:szCs w:val="14"/>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98"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300" w:type="dxa"/>
            <w:vAlign w:val="bottom"/>
            <w:gridSpan w:val="2"/>
          </w:tcPr>
          <w:p>
            <w:pPr>
              <w:ind w:left="9000"/>
              <w:spacing w:after="0"/>
              <w:rPr>
                <w:sz w:val="20"/>
                <w:szCs w:val="20"/>
                <w:color w:val="auto"/>
              </w:rPr>
            </w:pPr>
            <w:r>
              <w:rPr>
                <w:rFonts w:ascii="Arial" w:cs="Arial" w:eastAsia="Arial" w:hAnsi="Arial"/>
                <w:sz w:val="11"/>
                <w:szCs w:val="11"/>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60"/>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Borders>
              <w:top w:val="single" w:sz="8" w:color="auto"/>
            </w:tcBorders>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9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Employee stock options</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10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8,418</w:t>
            </w:r>
          </w:p>
        </w:tc>
      </w:tr>
      <w:tr>
        <w:trPr>
          <w:trHeight w:val="208"/>
        </w:trPr>
        <w:tc>
          <w:tcPr>
            <w:tcW w:w="9300" w:type="dxa"/>
            <w:vAlign w:val="bottom"/>
            <w:gridSpan w:val="2"/>
          </w:tcPr>
          <w:p>
            <w:pPr>
              <w:ind w:left="20"/>
              <w:spacing w:after="0"/>
              <w:rPr>
                <w:sz w:val="20"/>
                <w:szCs w:val="20"/>
                <w:color w:val="auto"/>
              </w:rPr>
            </w:pPr>
            <w:r>
              <w:rPr>
                <w:rFonts w:ascii="Arial" w:cs="Arial" w:eastAsia="Arial" w:hAnsi="Arial"/>
                <w:sz w:val="13"/>
                <w:szCs w:val="13"/>
                <w:color w:val="auto"/>
              </w:rPr>
              <w:t>RSUs and PSUs</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3,659</w:t>
            </w:r>
          </w:p>
        </w:tc>
      </w:tr>
      <w:tr>
        <w:trPr>
          <w:trHeight w:val="216"/>
        </w:trPr>
        <w:tc>
          <w:tcPr>
            <w:tcW w:w="8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Convertible notes</w:t>
            </w:r>
          </w:p>
        </w:tc>
        <w:tc>
          <w:tcPr>
            <w:tcW w:w="940" w:type="dxa"/>
            <w:vAlign w:val="bottom"/>
            <w:tcBorders>
              <w:bottom w:val="single" w:sz="8" w:color="auto"/>
            </w:tcBorders>
            <w:shd w:val="clear" w:color="auto" w:fill="BFE4FF"/>
          </w:tcPr>
          <w:p>
            <w:pPr>
              <w:spacing w:after="0"/>
              <w:rPr>
                <w:sz w:val="18"/>
                <w:szCs w:val="18"/>
                <w:color w:val="auto"/>
              </w:rPr>
            </w:pPr>
          </w:p>
        </w:tc>
        <w:tc>
          <w:tcPr>
            <w:tcW w:w="560" w:type="dxa"/>
            <w:vAlign w:val="bottom"/>
            <w:tcBorders>
              <w:bottom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11,701</w:t>
            </w:r>
          </w:p>
        </w:tc>
        <w:tc>
          <w:tcPr>
            <w:tcW w:w="12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90"/>
        </w:trPr>
        <w:tc>
          <w:tcPr>
            <w:tcW w:w="9300" w:type="dxa"/>
            <w:vAlign w:val="bottom"/>
            <w:gridSpan w:val="2"/>
          </w:tcPr>
          <w:p>
            <w:pPr>
              <w:ind w:left="300"/>
              <w:spacing w:after="0"/>
              <w:rPr>
                <w:sz w:val="20"/>
                <w:szCs w:val="20"/>
                <w:color w:val="auto"/>
              </w:rPr>
            </w:pPr>
            <w:r>
              <w:rPr>
                <w:rFonts w:ascii="Arial" w:cs="Arial" w:eastAsia="Arial" w:hAnsi="Arial"/>
                <w:sz w:val="13"/>
                <w:szCs w:val="13"/>
                <w:color w:val="auto"/>
              </w:rPr>
              <w:t>Total</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11,904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12,077</w:t>
            </w:r>
          </w:p>
        </w:tc>
      </w:tr>
      <w:tr>
        <w:trPr>
          <w:trHeight w:val="20"/>
        </w:trPr>
        <w:tc>
          <w:tcPr>
            <w:tcW w:w="8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400" w:hanging="394"/>
        <w:spacing w:after="0"/>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w:t>
      </w:r>
    </w:p>
    <w:p>
      <w:pPr>
        <w:spacing w:after="0" w:line="202" w:lineRule="exact"/>
        <w:rPr>
          <w:sz w:val="20"/>
          <w:szCs w:val="20"/>
          <w:color w:val="auto"/>
        </w:rPr>
      </w:pPr>
    </w:p>
    <w:p>
      <w:pPr>
        <w:ind w:right="40" w:firstLine="388"/>
        <w:spacing w:after="0" w:line="265" w:lineRule="auto"/>
        <w:rPr>
          <w:sz w:val="20"/>
          <w:szCs w:val="20"/>
          <w:color w:val="auto"/>
        </w:rPr>
      </w:pPr>
      <w:r>
        <w:rPr>
          <w:rFonts w:ascii="Arial" w:cs="Arial" w:eastAsia="Arial" w:hAnsi="Arial"/>
          <w:sz w:val="14"/>
          <w:szCs w:val="14"/>
          <w:color w:val="auto"/>
        </w:rPr>
        <w:t>The Company sells products to SunPower, which as of March 31, 2019 held 7.5 million shares of the Company’s common stock, under the August 2018 MSA. Revenue recognized under the MSA for the three months ended March 31, 2019 was $4.5 million, net of amortization of the customer relationship intangible asset (see Note 4. “Goodwill and Intangible Assets”). At March 31, 2019 and December 31, 2018, the Company had accounts receivable of $5.2 million and $10.3 million, respectively, from SunPower.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236855</wp:posOffset>
            </wp:positionV>
            <wp:extent cx="70897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21</w:t>
      </w:r>
    </w:p>
    <w:p>
      <w:pPr>
        <w:sectPr>
          <w:pgSz w:w="11900" w:h="16838" w:orient="portrait"/>
          <w:cols w:equalWidth="0" w:num="1">
            <w:col w:w="11460"/>
          </w:cols>
          <w:pgMar w:left="220" w:top="211" w:right="219" w:bottom="1440" w:gutter="0" w:footer="0" w:header="0"/>
          <w:type w:val="continuous"/>
        </w:sectPr>
      </w:pPr>
    </w:p>
    <w:bookmarkStart w:id="23" w:name="page24"/>
    <w:bookmarkEnd w:id="23"/>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2" w:lineRule="exact"/>
        <w:rPr>
          <w:sz w:val="20"/>
          <w:szCs w:val="20"/>
          <w:color w:val="auto"/>
        </w:rPr>
      </w:pPr>
    </w:p>
    <w:p>
      <w:pPr>
        <w:ind w:firstLine="388"/>
        <w:spacing w:after="0" w:line="258"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Q1 2019 Highlights</w:t>
      </w:r>
    </w:p>
    <w:p>
      <w:pPr>
        <w:spacing w:after="0" w:line="116" w:lineRule="exact"/>
        <w:rPr>
          <w:sz w:val="20"/>
          <w:szCs w:val="20"/>
          <w:color w:val="auto"/>
        </w:rPr>
      </w:pPr>
    </w:p>
    <w:p>
      <w:pPr>
        <w:ind w:right="40" w:firstLine="388"/>
        <w:spacing w:after="0" w:line="265" w:lineRule="auto"/>
        <w:rPr>
          <w:sz w:val="20"/>
          <w:szCs w:val="20"/>
          <w:color w:val="auto"/>
        </w:rPr>
      </w:pPr>
      <w:r>
        <w:rPr>
          <w:rFonts w:ascii="Arial" w:cs="Arial" w:eastAsia="Arial" w:hAnsi="Arial"/>
          <w:sz w:val="14"/>
          <w:szCs w:val="14"/>
          <w:color w:val="auto"/>
        </w:rPr>
        <w:t>We are a global energy technology company. We deliver smart, easy-to-use solutions that connect solar generation, storage and management on one intelligent platform. We revolutionized solar with our microinverter technology and produces a fully-integrated solar plus storage solution. We have shipped more than 20 million microinverters, and more than 895,000 Enphase residential and commercial systems have been deployed in over 125 countries.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sell our solutions primarily to distributors who resell them to solar installers. We also sell directly to large installers, OEMs, strategic partners and homeowners.</w:t>
      </w:r>
    </w:p>
    <w:p>
      <w:pPr>
        <w:spacing w:after="0" w:line="184" w:lineRule="exact"/>
        <w:rPr>
          <w:sz w:val="20"/>
          <w:szCs w:val="20"/>
          <w:color w:val="auto"/>
        </w:rPr>
      </w:pPr>
    </w:p>
    <w:p>
      <w:pPr>
        <w:ind w:right="500" w:firstLine="388"/>
        <w:spacing w:after="0" w:line="273" w:lineRule="auto"/>
        <w:rPr>
          <w:sz w:val="20"/>
          <w:szCs w:val="20"/>
          <w:color w:val="auto"/>
        </w:rPr>
      </w:pPr>
      <w:r>
        <w:rPr>
          <w:rFonts w:ascii="Arial" w:cs="Arial" w:eastAsia="Arial" w:hAnsi="Arial"/>
          <w:sz w:val="14"/>
          <w:szCs w:val="14"/>
          <w:color w:val="auto"/>
        </w:rPr>
        <w:t>On January 28, 2019, we repaid in full the remaining principal amount of the Term Loans of approximately $39.5 million plus accrued interest and fees owed to lenders affiliated with Tennenbaum Capital Partners, LLC.</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Enphase IQ Microinverter System</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The Enphase IQ™ microinverter is a key component of the Enphase Home Energy Solution™, which can also include our Envoy™ Communications Gateway with</w:t>
      </w:r>
    </w:p>
    <w:p>
      <w:pPr>
        <w:spacing w:after="0" w:line="11"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auto"/>
        </w:rPr>
        <w:t>IQ Combiner+, Enphase Enlighten™, a cloud-based energy management platform, and our Enphase AC Battery™. System owners can use Enphase Enlighten to monitor their home’s solar generation, energy storage and consumption from any web-enabled device.</w:t>
      </w:r>
    </w:p>
    <w:p>
      <w:pPr>
        <w:spacing w:after="0" w:line="151" w:lineRule="exact"/>
        <w:rPr>
          <w:sz w:val="20"/>
          <w:szCs w:val="20"/>
          <w:color w:val="auto"/>
        </w:rPr>
      </w:pPr>
    </w:p>
    <w:p>
      <w:pPr>
        <w:ind w:right="40" w:firstLine="388"/>
        <w:spacing w:after="0" w:line="262" w:lineRule="auto"/>
        <w:rPr>
          <w:sz w:val="20"/>
          <w:szCs w:val="20"/>
          <w:color w:val="auto"/>
        </w:rPr>
      </w:pPr>
      <w:r>
        <w:rPr>
          <w:rFonts w:ascii="Arial" w:cs="Arial" w:eastAsia="Arial" w:hAnsi="Arial"/>
          <w:sz w:val="14"/>
          <w:szCs w:val="14"/>
          <w:color w:val="auto"/>
        </w:rPr>
        <w:t>Our IQ 7X™ product addresses 96-cell photovoltaic (“PV”) modules up to 400W direct current (“DC”) and with its 97.5 percent California Energy Commission (“CEC”) efficiency rating, is ideal for integration into high power modules. In the first quarter of 2019, we shipped limited quantities of our new product IQ 7A™ which addresses up to 450W DC modules. In addition, we recently started shipping our IQ 7AS™ microinverters to SunPower Corporation (“SunPower”), which is expected to integrate our IQ 7AS into its 66-cell Next Generation Technology (“NGT”) DC modules.</w:t>
      </w:r>
    </w:p>
    <w:p>
      <w:pPr>
        <w:spacing w:after="0" w:line="159" w:lineRule="exact"/>
        <w:rPr>
          <w:sz w:val="20"/>
          <w:szCs w:val="20"/>
          <w:color w:val="auto"/>
        </w:rPr>
      </w:pPr>
    </w:p>
    <w:p>
      <w:pPr>
        <w:ind w:right="80" w:firstLine="388"/>
        <w:spacing w:after="0" w:line="262" w:lineRule="auto"/>
        <w:rPr>
          <w:sz w:val="20"/>
          <w:szCs w:val="20"/>
          <w:color w:val="auto"/>
        </w:rPr>
      </w:pPr>
      <w:r>
        <w:rPr>
          <w:rFonts w:ascii="Arial" w:cs="Arial" w:eastAsia="Arial" w:hAnsi="Arial"/>
          <w:sz w:val="14"/>
          <w:szCs w:val="14"/>
          <w:color w:val="auto"/>
        </w:rPr>
        <w:t>Our IQ 8™ system is based upon our grid-agnostic “always on” technology called Ensemble. This system has four components: 1) energy generation, which is accomplished with the grid-agnostic microinverter IQ8; 2) energy storage, which is achieved by the Encharge™ battery with capacities of 3.3 kWh, 10 kWh and 13.2 kWh; 3) communication and control, which consists of the automatic transfer switch called Enpower™, and the combiner box with the Envoy gateway; and 4) Enlighten, which is the internet of things, or IoT, cloud software. We anticipate introducing Ensemble in a phased manner starting in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22</w:t>
      </w:r>
    </w:p>
    <w:p>
      <w:pPr>
        <w:sectPr>
          <w:pgSz w:w="11900" w:h="16838" w:orient="portrait"/>
          <w:cols w:equalWidth="0" w:num="1">
            <w:col w:w="11460"/>
          </w:cols>
          <w:pgMar w:left="220" w:top="254" w:right="219" w:bottom="1440" w:gutter="0" w:footer="0" w:header="0"/>
        </w:sectPr>
      </w:pPr>
    </w:p>
    <w:bookmarkStart w:id="24" w:name="page25"/>
    <w:bookmarkEnd w:id="24"/>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4"/>
          </w:tcPr>
          <w:p>
            <w:pPr>
              <w:ind w:left="300"/>
              <w:spacing w:after="0"/>
              <w:rPr>
                <w:sz w:val="20"/>
                <w:szCs w:val="20"/>
                <w:color w:val="auto"/>
              </w:rPr>
            </w:pPr>
            <w:r>
              <w:rPr>
                <w:rFonts w:ascii="Arial" w:cs="Arial" w:eastAsia="Arial" w:hAnsi="Arial"/>
                <w:sz w:val="11"/>
                <w:szCs w:val="11"/>
                <w:b w:val="1"/>
                <w:bCs w:val="1"/>
                <w:color w:val="auto"/>
              </w:rPr>
              <w:t>Three Months Ended</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6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620"/>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6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3"/>
          </w:tcPr>
          <w:p>
            <w:pPr>
              <w:jc w:val="right"/>
              <w:ind w:right="55"/>
              <w:spacing w:after="0"/>
              <w:rPr>
                <w:sz w:val="20"/>
                <w:szCs w:val="20"/>
                <w:color w:val="auto"/>
              </w:rPr>
            </w:pPr>
            <w:r>
              <w:rPr>
                <w:rFonts w:ascii="Arial" w:cs="Arial" w:eastAsia="Arial" w:hAnsi="Arial"/>
                <w:sz w:val="11"/>
                <w:szCs w:val="11"/>
                <w:i w:val="1"/>
                <w:iCs w:val="1"/>
                <w:color w:val="auto"/>
              </w:rPr>
              <w:t>(In thousands)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100,150</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69,972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rPr>
              <w:t>30,178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ind w:right="700" w:firstLine="388"/>
        <w:spacing w:after="0" w:line="273" w:lineRule="auto"/>
        <w:rPr>
          <w:sz w:val="20"/>
          <w:szCs w:val="20"/>
          <w:color w:val="auto"/>
        </w:rPr>
      </w:pPr>
      <w:r>
        <w:rPr>
          <w:rFonts w:ascii="Arial" w:cs="Arial" w:eastAsia="Arial" w:hAnsi="Arial"/>
          <w:sz w:val="14"/>
          <w:szCs w:val="14"/>
          <w:color w:val="auto"/>
        </w:rPr>
        <w:t>Net revenues increased by 43% for the three months ended March 31, 2019, as compared to the same period in 2018, primarily due to higher unit volume. We sold approximately 976,000 microinverter units in the three months ended March 31, 2019, as compared to approximately 611,000 units in the same period in 2018.</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 and Gross Profit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6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6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2019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99"/>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r>
      <w:tr>
        <w:trPr>
          <w:trHeight w:val="196"/>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3"/>
          </w:tcPr>
          <w:p>
            <w:pPr>
              <w:jc w:val="right"/>
              <w:ind w:right="35"/>
              <w:spacing w:after="0"/>
              <w:rPr>
                <w:sz w:val="20"/>
                <w:szCs w:val="20"/>
                <w:color w:val="auto"/>
              </w:rPr>
            </w:pPr>
            <w:r>
              <w:rPr>
                <w:rFonts w:ascii="Arial" w:cs="Arial" w:eastAsia="Arial" w:hAnsi="Arial"/>
                <w:sz w:val="11"/>
                <w:szCs w:val="11"/>
                <w:i w:val="1"/>
                <w:iCs w:val="1"/>
                <w:color w:val="auto"/>
              </w:rPr>
              <w:t>(In thousands)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66,811</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51,657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15,154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208"/>
        </w:trPr>
        <w:tc>
          <w:tcPr>
            <w:tcW w:w="68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3"/>
                <w:szCs w:val="13"/>
                <w:color w:val="auto"/>
              </w:rPr>
              <w:t>33,339</w:t>
            </w:r>
          </w:p>
        </w:tc>
        <w:tc>
          <w:tcPr>
            <w:tcW w:w="340" w:type="dxa"/>
            <w:vAlign w:val="bottom"/>
          </w:tcPr>
          <w:p>
            <w:pPr>
              <w:spacing w:after="0"/>
              <w:rPr>
                <w:sz w:val="18"/>
                <w:szCs w:val="18"/>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18,315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Arial" w:cs="Arial" w:eastAsia="Arial" w:hAnsi="Arial"/>
                <w:sz w:val="13"/>
                <w:szCs w:val="13"/>
                <w:color w:val="auto"/>
              </w:rPr>
              <w:t>15,024</w:t>
            </w:r>
          </w:p>
        </w:tc>
        <w:tc>
          <w:tcPr>
            <w:tcW w:w="68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33.3%</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Cost of revenues increased by 29% for the three months ended March 31, 2019, as compared to the same period in 2018, primarily due to higher volume of microinverter units sold and expedited freight costs, partially offset by a decrease in the cost of our products as a result of our cost reduction efforts. Gross margin increased by 7.1 percentage points for the three months ended March 31, 2019, as compared to the same period in 2018. The increase in gross margin was primarily attributable to higher product margins as a result our IQ 7 family of microinverters, which has a lower cost than previous microinverters, as well as our overall pricing management efforts. In the first quarter of 2019, IQ 7 sales represent 94% of our total microinverter sales, as compared to 8% of our total microinverter sales in the first quarter of 2018.</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6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6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299"/>
              <w:spacing w:after="0"/>
              <w:rPr>
                <w:sz w:val="20"/>
                <w:szCs w:val="20"/>
                <w:color w:val="auto"/>
              </w:rPr>
            </w:pPr>
            <w:r>
              <w:rPr>
                <w:rFonts w:ascii="Arial" w:cs="Arial" w:eastAsia="Arial" w:hAnsi="Arial"/>
                <w:sz w:val="11"/>
                <w:szCs w:val="11"/>
                <w:i w:val="1"/>
                <w:iCs w:val="1"/>
                <w:color w:val="auto"/>
              </w:rPr>
              <w:t>(In thousands)</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8,524</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7,620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59"/>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904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ind w:right="160" w:firstLine="388"/>
        <w:spacing w:after="0" w:line="262" w:lineRule="auto"/>
        <w:rPr>
          <w:sz w:val="20"/>
          <w:szCs w:val="20"/>
          <w:color w:val="auto"/>
        </w:rPr>
      </w:pPr>
      <w:r>
        <w:rPr>
          <w:rFonts w:ascii="Arial" w:cs="Arial" w:eastAsia="Arial" w:hAnsi="Arial"/>
          <w:sz w:val="14"/>
          <w:szCs w:val="14"/>
          <w:color w:val="auto"/>
        </w:rPr>
        <w:t>Research and development expense increased by 12% for the three months ended March 31, 2019, as compared to the same period in 2018. The increase is due to higher expenses associated with the development of our products, personnel-related costs, equipment costs, and facility costs. The increase in personnel-related expenses included higher bonus and stock-based compensation expense, partially offset by lower compensation and benefit costs associated with moving certain functions to lower cost locations as part of restructuring actions taken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23</w:t>
      </w:r>
    </w:p>
    <w:p>
      <w:pPr>
        <w:sectPr>
          <w:pgSz w:w="11900" w:h="16838" w:orient="portrait"/>
          <w:cols w:equalWidth="0" w:num="1">
            <w:col w:w="11460"/>
          </w:cols>
          <w:pgMar w:left="220" w:top="254" w:right="219" w:bottom="1440" w:gutter="0" w:footer="0" w:header="0"/>
        </w:sectPr>
      </w:pPr>
    </w:p>
    <w:bookmarkStart w:id="25" w:name="page26"/>
    <w:bookmarkEnd w:id="25"/>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6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6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3"/>
          </w:tcPr>
          <w:p>
            <w:pPr>
              <w:jc w:val="right"/>
              <w:ind w:right="55"/>
              <w:spacing w:after="0"/>
              <w:rPr>
                <w:sz w:val="20"/>
                <w:szCs w:val="20"/>
                <w:color w:val="auto"/>
              </w:rPr>
            </w:pPr>
            <w:r>
              <w:rPr>
                <w:rFonts w:ascii="Arial" w:cs="Arial" w:eastAsia="Arial" w:hAnsi="Arial"/>
                <w:sz w:val="11"/>
                <w:szCs w:val="11"/>
                <w:i w:val="1"/>
                <w:iCs w:val="1"/>
                <w:color w:val="auto"/>
              </w:rPr>
              <w:t>(In thousands)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7,433</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rPr>
              <w:t>1,206</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ind w:right="120" w:firstLine="388"/>
        <w:spacing w:after="0" w:line="265" w:lineRule="auto"/>
        <w:rPr>
          <w:sz w:val="20"/>
          <w:szCs w:val="20"/>
          <w:color w:val="auto"/>
        </w:rPr>
      </w:pPr>
      <w:r>
        <w:rPr>
          <w:rFonts w:ascii="Arial" w:cs="Arial" w:eastAsia="Arial" w:hAnsi="Arial"/>
          <w:sz w:val="14"/>
          <w:szCs w:val="14"/>
          <w:color w:val="auto"/>
        </w:rPr>
        <w:t>Sales and marketing expense increased by 19% for the three months ended March 31, 2019, as compared to the same period in 2018. The increase was due to an increase in personnel-related expenses and equipment costs, partially offset by lower bad debt expense and facilities costs. The increase in personnel-related expenses included higher stock-based compensation expense, sales bonus and commissions, and employee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Three Months Ended</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6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6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3"/>
          </w:tcPr>
          <w:p>
            <w:pPr>
              <w:jc w:val="right"/>
              <w:ind w:right="55"/>
              <w:spacing w:after="0"/>
              <w:rPr>
                <w:sz w:val="20"/>
                <w:szCs w:val="20"/>
                <w:color w:val="auto"/>
              </w:rPr>
            </w:pPr>
            <w:r>
              <w:rPr>
                <w:rFonts w:ascii="Arial" w:cs="Arial" w:eastAsia="Arial" w:hAnsi="Arial"/>
                <w:sz w:val="11"/>
                <w:szCs w:val="11"/>
                <w:i w:val="1"/>
                <w:iCs w:val="1"/>
                <w:color w:val="auto"/>
              </w:rPr>
              <w:t>(In thousands)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9,880</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rPr>
              <w:t>2,937</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jc w:val="both"/>
        <w:ind w:right="40" w:firstLine="388"/>
        <w:spacing w:after="0" w:line="262" w:lineRule="auto"/>
        <w:rPr>
          <w:sz w:val="20"/>
          <w:szCs w:val="20"/>
          <w:color w:val="auto"/>
        </w:rPr>
      </w:pPr>
      <w:r>
        <w:rPr>
          <w:rFonts w:ascii="Arial" w:cs="Arial" w:eastAsia="Arial" w:hAnsi="Arial"/>
          <w:sz w:val="14"/>
          <w:szCs w:val="14"/>
          <w:color w:val="auto"/>
        </w:rPr>
        <w:t>General and administrative expense increased 42% for the three months ended March 31, 2019, as compared to the same period in 2018. The increase is primarily due to an increase in personnel-related expenses and additional consulting and advisory fees due to our first year of being subject to SOX auditor attestation requirements, partially offset by lower facilities costs and $1.8 million paid to resolve a dispute with a supplier in 2018 that did not repeat in 2019. The increase in personnel-related expenses included higher stock-based compensation expense, employee compensation expense and benefit costs.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7"/>
        </w:trPr>
        <w:tc>
          <w:tcPr>
            <w:tcW w:w="1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Change in</w:t>
            </w:r>
          </w:p>
        </w:tc>
        <w:tc>
          <w:tcPr>
            <w:tcW w:w="680" w:type="dxa"/>
            <w:vAlign w:val="bottom"/>
            <w:tcBorders>
              <w:bottom w:val="single" w:sz="8" w:color="auto"/>
            </w:tcBorders>
          </w:tcPr>
          <w:p>
            <w:pPr>
              <w:spacing w:after="0"/>
              <w:rPr>
                <w:sz w:val="13"/>
                <w:szCs w:val="13"/>
                <w:color w:val="auto"/>
              </w:rPr>
            </w:pPr>
          </w:p>
        </w:tc>
      </w:tr>
      <w:tr>
        <w:trPr>
          <w:trHeight w:val="206"/>
        </w:trPr>
        <w:tc>
          <w:tcPr>
            <w:tcW w:w="11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6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w:t>
            </w:r>
          </w:p>
        </w:tc>
      </w:tr>
      <w:tr>
        <w:trPr>
          <w:trHeight w:val="196"/>
        </w:trPr>
        <w:tc>
          <w:tcPr>
            <w:tcW w:w="11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368</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368</w:t>
            </w:r>
          </w:p>
        </w:tc>
        <w:tc>
          <w:tcPr>
            <w:tcW w:w="68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w:t>
            </w:r>
          </w:p>
        </w:tc>
      </w:tr>
      <w:tr>
        <w:trPr>
          <w:trHeight w:val="108"/>
        </w:trPr>
        <w:tc>
          <w:tcPr>
            <w:tcW w:w="1160" w:type="dxa"/>
            <w:vAlign w:val="bottom"/>
            <w:tcBorders>
              <w:bottom w:val="single" w:sz="8" w:color="auto"/>
            </w:tcBorders>
          </w:tcPr>
          <w:p>
            <w:pPr>
              <w:spacing w:after="0"/>
              <w:rPr>
                <w:sz w:val="9"/>
                <w:szCs w:val="9"/>
                <w:color w:val="auto"/>
              </w:rPr>
            </w:pPr>
          </w:p>
        </w:tc>
        <w:tc>
          <w:tcPr>
            <w:tcW w:w="5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6" w:lineRule="exact"/>
        <w:rPr>
          <w:sz w:val="20"/>
          <w:szCs w:val="20"/>
          <w:color w:val="auto"/>
        </w:rPr>
      </w:pPr>
    </w:p>
    <w:p>
      <w:pPr>
        <w:ind w:left="400" w:hanging="394"/>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ind w:right="320" w:firstLine="388"/>
        <w:spacing w:after="0" w:line="273" w:lineRule="auto"/>
        <w:rPr>
          <w:sz w:val="20"/>
          <w:szCs w:val="20"/>
          <w:color w:val="auto"/>
        </w:rPr>
      </w:pPr>
      <w:r>
        <w:rPr>
          <w:rFonts w:ascii="Arial" w:cs="Arial" w:eastAsia="Arial" w:hAnsi="Arial"/>
          <w:sz w:val="14"/>
          <w:szCs w:val="14"/>
          <w:color w:val="auto"/>
        </w:rPr>
        <w:t>Restructuring expense for the three months ended March 31, 2019 primarily include a $0.5 million of one-time termination benefits and other employee-related expenses, partially offset by $0.1 million reduction in lease loss reserves.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 the first quarter of 2018, we incurred no restructuring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254000</wp:posOffset>
            </wp:positionV>
            <wp:extent cx="70897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24</w:t>
      </w:r>
    </w:p>
    <w:p>
      <w:pPr>
        <w:sectPr>
          <w:pgSz w:w="11900" w:h="16838" w:orient="portrait"/>
          <w:cols w:equalWidth="0" w:num="1">
            <w:col w:w="11460"/>
          </w:cols>
          <w:pgMar w:left="220" w:top="254" w:right="219" w:bottom="1440" w:gutter="0" w:footer="0" w:header="0"/>
        </w:sectPr>
      </w:pPr>
    </w:p>
    <w:bookmarkStart w:id="26" w:name="page27"/>
    <w:bookmarkEnd w:id="26"/>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6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1"/>
                <w:szCs w:val="11"/>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 in</w:t>
            </w:r>
          </w:p>
        </w:tc>
        <w:tc>
          <w:tcPr>
            <w:tcW w:w="720" w:type="dxa"/>
            <w:vAlign w:val="bottom"/>
            <w:tcBorders>
              <w:bottom w:val="single" w:sz="8" w:color="auto"/>
            </w:tcBorders>
          </w:tcPr>
          <w:p>
            <w:pPr>
              <w:spacing w:after="0"/>
              <w:rPr>
                <w:sz w:val="13"/>
                <w:szCs w:val="13"/>
                <w:color w:val="auto"/>
              </w:rPr>
            </w:pPr>
          </w:p>
        </w:tc>
      </w:tr>
      <w:tr>
        <w:trPr>
          <w:trHeight w:val="206"/>
        </w:trPr>
        <w:tc>
          <w:tcPr>
            <w:tcW w:w="6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w:t>
            </w:r>
          </w:p>
        </w:tc>
      </w:t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3"/>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(4,021)</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(1,603)</w:t>
            </w:r>
          </w:p>
        </w:tc>
        <w:tc>
          <w:tcPr>
            <w:tcW w:w="72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66%</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March 31, 2019 and 2018</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Other expense, net for the three months ended March 31, 2019 includes $2.8 million of interest expense and financing fees related to our term loans which we repaid,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$0.8 million of interest expense related to our convertible notes, and a $0.5 million charge related to foreign currency exchange and remeasurement. Other expense, net for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three months ended March 31, 2018 includes $2.3 million of interest expense related to our term loans and $0.4 million loss related to foreign currency exchange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remeasurement.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200" w:lineRule="exact"/>
        <w:rPr>
          <w:sz w:val="20"/>
          <w:szCs w:val="20"/>
          <w:color w:val="auto"/>
        </w:rPr>
      </w:pPr>
    </w:p>
    <w:p>
      <w:pPr>
        <w:ind w:right="120" w:firstLine="388"/>
        <w:spacing w:after="0" w:line="265" w:lineRule="auto"/>
        <w:rPr>
          <w:sz w:val="20"/>
          <w:szCs w:val="20"/>
          <w:color w:val="auto"/>
        </w:rPr>
      </w:pPr>
      <w:r>
        <w:rPr>
          <w:rFonts w:ascii="Arial" w:cs="Arial" w:eastAsia="Arial" w:hAnsi="Arial"/>
          <w:sz w:val="14"/>
          <w:szCs w:val="14"/>
          <w:color w:val="auto"/>
        </w:rPr>
        <w:t>As of March 31, 2019, we had $78.1 million in cash and cash equivalents and working capital of $66.7 million. Cash and cash equivalents held in the U.S. were $67.1 million and consisted primarily of U.S. Government money market mutual funds and non-interest-bearing checking deposits, with the remainder held in various foreign subsidiaries. We consider amounts held outside the U.S. to be accessible and have provided for the estimated U.S. income tax liability associated with our foreign earnings.</w:t>
      </w:r>
    </w:p>
    <w:p>
      <w:pPr>
        <w:spacing w:after="0" w:line="142" w:lineRule="exact"/>
        <w:rPr>
          <w:sz w:val="20"/>
          <w:szCs w:val="20"/>
          <w:color w:val="auto"/>
        </w:rPr>
      </w:pPr>
    </w:p>
    <w:p>
      <w:pPr>
        <w:ind w:right="180" w:firstLine="388"/>
        <w:spacing w:after="0" w:line="294" w:lineRule="auto"/>
        <w:rPr>
          <w:sz w:val="20"/>
          <w:szCs w:val="20"/>
          <w:color w:val="auto"/>
        </w:rPr>
      </w:pPr>
      <w:r>
        <w:rPr>
          <w:rFonts w:ascii="Arial" w:cs="Arial" w:eastAsia="Arial" w:hAnsi="Arial"/>
          <w:sz w:val="14"/>
          <w:szCs w:val="14"/>
          <w:i w:val="1"/>
          <w:iCs w:val="1"/>
          <w:color w:val="auto"/>
        </w:rPr>
        <w:t xml:space="preserve">Term Loans. </w:t>
      </w:r>
      <w:r>
        <w:rPr>
          <w:rFonts w:ascii="Arial" w:cs="Arial" w:eastAsia="Arial" w:hAnsi="Arial"/>
          <w:sz w:val="14"/>
          <w:szCs w:val="14"/>
          <w:color w:val="auto"/>
        </w:rPr>
        <w:t>On January 28, 2019, we repaid in full the remaining principal amount of the Term Loans of approximately $39.5 million plus accrued interest and fees owed to</w:t>
      </w:r>
      <w:r>
        <w:rPr>
          <w:rFonts w:ascii="Arial" w:cs="Arial" w:eastAsia="Arial" w:hAnsi="Arial"/>
          <w:sz w:val="14"/>
          <w:szCs w:val="14"/>
          <w:i w:val="1"/>
          <w:iCs w:val="1"/>
          <w:color w:val="auto"/>
        </w:rPr>
        <w:t xml:space="preserve"> </w:t>
      </w:r>
      <w:r>
        <w:rPr>
          <w:rFonts w:ascii="Arial" w:cs="Arial" w:eastAsia="Arial" w:hAnsi="Arial"/>
          <w:sz w:val="14"/>
          <w:szCs w:val="14"/>
          <w:color w:val="auto"/>
        </w:rPr>
        <w:t>lenders affiliated with Tennenbaum Capital Partners, LLC.</w:t>
      </w:r>
    </w:p>
    <w:p>
      <w:pPr>
        <w:spacing w:after="0" w:line="123" w:lineRule="exact"/>
        <w:rPr>
          <w:sz w:val="20"/>
          <w:szCs w:val="20"/>
          <w:color w:val="auto"/>
        </w:rPr>
      </w:pPr>
    </w:p>
    <w:p>
      <w:pPr>
        <w:ind w:right="40" w:firstLine="388"/>
        <w:spacing w:after="0" w:line="275" w:lineRule="auto"/>
        <w:rPr>
          <w:sz w:val="20"/>
          <w:szCs w:val="20"/>
          <w:color w:val="auto"/>
        </w:rPr>
      </w:pPr>
      <w:r>
        <w:rPr>
          <w:rFonts w:ascii="Arial" w:cs="Arial" w:eastAsia="Arial" w:hAnsi="Arial"/>
          <w:sz w:val="14"/>
          <w:szCs w:val="14"/>
          <w:i w:val="1"/>
          <w:iCs w:val="1"/>
          <w:color w:val="auto"/>
        </w:rPr>
        <w:t xml:space="preserve">Convertible Notes. </w:t>
      </w:r>
      <w:r>
        <w:rPr>
          <w:rFonts w:ascii="Arial" w:cs="Arial" w:eastAsia="Arial" w:hAnsi="Arial"/>
          <w:sz w:val="14"/>
          <w:szCs w:val="14"/>
          <w:color w:val="auto"/>
        </w:rPr>
        <w:t>In August 2018, we sold $65.0 million aggregate principal amount of convertible senior notes due 2023 (the “Notes”) in a private placement. The Notes are</w:t>
      </w:r>
      <w:r>
        <w:rPr>
          <w:rFonts w:ascii="Arial" w:cs="Arial" w:eastAsia="Arial" w:hAnsi="Arial"/>
          <w:sz w:val="14"/>
          <w:szCs w:val="14"/>
          <w:i w:val="1"/>
          <w:iCs w:val="1"/>
          <w:color w:val="auto"/>
        </w:rPr>
        <w:t xml:space="preserve"> </w:t>
      </w:r>
      <w:r>
        <w:rPr>
          <w:rFonts w:ascii="Arial" w:cs="Arial" w:eastAsia="Arial" w:hAnsi="Arial"/>
          <w:sz w:val="14"/>
          <w:szCs w:val="14"/>
          <w:color w:val="auto"/>
        </w:rPr>
        <w:t>senior, unsecured and bear interest at a rate of 4.0% per year, payable semi-annually on February 1 and August 1 of each year, beginning on February 1, 2019. The Notes will mature on August 1, 2023, unless earlier repurchased by the Company or converted at the option of the holders.</w:t>
      </w:r>
    </w:p>
    <w:p>
      <w:pPr>
        <w:spacing w:after="0" w:line="150" w:lineRule="exact"/>
        <w:rPr>
          <w:sz w:val="20"/>
          <w:szCs w:val="20"/>
          <w:color w:val="auto"/>
        </w:rPr>
      </w:pPr>
    </w:p>
    <w:p>
      <w:pPr>
        <w:ind w:right="200" w:firstLine="388"/>
        <w:spacing w:after="0" w:line="273" w:lineRule="auto"/>
        <w:rPr>
          <w:sz w:val="20"/>
          <w:szCs w:val="20"/>
          <w:color w:val="auto"/>
        </w:rPr>
      </w:pPr>
      <w:r>
        <w:rPr>
          <w:rFonts w:ascii="Arial" w:cs="Arial" w:eastAsia="Arial" w:hAnsi="Arial"/>
          <w:sz w:val="14"/>
          <w:szCs w:val="14"/>
          <w:color w:val="auto"/>
        </w:rPr>
        <w:t>We believe that our existing cash and cash equivalents and cash flows from our operating activities will be sufficient to meet our anticipated cash needs for at least the next 12 months.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 xml:space="preserve">Cash Flows. </w:t>
      </w:r>
      <w:r>
        <w:rPr>
          <w:rFonts w:ascii="Arial" w:cs="Arial" w:eastAsia="Arial" w:hAnsi="Arial"/>
          <w:sz w:val="14"/>
          <w:szCs w:val="14"/>
          <w:color w:val="auto"/>
        </w:rPr>
        <w:t>The following table summarizes our cash flows for the periods presented:</w:t>
      </w:r>
    </w:p>
    <w:p>
      <w:pPr>
        <w:spacing w:after="0" w:line="145"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Three Months Ended</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13335</wp:posOffset>
            </wp:positionV>
            <wp:extent cx="196405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2018</w:t>
            </w:r>
          </w:p>
        </w:tc>
      </w:tr>
      <w:tr>
        <w:trPr>
          <w:trHeight w:val="159"/>
        </w:trPr>
        <w:tc>
          <w:tcPr>
            <w:tcW w:w="8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gridSpan w:val="2"/>
          </w:tcPr>
          <w:p>
            <w:pPr>
              <w:jc w:val="right"/>
              <w:ind w:right="75"/>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3"/>
                <w:szCs w:val="13"/>
                <w:color w:val="auto"/>
              </w:rPr>
            </w:pPr>
          </w:p>
        </w:tc>
      </w:tr>
      <w:tr>
        <w:trPr>
          <w:trHeight w:val="41"/>
        </w:trPr>
        <w:tc>
          <w:tcPr>
            <w:tcW w:w="8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17,063</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3,361</w:t>
            </w:r>
          </w:p>
        </w:tc>
      </w:tr>
      <w:tr>
        <w:trPr>
          <w:trHeight w:val="208"/>
        </w:trPr>
        <w:tc>
          <w:tcPr>
            <w:tcW w:w="83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(658)</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(1,043)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(44,422)</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21,730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243" w:lineRule="exact"/>
        <w:rPr>
          <w:sz w:val="20"/>
          <w:szCs w:val="20"/>
          <w:color w:val="auto"/>
        </w:rPr>
      </w:pPr>
    </w:p>
    <w:p>
      <w:pPr>
        <w:ind w:right="60" w:firstLine="388"/>
        <w:spacing w:after="0" w:line="261" w:lineRule="auto"/>
        <w:rPr>
          <w:sz w:val="20"/>
          <w:szCs w:val="20"/>
          <w:color w:val="auto"/>
        </w:rPr>
      </w:pPr>
      <w:r>
        <w:rPr>
          <w:rFonts w:ascii="Arial" w:cs="Arial" w:eastAsia="Arial" w:hAnsi="Arial"/>
          <w:sz w:val="14"/>
          <w:szCs w:val="14"/>
          <w:color w:val="auto"/>
        </w:rPr>
        <w:t>For the three months ended March 31, 2019, net cash provided by operating activities of $17.1 million was primarily attributable to net income of $2.8 million, non-cash charges of $8.4 million, cash from operating assets and liabilities of $3.8 million, and a one-time charge of $2.2 million related to settlement of our term loan. The primary driver of cash inflows from changes in operating assets and liabilities was a $4.9 million increase in accounts payable due to both successful re-negotiations of our vendor payment terms as well as the timing of vendor payments, a $3.3 million decrease in inventory due to higher demand and continued improvement in the management of our supply chain, and a $1.6 million increase in deferred revenues, which were partially offset by $3.3 million increase in accounts receivable due to higher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238125</wp:posOffset>
            </wp:positionV>
            <wp:extent cx="70897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25</w:t>
      </w:r>
    </w:p>
    <w:p>
      <w:pPr>
        <w:sectPr>
          <w:pgSz w:w="11900" w:h="16838" w:orient="portrait"/>
          <w:cols w:equalWidth="0" w:num="1">
            <w:col w:w="11460"/>
          </w:cols>
          <w:pgMar w:left="220" w:top="254" w:right="219" w:bottom="1440" w:gutter="0" w:footer="0" w:header="0"/>
        </w:sectPr>
      </w:pPr>
    </w:p>
    <w:bookmarkStart w:id="27" w:name="page28"/>
    <w:bookmarkEnd w:id="27"/>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80" w:firstLine="388"/>
        <w:spacing w:after="0" w:line="261" w:lineRule="auto"/>
        <w:rPr>
          <w:sz w:val="20"/>
          <w:szCs w:val="20"/>
          <w:color w:val="auto"/>
        </w:rPr>
      </w:pPr>
      <w:r>
        <w:rPr>
          <w:rFonts w:ascii="Arial" w:cs="Arial" w:eastAsia="Arial" w:hAnsi="Arial"/>
          <w:sz w:val="14"/>
          <w:szCs w:val="14"/>
          <w:color w:val="auto"/>
        </w:rPr>
        <w:t>For the three months ended March 31, 2018, net cash provided by operating activities of $3.4 million was primarily attributable to a net loss of $5.1 million offset by non-cash charges of $5.0 million and net cash inflows from changes in operating assets and liabilities of $3.5 million. Non-cash charges included $1.6 million of stock-based compensation, $2.3 million of depreciation and amortization, and $0.6 million provision for doubtful accounts. The primary driver of cash outflows from changes in operating assets and liabilities was a $9.1 million decrease in accounts receivable due to seasonally lower revenues and a $7.5 million decrease in inventory due to supply chain management efforts, which were partially offset by an $12.0 million decrease in accounts payable as a result of lower inventory levels and the timing of vendor payments.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200" w:lineRule="exact"/>
        <w:rPr>
          <w:sz w:val="20"/>
          <w:szCs w:val="20"/>
          <w:color w:val="auto"/>
        </w:rPr>
      </w:pPr>
    </w:p>
    <w:p>
      <w:pPr>
        <w:ind w:right="500" w:firstLine="388"/>
        <w:spacing w:after="0" w:line="273" w:lineRule="auto"/>
        <w:rPr>
          <w:sz w:val="20"/>
          <w:szCs w:val="20"/>
          <w:color w:val="auto"/>
        </w:rPr>
      </w:pPr>
      <w:r>
        <w:rPr>
          <w:rFonts w:ascii="Arial" w:cs="Arial" w:eastAsia="Arial" w:hAnsi="Arial"/>
          <w:sz w:val="14"/>
          <w:szCs w:val="14"/>
          <w:color w:val="auto"/>
        </w:rPr>
        <w:t>For the three months ended March 31, 2019, net cash used in investing activities of $0.7 million primarily resulted from purchases of test and assembly equipment and capitalized costs related to internal-use software.</w:t>
      </w:r>
    </w:p>
    <w:p>
      <w:pPr>
        <w:spacing w:after="0" w:line="194" w:lineRule="exact"/>
        <w:rPr>
          <w:sz w:val="20"/>
          <w:szCs w:val="20"/>
          <w:color w:val="auto"/>
        </w:rPr>
      </w:pPr>
    </w:p>
    <w:p>
      <w:pPr>
        <w:ind w:right="500" w:firstLine="388"/>
        <w:spacing w:after="0" w:line="273" w:lineRule="auto"/>
        <w:rPr>
          <w:sz w:val="20"/>
          <w:szCs w:val="20"/>
          <w:color w:val="auto"/>
        </w:rPr>
      </w:pPr>
      <w:r>
        <w:rPr>
          <w:rFonts w:ascii="Arial" w:cs="Arial" w:eastAsia="Arial" w:hAnsi="Arial"/>
          <w:sz w:val="14"/>
          <w:szCs w:val="14"/>
          <w:color w:val="auto"/>
        </w:rPr>
        <w:t>For the three months ended March 31, 2018, net cash used in investing activities of $1.0 million primarily resulted from purchases of test and assembly equipment and capitalized costs related to internal-use software.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200" w:lineRule="exact"/>
        <w:rPr>
          <w:sz w:val="20"/>
          <w:szCs w:val="20"/>
          <w:color w:val="auto"/>
        </w:rPr>
      </w:pPr>
    </w:p>
    <w:p>
      <w:pPr>
        <w:ind w:right="80" w:firstLine="388"/>
        <w:spacing w:after="0" w:line="273" w:lineRule="auto"/>
        <w:rPr>
          <w:sz w:val="20"/>
          <w:szCs w:val="20"/>
          <w:color w:val="auto"/>
        </w:rPr>
      </w:pPr>
      <w:r>
        <w:rPr>
          <w:rFonts w:ascii="Arial" w:cs="Arial" w:eastAsia="Arial" w:hAnsi="Arial"/>
          <w:sz w:val="14"/>
          <w:szCs w:val="14"/>
          <w:color w:val="auto"/>
        </w:rPr>
        <w:t>For the three months ended March 31, 2019, net cash used in financing activities of $44.4 million consisted of $44.7 million of principal payments on debts and financing fees associated with repayment of our term loan, which was partially offset by $0.3 million in net proceeds from sales of common stock under our employee stock incentive program.</w:t>
      </w:r>
    </w:p>
    <w:p>
      <w:pPr>
        <w:spacing w:after="0" w:line="194" w:lineRule="exact"/>
        <w:rPr>
          <w:sz w:val="20"/>
          <w:szCs w:val="20"/>
          <w:color w:val="auto"/>
        </w:rPr>
      </w:pPr>
    </w:p>
    <w:p>
      <w:pPr>
        <w:jc w:val="both"/>
        <w:ind w:right="140" w:firstLine="388"/>
        <w:spacing w:after="0" w:line="273" w:lineRule="auto"/>
        <w:rPr>
          <w:sz w:val="20"/>
          <w:szCs w:val="20"/>
          <w:color w:val="auto"/>
        </w:rPr>
      </w:pPr>
      <w:r>
        <w:rPr>
          <w:rFonts w:ascii="Arial" w:cs="Arial" w:eastAsia="Arial" w:hAnsi="Arial"/>
          <w:sz w:val="14"/>
          <w:szCs w:val="14"/>
          <w:color w:val="auto"/>
        </w:rPr>
        <w:t>For the three months ended March 31, 2018, net cash provided by financing activities of $21.7 million consisted of $20.2 million in net proceeds from sales of common stock and $2.3 million in net proceeds from the sale of certain long-term financing receivables. These proceeds were partially offset by a $0.8 million principal payment on our term debt.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202" w:lineRule="exact"/>
        <w:rPr>
          <w:sz w:val="20"/>
          <w:szCs w:val="20"/>
          <w:color w:val="auto"/>
        </w:rPr>
      </w:pPr>
    </w:p>
    <w:p>
      <w:pPr>
        <w:ind w:firstLine="388"/>
        <w:spacing w:after="0" w:line="172" w:lineRule="exact"/>
        <w:rPr>
          <w:sz w:val="20"/>
          <w:szCs w:val="20"/>
          <w:color w:val="auto"/>
        </w:rPr>
      </w:pPr>
      <w:r>
        <w:rPr>
          <w:rFonts w:ascii="Arial" w:cs="Arial" w:eastAsia="Arial" w:hAnsi="Arial"/>
          <w:sz w:val="14"/>
          <w:szCs w:val="14"/>
          <w:color w:val="auto"/>
        </w:rPr>
        <w:t>Other than as described below, there were no material changes during the three months ended March 31, 2019 to our contractual commitments as presented in “Management’s Discussion and Analysis of Financial Condition and Results of Operations” of our 2018 Form 10</w:t>
      </w:r>
      <w:r>
        <w:rPr>
          <w:rFonts w:ascii="MS PGothic" w:cs="MS PGothic" w:eastAsia="MS PGothic" w:hAnsi="MS PGothic"/>
          <w:sz w:val="14"/>
          <w:szCs w:val="14"/>
          <w:color w:val="auto"/>
        </w:rPr>
        <w:t>‑</w:t>
      </w:r>
      <w:r>
        <w:rPr>
          <w:rFonts w:ascii="Arial" w:cs="Arial" w:eastAsia="Arial" w:hAnsi="Arial"/>
          <w:sz w:val="14"/>
          <w:szCs w:val="14"/>
          <w:color w:val="auto"/>
        </w:rPr>
        <w:t>K filed with the SEC on March 15, 2019. See Note 9. “Commitments and Contingent Liabilities,” of the condensed consolidated financial statements.</w:t>
      </w:r>
    </w:p>
    <w:p>
      <w:pPr>
        <w:spacing w:after="0" w:line="175" w:lineRule="exact"/>
        <w:rPr>
          <w:sz w:val="20"/>
          <w:szCs w:val="20"/>
          <w:color w:val="auto"/>
        </w:rPr>
      </w:pPr>
    </w:p>
    <w:p>
      <w:pPr>
        <w:ind w:right="500" w:firstLine="388"/>
        <w:spacing w:after="0" w:line="273" w:lineRule="auto"/>
        <w:rPr>
          <w:sz w:val="20"/>
          <w:szCs w:val="20"/>
          <w:color w:val="auto"/>
        </w:rPr>
      </w:pPr>
      <w:r>
        <w:rPr>
          <w:rFonts w:ascii="Arial" w:cs="Arial" w:eastAsia="Arial" w:hAnsi="Arial"/>
          <w:sz w:val="14"/>
          <w:szCs w:val="14"/>
          <w:color w:val="auto"/>
        </w:rPr>
        <w:t>On January 28, 2019, we repaid in full the remaining principal amount of the Term Loans of approximately $39.5 million plus accrued interest and fees owed to lenders affiliated with Tennenbaum Capital Partners, LLC.</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March 31, 2019, we did not have any off-balance sheet arrangements, as defined in Item 303(a)(4)(ii) of SEC Regulation S-K.</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02" w:lineRule="exact"/>
        <w:rPr>
          <w:sz w:val="20"/>
          <w:szCs w:val="20"/>
          <w:color w:val="auto"/>
        </w:rPr>
      </w:pPr>
    </w:p>
    <w:p>
      <w:pPr>
        <w:ind w:right="40" w:firstLine="388"/>
        <w:spacing w:after="0" w:line="259" w:lineRule="auto"/>
        <w:rPr>
          <w:sz w:val="20"/>
          <w:szCs w:val="20"/>
          <w:color w:val="auto"/>
        </w:rPr>
      </w:pPr>
      <w:r>
        <w:rPr>
          <w:rFonts w:ascii="Arial" w:cs="Arial" w:eastAsia="Arial" w:hAnsi="Arial"/>
          <w:sz w:val="14"/>
          <w:szCs w:val="14"/>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240665</wp:posOffset>
            </wp:positionV>
            <wp:extent cx="70897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26</w:t>
      </w:r>
    </w:p>
    <w:p>
      <w:pPr>
        <w:sectPr>
          <w:pgSz w:w="11900" w:h="16838" w:orient="portrait"/>
          <w:cols w:equalWidth="0" w:num="1">
            <w:col w:w="11460"/>
          </w:cols>
          <w:pgMar w:left="220" w:top="254" w:right="219" w:bottom="1440" w:gutter="0" w:footer="0" w:header="0"/>
        </w:sectPr>
      </w:pPr>
    </w:p>
    <w:bookmarkStart w:id="28" w:name="page29"/>
    <w:bookmarkEnd w:id="28"/>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392" w:lineRule="exact"/>
        <w:rPr>
          <w:sz w:val="20"/>
          <w:szCs w:val="20"/>
          <w:color w:val="auto"/>
        </w:rPr>
      </w:pPr>
    </w:p>
    <w:p>
      <w:pPr>
        <w:ind w:right="40" w:firstLine="388"/>
        <w:spacing w:after="0" w:line="265" w:lineRule="auto"/>
        <w:rPr>
          <w:sz w:val="20"/>
          <w:szCs w:val="20"/>
          <w:color w:val="auto"/>
        </w:rPr>
      </w:pPr>
      <w:r>
        <w:rPr>
          <w:rFonts w:ascii="Arial" w:cs="Arial" w:eastAsia="Arial" w:hAnsi="Arial"/>
          <w:sz w:val="14"/>
          <w:szCs w:val="14"/>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New and Recently Issued Accounting Pronouncements</w:t>
      </w:r>
    </w:p>
    <w:p>
      <w:pPr>
        <w:spacing w:after="0" w:line="200" w:lineRule="exact"/>
        <w:rPr>
          <w:sz w:val="20"/>
          <w:szCs w:val="20"/>
          <w:color w:val="auto"/>
        </w:rPr>
      </w:pPr>
    </w:p>
    <w:p>
      <w:pPr>
        <w:ind w:right="140" w:firstLine="388"/>
        <w:spacing w:after="0" w:line="273" w:lineRule="auto"/>
        <w:rPr>
          <w:sz w:val="20"/>
          <w:szCs w:val="20"/>
          <w:color w:val="auto"/>
        </w:rPr>
      </w:pPr>
      <w:r>
        <w:rPr>
          <w:rFonts w:ascii="Arial" w:cs="Arial" w:eastAsia="Arial" w:hAnsi="Arial"/>
          <w:sz w:val="14"/>
          <w:szCs w:val="14"/>
          <w:color w:val="auto"/>
        </w:rPr>
        <w:t>Refer to Note 1. “Summary of Significant Accounting Policies” of the notes to condensed consolidated financial statements included in Part I, Item 1 of this Form 10-Q for a discussion of adoption of new and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2" w:lineRule="exact"/>
        <w:rPr>
          <w:sz w:val="20"/>
          <w:szCs w:val="20"/>
          <w:color w:val="auto"/>
        </w:rPr>
      </w:pPr>
    </w:p>
    <w:p>
      <w:pPr>
        <w:ind w:firstLine="388"/>
        <w:spacing w:after="0" w:line="172" w:lineRule="exact"/>
        <w:rPr>
          <w:sz w:val="20"/>
          <w:szCs w:val="20"/>
          <w:color w:val="auto"/>
        </w:rPr>
      </w:pPr>
      <w:r>
        <w:rPr>
          <w:rFonts w:ascii="Arial" w:cs="Arial" w:eastAsia="Arial" w:hAnsi="Arial"/>
          <w:sz w:val="14"/>
          <w:szCs w:val="14"/>
          <w:color w:val="auto"/>
        </w:rPr>
        <w:t>For quantitative and qualitative disclosures about market risk, see Item 7A, “Quantitative and Qualitative Disclosures About Market Risk” of our 2018 Form 10</w:t>
      </w:r>
      <w:r>
        <w:rPr>
          <w:rFonts w:ascii="MS PGothic" w:cs="MS PGothic" w:eastAsia="MS PGothic" w:hAnsi="MS PGothic"/>
          <w:sz w:val="14"/>
          <w:szCs w:val="14"/>
          <w:color w:val="auto"/>
        </w:rPr>
        <w:t>‑</w:t>
      </w:r>
      <w:r>
        <w:rPr>
          <w:rFonts w:ascii="Arial" w:cs="Arial" w:eastAsia="Arial" w:hAnsi="Arial"/>
          <w:sz w:val="14"/>
          <w:szCs w:val="14"/>
          <w:color w:val="auto"/>
        </w:rPr>
        <w:t>K filed with the SEC on March 15, 2019. Our exposures to market risk have not changed materially since December 31, 2018.</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2" w:lineRule="exact"/>
        <w:rPr>
          <w:sz w:val="20"/>
          <w:szCs w:val="20"/>
          <w:color w:val="auto"/>
        </w:rPr>
      </w:pPr>
    </w:p>
    <w:p>
      <w:pPr>
        <w:ind w:right="40" w:firstLine="388"/>
        <w:spacing w:after="0" w:line="260"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of March 31, 2019.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61" w:lineRule="exact"/>
        <w:rPr>
          <w:sz w:val="20"/>
          <w:szCs w:val="20"/>
          <w:color w:val="auto"/>
        </w:rPr>
      </w:pPr>
    </w:p>
    <w:p>
      <w:pPr>
        <w:ind w:right="100" w:firstLine="388"/>
        <w:spacing w:after="0" w:line="273" w:lineRule="auto"/>
        <w:rPr>
          <w:sz w:val="20"/>
          <w:szCs w:val="20"/>
          <w:color w:val="auto"/>
        </w:rPr>
      </w:pPr>
      <w:r>
        <w:rPr>
          <w:rFonts w:ascii="Arial" w:cs="Arial" w:eastAsia="Arial" w:hAnsi="Arial"/>
          <w:sz w:val="14"/>
          <w:szCs w:val="14"/>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w:t>
      </w:r>
    </w:p>
    <w:p>
      <w:pPr>
        <w:spacing w:after="0" w:line="202" w:lineRule="exact"/>
        <w:rPr>
          <w:sz w:val="20"/>
          <w:szCs w:val="20"/>
          <w:color w:val="auto"/>
        </w:rPr>
      </w:pPr>
    </w:p>
    <w:p>
      <w:pPr>
        <w:ind w:right="160" w:firstLine="388"/>
        <w:spacing w:after="0" w:line="273" w:lineRule="auto"/>
        <w:rPr>
          <w:sz w:val="20"/>
          <w:szCs w:val="20"/>
          <w:color w:val="auto"/>
        </w:rPr>
      </w:pPr>
      <w:r>
        <w:rPr>
          <w:rFonts w:ascii="Arial" w:cs="Arial" w:eastAsia="Arial" w:hAnsi="Arial"/>
          <w:sz w:val="14"/>
          <w:szCs w:val="14"/>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233045</wp:posOffset>
            </wp:positionV>
            <wp:extent cx="70897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27</w:t>
      </w:r>
    </w:p>
    <w:p>
      <w:pPr>
        <w:sectPr>
          <w:pgSz w:w="11900" w:h="16838" w:orient="portrait"/>
          <w:cols w:equalWidth="0" w:num="1">
            <w:col w:w="11360"/>
          </w:cols>
          <w:pgMar w:left="220" w:top="254" w:right="319" w:bottom="1440" w:gutter="0" w:footer="0" w:header="0"/>
        </w:sectPr>
      </w:pPr>
    </w:p>
    <w:bookmarkStart w:id="29" w:name="page30"/>
    <w:bookmarkEnd w:id="29"/>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2" w:lineRule="exact"/>
        <w:rPr>
          <w:sz w:val="20"/>
          <w:szCs w:val="20"/>
          <w:color w:val="auto"/>
        </w:rPr>
      </w:pPr>
    </w:p>
    <w:p>
      <w:pPr>
        <w:ind w:firstLine="388"/>
        <w:spacing w:after="0" w:line="262" w:lineRule="auto"/>
        <w:rPr>
          <w:sz w:val="20"/>
          <w:szCs w:val="20"/>
          <w:color w:val="auto"/>
        </w:rPr>
      </w:pPr>
      <w:r>
        <w:rPr>
          <w:rFonts w:ascii="Arial" w:cs="Arial" w:eastAsia="Arial" w:hAnsi="Arial"/>
          <w:sz w:val="14"/>
          <w:szCs w:val="14"/>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2" w:lineRule="exact"/>
        <w:rPr>
          <w:sz w:val="20"/>
          <w:szCs w:val="20"/>
          <w:color w:val="auto"/>
        </w:rPr>
      </w:pPr>
    </w:p>
    <w:p>
      <w:pPr>
        <w:ind w:left="400"/>
        <w:spacing w:after="0" w:line="161" w:lineRule="exact"/>
        <w:rPr>
          <w:sz w:val="20"/>
          <w:szCs w:val="20"/>
          <w:color w:val="auto"/>
        </w:rPr>
      </w:pPr>
      <w:r>
        <w:rPr>
          <w:rFonts w:ascii="Arial" w:cs="Arial" w:eastAsia="Arial" w:hAnsi="Arial"/>
          <w:sz w:val="14"/>
          <w:szCs w:val="14"/>
          <w:color w:val="auto"/>
        </w:rPr>
        <w:t>There has been no material changes in our risk factors from those disclosed in Part I, Item 1A, in our 2018 Form 10</w:t>
      </w:r>
      <w:r>
        <w:rPr>
          <w:rFonts w:ascii="MS PGothic" w:cs="MS PGothic" w:eastAsia="MS PGothic" w:hAnsi="MS PGothic"/>
          <w:sz w:val="14"/>
          <w:szCs w:val="14"/>
          <w:color w:val="auto"/>
        </w:rPr>
        <w:t>‑</w:t>
      </w:r>
      <w:r>
        <w:rPr>
          <w:rFonts w:ascii="Arial" w:cs="Arial" w:eastAsia="Arial" w:hAnsi="Arial"/>
          <w:sz w:val="14"/>
          <w:szCs w:val="14"/>
          <w:color w:val="auto"/>
        </w:rPr>
        <w:t>K filed with the SEC on March 15, 2019.</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473075</wp:posOffset>
            </wp:positionV>
            <wp:extent cx="708977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28</w:t>
      </w:r>
    </w:p>
    <w:p>
      <w:pPr>
        <w:sectPr>
          <w:pgSz w:w="11900" w:h="16838" w:orient="portrait"/>
          <w:cols w:equalWidth="0" w:num="1">
            <w:col w:w="11400"/>
          </w:cols>
          <w:pgMar w:left="220" w:top="254" w:right="279" w:bottom="1440" w:gutter="0" w:footer="0" w:header="0"/>
        </w:sectPr>
      </w:pPr>
    </w:p>
    <w:bookmarkStart w:id="30" w:name="page31"/>
    <w:bookmarkEnd w:id="30"/>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list of exhibits filed with this report or incorporated herein by reference is found in the Exhibit Index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Incorporation by Reference</w:t>
            </w:r>
          </w:p>
        </w:tc>
        <w:tc>
          <w:tcPr>
            <w:tcW w:w="1020" w:type="dxa"/>
            <w:vAlign w:val="bottom"/>
            <w:tcBorders>
              <w:bottom w:val="single" w:sz="8" w:color="auto"/>
            </w:tcBorders>
          </w:tcPr>
          <w:p>
            <w:pPr>
              <w:spacing w:after="0"/>
              <w:rPr>
                <w:sz w:val="13"/>
                <w:szCs w:val="13"/>
                <w:color w:val="auto"/>
              </w:rPr>
            </w:pPr>
          </w:p>
        </w:tc>
      </w:tr>
      <w:tr>
        <w:trPr>
          <w:trHeight w:val="130"/>
        </w:trPr>
        <w:tc>
          <w:tcPr>
            <w:tcW w:w="9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7"/>
        </w:trPr>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Number</w:t>
            </w:r>
          </w:p>
        </w:tc>
        <w:tc>
          <w:tcPr>
            <w:tcW w:w="120" w:type="dxa"/>
            <w:vAlign w:val="bottom"/>
            <w:tcBorders>
              <w:bottom w:val="single" w:sz="8" w:color="BFE4FF"/>
            </w:tcBorders>
          </w:tcPr>
          <w:p>
            <w:pPr>
              <w:spacing w:after="0"/>
              <w:rPr>
                <w:sz w:val="13"/>
                <w:szCs w:val="13"/>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Exhibit Description</w:t>
            </w:r>
          </w:p>
        </w:tc>
        <w:tc>
          <w:tcPr>
            <w:tcW w:w="120" w:type="dxa"/>
            <w:vAlign w:val="bottom"/>
            <w:tcBorders>
              <w:bottom w:val="single" w:sz="8" w:color="BFE4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20" w:type="dxa"/>
            <w:vAlign w:val="bottom"/>
            <w:tcBorders>
              <w:bottom w:val="single" w:sz="8" w:color="BFE4FF"/>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SEC File No.</w:t>
            </w:r>
          </w:p>
        </w:tc>
        <w:tc>
          <w:tcPr>
            <w:tcW w:w="120" w:type="dxa"/>
            <w:vAlign w:val="bottom"/>
            <w:tcBorders>
              <w:bottom w:val="single" w:sz="8" w:color="BFE4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Exhibit</w:t>
            </w:r>
          </w:p>
        </w:tc>
        <w:tc>
          <w:tcPr>
            <w:tcW w:w="100" w:type="dxa"/>
            <w:vAlign w:val="bottom"/>
            <w:tcBorders>
              <w:bottom w:val="single" w:sz="8" w:color="BFE4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Filing Date</w:t>
            </w:r>
          </w:p>
        </w:tc>
        <w:tc>
          <w:tcPr>
            <w:tcW w:w="100" w:type="dxa"/>
            <w:vAlign w:val="bottom"/>
            <w:tcBorders>
              <w:bottom w:val="single" w:sz="8" w:color="BFE4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Filed Herewith</w:t>
            </w:r>
          </w:p>
        </w:tc>
      </w:tr>
      <w:tr>
        <w:trPr>
          <w:trHeight w:val="245"/>
        </w:trPr>
        <w:tc>
          <w:tcPr>
            <w:tcW w:w="720" w:type="dxa"/>
            <w:vAlign w:val="bottom"/>
            <w:shd w:val="clear" w:color="auto" w:fill="BFE4FF"/>
          </w:tcPr>
          <w:p>
            <w:pPr>
              <w:jc w:val="center"/>
              <w:ind w:left="43"/>
              <w:spacing w:after="0"/>
              <w:rPr>
                <w:sz w:val="20"/>
                <w:szCs w:val="20"/>
                <w:color w:val="auto"/>
              </w:rPr>
            </w:pPr>
            <w:r>
              <w:rPr>
                <w:rFonts w:ascii="Arial" w:cs="Arial" w:eastAsia="Arial" w:hAnsi="Arial"/>
                <w:sz w:val="11"/>
                <w:szCs w:val="11"/>
                <w:color w:val="auto"/>
              </w:rPr>
              <w:t>10.1</w:t>
            </w:r>
          </w:p>
        </w:tc>
        <w:tc>
          <w:tcPr>
            <w:tcW w:w="1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4360" w:type="dxa"/>
            <w:vAlign w:val="bottom"/>
            <w:gridSpan w:val="2"/>
            <w:shd w:val="clear" w:color="auto" w:fill="BFE4FF"/>
          </w:tcPr>
          <w:p>
            <w:pPr>
              <w:ind w:left="20"/>
              <w:spacing w:after="0"/>
              <w:rPr>
                <w:rFonts w:ascii="Arial" w:cs="Arial" w:eastAsia="Arial" w:hAnsi="Arial"/>
                <w:sz w:val="11"/>
                <w:szCs w:val="11"/>
                <w:color w:val="auto"/>
              </w:rPr>
            </w:pPr>
            <w:hyperlink r:id="rId88">
              <w:r>
                <w:rPr>
                  <w:rFonts w:ascii="Arial" w:cs="Arial" w:eastAsia="Arial" w:hAnsi="Arial"/>
                  <w:sz w:val="11"/>
                  <w:szCs w:val="11"/>
                  <w:color w:val="auto"/>
                </w:rPr>
                <w:t>Bonus Program Summary.</w:t>
              </w:r>
            </w:hyperlink>
          </w:p>
        </w:tc>
        <w:tc>
          <w:tcPr>
            <w:tcW w:w="1160" w:type="dxa"/>
            <w:vAlign w:val="bottom"/>
            <w:gridSpan w:val="2"/>
            <w:shd w:val="clear" w:color="auto" w:fill="BFE4FF"/>
          </w:tcPr>
          <w:p>
            <w:pPr>
              <w:jc w:val="center"/>
              <w:ind w:right="140"/>
              <w:spacing w:after="0"/>
              <w:rPr>
                <w:sz w:val="20"/>
                <w:szCs w:val="20"/>
                <w:color w:val="auto"/>
              </w:rPr>
            </w:pPr>
            <w:r>
              <w:rPr>
                <w:rFonts w:ascii="Arial" w:cs="Arial" w:eastAsia="Arial" w:hAnsi="Arial"/>
                <w:sz w:val="11"/>
                <w:szCs w:val="11"/>
                <w:color w:val="auto"/>
              </w:rPr>
              <w:t>8-K</w:t>
            </w:r>
          </w:p>
        </w:tc>
        <w:tc>
          <w:tcPr>
            <w:tcW w:w="1600" w:type="dxa"/>
            <w:vAlign w:val="bottom"/>
            <w:shd w:val="clear" w:color="auto" w:fill="BFE4FF"/>
          </w:tcPr>
          <w:p>
            <w:pPr>
              <w:jc w:val="right"/>
              <w:ind w:right="483"/>
              <w:spacing w:after="0"/>
              <w:rPr>
                <w:sz w:val="20"/>
                <w:szCs w:val="20"/>
                <w:color w:val="auto"/>
              </w:rPr>
            </w:pPr>
            <w:r>
              <w:rPr>
                <w:rFonts w:ascii="Arial" w:cs="Arial" w:eastAsia="Arial" w:hAnsi="Arial"/>
                <w:sz w:val="11"/>
                <w:szCs w:val="11"/>
                <w:color w:val="auto"/>
              </w:rPr>
              <w:t>001-35480</w:t>
            </w:r>
          </w:p>
        </w:tc>
        <w:tc>
          <w:tcPr>
            <w:tcW w:w="120" w:type="dxa"/>
            <w:vAlign w:val="bottom"/>
            <w:shd w:val="clear" w:color="auto" w:fill="BFE4FF"/>
          </w:tcPr>
          <w:p>
            <w:pPr>
              <w:spacing w:after="0"/>
              <w:rPr>
                <w:sz w:val="21"/>
                <w:szCs w:val="21"/>
                <w:color w:val="auto"/>
              </w:rPr>
            </w:pPr>
          </w:p>
        </w:tc>
        <w:tc>
          <w:tcPr>
            <w:tcW w:w="1020" w:type="dxa"/>
            <w:vAlign w:val="bottom"/>
            <w:shd w:val="clear" w:color="auto" w:fill="BFE4FF"/>
          </w:tcPr>
          <w:p>
            <w:pPr>
              <w:jc w:val="right"/>
              <w:ind w:right="343"/>
              <w:spacing w:after="0"/>
              <w:rPr>
                <w:sz w:val="20"/>
                <w:szCs w:val="20"/>
                <w:color w:val="auto"/>
              </w:rPr>
            </w:pPr>
            <w:r>
              <w:rPr>
                <w:rFonts w:ascii="Arial" w:cs="Arial" w:eastAsia="Arial" w:hAnsi="Arial"/>
                <w:sz w:val="11"/>
                <w:szCs w:val="11"/>
                <w:color w:val="auto"/>
              </w:rPr>
              <w:t>10.1</w:t>
            </w:r>
          </w:p>
        </w:tc>
        <w:tc>
          <w:tcPr>
            <w:tcW w:w="100" w:type="dxa"/>
            <w:vAlign w:val="bottom"/>
            <w:shd w:val="clear" w:color="auto" w:fill="BFE4FF"/>
          </w:tcPr>
          <w:p>
            <w:pPr>
              <w:spacing w:after="0"/>
              <w:rPr>
                <w:sz w:val="21"/>
                <w:szCs w:val="21"/>
                <w:color w:val="auto"/>
              </w:rPr>
            </w:pPr>
          </w:p>
        </w:tc>
        <w:tc>
          <w:tcPr>
            <w:tcW w:w="1040" w:type="dxa"/>
            <w:vAlign w:val="bottom"/>
            <w:shd w:val="clear" w:color="auto" w:fill="BFE4FF"/>
          </w:tcPr>
          <w:p>
            <w:pPr>
              <w:jc w:val="right"/>
              <w:ind w:right="243"/>
              <w:spacing w:after="0"/>
              <w:rPr>
                <w:sz w:val="20"/>
                <w:szCs w:val="20"/>
                <w:color w:val="auto"/>
              </w:rPr>
            </w:pPr>
            <w:r>
              <w:rPr>
                <w:rFonts w:ascii="Arial" w:cs="Arial" w:eastAsia="Arial" w:hAnsi="Arial"/>
                <w:sz w:val="11"/>
                <w:szCs w:val="11"/>
                <w:color w:val="auto"/>
              </w:rPr>
              <w:t>2/6/2019</w:t>
            </w:r>
          </w:p>
        </w:tc>
        <w:tc>
          <w:tcPr>
            <w:tcW w:w="100" w:type="dxa"/>
            <w:vAlign w:val="bottom"/>
            <w:shd w:val="clear" w:color="auto" w:fill="BFE4FF"/>
          </w:tcPr>
          <w:p>
            <w:pPr>
              <w:spacing w:after="0"/>
              <w:rPr>
                <w:sz w:val="21"/>
                <w:szCs w:val="21"/>
                <w:color w:val="auto"/>
              </w:rPr>
            </w:pPr>
          </w:p>
        </w:tc>
        <w:tc>
          <w:tcPr>
            <w:tcW w:w="1020" w:type="dxa"/>
            <w:vAlign w:val="bottom"/>
            <w:shd w:val="clear" w:color="auto" w:fill="BFE4FF"/>
          </w:tcPr>
          <w:p>
            <w:pPr>
              <w:spacing w:after="0"/>
              <w:rPr>
                <w:sz w:val="21"/>
                <w:szCs w:val="21"/>
                <w:color w:val="auto"/>
              </w:rPr>
            </w:pPr>
          </w:p>
        </w:tc>
      </w:tr>
      <w:tr>
        <w:trPr>
          <w:trHeight w:val="95"/>
        </w:trPr>
        <w:tc>
          <w:tcPr>
            <w:tcW w:w="7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42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6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r>
      <w:tr>
        <w:trPr>
          <w:trHeight w:val="155"/>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60" w:type="dxa"/>
            <w:vAlign w:val="bottom"/>
            <w:gridSpan w:val="2"/>
          </w:tcPr>
          <w:p>
            <w:pPr>
              <w:ind w:left="20"/>
              <w:spacing w:after="0"/>
              <w:rPr>
                <w:rFonts w:ascii="Arial" w:cs="Arial" w:eastAsia="Arial" w:hAnsi="Arial"/>
                <w:sz w:val="11"/>
                <w:szCs w:val="11"/>
                <w:color w:val="auto"/>
              </w:rPr>
            </w:pPr>
            <w:hyperlink w:anchor="page33">
              <w:r>
                <w:rPr>
                  <w:rFonts w:ascii="Arial" w:cs="Arial" w:eastAsia="Arial" w:hAnsi="Arial"/>
                  <w:sz w:val="11"/>
                  <w:szCs w:val="11"/>
                  <w:color w:val="auto"/>
                </w:rPr>
                <w:t>Amendment No. 2 dated February 7, 2019 to Securities Purchase Agreement, by</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29"/>
        </w:trPr>
        <w:tc>
          <w:tcPr>
            <w:tcW w:w="720" w:type="dxa"/>
            <w:vAlign w:val="bottom"/>
          </w:tcPr>
          <w:p>
            <w:pPr>
              <w:jc w:val="center"/>
              <w:ind w:left="43"/>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gridSpan w:val="2"/>
          </w:tcPr>
          <w:p>
            <w:pPr>
              <w:ind w:left="20"/>
              <w:spacing w:after="0"/>
              <w:rPr>
                <w:rFonts w:ascii="Arial" w:cs="Arial" w:eastAsia="Arial" w:hAnsi="Arial"/>
                <w:sz w:val="11"/>
                <w:szCs w:val="11"/>
                <w:color w:val="auto"/>
              </w:rPr>
            </w:pPr>
            <w:hyperlink w:anchor="page33">
              <w:r>
                <w:rPr>
                  <w:rFonts w:ascii="Arial" w:cs="Arial" w:eastAsia="Arial" w:hAnsi="Arial"/>
                  <w:sz w:val="11"/>
                  <w:szCs w:val="11"/>
                  <w:color w:val="auto"/>
                </w:rPr>
                <w:t>and among Enphase Energy, Inc. and the purchasers identified on Exhibit A</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1"/>
              </w:rPr>
              <w:t>X</w:t>
            </w:r>
          </w:p>
        </w:tc>
      </w:tr>
      <w:tr>
        <w:trPr>
          <w:trHeight w:val="143"/>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gridSpan w:val="2"/>
          </w:tcPr>
          <w:p>
            <w:pPr>
              <w:ind w:left="20"/>
              <w:spacing w:after="0"/>
              <w:rPr>
                <w:rFonts w:ascii="Arial" w:cs="Arial" w:eastAsia="Arial" w:hAnsi="Arial"/>
                <w:sz w:val="11"/>
                <w:szCs w:val="11"/>
                <w:color w:val="auto"/>
              </w:rPr>
            </w:pPr>
            <w:hyperlink w:anchor="page33">
              <w:r>
                <w:rPr>
                  <w:rFonts w:ascii="Arial" w:cs="Arial" w:eastAsia="Arial" w:hAnsi="Arial"/>
                  <w:sz w:val="11"/>
                  <w:szCs w:val="11"/>
                  <w:color w:val="auto"/>
                </w:rPr>
                <w:t>thereto, dated January 9, 2017.</w:t>
              </w:r>
            </w:hyperlink>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4"/>
        </w:trPr>
        <w:tc>
          <w:tcPr>
            <w:tcW w:w="720" w:type="dxa"/>
            <w:vAlign w:val="bottom"/>
            <w:shd w:val="clear" w:color="auto" w:fill="BFE4FF"/>
          </w:tcPr>
          <w:p>
            <w:pPr>
              <w:jc w:val="center"/>
              <w:ind w:left="43"/>
              <w:spacing w:after="0"/>
              <w:rPr>
                <w:sz w:val="20"/>
                <w:szCs w:val="20"/>
                <w:color w:val="auto"/>
              </w:rPr>
            </w:pPr>
            <w:r>
              <w:rPr>
                <w:rFonts w:ascii="Arial" w:cs="Arial" w:eastAsia="Arial" w:hAnsi="Arial"/>
                <w:sz w:val="11"/>
                <w:szCs w:val="11"/>
                <w:color w:val="auto"/>
              </w:rPr>
              <w:t>31.1</w:t>
            </w:r>
          </w:p>
        </w:tc>
        <w:tc>
          <w:tcPr>
            <w:tcW w:w="1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4360" w:type="dxa"/>
            <w:vAlign w:val="bottom"/>
            <w:gridSpan w:val="2"/>
            <w:shd w:val="clear" w:color="auto" w:fill="BFE4FF"/>
          </w:tcPr>
          <w:p>
            <w:pPr>
              <w:ind w:left="20"/>
              <w:spacing w:after="0"/>
              <w:rPr>
                <w:rFonts w:ascii="Arial" w:cs="Arial" w:eastAsia="Arial" w:hAnsi="Arial"/>
                <w:sz w:val="11"/>
                <w:szCs w:val="11"/>
                <w:color w:val="auto"/>
              </w:rPr>
            </w:pPr>
            <w:hyperlink w:anchor="page35">
              <w:r>
                <w:rPr>
                  <w:rFonts w:ascii="Arial" w:cs="Arial" w:eastAsia="Arial" w:hAnsi="Arial"/>
                  <w:sz w:val="11"/>
                  <w:szCs w:val="11"/>
                  <w:color w:val="auto"/>
                </w:rPr>
                <w:t>Certification of Chief Executive Officer pursuant to Rule 13a-14(a)/15d-14(a)</w:t>
              </w:r>
            </w:hyperlink>
            <w:r>
              <w:rPr>
                <w:rFonts w:ascii="Arial" w:cs="Arial" w:eastAsia="Arial" w:hAnsi="Arial"/>
                <w:sz w:val="11"/>
                <w:szCs w:val="11"/>
                <w:color w:val="auto"/>
              </w:rPr>
              <w:t>.</w:t>
            </w:r>
          </w:p>
        </w:tc>
        <w:tc>
          <w:tcPr>
            <w:tcW w:w="10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16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10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4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20" w:type="dxa"/>
            <w:vAlign w:val="bottom"/>
            <w:shd w:val="clear" w:color="auto" w:fill="BFE4FF"/>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42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6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r>
      <w:tr>
        <w:trPr>
          <w:trHeight w:val="250"/>
        </w:trPr>
        <w:tc>
          <w:tcPr>
            <w:tcW w:w="720" w:type="dxa"/>
            <w:vAlign w:val="bottom"/>
          </w:tcPr>
          <w:p>
            <w:pPr>
              <w:jc w:val="center"/>
              <w:ind w:left="43"/>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gridSpan w:val="2"/>
          </w:tcPr>
          <w:p>
            <w:pPr>
              <w:ind w:left="20"/>
              <w:spacing w:after="0"/>
              <w:rPr>
                <w:rFonts w:ascii="Arial" w:cs="Arial" w:eastAsia="Arial" w:hAnsi="Arial"/>
                <w:sz w:val="11"/>
                <w:szCs w:val="11"/>
                <w:color w:val="auto"/>
              </w:rPr>
            </w:pPr>
            <w:hyperlink w:anchor="page36">
              <w:r>
                <w:rPr>
                  <w:rFonts w:ascii="Arial" w:cs="Arial" w:eastAsia="Arial" w:hAnsi="Arial"/>
                  <w:sz w:val="11"/>
                  <w:szCs w:val="11"/>
                  <w:color w:val="auto"/>
                </w:rPr>
                <w:t>Certification of Chief Financial Officer pursuant to Rule 13a-14(a)/15d-14(a)</w:t>
              </w:r>
            </w:hyperlink>
            <w:r>
              <w:rPr>
                <w:rFonts w:ascii="Arial" w:cs="Arial" w:eastAsia="Arial" w:hAnsi="Arial"/>
                <w:sz w:val="11"/>
                <w:szCs w:val="11"/>
                <w:color w:val="auto"/>
              </w:rPr>
              <w: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41"/>
        </w:trPr>
        <w:tc>
          <w:tcPr>
            <w:tcW w:w="72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4360" w:type="dxa"/>
            <w:vAlign w:val="bottom"/>
            <w:gridSpan w:val="2"/>
            <w:shd w:val="clear" w:color="auto" w:fill="BFE4FF"/>
          </w:tcPr>
          <w:p>
            <w:pPr>
              <w:ind w:left="20"/>
              <w:spacing w:after="0"/>
              <w:rPr>
                <w:rFonts w:ascii="Arial" w:cs="Arial" w:eastAsia="Arial" w:hAnsi="Arial"/>
                <w:sz w:val="11"/>
                <w:szCs w:val="11"/>
                <w:color w:val="auto"/>
              </w:rPr>
            </w:pPr>
            <w:hyperlink w:anchor="page37">
              <w:r>
                <w:rPr>
                  <w:rFonts w:ascii="Arial" w:cs="Arial" w:eastAsia="Arial" w:hAnsi="Arial"/>
                  <w:sz w:val="11"/>
                  <w:szCs w:val="11"/>
                  <w:color w:val="auto"/>
                </w:rPr>
                <w:t>Certification of Chief Executive Officer and Chief Financial Officer pursuant to 18</w:t>
              </w:r>
            </w:hyperlink>
          </w:p>
        </w:tc>
        <w:tc>
          <w:tcPr>
            <w:tcW w:w="104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6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02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104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1020" w:type="dxa"/>
            <w:vAlign w:val="bottom"/>
            <w:shd w:val="clear" w:color="auto" w:fill="BFE4FF"/>
          </w:tcPr>
          <w:p>
            <w:pPr>
              <w:spacing w:after="0"/>
              <w:rPr>
                <w:sz w:val="20"/>
                <w:szCs w:val="20"/>
                <w:color w:val="auto"/>
              </w:rPr>
            </w:pPr>
          </w:p>
        </w:tc>
      </w:tr>
      <w:tr>
        <w:trPr>
          <w:trHeight w:val="129"/>
        </w:trPr>
        <w:tc>
          <w:tcPr>
            <w:tcW w:w="720" w:type="dxa"/>
            <w:vAlign w:val="bottom"/>
            <w:shd w:val="clear" w:color="auto" w:fill="BFE4FF"/>
          </w:tcPr>
          <w:p>
            <w:pPr>
              <w:jc w:val="center"/>
              <w:ind w:left="43"/>
              <w:spacing w:after="0"/>
              <w:rPr>
                <w:sz w:val="20"/>
                <w:szCs w:val="20"/>
                <w:color w:val="auto"/>
              </w:rPr>
            </w:pPr>
            <w:r>
              <w:rPr>
                <w:rFonts w:ascii="Arial" w:cs="Arial" w:eastAsia="Arial" w:hAnsi="Arial"/>
                <w:sz w:val="11"/>
                <w:szCs w:val="11"/>
                <w:color w:val="auto"/>
              </w:rPr>
              <w:t>32.1*</w:t>
            </w: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4360" w:type="dxa"/>
            <w:vAlign w:val="bottom"/>
            <w:gridSpan w:val="2"/>
            <w:shd w:val="clear" w:color="auto" w:fill="BFE4FF"/>
          </w:tcPr>
          <w:p>
            <w:pPr>
              <w:ind w:left="20"/>
              <w:spacing w:after="0"/>
              <w:rPr>
                <w:rFonts w:ascii="Arial" w:cs="Arial" w:eastAsia="Arial" w:hAnsi="Arial"/>
                <w:sz w:val="11"/>
                <w:szCs w:val="11"/>
                <w:color w:val="auto"/>
              </w:rPr>
            </w:pPr>
            <w:hyperlink w:anchor="page37">
              <w:r>
                <w:rPr>
                  <w:rFonts w:ascii="Arial" w:cs="Arial" w:eastAsia="Arial" w:hAnsi="Arial"/>
                  <w:sz w:val="11"/>
                  <w:szCs w:val="11"/>
                  <w:color w:val="auto"/>
                </w:rPr>
                <w:t>U.S.C. Section 1350 as Adopted Pursuant to Section 906 of the Sarbanes-Oxley</w:t>
              </w:r>
            </w:hyperlink>
          </w:p>
        </w:tc>
        <w:tc>
          <w:tcPr>
            <w:tcW w:w="104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4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20" w:type="dxa"/>
            <w:vAlign w:val="bottom"/>
            <w:shd w:val="clear" w:color="auto" w:fill="BFE4FF"/>
          </w:tcPr>
          <w:p>
            <w:pPr>
              <w:jc w:val="center"/>
              <w:spacing w:after="0"/>
              <w:rPr>
                <w:sz w:val="20"/>
                <w:szCs w:val="20"/>
                <w:color w:val="auto"/>
              </w:rPr>
            </w:pPr>
            <w:r>
              <w:rPr>
                <w:rFonts w:ascii="Arial" w:cs="Arial" w:eastAsia="Arial" w:hAnsi="Arial"/>
                <w:sz w:val="11"/>
                <w:szCs w:val="11"/>
                <w:color w:val="auto"/>
                <w:w w:val="81"/>
              </w:rPr>
              <w:t>X</w:t>
            </w:r>
          </w:p>
        </w:tc>
      </w:tr>
      <w:tr>
        <w:trPr>
          <w:trHeight w:val="138"/>
        </w:trPr>
        <w:tc>
          <w:tcPr>
            <w:tcW w:w="7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4360" w:type="dxa"/>
            <w:vAlign w:val="bottom"/>
            <w:gridSpan w:val="2"/>
            <w:shd w:val="clear" w:color="auto" w:fill="BFE4FF"/>
          </w:tcPr>
          <w:p>
            <w:pPr>
              <w:ind w:left="20"/>
              <w:spacing w:after="0"/>
              <w:rPr>
                <w:rFonts w:ascii="Arial" w:cs="Arial" w:eastAsia="Arial" w:hAnsi="Arial"/>
                <w:sz w:val="11"/>
                <w:szCs w:val="11"/>
                <w:color w:val="auto"/>
              </w:rPr>
            </w:pPr>
            <w:hyperlink w:anchor="page37">
              <w:r>
                <w:rPr>
                  <w:rFonts w:ascii="Arial" w:cs="Arial" w:eastAsia="Arial" w:hAnsi="Arial"/>
                  <w:sz w:val="11"/>
                  <w:szCs w:val="11"/>
                  <w:color w:val="auto"/>
                </w:rPr>
                <w:t>Act of 2002.</w:t>
              </w:r>
            </w:hyperlink>
          </w:p>
        </w:tc>
        <w:tc>
          <w:tcPr>
            <w:tcW w:w="104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4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r>
      <w:tr>
        <w:trPr>
          <w:trHeight w:val="95"/>
        </w:trPr>
        <w:tc>
          <w:tcPr>
            <w:tcW w:w="7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42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6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r>
      <w:tr>
        <w:trPr>
          <w:trHeight w:val="155"/>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XBRL Instance Document - the instance document does not appear in the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29"/>
        </w:trPr>
        <w:tc>
          <w:tcPr>
            <w:tcW w:w="940" w:type="dxa"/>
            <w:vAlign w:val="bottom"/>
            <w:gridSpan w:val="3"/>
          </w:tcPr>
          <w:p>
            <w:pPr>
              <w:jc w:val="center"/>
              <w:ind w:right="120"/>
              <w:spacing w:after="0"/>
              <w:rPr>
                <w:sz w:val="20"/>
                <w:szCs w:val="20"/>
                <w:color w:val="auto"/>
              </w:rPr>
            </w:pPr>
            <w:r>
              <w:rPr>
                <w:rFonts w:ascii="Arial" w:cs="Arial" w:eastAsia="Arial" w:hAnsi="Arial"/>
                <w:sz w:val="11"/>
                <w:szCs w:val="11"/>
                <w:color w:val="auto"/>
              </w:rPr>
              <w:t>101.INS</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Interactive Data File because its XBRL tags are embedded within the Inline XBRL</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3"/>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document.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4"/>
        </w:trPr>
        <w:tc>
          <w:tcPr>
            <w:tcW w:w="940" w:type="dxa"/>
            <w:vAlign w:val="bottom"/>
            <w:gridSpan w:val="3"/>
            <w:shd w:val="clear" w:color="auto" w:fill="BFE4FF"/>
          </w:tcPr>
          <w:p>
            <w:pPr>
              <w:jc w:val="center"/>
              <w:ind w:right="120"/>
              <w:spacing w:after="0"/>
              <w:rPr>
                <w:sz w:val="20"/>
                <w:szCs w:val="20"/>
                <w:color w:val="auto"/>
              </w:rPr>
            </w:pPr>
            <w:r>
              <w:rPr>
                <w:rFonts w:ascii="Arial" w:cs="Arial" w:eastAsia="Arial" w:hAnsi="Arial"/>
                <w:sz w:val="11"/>
                <w:szCs w:val="11"/>
                <w:color w:val="auto"/>
              </w:rPr>
              <w:t>101.SCH</w:t>
            </w:r>
          </w:p>
        </w:tc>
        <w:tc>
          <w:tcPr>
            <w:tcW w:w="4360" w:type="dxa"/>
            <w:vAlign w:val="bottom"/>
            <w:gridSpan w:val="2"/>
            <w:shd w:val="clear" w:color="auto" w:fill="BFE4FF"/>
          </w:tcPr>
          <w:p>
            <w:pPr>
              <w:ind w:left="20"/>
              <w:spacing w:after="0"/>
              <w:rPr>
                <w:sz w:val="20"/>
                <w:szCs w:val="20"/>
                <w:color w:val="auto"/>
              </w:rPr>
            </w:pPr>
            <w:r>
              <w:rPr>
                <w:rFonts w:ascii="Arial" w:cs="Arial" w:eastAsia="Arial" w:hAnsi="Arial"/>
                <w:sz w:val="11"/>
                <w:szCs w:val="11"/>
                <w:color w:val="auto"/>
              </w:rPr>
              <w:t>XBRL Taxonomy Extension Schema Document.</w:t>
            </w:r>
          </w:p>
        </w:tc>
        <w:tc>
          <w:tcPr>
            <w:tcW w:w="10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16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10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4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20" w:type="dxa"/>
            <w:vAlign w:val="bottom"/>
            <w:shd w:val="clear" w:color="auto" w:fill="BFE4FF"/>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42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6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r>
      <w:tr>
        <w:trPr>
          <w:trHeight w:val="250"/>
        </w:trPr>
        <w:tc>
          <w:tcPr>
            <w:tcW w:w="940" w:type="dxa"/>
            <w:vAlign w:val="bottom"/>
            <w:gridSpan w:val="3"/>
          </w:tcPr>
          <w:p>
            <w:pPr>
              <w:jc w:val="center"/>
              <w:ind w:right="120"/>
              <w:spacing w:after="0"/>
              <w:rPr>
                <w:sz w:val="20"/>
                <w:szCs w:val="20"/>
                <w:color w:val="auto"/>
              </w:rPr>
            </w:pPr>
            <w:r>
              <w:rPr>
                <w:rFonts w:ascii="Arial" w:cs="Arial" w:eastAsia="Arial" w:hAnsi="Arial"/>
                <w:sz w:val="11"/>
                <w:szCs w:val="11"/>
                <w:color w:val="auto"/>
              </w:rPr>
              <w:t>101.CAL</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XBRL Taxonomy Extension Calculation Linkbase Document.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50"/>
        </w:trPr>
        <w:tc>
          <w:tcPr>
            <w:tcW w:w="940" w:type="dxa"/>
            <w:vAlign w:val="bottom"/>
            <w:gridSpan w:val="3"/>
            <w:shd w:val="clear" w:color="auto" w:fill="BFE4FF"/>
          </w:tcPr>
          <w:p>
            <w:pPr>
              <w:jc w:val="center"/>
              <w:ind w:right="120"/>
              <w:spacing w:after="0"/>
              <w:rPr>
                <w:sz w:val="20"/>
                <w:szCs w:val="20"/>
                <w:color w:val="auto"/>
              </w:rPr>
            </w:pPr>
            <w:r>
              <w:rPr>
                <w:rFonts w:ascii="Arial" w:cs="Arial" w:eastAsia="Arial" w:hAnsi="Arial"/>
                <w:sz w:val="11"/>
                <w:szCs w:val="11"/>
                <w:color w:val="auto"/>
              </w:rPr>
              <w:t>101.DEF</w:t>
            </w:r>
          </w:p>
        </w:tc>
        <w:tc>
          <w:tcPr>
            <w:tcW w:w="4360" w:type="dxa"/>
            <w:vAlign w:val="bottom"/>
            <w:gridSpan w:val="2"/>
            <w:shd w:val="clear" w:color="auto" w:fill="BFE4FF"/>
          </w:tcPr>
          <w:p>
            <w:pPr>
              <w:ind w:left="20"/>
              <w:spacing w:after="0"/>
              <w:rPr>
                <w:sz w:val="20"/>
                <w:szCs w:val="20"/>
                <w:color w:val="auto"/>
              </w:rPr>
            </w:pPr>
            <w:r>
              <w:rPr>
                <w:rFonts w:ascii="Arial" w:cs="Arial" w:eastAsia="Arial" w:hAnsi="Arial"/>
                <w:sz w:val="11"/>
                <w:szCs w:val="11"/>
                <w:color w:val="auto"/>
              </w:rPr>
              <w:t>XBRL Taxonomy Extension Definition Linkbase Document.</w:t>
            </w:r>
          </w:p>
        </w:tc>
        <w:tc>
          <w:tcPr>
            <w:tcW w:w="104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16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10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104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1020" w:type="dxa"/>
            <w:vAlign w:val="bottom"/>
            <w:shd w:val="clear" w:color="auto" w:fill="BFE4FF"/>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42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6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r>
      <w:tr>
        <w:trPr>
          <w:trHeight w:val="250"/>
        </w:trPr>
        <w:tc>
          <w:tcPr>
            <w:tcW w:w="940" w:type="dxa"/>
            <w:vAlign w:val="bottom"/>
            <w:gridSpan w:val="3"/>
          </w:tcPr>
          <w:p>
            <w:pPr>
              <w:jc w:val="center"/>
              <w:ind w:right="100"/>
              <w:spacing w:after="0"/>
              <w:rPr>
                <w:sz w:val="20"/>
                <w:szCs w:val="20"/>
                <w:color w:val="auto"/>
              </w:rPr>
            </w:pPr>
            <w:r>
              <w:rPr>
                <w:rFonts w:ascii="Arial" w:cs="Arial" w:eastAsia="Arial" w:hAnsi="Arial"/>
                <w:sz w:val="11"/>
                <w:szCs w:val="11"/>
                <w:color w:val="auto"/>
              </w:rPr>
              <w:t>101.LAB</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XBRL Taxonomy Extension Label Linkbase Document.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50"/>
        </w:trPr>
        <w:tc>
          <w:tcPr>
            <w:tcW w:w="940" w:type="dxa"/>
            <w:vAlign w:val="bottom"/>
            <w:gridSpan w:val="3"/>
            <w:shd w:val="clear" w:color="auto" w:fill="BFE4FF"/>
          </w:tcPr>
          <w:p>
            <w:pPr>
              <w:jc w:val="center"/>
              <w:ind w:right="120"/>
              <w:spacing w:after="0"/>
              <w:rPr>
                <w:sz w:val="20"/>
                <w:szCs w:val="20"/>
                <w:color w:val="auto"/>
              </w:rPr>
            </w:pPr>
            <w:r>
              <w:rPr>
                <w:rFonts w:ascii="Arial" w:cs="Arial" w:eastAsia="Arial" w:hAnsi="Arial"/>
                <w:sz w:val="11"/>
                <w:szCs w:val="11"/>
                <w:color w:val="auto"/>
              </w:rPr>
              <w:t>101.PRE</w:t>
            </w:r>
          </w:p>
        </w:tc>
        <w:tc>
          <w:tcPr>
            <w:tcW w:w="4360" w:type="dxa"/>
            <w:vAlign w:val="bottom"/>
            <w:gridSpan w:val="2"/>
            <w:shd w:val="clear" w:color="auto" w:fill="BFE4FF"/>
          </w:tcPr>
          <w:p>
            <w:pPr>
              <w:ind w:left="20"/>
              <w:spacing w:after="0"/>
              <w:rPr>
                <w:sz w:val="20"/>
                <w:szCs w:val="20"/>
                <w:color w:val="auto"/>
              </w:rPr>
            </w:pPr>
            <w:r>
              <w:rPr>
                <w:rFonts w:ascii="Arial" w:cs="Arial" w:eastAsia="Arial" w:hAnsi="Arial"/>
                <w:sz w:val="11"/>
                <w:szCs w:val="11"/>
                <w:color w:val="auto"/>
              </w:rPr>
              <w:t>XBRL Taxonomy Extension Presentation Document.</w:t>
            </w:r>
          </w:p>
        </w:tc>
        <w:tc>
          <w:tcPr>
            <w:tcW w:w="104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16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10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104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1020" w:type="dxa"/>
            <w:vAlign w:val="bottom"/>
            <w:shd w:val="clear" w:color="auto" w:fill="BFE4FF"/>
          </w:tcPr>
          <w:p>
            <w:pPr>
              <w:jc w:val="center"/>
              <w:spacing w:after="0"/>
              <w:rPr>
                <w:sz w:val="20"/>
                <w:szCs w:val="20"/>
                <w:color w:val="auto"/>
              </w:rPr>
            </w:pPr>
            <w:r>
              <w:rPr>
                <w:rFonts w:ascii="Arial" w:cs="Arial" w:eastAsia="Arial" w:hAnsi="Arial"/>
                <w:sz w:val="11"/>
                <w:szCs w:val="11"/>
                <w:color w:val="auto"/>
                <w:w w:val="81"/>
              </w:rPr>
              <w:t>X</w:t>
            </w:r>
          </w:p>
        </w:tc>
      </w:tr>
      <w:tr>
        <w:trPr>
          <w:trHeight w:val="95"/>
        </w:trPr>
        <w:tc>
          <w:tcPr>
            <w:tcW w:w="7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42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600" w:type="dxa"/>
            <w:vAlign w:val="bottom"/>
            <w:shd w:val="clear" w:color="auto" w:fill="BFE4FF"/>
          </w:tcPr>
          <w:p>
            <w:pPr>
              <w:spacing w:after="0"/>
              <w:rPr>
                <w:sz w:val="8"/>
                <w:szCs w:val="8"/>
                <w:color w:val="auto"/>
              </w:rPr>
            </w:pPr>
          </w:p>
        </w:tc>
        <w:tc>
          <w:tcPr>
            <w:tcW w:w="12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020" w:type="dxa"/>
            <w:vAlign w:val="bottom"/>
            <w:shd w:val="clear" w:color="auto" w:fill="BFE4FF"/>
          </w:tcPr>
          <w:p>
            <w:pPr>
              <w:spacing w:after="0"/>
              <w:rPr>
                <w:sz w:val="8"/>
                <w:szCs w:val="8"/>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96" w:lineRule="exact"/>
        <w:rPr>
          <w:sz w:val="20"/>
          <w:szCs w:val="20"/>
          <w:color w:val="auto"/>
        </w:rPr>
      </w:pPr>
    </w:p>
    <w:p>
      <w:pPr>
        <w:ind w:left="260" w:right="500" w:hanging="254"/>
        <w:spacing w:after="0" w:line="273"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397510</wp:posOffset>
            </wp:positionV>
            <wp:extent cx="708977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29</w:t>
      </w:r>
    </w:p>
    <w:p>
      <w:pPr>
        <w:sectPr>
          <w:pgSz w:w="11900" w:h="16838" w:orient="portrait"/>
          <w:cols w:equalWidth="0" w:num="1">
            <w:col w:w="11460"/>
          </w:cols>
          <w:pgMar w:left="220" w:top="254" w:right="219" w:bottom="1440" w:gutter="0" w:footer="0" w:header="0"/>
        </w:sectPr>
      </w:pPr>
    </w:p>
    <w:bookmarkStart w:id="31" w:name="page32"/>
    <w:bookmarkEnd w:id="31"/>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SIGNATURE</w:t>
      </w:r>
    </w:p>
    <w:p>
      <w:pPr>
        <w:spacing w:after="0" w:line="202" w:lineRule="exact"/>
        <w:rPr>
          <w:sz w:val="20"/>
          <w:szCs w:val="20"/>
          <w:color w:val="auto"/>
        </w:rPr>
      </w:pPr>
    </w:p>
    <w:p>
      <w:pPr>
        <w:ind w:firstLine="388"/>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Dated: April 30, 2019</w:t>
      </w:r>
    </w:p>
    <w:p>
      <w:pPr>
        <w:spacing w:after="0" w:line="295"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ENPHASE ENERGY, INC.</w:t>
      </w:r>
    </w:p>
    <w:p>
      <w:pPr>
        <w:spacing w:after="0" w:line="170" w:lineRule="exact"/>
        <w:rPr>
          <w:sz w:val="20"/>
          <w:szCs w:val="20"/>
          <w:color w:val="auto"/>
        </w:rPr>
      </w:pPr>
    </w:p>
    <w:p>
      <w:pPr>
        <w:ind w:left="4960"/>
        <w:spacing w:after="0"/>
        <w:tabs>
          <w:tab w:leader="none" w:pos="5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21590</wp:posOffset>
            </wp:positionV>
            <wp:extent cx="297688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976880" cy="6985"/>
                    </a:xfrm>
                    <a:prstGeom prst="rect">
                      <a:avLst/>
                    </a:prstGeom>
                    <a:noFill/>
                  </pic:spPr>
                </pic:pic>
              </a:graphicData>
            </a:graphic>
          </wp:anchor>
        </w:drawing>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Eric Branderiz</w:t>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Vice President and Chief Financial Officer</w:t>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260985</wp:posOffset>
            </wp:positionV>
            <wp:extent cx="708977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089775" cy="698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9"/>
          <w:szCs w:val="9"/>
          <w:color w:val="828282"/>
        </w:rPr>
        <w:t xml:space="preserve">Enphase Energy, Inc. | Q1 2019 Form 10-Q | </w:t>
      </w:r>
      <w:r>
        <w:rPr>
          <w:rFonts w:ascii="Arial" w:cs="Arial" w:eastAsia="Arial" w:hAnsi="Arial"/>
          <w:sz w:val="9"/>
          <w:szCs w:val="9"/>
          <w:b w:val="1"/>
          <w:bCs w:val="1"/>
          <w:color w:val="828282"/>
        </w:rPr>
        <w:t>30</w:t>
      </w:r>
    </w:p>
    <w:p>
      <w:pPr>
        <w:sectPr>
          <w:pgSz w:w="11900" w:h="16838" w:orient="portrait"/>
          <w:cols w:equalWidth="0" w:num="1">
            <w:col w:w="11120"/>
          </w:cols>
          <w:pgMar w:left="220" w:top="254" w:right="559" w:bottom="1440"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t>Exhibit 31.1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 Badrinarayanan Kothandaraman, certify that:</w:t>
      </w:r>
    </w:p>
    <w:p>
      <w:pPr>
        <w:spacing w:after="0" w:line="162" w:lineRule="exact"/>
        <w:rPr>
          <w:sz w:val="20"/>
          <w:szCs w:val="20"/>
          <w:color w:val="auto"/>
        </w:rPr>
      </w:pPr>
    </w:p>
    <w:p>
      <w:pPr>
        <w:ind w:left="260" w:hanging="254"/>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Form 10-Q of Enphase Energy, Inc.;</w:t>
      </w:r>
    </w:p>
    <w:p>
      <w:pPr>
        <w:spacing w:after="0" w:line="162" w:lineRule="exact"/>
        <w:rPr>
          <w:rFonts w:ascii="Arial" w:cs="Arial" w:eastAsia="Arial" w:hAnsi="Arial"/>
          <w:sz w:val="14"/>
          <w:szCs w:val="14"/>
          <w:color w:val="auto"/>
        </w:rPr>
      </w:pPr>
    </w:p>
    <w:p>
      <w:pPr>
        <w:ind w:left="260" w:right="12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4"/>
          <w:szCs w:val="14"/>
          <w:color w:val="auto"/>
        </w:rPr>
      </w:pPr>
    </w:p>
    <w:p>
      <w:pPr>
        <w:ind w:left="260" w:right="18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4"/>
          <w:szCs w:val="14"/>
          <w:color w:val="auto"/>
        </w:rPr>
      </w:pPr>
    </w:p>
    <w:p>
      <w:pPr>
        <w:ind w:left="260" w:right="2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ind w:left="920" w:right="40" w:hanging="267"/>
        <w:spacing w:after="0" w:line="265"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left="920" w:right="320" w:hanging="267"/>
        <w:spacing w:after="0" w:line="265"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left="920" w:right="660" w:hanging="267"/>
        <w:spacing w:after="0" w:line="273"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4"/>
          <w:szCs w:val="14"/>
          <w:color w:val="auto"/>
        </w:rPr>
      </w:pPr>
    </w:p>
    <w:p>
      <w:pPr>
        <w:ind w:left="920" w:right="140" w:hanging="267"/>
        <w:spacing w:after="0" w:line="265"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4"/>
          <w:szCs w:val="14"/>
          <w:color w:val="auto"/>
        </w:rPr>
      </w:pPr>
    </w:p>
    <w:p>
      <w:pPr>
        <w:ind w:left="260" w:right="240" w:hanging="254"/>
        <w:spacing w:after="0" w:line="273"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left="920" w:hanging="267"/>
        <w:spacing w:after="0" w:line="273"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4"/>
          <w:szCs w:val="14"/>
          <w:color w:val="auto"/>
        </w:rPr>
      </w:pPr>
    </w:p>
    <w:p>
      <w:pPr>
        <w:ind w:left="920" w:right="620" w:hanging="267"/>
        <w:spacing w:after="0" w:line="273"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Date: April 30, 2019</w:t>
      </w: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347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Badrinarayanan Kothandaraman</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President and Chief Executive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460"/>
          </w:cols>
          <w:pgMar w:left="220" w:top="767"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31.2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 Eric Branderiz, certify that:</w:t>
      </w:r>
    </w:p>
    <w:p>
      <w:pPr>
        <w:spacing w:after="0" w:line="162" w:lineRule="exact"/>
        <w:rPr>
          <w:sz w:val="20"/>
          <w:szCs w:val="20"/>
          <w:color w:val="auto"/>
        </w:rPr>
      </w:pPr>
    </w:p>
    <w:p>
      <w:pPr>
        <w:ind w:left="260" w:hanging="254"/>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Form 10-Q of Enphase Energy, Inc.;</w:t>
      </w:r>
    </w:p>
    <w:p>
      <w:pPr>
        <w:spacing w:after="0" w:line="162" w:lineRule="exact"/>
        <w:rPr>
          <w:rFonts w:ascii="Arial" w:cs="Arial" w:eastAsia="Arial" w:hAnsi="Arial"/>
          <w:sz w:val="14"/>
          <w:szCs w:val="14"/>
          <w:color w:val="auto"/>
        </w:rPr>
      </w:pPr>
    </w:p>
    <w:p>
      <w:pPr>
        <w:ind w:left="260" w:right="120" w:hanging="254"/>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4"/>
          <w:szCs w:val="14"/>
          <w:color w:val="auto"/>
        </w:rPr>
      </w:pPr>
    </w:p>
    <w:p>
      <w:pPr>
        <w:ind w:left="260" w:right="180" w:hanging="254"/>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4"/>
          <w:szCs w:val="14"/>
          <w:color w:val="auto"/>
        </w:rPr>
      </w:pPr>
    </w:p>
    <w:p>
      <w:pPr>
        <w:ind w:left="260" w:right="20" w:hanging="254"/>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ind w:left="920" w:right="40" w:hanging="267"/>
        <w:spacing w:after="0" w:line="265"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left="920" w:right="320" w:hanging="267"/>
        <w:spacing w:after="0" w:line="265"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left="920" w:right="660" w:hanging="267"/>
        <w:spacing w:after="0" w:line="273"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4"/>
          <w:szCs w:val="14"/>
          <w:color w:val="auto"/>
        </w:rPr>
      </w:pPr>
    </w:p>
    <w:p>
      <w:pPr>
        <w:ind w:left="920" w:right="140" w:hanging="267"/>
        <w:spacing w:after="0" w:line="265"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4"/>
          <w:szCs w:val="14"/>
          <w:color w:val="auto"/>
        </w:rPr>
      </w:pPr>
    </w:p>
    <w:p>
      <w:pPr>
        <w:ind w:left="260" w:right="240" w:hanging="254"/>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left="920" w:hanging="267"/>
        <w:spacing w:after="0" w:line="273"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4"/>
          <w:szCs w:val="14"/>
          <w:color w:val="auto"/>
        </w:rPr>
      </w:pPr>
    </w:p>
    <w:p>
      <w:pPr>
        <w:ind w:left="920" w:right="620" w:hanging="267"/>
        <w:spacing w:after="0" w:line="273"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Date: April 30, 2019</w:t>
      </w: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347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Eric Branderiz</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Vice President and Chief Financial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460"/>
          </w:cols>
          <w:pgMar w:left="220" w:top="767" w:right="21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32.1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9"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Vice President and Chief Financial Officer of the Company, each hereby certifies that, to the best of his or her knowledge:</w:t>
      </w:r>
    </w:p>
    <w:p>
      <w:pPr>
        <w:spacing w:after="0" w:line="135" w:lineRule="exact"/>
        <w:rPr>
          <w:sz w:val="20"/>
          <w:szCs w:val="20"/>
          <w:color w:val="auto"/>
        </w:rPr>
      </w:pPr>
    </w:p>
    <w:p>
      <w:pPr>
        <w:ind w:right="100" w:firstLine="6"/>
        <w:spacing w:after="0" w:line="273" w:lineRule="auto"/>
        <w:tabs>
          <w:tab w:leader="none" w:pos="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 ended March 31, 2019, to which this Certification is attached as Exhibit 32.1 (the “Periodic Report”), fully complies with the requirements of Section 13(a) or Section 15(d) of the Exchange Act; and</w:t>
      </w:r>
    </w:p>
    <w:p>
      <w:pPr>
        <w:spacing w:after="0" w:line="129" w:lineRule="exact"/>
        <w:rPr>
          <w:rFonts w:ascii="Arial" w:cs="Arial" w:eastAsia="Arial" w:hAnsi="Arial"/>
          <w:sz w:val="14"/>
          <w:szCs w:val="14"/>
          <w:color w:val="auto"/>
        </w:rPr>
      </w:pPr>
    </w:p>
    <w:p>
      <w:pPr>
        <w:ind w:left="160" w:hanging="154"/>
        <w:spacing w:after="0"/>
        <w:tabs>
          <w:tab w:leader="none" w:pos="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undersigned have set their hands hereto as of the 30th day of April, 2019.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/s/ BADRINARAYANAN KOTHANDARAMAN</w:t>
            </w:r>
          </w:p>
        </w:tc>
        <w:tc>
          <w:tcPr>
            <w:tcW w:w="5720" w:type="dxa"/>
            <w:vAlign w:val="bottom"/>
          </w:tcPr>
          <w:p>
            <w:pPr>
              <w:ind w:left="20"/>
              <w:spacing w:after="0"/>
              <w:rPr>
                <w:sz w:val="20"/>
                <w:szCs w:val="20"/>
                <w:color w:val="auto"/>
              </w:rPr>
            </w:pPr>
            <w:r>
              <w:rPr>
                <w:rFonts w:ascii="Arial" w:cs="Arial" w:eastAsia="Arial" w:hAnsi="Arial"/>
                <w:sz w:val="14"/>
                <w:szCs w:val="14"/>
                <w:color w:val="auto"/>
              </w:rPr>
              <w:t>/s/ ERIC BRANDERIZ</w:t>
            </w:r>
          </w:p>
        </w:tc>
      </w:tr>
      <w:tr>
        <w:trPr>
          <w:trHeight w:val="23"/>
        </w:trPr>
        <w:tc>
          <w:tcPr>
            <w:tcW w:w="5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r>
      <w:tr>
        <w:trPr>
          <w:trHeight w:val="184"/>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Badrinarayanan Kothandaraman</w:t>
            </w:r>
          </w:p>
        </w:tc>
        <w:tc>
          <w:tcPr>
            <w:tcW w:w="5720" w:type="dxa"/>
            <w:vAlign w:val="bottom"/>
          </w:tcPr>
          <w:p>
            <w:pPr>
              <w:ind w:left="20"/>
              <w:spacing w:after="0"/>
              <w:rPr>
                <w:sz w:val="20"/>
                <w:szCs w:val="20"/>
                <w:color w:val="auto"/>
              </w:rPr>
            </w:pPr>
            <w:r>
              <w:rPr>
                <w:rFonts w:ascii="Arial" w:cs="Arial" w:eastAsia="Arial" w:hAnsi="Arial"/>
                <w:sz w:val="14"/>
                <w:szCs w:val="14"/>
                <w:color w:val="auto"/>
              </w:rPr>
              <w:t>Eric Branderiz</w:t>
            </w: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w:t>
            </w:r>
          </w:p>
        </w:tc>
        <w:tc>
          <w:tcPr>
            <w:tcW w:w="5720" w:type="dxa"/>
            <w:vAlign w:val="bottom"/>
          </w:tcPr>
          <w:p>
            <w:pPr>
              <w:ind w:left="20"/>
              <w:spacing w:after="0"/>
              <w:rPr>
                <w:sz w:val="20"/>
                <w:szCs w:val="20"/>
                <w:color w:val="auto"/>
              </w:rPr>
            </w:pPr>
            <w:r>
              <w:rPr>
                <w:rFonts w:ascii="Arial" w:cs="Arial" w:eastAsia="Arial" w:hAnsi="Arial"/>
                <w:sz w:val="14"/>
                <w:szCs w:val="14"/>
                <w:color w:val="auto"/>
              </w:rPr>
              <w:t>Vice President and Chief Financial Officer</w:t>
            </w:r>
          </w:p>
        </w:tc>
      </w:tr>
    </w:tbl>
    <w:p>
      <w:pPr>
        <w:spacing w:after="0" w:line="7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60"/>
      </w:cols>
      <w:pgMar w:left="220" w:top="76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169"/>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2"/>
    </w:lvl>
  </w:abstractNum>
  <w:abstractNum w:abstractNumId="26">
    <w:nsid w:val="3A95F874"/>
    <w:multiLevelType w:val="hybridMultilevel"/>
    <w:lvl w:ilvl="0">
      <w:lvlJc w:val="left"/>
      <w:lvlText w:val="%1."/>
      <w:numFmt w:val="decimal"/>
      <w:start w:val="13"/>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88" Type="http://schemas.openxmlformats.org/officeDocument/2006/relationships/hyperlink" Target="http://www.sec.gov/Archives/edgar/data/1463101/000146310119000003/a2019q1ex101bonusprogr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2019-12-28T13:39:49Z</dcterms:created>
  <dcterms:modified xsi:type="dcterms:W3CDTF">2019-12-28T13:39:49Z</dcterms:modified>
</cp:coreProperties>
</file>