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3540"/>
        <w:spacing w:after="0"/>
        <w:rPr>
          <w:sz w:val="20"/>
          <w:szCs w:val="20"/>
          <w:color w:val="auto"/>
        </w:rPr>
      </w:pPr>
      <w:r>
        <w:rPr>
          <w:rFonts w:ascii="Arial" w:cs="Arial" w:eastAsia="Arial" w:hAnsi="Arial"/>
          <w:sz w:val="18"/>
          <w:szCs w:val="18"/>
          <w:color w:val="auto"/>
        </w:rPr>
        <w:t>____________________________________________</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6"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____________________________________________</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6" w:lineRule="exact"/>
        <w:rPr>
          <w:sz w:val="24"/>
          <w:szCs w:val="24"/>
          <w:color w:val="auto"/>
        </w:rPr>
      </w:pPr>
    </w:p>
    <w:p>
      <w:pPr>
        <w:ind w:left="720" w:right="80" w:hanging="685"/>
        <w:spacing w:after="0" w:line="25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8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2"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Commission File Number: 001-35480</w:t>
            </w:r>
          </w:p>
        </w:tc>
        <w:tc>
          <w:tcPr>
            <w:tcW w:w="1260" w:type="dxa"/>
            <w:vAlign w:val="bottom"/>
          </w:tcPr>
          <w:p>
            <w:pPr>
              <w:spacing w:after="0"/>
              <w:rPr>
                <w:sz w:val="20"/>
                <w:szCs w:val="20"/>
                <w:color w:val="auto"/>
              </w:rPr>
            </w:pPr>
          </w:p>
        </w:tc>
      </w:tr>
      <w:tr>
        <w:trPr>
          <w:trHeight w:val="130"/>
        </w:trPr>
        <w:tc>
          <w:tcPr>
            <w:tcW w:w="6580" w:type="dxa"/>
            <w:vAlign w:val="bottom"/>
          </w:tcPr>
          <w:p>
            <w:pPr>
              <w:jc w:val="center"/>
              <w:ind w:left="2010"/>
              <w:spacing w:after="0" w:line="131" w:lineRule="exact"/>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1"/>
                <w:szCs w:val="11"/>
                <w:color w:val="auto"/>
              </w:rPr>
            </w:pPr>
          </w:p>
        </w:tc>
      </w:tr>
      <w:tr>
        <w:trPr>
          <w:trHeight w:val="575"/>
        </w:trPr>
        <w:tc>
          <w:tcPr>
            <w:tcW w:w="6580" w:type="dxa"/>
            <w:vAlign w:val="bottom"/>
          </w:tcPr>
          <w:p>
            <w:pPr>
              <w:ind w:left="2160"/>
              <w:spacing w:after="0"/>
              <w:rPr>
                <w:sz w:val="20"/>
                <w:szCs w:val="20"/>
                <w:color w:val="auto"/>
              </w:rPr>
            </w:pPr>
            <w:r>
              <w:rPr>
                <w:rFonts w:ascii="Arial" w:cs="Arial" w:eastAsia="Arial" w:hAnsi="Arial"/>
                <w:sz w:val="43"/>
                <w:szCs w:val="43"/>
                <w:b w:val="1"/>
                <w:bCs w:val="1"/>
                <w:color w:val="auto"/>
              </w:rPr>
              <w:t>Enphase Energy, Inc.</w:t>
            </w:r>
          </w:p>
        </w:tc>
        <w:tc>
          <w:tcPr>
            <w:tcW w:w="1260" w:type="dxa"/>
            <w:vAlign w:val="bottom"/>
          </w:tcPr>
          <w:p>
            <w:pPr>
              <w:spacing w:after="0"/>
              <w:rPr>
                <w:sz w:val="24"/>
                <w:szCs w:val="24"/>
                <w:color w:val="auto"/>
              </w:rPr>
            </w:pPr>
          </w:p>
        </w:tc>
      </w:tr>
      <w:tr>
        <w:trPr>
          <w:trHeight w:val="280"/>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c>
          <w:tcPr>
            <w:tcW w:w="1260" w:type="dxa"/>
            <w:vAlign w:val="bottom"/>
          </w:tcPr>
          <w:p>
            <w:pPr>
              <w:spacing w:after="0"/>
              <w:rPr>
                <w:sz w:val="24"/>
                <w:szCs w:val="24"/>
                <w:color w:val="auto"/>
              </w:rPr>
            </w:pPr>
          </w:p>
        </w:tc>
      </w:tr>
      <w:tr>
        <w:trPr>
          <w:trHeight w:val="172"/>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4"/>
                <w:szCs w:val="14"/>
                <w:color w:val="auto"/>
              </w:rPr>
            </w:pPr>
          </w:p>
        </w:tc>
      </w:tr>
      <w:tr>
        <w:trPr>
          <w:trHeight w:val="323"/>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20-4645388</w:t>
            </w:r>
          </w:p>
        </w:tc>
      </w:tr>
      <w:tr>
        <w:trPr>
          <w:trHeight w:val="162"/>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(State or other jurisdiction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incorporation or organization)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340"/>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1420 N. McDowell Blvd.</w:t>
            </w:r>
          </w:p>
        </w:tc>
        <w:tc>
          <w:tcPr>
            <w:tcW w:w="1260" w:type="dxa"/>
            <w:vAlign w:val="bottom"/>
          </w:tcPr>
          <w:p>
            <w:pPr>
              <w:spacing w:after="0"/>
              <w:rPr>
                <w:sz w:val="24"/>
                <w:szCs w:val="24"/>
                <w:color w:val="auto"/>
              </w:rPr>
            </w:pPr>
          </w:p>
        </w:tc>
      </w:tr>
      <w:tr>
        <w:trPr>
          <w:trHeight w:val="239"/>
        </w:trPr>
        <w:tc>
          <w:tcPr>
            <w:tcW w:w="6580" w:type="dxa"/>
            <w:vAlign w:val="bottom"/>
          </w:tcPr>
          <w:p>
            <w:pPr>
              <w:jc w:val="center"/>
              <w:ind w:right="3790"/>
              <w:spacing w:after="0"/>
              <w:rPr>
                <w:sz w:val="20"/>
                <w:szCs w:val="20"/>
                <w:color w:val="auto"/>
              </w:rPr>
            </w:pPr>
            <w:r>
              <w:rPr>
                <w:rFonts w:ascii="Arial" w:cs="Arial" w:eastAsia="Arial" w:hAnsi="Arial"/>
                <w:sz w:val="18"/>
                <w:szCs w:val="18"/>
                <w:b w:val="1"/>
                <w:bCs w:val="1"/>
                <w:color w:val="auto"/>
              </w:rPr>
              <w:t>Petaluma, California</w:t>
            </w:r>
          </w:p>
        </w:tc>
        <w:tc>
          <w:tcPr>
            <w:tcW w:w="1260" w:type="dxa"/>
            <w:vAlign w:val="bottom"/>
          </w:tcPr>
          <w:p>
            <w:pPr>
              <w:jc w:val="right"/>
              <w:ind w:right="281"/>
              <w:spacing w:after="0"/>
              <w:rPr>
                <w:sz w:val="20"/>
                <w:szCs w:val="20"/>
                <w:color w:val="auto"/>
              </w:rPr>
            </w:pPr>
            <w:r>
              <w:rPr>
                <w:rFonts w:ascii="Arial" w:cs="Arial" w:eastAsia="Arial" w:hAnsi="Arial"/>
                <w:sz w:val="18"/>
                <w:szCs w:val="18"/>
                <w:b w:val="1"/>
                <w:bCs w:val="1"/>
                <w:color w:val="auto"/>
              </w:rPr>
              <w:t>94954</w:t>
            </w:r>
          </w:p>
        </w:tc>
      </w:tr>
      <w:tr>
        <w:trPr>
          <w:trHeight w:val="218"/>
        </w:trPr>
        <w:tc>
          <w:tcPr>
            <w:tcW w:w="6580" w:type="dxa"/>
            <w:vAlign w:val="bottom"/>
          </w:tcPr>
          <w:p>
            <w:pPr>
              <w:jc w:val="center"/>
              <w:ind w:right="3790"/>
              <w:spacing w:after="0"/>
              <w:rPr>
                <w:sz w:val="20"/>
                <w:szCs w:val="20"/>
                <w:color w:val="auto"/>
              </w:rPr>
            </w:pPr>
            <w:r>
              <w:rPr>
                <w:rFonts w:ascii="Arial" w:cs="Arial" w:eastAsia="Arial" w:hAnsi="Arial"/>
                <w:sz w:val="14"/>
                <w:szCs w:val="14"/>
                <w:b w:val="1"/>
                <w:bCs w:val="1"/>
                <w:color w:val="auto"/>
              </w:rPr>
              <w:t>(Address of principal executive offices)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(Zip Code)</w:t>
            </w:r>
          </w:p>
        </w:tc>
      </w:tr>
      <w:tr>
        <w:trPr>
          <w:trHeight w:val="350"/>
        </w:trPr>
        <w:tc>
          <w:tcPr>
            <w:tcW w:w="658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(707) 774-7000</w:t>
            </w:r>
          </w:p>
        </w:tc>
        <w:tc>
          <w:tcPr>
            <w:tcW w:w="1260" w:type="dxa"/>
            <w:vAlign w:val="bottom"/>
          </w:tcPr>
          <w:p>
            <w:pPr>
              <w:spacing w:after="0"/>
              <w:rPr>
                <w:sz w:val="24"/>
                <w:szCs w:val="24"/>
                <w:color w:val="auto"/>
              </w:rPr>
            </w:pPr>
          </w:p>
        </w:tc>
      </w:tr>
      <w:tr>
        <w:trPr>
          <w:trHeight w:val="167"/>
        </w:trPr>
        <w:tc>
          <w:tcPr>
            <w:tcW w:w="6580" w:type="dxa"/>
            <w:vAlign w:val="bottom"/>
          </w:tcPr>
          <w:p>
            <w:pPr>
              <w:jc w:val="center"/>
              <w:ind w:left="197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260" w:type="dxa"/>
            <w:vAlign w:val="bottom"/>
          </w:tcPr>
          <w:p>
            <w:pPr>
              <w:spacing w:after="0"/>
              <w:rPr>
                <w:sz w:val="14"/>
                <w:szCs w:val="14"/>
                <w:color w:val="auto"/>
              </w:rPr>
            </w:pPr>
          </w:p>
        </w:tc>
      </w:tr>
      <w:tr>
        <w:trPr>
          <w:trHeight w:val="172"/>
        </w:trPr>
        <w:tc>
          <w:tcPr>
            <w:tcW w:w="6580" w:type="dxa"/>
            <w:vAlign w:val="bottom"/>
          </w:tcPr>
          <w:p>
            <w:pPr>
              <w:jc w:val="center"/>
              <w:ind w:left="2010"/>
              <w:spacing w:after="0"/>
              <w:rPr>
                <w:sz w:val="20"/>
                <w:szCs w:val="20"/>
                <w:color w:val="auto"/>
              </w:rPr>
            </w:pPr>
            <w:r>
              <w:rPr>
                <w:rFonts w:ascii="Arial" w:cs="Arial" w:eastAsia="Arial" w:hAnsi="Arial"/>
                <w:sz w:val="14"/>
                <w:szCs w:val="14"/>
                <w:color w:val="auto"/>
              </w:rPr>
              <w:t>____________________________________________</w:t>
            </w:r>
          </w:p>
        </w:tc>
        <w:tc>
          <w:tcPr>
            <w:tcW w:w="1260" w:type="dxa"/>
            <w:vAlign w:val="bottom"/>
          </w:tcPr>
          <w:p>
            <w:pPr>
              <w:spacing w:after="0"/>
              <w:rPr>
                <w:sz w:val="14"/>
                <w:szCs w:val="14"/>
                <w:color w:val="auto"/>
              </w:rPr>
            </w:pPr>
          </w:p>
        </w:tc>
      </w:tr>
    </w:tbl>
    <w:p>
      <w:pPr>
        <w:spacing w:after="0" w:line="138" w:lineRule="exact"/>
        <w:rPr>
          <w:sz w:val="24"/>
          <w:szCs w:val="24"/>
          <w:color w:val="auto"/>
        </w:rPr>
      </w:pPr>
    </w:p>
    <w:p>
      <w:pPr>
        <w:ind w:right="20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70"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p>
      <w:pPr>
        <w:sectPr>
          <w:pgSz w:w="11900" w:h="16838" w:orient="portrait"/>
          <w:cols w:equalWidth="0" w:num="1">
            <w:col w:w="11340"/>
          </w:cols>
          <w:pgMar w:left="240" w:top="247" w:right="319" w:bottom="1440" w:gutter="0" w:footer="0" w:header="0"/>
        </w:sectPr>
      </w:pPr>
    </w:p>
    <w:p>
      <w:pPr>
        <w:spacing w:after="0" w:line="10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ind w:left="1080"/>
              <w:spacing w:after="0"/>
              <w:rPr>
                <w:sz w:val="20"/>
                <w:szCs w:val="20"/>
                <w:color w:val="auto"/>
              </w:rPr>
            </w:pPr>
            <w:r>
              <w:rPr>
                <w:rFonts w:ascii="Arial" w:cs="Arial" w:eastAsia="Arial" w:hAnsi="Arial"/>
                <w:sz w:val="14"/>
                <w:szCs w:val="14"/>
                <w:color w:val="auto"/>
              </w:rPr>
              <w:t>Accelerated filer</w:t>
            </w:r>
          </w:p>
        </w:tc>
      </w:tr>
      <w:tr>
        <w:trPr>
          <w:trHeight w:val="351"/>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4600" w:type="dxa"/>
            <w:vAlign w:val="bottom"/>
          </w:tcPr>
          <w:p>
            <w:pPr>
              <w:ind w:left="4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800" w:type="dxa"/>
            <w:vAlign w:val="bottom"/>
          </w:tcPr>
          <w:p>
            <w:pPr>
              <w:ind w:left="1080"/>
              <w:spacing w:after="0"/>
              <w:rPr>
                <w:sz w:val="20"/>
                <w:szCs w:val="20"/>
                <w:color w:val="auto"/>
              </w:rPr>
            </w:pPr>
            <w:r>
              <w:rPr>
                <w:rFonts w:ascii="Arial" w:cs="Arial" w:eastAsia="Arial" w:hAnsi="Arial"/>
                <w:sz w:val="14"/>
                <w:szCs w:val="14"/>
                <w:color w:val="auto"/>
              </w:rPr>
              <w:t>Smaller reporting company</w:t>
            </w:r>
          </w:p>
        </w:tc>
      </w:tr>
      <w:tr>
        <w:trPr>
          <w:trHeight w:val="392"/>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6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2800" w:type="dxa"/>
            <w:vAlign w:val="bottom"/>
          </w:tcPr>
          <w:p>
            <w:pPr>
              <w:spacing w:after="0"/>
              <w:rPr>
                <w:sz w:val="24"/>
                <w:szCs w:val="24"/>
                <w:color w:val="auto"/>
              </w:rPr>
            </w:pPr>
          </w:p>
        </w:tc>
      </w:tr>
    </w:tbl>
    <w:p>
      <w:pPr>
        <w:spacing w:after="0" w:line="95"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ind w:right="2660"/>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As of July 26, 2018, there were 96,848,549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52" w:lineRule="exact"/>
        <w:rPr>
          <w:sz w:val="24"/>
          <w:szCs w:val="24"/>
          <w:color w:val="auto"/>
        </w:rPr>
      </w:pPr>
    </w:p>
    <w:p>
      <w:pPr>
        <w:jc w:val="center"/>
        <w:ind w:right="160"/>
        <w:spacing w:after="0"/>
        <w:rPr>
          <w:sz w:val="20"/>
          <w:szCs w:val="20"/>
          <w:color w:val="auto"/>
        </w:rPr>
      </w:pPr>
      <w:r>
        <w:rPr>
          <w:rFonts w:ascii="Arial" w:cs="Arial" w:eastAsia="Arial" w:hAnsi="Arial"/>
          <w:sz w:val="14"/>
          <w:szCs w:val="14"/>
          <w:color w:val="auto"/>
        </w:rPr>
        <w:t>x</w:t>
      </w:r>
    </w:p>
    <w:p>
      <w:pPr>
        <w:sectPr>
          <w:pgSz w:w="11900" w:h="16838" w:orient="portrait"/>
          <w:cols w:equalWidth="0" w:num="2">
            <w:col w:w="10940" w:space="160"/>
            <w:col w:w="240"/>
          </w:cols>
          <w:pgMar w:left="240" w:top="247"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40" w:type="dxa"/>
            <w:vAlign w:val="bottom"/>
            <w:gridSpan w:val="13"/>
          </w:tcPr>
          <w:p>
            <w:pPr>
              <w:jc w:val="center"/>
              <w:ind w:right="2700"/>
              <w:spacing w:after="0" w:line="189"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 FINANCIAL INFORMATION</w:t>
              </w:r>
            </w:hyperlink>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0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2940" w:type="dxa"/>
            <w:vAlign w:val="bottom"/>
            <w:tcBorders>
              <w:top w:val="single" w:sz="8" w:color="0000EE"/>
            </w:tcBorders>
            <w:gridSpan w:val="10"/>
          </w:tcPr>
          <w:p>
            <w:pPr>
              <w:spacing w:after="0"/>
              <w:rPr>
                <w:sz w:val="24"/>
                <w:szCs w:val="24"/>
                <w:color w:val="auto"/>
              </w:rPr>
            </w:pPr>
          </w:p>
        </w:tc>
        <w:tc>
          <w:tcPr>
            <w:tcW w:w="310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9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Loss</w:t>
              </w:r>
            </w:hyperlink>
          </w:p>
        </w:tc>
        <w:tc>
          <w:tcPr>
            <w:tcW w:w="4180" w:type="dxa"/>
            <w:vAlign w:val="bottom"/>
            <w:gridSpan w:val="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100" w:type="dxa"/>
            <w:vAlign w:val="bottom"/>
            <w:gridSpan w:val="22"/>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9100" w:type="dxa"/>
            <w:vAlign w:val="bottom"/>
            <w:gridSpan w:val="22"/>
            <w:vMerge w:val="continue"/>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470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660" w:type="dxa"/>
            <w:vAlign w:val="bottom"/>
            <w:gridSpan w:val="3"/>
            <w:shd w:val="clear" w:color="auto" w:fill="0000EE"/>
          </w:tcPr>
          <w:p>
            <w:pPr>
              <w:spacing w:after="0"/>
              <w:rPr>
                <w:sz w:val="2"/>
                <w:szCs w:val="2"/>
                <w:color w:val="auto"/>
              </w:rPr>
            </w:pPr>
          </w:p>
        </w:tc>
        <w:tc>
          <w:tcPr>
            <w:tcW w:w="1500" w:type="dxa"/>
            <w:vAlign w:val="bottom"/>
            <w:gridSpan w:val="5"/>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21"/>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Management’s Discussion and Analysis of Financial Condition and Results of Operations</w:t>
              </w:r>
            </w:hyperlink>
          </w:p>
        </w:tc>
        <w:tc>
          <w:tcPr>
            <w:tcW w:w="2020" w:type="dxa"/>
            <w:vAlign w:val="bottom"/>
          </w:tcPr>
          <w:p>
            <w:pPr>
              <w:spacing w:after="0"/>
              <w:rPr>
                <w:sz w:val="21"/>
                <w:szCs w:val="21"/>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2020" w:type="dxa"/>
            <w:vAlign w:val="bottom"/>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400" w:type="dxa"/>
            <w:vAlign w:val="bottom"/>
            <w:gridSpan w:val="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358"/>
        </w:trPr>
        <w:tc>
          <w:tcPr>
            <w:tcW w:w="10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1"/>
          </w:tcPr>
          <w:p>
            <w:pPr>
              <w:jc w:val="center"/>
              <w:ind w:right="3240"/>
              <w:spacing w:after="0"/>
              <w:rPr>
                <w:rFonts w:ascii="Arial" w:cs="Arial" w:eastAsia="Arial" w:hAnsi="Arial"/>
                <w:sz w:val="18"/>
                <w:szCs w:val="18"/>
                <w:b w:val="1"/>
                <w:bCs w:val="1"/>
                <w:color w:val="0000EE"/>
                <w:w w:val="98"/>
              </w:rPr>
            </w:pPr>
            <w:hyperlink w:anchor="page32">
              <w:r>
                <w:rPr>
                  <w:rFonts w:ascii="Arial" w:cs="Arial" w:eastAsia="Arial" w:hAnsi="Arial"/>
                  <w:sz w:val="18"/>
                  <w:szCs w:val="18"/>
                  <w:b w:val="1"/>
                  <w:bCs w:val="1"/>
                  <w:color w:val="0000EE"/>
                  <w:w w:val="98"/>
                </w:rPr>
                <w:t>PART II. OTHER INFORMATION</w:t>
              </w:r>
            </w:hyperlink>
          </w:p>
        </w:tc>
        <w:tc>
          <w:tcPr>
            <w:tcW w:w="10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3200" w:type="dxa"/>
            <w:vAlign w:val="bottom"/>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2660" w:type="dxa"/>
            <w:vAlign w:val="bottom"/>
            <w:tcBorders>
              <w:top w:val="single" w:sz="8" w:color="0000EE"/>
            </w:tcBorders>
            <w:gridSpan w:val="8"/>
          </w:tcPr>
          <w:p>
            <w:pPr>
              <w:spacing w:after="0"/>
              <w:rPr>
                <w:sz w:val="24"/>
                <w:szCs w:val="24"/>
                <w:color w:val="auto"/>
              </w:rPr>
            </w:pPr>
          </w:p>
        </w:tc>
        <w:tc>
          <w:tcPr>
            <w:tcW w:w="324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Risk Factors</w:t>
              </w:r>
            </w:hyperlink>
          </w:p>
        </w:tc>
        <w:tc>
          <w:tcPr>
            <w:tcW w:w="480" w:type="dxa"/>
            <w:vAlign w:val="bottom"/>
            <w:gridSpan w:val="2"/>
          </w:tcPr>
          <w:p>
            <w:pPr>
              <w:spacing w:after="0"/>
              <w:rPr>
                <w:sz w:val="20"/>
                <w:szCs w:val="20"/>
                <w:color w:val="auto"/>
              </w:rPr>
            </w:pPr>
          </w:p>
        </w:tc>
        <w:tc>
          <w:tcPr>
            <w:tcW w:w="7620" w:type="dxa"/>
            <w:vAlign w:val="bottom"/>
            <w:gridSpan w:val="17"/>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Defaults Upon Senior Securities</w:t>
              </w:r>
            </w:hyperlink>
          </w:p>
        </w:tc>
        <w:tc>
          <w:tcPr>
            <w:tcW w:w="4260" w:type="dxa"/>
            <w:vAlign w:val="bottom"/>
            <w:gridSpan w:val="5"/>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56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6560" w:type="dxa"/>
            <w:vAlign w:val="bottom"/>
            <w:gridSpan w:val="14"/>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180" w:type="dxa"/>
            <w:vAlign w:val="bottom"/>
            <w:gridSpan w:val="1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EE"/>
                <w:w w:val="98"/>
              </w:rPr>
            </w:pPr>
            <w:hyperlink w:anchor="page54">
              <w:r>
                <w:rPr>
                  <w:rFonts w:ascii="Arial" w:cs="Arial" w:eastAsia="Arial" w:hAnsi="Arial"/>
                  <w:sz w:val="18"/>
                  <w:szCs w:val="18"/>
                  <w:color w:val="0000EE"/>
                  <w:w w:val="98"/>
                </w:rPr>
                <w:t>Other Information</w:t>
              </w:r>
            </w:hyperlink>
          </w:p>
        </w:tc>
        <w:tc>
          <w:tcPr>
            <w:tcW w:w="520" w:type="dxa"/>
            <w:vAlign w:val="bottom"/>
            <w:gridSpan w:val="2"/>
          </w:tcPr>
          <w:p>
            <w:pPr>
              <w:spacing w:after="0"/>
              <w:rPr>
                <w:sz w:val="20"/>
                <w:szCs w:val="20"/>
                <w:color w:val="auto"/>
              </w:rPr>
            </w:pPr>
          </w:p>
        </w:tc>
        <w:tc>
          <w:tcPr>
            <w:tcW w:w="7180" w:type="dxa"/>
            <w:vAlign w:val="bottom"/>
            <w:gridSpan w:val="16"/>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700" w:type="dxa"/>
            <w:vAlign w:val="bottom"/>
            <w:gridSpan w:val="1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7700" w:type="dxa"/>
            <w:vAlign w:val="bottom"/>
            <w:gridSpan w:val="18"/>
          </w:tcPr>
          <w:p>
            <w:pPr>
              <w:spacing w:after="0"/>
              <w:rPr>
                <w:sz w:val="20"/>
                <w:szCs w:val="20"/>
                <w:color w:val="auto"/>
              </w:rPr>
            </w:pPr>
          </w:p>
        </w:tc>
        <w:tc>
          <w:tcPr>
            <w:tcW w:w="12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40" w:type="dxa"/>
            <w:vAlign w:val="bottom"/>
            <w:gridSpan w:val="2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p>
        </w:tc>
        <w:tc>
          <w:tcPr>
            <w:tcW w:w="9100" w:type="dxa"/>
            <w:vAlign w:val="bottom"/>
            <w:gridSpan w:val="2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w:t>
              </w:r>
            </w:hyperlink>
          </w:p>
        </w:tc>
        <w:tc>
          <w:tcPr>
            <w:tcW w:w="12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0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2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ENPHASE ENERGY, INC.</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(In thousands, except par value)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69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jc w:val="center"/>
              <w:ind w:right="1290"/>
              <w:spacing w:after="0"/>
              <w:rPr>
                <w:sz w:val="20"/>
                <w:szCs w:val="20"/>
                <w:color w:val="auto"/>
              </w:rPr>
            </w:pPr>
            <w:r>
              <w:rPr>
                <w:rFonts w:ascii="Arial" w:cs="Arial" w:eastAsia="Arial" w:hAnsi="Arial"/>
                <w:sz w:val="18"/>
                <w:szCs w:val="18"/>
                <w:b w:val="1"/>
                <w:bCs w:val="1"/>
                <w:color w:val="auto"/>
                <w:w w:val="99"/>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0" w:type="dxa"/>
            <w:vAlign w:val="bottom"/>
            <w:gridSpan w:val="2"/>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29,144</w:t>
            </w:r>
          </w:p>
        </w:tc>
        <w:tc>
          <w:tcPr>
            <w:tcW w:w="0" w:type="dxa"/>
            <w:vAlign w:val="bottom"/>
          </w:tcPr>
          <w:p>
            <w:pPr>
              <w:spacing w:after="0"/>
              <w:rPr>
                <w:sz w:val="1"/>
                <w:szCs w:val="1"/>
                <w:color w:val="auto"/>
              </w:rPr>
            </w:pPr>
          </w:p>
        </w:tc>
      </w:tr>
      <w:tr>
        <w:trPr>
          <w:trHeight w:val="229"/>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Accounts receivable, net of allowances of $3,071 and $2,378 at June 30, 2018 and December 31,</w:t>
            </w:r>
          </w:p>
        </w:tc>
        <w:tc>
          <w:tcPr>
            <w:tcW w:w="280" w:type="dxa"/>
            <w:vAlign w:val="bottom"/>
          </w:tcPr>
          <w:p>
            <w:pPr>
              <w:spacing w:after="0"/>
              <w:rPr>
                <w:sz w:val="19"/>
                <w:szCs w:val="19"/>
                <w:color w:val="auto"/>
              </w:rPr>
            </w:pPr>
          </w:p>
        </w:tc>
        <w:tc>
          <w:tcPr>
            <w:tcW w:w="1200" w:type="dxa"/>
            <w:vAlign w:val="bottom"/>
            <w:vMerge w:val="restart"/>
          </w:tcPr>
          <w:p>
            <w:pPr>
              <w:jc w:val="right"/>
              <w:ind w:right="13"/>
              <w:spacing w:after="0"/>
              <w:rPr>
                <w:sz w:val="20"/>
                <w:szCs w:val="20"/>
                <w:color w:val="auto"/>
              </w:rPr>
            </w:pPr>
            <w:r>
              <w:rPr>
                <w:rFonts w:ascii="Arial" w:cs="Arial" w:eastAsia="Arial" w:hAnsi="Arial"/>
                <w:sz w:val="18"/>
                <w:szCs w:val="18"/>
                <w:color w:val="auto"/>
              </w:rPr>
              <w:t>58,696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right"/>
              <w:ind w:right="13"/>
              <w:spacing w:after="0"/>
              <w:rPr>
                <w:sz w:val="20"/>
                <w:szCs w:val="20"/>
                <w:color w:val="auto"/>
              </w:rPr>
            </w:pPr>
            <w:r>
              <w:rPr>
                <w:rFonts w:ascii="Arial" w:cs="Arial" w:eastAsia="Arial" w:hAnsi="Arial"/>
                <w:sz w:val="18"/>
                <w:szCs w:val="18"/>
                <w:color w:val="auto"/>
              </w:rPr>
              <w:t>65,346</w:t>
            </w:r>
          </w:p>
        </w:tc>
        <w:tc>
          <w:tcPr>
            <w:tcW w:w="0" w:type="dxa"/>
            <w:vAlign w:val="bottom"/>
          </w:tcPr>
          <w:p>
            <w:pPr>
              <w:spacing w:after="0"/>
              <w:rPr>
                <w:sz w:val="1"/>
                <w:szCs w:val="1"/>
                <w:color w:val="auto"/>
              </w:rPr>
            </w:pPr>
          </w:p>
        </w:tc>
      </w:tr>
      <w:tr>
        <w:trPr>
          <w:trHeight w:val="109"/>
        </w:trPr>
        <w:tc>
          <w:tcPr>
            <w:tcW w:w="8340" w:type="dxa"/>
            <w:vAlign w:val="bottom"/>
            <w:gridSpan w:val="3"/>
            <w:vMerge w:val="restart"/>
          </w:tcPr>
          <w:p>
            <w:pPr>
              <w:ind w:left="460"/>
              <w:spacing w:after="0"/>
              <w:rPr>
                <w:sz w:val="20"/>
                <w:szCs w:val="20"/>
                <w:color w:val="auto"/>
              </w:rPr>
            </w:pPr>
            <w:r>
              <w:rPr>
                <w:rFonts w:ascii="Arial" w:cs="Arial" w:eastAsia="Arial" w:hAnsi="Arial"/>
                <w:sz w:val="18"/>
                <w:szCs w:val="18"/>
                <w:color w:val="auto"/>
              </w:rPr>
              <w:t>2017, respectively</w:t>
            </w:r>
          </w:p>
        </w:tc>
        <w:tc>
          <w:tcPr>
            <w:tcW w:w="2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8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25,999</w:t>
            </w:r>
          </w:p>
        </w:tc>
        <w:tc>
          <w:tcPr>
            <w:tcW w:w="0" w:type="dxa"/>
            <w:vAlign w:val="bottom"/>
          </w:tcPr>
          <w:p>
            <w:pPr>
              <w:spacing w:after="0"/>
              <w:rPr>
                <w:sz w:val="1"/>
                <w:szCs w:val="1"/>
                <w:color w:val="auto"/>
              </w:rPr>
            </w:pPr>
          </w:p>
        </w:tc>
      </w:tr>
      <w:tr>
        <w:trPr>
          <w:trHeight w:val="243"/>
        </w:trPr>
        <w:tc>
          <w:tcPr>
            <w:tcW w:w="8340" w:type="dxa"/>
            <w:vAlign w:val="bottom"/>
            <w:gridSpan w:val="3"/>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20,741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9,957</w:t>
            </w:r>
          </w:p>
        </w:tc>
        <w:tc>
          <w:tcPr>
            <w:tcW w:w="0" w:type="dxa"/>
            <w:vAlign w:val="bottom"/>
          </w:tcPr>
          <w:p>
            <w:pPr>
              <w:spacing w:after="0"/>
              <w:rPr>
                <w:sz w:val="1"/>
                <w:szCs w:val="1"/>
                <w:color w:val="auto"/>
              </w:rPr>
            </w:pPr>
          </w:p>
        </w:tc>
      </w:tr>
      <w:tr>
        <w:trPr>
          <w:trHeight w:val="27"/>
        </w:trPr>
        <w:tc>
          <w:tcPr>
            <w:tcW w:w="1400" w:type="dxa"/>
            <w:vAlign w:val="bottom"/>
            <w:tcBorders>
              <w:bottom w:val="single" w:sz="8" w:color="CCEEFF"/>
            </w:tcBorders>
            <w:gridSpan w:val="2"/>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155,379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130,446</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23,100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26,483</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Intangibles, net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8,039</w:t>
            </w:r>
          </w:p>
        </w:tc>
        <w:tc>
          <w:tcPr>
            <w:tcW w:w="0" w:type="dxa"/>
            <w:vAlign w:val="bottom"/>
          </w:tcPr>
          <w:p>
            <w:pPr>
              <w:spacing w:after="0"/>
              <w:rPr>
                <w:sz w:val="1"/>
                <w:szCs w:val="1"/>
                <w:color w:val="auto"/>
              </w:rPr>
            </w:pPr>
          </w:p>
        </w:tc>
      </w:tr>
      <w:tr>
        <w:trPr>
          <w:trHeight w:val="284"/>
        </w:trPr>
        <w:tc>
          <w:tcPr>
            <w:tcW w:w="1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tcPr>
          <w:p>
            <w:pPr>
              <w:spacing w:after="0"/>
              <w:rPr>
                <w:sz w:val="24"/>
                <w:szCs w:val="24"/>
                <w:color w:val="auto"/>
              </w:rPr>
            </w:pPr>
          </w:p>
        </w:tc>
        <w:tc>
          <w:tcPr>
            <w:tcW w:w="69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218,536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169,147</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jc w:val="center"/>
              <w:ind w:right="1290"/>
              <w:spacing w:after="0"/>
              <w:rPr>
                <w:sz w:val="20"/>
                <w:szCs w:val="20"/>
                <w:color w:val="auto"/>
              </w:rPr>
            </w:pPr>
            <w:r>
              <w:rPr>
                <w:rFonts w:ascii="Arial" w:cs="Arial" w:eastAsia="Arial" w:hAnsi="Arial"/>
                <w:sz w:val="18"/>
                <w:szCs w:val="18"/>
                <w:b w:val="1"/>
                <w:bCs w:val="1"/>
                <w:color w:val="auto"/>
                <w:w w:val="99"/>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p>
      <w:pPr>
        <w:spacing w:after="0" w:line="53" w:lineRule="exact"/>
        <w:rPr>
          <w:sz w:val="20"/>
          <w:szCs w:val="20"/>
          <w:color w:val="auto"/>
        </w:rPr>
      </w:pPr>
    </w:p>
    <w:p>
      <w:pPr>
        <w:ind w:left="380"/>
        <w:spacing w:after="0"/>
        <w:tabs>
          <w:tab w:leader="none" w:pos="8340" w:val="left"/>
        </w:tabs>
        <w:rPr>
          <w:sz w:val="20"/>
          <w:szCs w:val="20"/>
          <w:color w:val="auto"/>
        </w:rPr>
      </w:pPr>
      <w:r>
        <w:rPr>
          <w:rFonts w:ascii="Arial" w:cs="Arial" w:eastAsia="Arial" w:hAnsi="Arial"/>
          <w:sz w:val="18"/>
          <w:szCs w:val="18"/>
          <w:color w:val="auto"/>
        </w:rPr>
        <w:t>Accounts payable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revenues, current</w:t>
      </w:r>
    </w:p>
    <w:p>
      <w:pPr>
        <w:spacing w:after="0" w:line="63" w:lineRule="exact"/>
        <w:rPr>
          <w:sz w:val="20"/>
          <w:szCs w:val="20"/>
          <w:color w:val="auto"/>
        </w:rPr>
      </w:pPr>
    </w:p>
    <w:p>
      <w:pPr>
        <w:ind w:left="460" w:right="240" w:hanging="80"/>
        <w:spacing w:after="0" w:line="246" w:lineRule="auto"/>
        <w:rPr>
          <w:sz w:val="20"/>
          <w:szCs w:val="20"/>
          <w:color w:val="auto"/>
        </w:rPr>
      </w:pPr>
      <w:r>
        <w:rPr>
          <w:rFonts w:ascii="Arial" w:cs="Arial" w:eastAsia="Arial" w:hAnsi="Arial"/>
          <w:sz w:val="18"/>
          <w:szCs w:val="18"/>
          <w:color w:val="auto"/>
        </w:rPr>
        <w:t>Warranty obligations, current (includes $3,209 and $2,240 measured at fair value at June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current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liabilities: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21,895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28,747</w:t>
            </w:r>
          </w:p>
        </w:tc>
      </w:tr>
      <w:tr>
        <w:trPr>
          <w:trHeight w:val="27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31,095</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22,447</w:t>
            </w:r>
          </w:p>
        </w:tc>
      </w:tr>
      <w:tr>
        <w:trPr>
          <w:trHeight w:val="270"/>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34,954</w:t>
            </w:r>
          </w:p>
        </w:tc>
        <w:tc>
          <w:tcPr>
            <w:tcW w:w="4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15,691</w:t>
            </w:r>
          </w:p>
        </w:tc>
      </w:tr>
      <w:tr>
        <w:trPr>
          <w:trHeight w:val="365"/>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8,275</w:t>
            </w: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7,427</w:t>
            </w:r>
          </w:p>
        </w:tc>
      </w:tr>
      <w:tr>
        <w:trPr>
          <w:trHeight w:val="365"/>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18,429</w:t>
            </w:r>
          </w:p>
        </w:tc>
        <w:tc>
          <w:tcPr>
            <w:tcW w:w="48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17,429</w:t>
            </w:r>
          </w:p>
        </w:tc>
      </w:tr>
      <w:tr>
        <w:trPr>
          <w:trHeight w:val="27"/>
        </w:trPr>
        <w:tc>
          <w:tcPr>
            <w:tcW w:w="8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80" w:type="dxa"/>
            <w:vAlign w:val="bottom"/>
          </w:tcPr>
          <w:p>
            <w:pPr>
              <w:jc w:val="right"/>
              <w:ind w:right="130"/>
              <w:spacing w:after="0"/>
              <w:rPr>
                <w:sz w:val="20"/>
                <w:szCs w:val="20"/>
                <w:color w:val="auto"/>
              </w:rPr>
            </w:pPr>
            <w:r>
              <w:rPr>
                <w:rFonts w:ascii="Arial" w:cs="Arial" w:eastAsia="Arial" w:hAnsi="Arial"/>
                <w:sz w:val="18"/>
                <w:szCs w:val="18"/>
                <w:color w:val="auto"/>
                <w:w w:val="98"/>
              </w:rPr>
              <w:t>114,648</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-179705</wp:posOffset>
            </wp:positionV>
            <wp:extent cx="943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8460" w:space="600"/>
            <w:col w:w="2360"/>
          </w:cols>
          <w:pgMar w:left="240" w:top="108" w:right="2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revenues, noncurrent</w:t>
            </w:r>
          </w:p>
        </w:tc>
        <w:tc>
          <w:tcPr>
            <w:tcW w:w="4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75,107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29,941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Warranty obligations, noncurrent (includes $9,627 and $7,550 measured at fair value at June 30,</w:t>
            </w:r>
          </w:p>
        </w:tc>
        <w:tc>
          <w:tcPr>
            <w:tcW w:w="40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23,367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22,389</w:t>
            </w:r>
          </w:p>
        </w:tc>
        <w:tc>
          <w:tcPr>
            <w:tcW w:w="0" w:type="dxa"/>
            <w:vAlign w:val="bottom"/>
          </w:tcPr>
          <w:p>
            <w:pPr>
              <w:spacing w:after="0"/>
              <w:rPr>
                <w:sz w:val="1"/>
                <w:szCs w:val="1"/>
                <w:color w:val="auto"/>
              </w:rPr>
            </w:pPr>
          </w:p>
        </w:tc>
      </w:tr>
      <w:tr>
        <w:trPr>
          <w:trHeight w:val="109"/>
        </w:trPr>
        <w:tc>
          <w:tcPr>
            <w:tcW w:w="834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2018 and December 31, 2017, respectively)</w:t>
            </w:r>
          </w:p>
        </w:tc>
        <w:tc>
          <w:tcPr>
            <w:tcW w:w="40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340" w:type="dxa"/>
            <w:vAlign w:val="bottom"/>
            <w:vMerge w:val="continue"/>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noncurrent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33,559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32,322</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liabilities</w:t>
            </w:r>
          </w:p>
        </w:tc>
        <w:tc>
          <w:tcPr>
            <w:tcW w:w="4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248,651</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178,273</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rPr>
              <w:t>Common stock, $0.00001 par value, 150,000,000 shares and 125,000 shares authorized; and</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40" w:type="dxa"/>
            <w:vAlign w:val="bottom"/>
          </w:tcPr>
          <w:p>
            <w:pPr>
              <w:ind w:left="460"/>
              <w:spacing w:after="0" w:line="202" w:lineRule="exact"/>
              <w:rPr>
                <w:sz w:val="20"/>
                <w:szCs w:val="20"/>
                <w:color w:val="auto"/>
              </w:rPr>
            </w:pPr>
            <w:r>
              <w:rPr>
                <w:rFonts w:ascii="Arial" w:cs="Arial" w:eastAsia="Arial" w:hAnsi="Arial"/>
                <w:sz w:val="18"/>
                <w:szCs w:val="18"/>
                <w:color w:val="auto"/>
              </w:rPr>
              <w:t>98,082 and 85,914 shares issued and outstanding at June 30, 2018 and December 31, 2017,</w:t>
            </w:r>
          </w:p>
        </w:tc>
        <w:tc>
          <w:tcPr>
            <w:tcW w:w="4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4"/>
        </w:trPr>
        <w:tc>
          <w:tcPr>
            <w:tcW w:w="8340" w:type="dxa"/>
            <w:vAlign w:val="bottom"/>
          </w:tcPr>
          <w:p>
            <w:pPr>
              <w:ind w:left="460"/>
              <w:spacing w:after="0"/>
              <w:rPr>
                <w:sz w:val="20"/>
                <w:szCs w:val="20"/>
                <w:color w:val="auto"/>
              </w:rPr>
            </w:pPr>
            <w:r>
              <w:rPr>
                <w:rFonts w:ascii="Arial" w:cs="Arial" w:eastAsia="Arial" w:hAnsi="Arial"/>
                <w:sz w:val="18"/>
                <w:szCs w:val="18"/>
                <w:color w:val="auto"/>
              </w:rPr>
              <w:t>respectively</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313,778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287,256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(343,541)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(295,727)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stockholders’ deficit</w:t>
            </w:r>
          </w:p>
        </w:tc>
        <w:tc>
          <w:tcPr>
            <w:tcW w:w="4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(30,115)</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218,536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169,147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08"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75,896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74,704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145,868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129,455</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53,195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61,157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104,851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108,861</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22,701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13,547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41,017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20,594</w:t>
            </w:r>
          </w:p>
        </w:tc>
        <w:tc>
          <w:tcPr>
            <w:tcW w:w="0" w:type="dxa"/>
            <w:vAlign w:val="bottom"/>
          </w:tcPr>
          <w:p>
            <w:pPr>
              <w:spacing w:after="0"/>
              <w:rPr>
                <w:sz w:val="1"/>
                <w:szCs w:val="1"/>
                <w:color w:val="auto"/>
              </w:rPr>
            </w:pPr>
          </w:p>
        </w:tc>
      </w:tr>
      <w:tr>
        <w:trPr>
          <w:trHeight w:val="257"/>
        </w:trPr>
        <w:tc>
          <w:tcPr>
            <w:tcW w:w="6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17,552</w:t>
            </w: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6,274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13,055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4,964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10,797</w:t>
            </w:r>
          </w:p>
        </w:tc>
        <w:tc>
          <w:tcPr>
            <w:tcW w:w="0" w:type="dxa"/>
            <w:vAlign w:val="bottom"/>
          </w:tcPr>
          <w:p>
            <w:pPr>
              <w:spacing w:after="0"/>
              <w:rPr>
                <w:sz w:val="1"/>
                <w:szCs w:val="1"/>
                <w:color w:val="auto"/>
              </w:rPr>
            </w:pPr>
          </w:p>
        </w:tc>
      </w:tr>
      <w:tr>
        <w:trPr>
          <w:trHeight w:val="264"/>
        </w:trPr>
        <w:tc>
          <w:tcPr>
            <w:tcW w:w="650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10,856</w:t>
            </w:r>
          </w:p>
        </w:tc>
        <w:tc>
          <w:tcPr>
            <w:tcW w:w="0" w:type="dxa"/>
            <w:vAlign w:val="bottom"/>
          </w:tcPr>
          <w:p>
            <w:pPr>
              <w:spacing w:after="0"/>
              <w:rPr>
                <w:sz w:val="1"/>
                <w:szCs w:val="1"/>
                <w:color w:val="auto"/>
              </w:rPr>
            </w:pPr>
          </w:p>
        </w:tc>
      </w:tr>
      <w:tr>
        <w:trPr>
          <w:trHeight w:val="250"/>
        </w:trPr>
        <w:tc>
          <w:tcPr>
            <w:tcW w:w="65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23,259</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22,794</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44,050</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(31,343)</w:t>
            </w: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(4,219)</w:t>
            </w: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(34,414)</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(35,398)</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6500" w:type="dxa"/>
            <w:vAlign w:val="bottom"/>
            <w:vMerge w:val="restart"/>
          </w:tcPr>
          <w:p>
            <w:pPr>
              <w:ind w:left="40"/>
              <w:spacing w:after="0"/>
              <w:rPr>
                <w:sz w:val="20"/>
                <w:szCs w:val="20"/>
                <w:color w:val="auto"/>
              </w:rPr>
            </w:pPr>
            <w:r>
              <w:rPr>
                <w:rFonts w:ascii="Arial" w:cs="Arial" w:eastAsia="Arial" w:hAnsi="Arial"/>
                <w:sz w:val="18"/>
                <w:szCs w:val="18"/>
                <w:color w:val="auto"/>
              </w:rPr>
              <w:t>Shares used in per share calculation:</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97,321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84,434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94,026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80,542</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(35,398)</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r>
      <w:tr>
        <w:trPr>
          <w:trHeight w:val="244"/>
        </w:trPr>
        <w:tc>
          <w:tcPr>
            <w:tcW w:w="650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(35,275)</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(8,866)</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(35,398)</w:t>
            </w: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4,583</w:t>
            </w: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707</w:t>
            </w: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Asset impairment and restructuring</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1,765</w:t>
            </w: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w:t>
            </w:r>
          </w:p>
        </w:tc>
      </w:tr>
      <w:tr>
        <w:trPr>
          <w:trHeight w:val="260"/>
        </w:trPr>
        <w:tc>
          <w:tcPr>
            <w:tcW w:w="8580" w:type="dxa"/>
            <w:vAlign w:val="bottom"/>
          </w:tcPr>
          <w:p>
            <w:pPr>
              <w:ind w:left="72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3,550</w:t>
            </w:r>
          </w:p>
        </w:tc>
      </w:tr>
      <w:tr>
        <w:trPr>
          <w:trHeight w:val="280"/>
        </w:trPr>
        <w:tc>
          <w:tcPr>
            <w:tcW w:w="85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0"/>
        </w:trPr>
        <w:tc>
          <w:tcPr>
            <w:tcW w:w="8580" w:type="dxa"/>
            <w:vAlign w:val="bottom"/>
          </w:tcPr>
          <w:p>
            <w:pPr>
              <w:ind w:left="11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3,910</w:t>
            </w:r>
          </w:p>
        </w:tc>
      </w:tr>
      <w:tr>
        <w:trPr>
          <w:trHeight w:val="280"/>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11,121</w:t>
            </w:r>
          </w:p>
        </w:tc>
      </w:tr>
      <w:tr>
        <w:trPr>
          <w:trHeight w:val="260"/>
        </w:trPr>
        <w:tc>
          <w:tcPr>
            <w:tcW w:w="8580" w:type="dxa"/>
            <w:vAlign w:val="bottom"/>
          </w:tcPr>
          <w:p>
            <w:pPr>
              <w:ind w:left="114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(5,338)</w:t>
            </w:r>
          </w:p>
        </w:tc>
      </w:tr>
      <w:tr>
        <w:trPr>
          <w:trHeight w:val="280"/>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Accounts payable, accrued and other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(14,107)</w:t>
            </w:r>
          </w:p>
        </w:tc>
      </w:tr>
      <w:tr>
        <w:trPr>
          <w:trHeight w:val="260"/>
        </w:trPr>
        <w:tc>
          <w:tcPr>
            <w:tcW w:w="8580" w:type="dxa"/>
            <w:vAlign w:val="bottom"/>
          </w:tcPr>
          <w:p>
            <w:pPr>
              <w:ind w:left="1140"/>
              <w:spacing w:after="0"/>
              <w:rPr>
                <w:sz w:val="20"/>
                <w:szCs w:val="20"/>
                <w:color w:val="auto"/>
              </w:rPr>
            </w:pPr>
            <w:r>
              <w:rPr>
                <w:rFonts w:ascii="Arial" w:cs="Arial" w:eastAsia="Arial" w:hAnsi="Arial"/>
                <w:sz w:val="16"/>
                <w:szCs w:val="16"/>
                <w:color w:val="auto"/>
              </w:rPr>
              <w:t>Warranty obligations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199</w:t>
            </w:r>
          </w:p>
        </w:tc>
      </w:tr>
      <w:tr>
        <w:trPr>
          <w:trHeight w:val="273"/>
        </w:trPr>
        <w:tc>
          <w:tcPr>
            <w:tcW w:w="85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Deferred revenues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3,620</w:t>
            </w: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(24,325)</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(3,515)</w:t>
            </w:r>
          </w:p>
        </w:tc>
      </w:tr>
      <w:tr>
        <w:trPr>
          <w:trHeight w:val="257"/>
        </w:trPr>
        <w:tc>
          <w:tcPr>
            <w:tcW w:w="858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(3,515)</w:t>
            </w:r>
          </w:p>
        </w:tc>
      </w:tr>
      <w:tr>
        <w:trPr>
          <w:trHeight w:val="25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26,425</w:t>
            </w: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debt</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24,240</w:t>
            </w: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Principal payments on term debt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Payments under revolving credit facility</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(10,100)</w:t>
            </w:r>
          </w:p>
        </w:tc>
      </w:tr>
      <w:tr>
        <w:trPr>
          <w:trHeight w:val="273"/>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50"/>
        </w:trPr>
        <w:tc>
          <w:tcPr>
            <w:tcW w:w="8580" w:type="dxa"/>
            <w:vAlign w:val="bottom"/>
            <w:tcBorders>
              <w:bottom w:val="single" w:sz="8" w:color="CCEEFF"/>
            </w:tcBorders>
          </w:tcPr>
          <w:p>
            <w:pPr>
              <w:ind w:left="146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23,744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40,735</w:t>
            </w:r>
          </w:p>
        </w:tc>
      </w:tr>
      <w:tr>
        <w:trPr>
          <w:trHeight w:val="250"/>
        </w:trPr>
        <w:tc>
          <w:tcPr>
            <w:tcW w:w="858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r>
      <w:tr>
        <w:trPr>
          <w:trHeight w:val="247"/>
        </w:trPr>
        <w:tc>
          <w:tcPr>
            <w:tcW w:w="858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29,327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13,189</w:t>
            </w:r>
          </w:p>
        </w:tc>
      </w:tr>
      <w:tr>
        <w:trPr>
          <w:trHeight w:val="27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29,144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17,764</w:t>
            </w:r>
          </w:p>
        </w:tc>
      </w:tr>
      <w:tr>
        <w:trPr>
          <w:trHeight w:val="28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58,471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30,953</w:t>
            </w:r>
          </w:p>
        </w:tc>
      </w:tr>
      <w:tr>
        <w:trPr>
          <w:trHeight w:val="25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0"/>
        </w:trPr>
        <w:tc>
          <w:tcPr>
            <w:tcW w:w="8580" w:type="dxa"/>
            <w:vAlign w:val="bottom"/>
          </w:tcPr>
          <w:p>
            <w:pPr>
              <w:ind w:left="380"/>
              <w:spacing w:after="0"/>
              <w:rPr>
                <w:sz w:val="20"/>
                <w:szCs w:val="20"/>
                <w:color w:val="auto"/>
              </w:rPr>
            </w:pPr>
            <w:r>
              <w:rPr>
                <w:rFonts w:ascii="Arial" w:cs="Arial" w:eastAsia="Arial" w:hAnsi="Arial"/>
                <w:sz w:val="16"/>
                <w:szCs w:val="16"/>
                <w:color w:val="auto"/>
              </w:rPr>
              <w:t>Purchases of fixed and intangible assets included in accounts payable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311</w:t>
            </w:r>
          </w:p>
        </w:tc>
      </w:tr>
      <w:tr>
        <w:trPr>
          <w:trHeight w:val="28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Warrants issued in connection with debt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2"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Enphase Energy, Inc. and subsidiaries (the “Company”) deliver simple, innovative and reliable energy management solutions that advance the worldwide potential of renewable energy. The Company’s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Since inception, the Company has shipped over 17 million microinverters, representing over 4 gigawatts of solar photovoltaic (PV) generating capacity, and more than 790,000 Enphase residential and commercial systems have been deployed in over 120 countries.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39"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U.S, or GAAP. The condensed consolidated financial statements include the accounts of the Company and its wholly-owned subsidiaries. All intercompany balances and transactions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93"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financial statements reflect all adjustments, consisting of normal recurring items, considered necessary to present fairly the Company's financial condition, results of operations, comprehensive loss and cash flows for the interim periods indicated. The results of operations for the three and six months ended June 30, 2018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2017.</w:t>
      </w:r>
    </w:p>
    <w:p>
      <w:pPr>
        <w:spacing w:after="0" w:line="15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Other than as discussed in Note 2. “Revenue Recognition” and Note 11. “Stock-based Compensation,” there have been no material changes in the Company’s significant accounting policies during the six months ended June 30, 2018, as compared to the significant accounting policies described in the Company’s Annual Report on Form 10-K for the year ended December 31, 2017. Reference is made to the disclosures therein for a summary of the Company’s significant accounting policies.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and accrued warranty obligations. These estimates are based on information available as of the date of the financial statements; therefore, actual results could differ materially from management’s estimates using different assumptions or under different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39" w:lineRule="exact"/>
        <w:rPr>
          <w:sz w:val="20"/>
          <w:szCs w:val="20"/>
          <w:color w:val="auto"/>
        </w:rPr>
      </w:pPr>
    </w:p>
    <w:p>
      <w:pPr>
        <w:ind w:right="140" w:firstLine="432"/>
        <w:spacing w:after="0" w:line="252" w:lineRule="auto"/>
        <w:rPr>
          <w:sz w:val="20"/>
          <w:szCs w:val="20"/>
          <w:color w:val="auto"/>
        </w:rPr>
      </w:pPr>
      <w:r>
        <w:rPr>
          <w:rFonts w:ascii="Arial" w:cs="Arial" w:eastAsia="Arial" w:hAnsi="Arial"/>
          <w:sz w:val="18"/>
          <w:szCs w:val="18"/>
          <w:color w:val="auto"/>
        </w:rPr>
        <w:t>In May 2014, the FASB issued ASU 2014-09, “Revenue from Contracts with Customers,” amending revenue recognition guidance and requiring more detailed disclosures to enable users of financial statements to understand the nature, amount, timing, and uncertainty of revenue and cash flows arising from contracts with customers. The amended guidance, herein referred to as Topic 606, is effective for annual and interim reporting periods beginning after December 15, 2017, with early adoption permitted for public companies effective for annual and interim reporting periods beginning after December 15, 2016. The Company has adopted Topic 606 effective January 1, 2018, using the modified retrospective transition method. The Company recognized the cumulative effect of</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0"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applying the new revenue standard as an adjustment to the opening balance of retained earnings on January 1, 2018. The comparative information has not been restated and continues to be reported under the accounting standards in effect for the period presented. See Note 2, “Revenue Recognition,” for additional accounting policy and transition disclosures.</w:t>
      </w:r>
    </w:p>
    <w:p>
      <w:pPr>
        <w:spacing w:after="0" w:line="94" w:lineRule="exact"/>
        <w:rPr>
          <w:sz w:val="20"/>
          <w:szCs w:val="20"/>
          <w:color w:val="auto"/>
        </w:rPr>
      </w:pPr>
    </w:p>
    <w:p>
      <w:pPr>
        <w:ind w:right="40" w:firstLine="477"/>
        <w:spacing w:after="0" w:line="250"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amends certain aspects of recognition, measurement, presentation, and disclosure of financial instruments. Changes to the current guidance include the accounting for equity investments, the presentation and disclosure requirements for financial instruments, and the assessment of valuation allowance on deferred tax assets related to available-for-sale securities. In addition, ASU 2016-01 establishes an incremental recognition and disclosure requirement related to the presentation of fair value changes of financial liabilities for which the fair value option has been elected. Under this guidance, an entity would be required to separately present in other comprehensive income the portion of the total fair value change attributable to instrument-specific credit risk as opposed to reflecting the entire amount in earnings. ASU 2016-01 is effective for fiscal years and interim periods beginning after December 15, 2017, and upon adoption, an entity should apply the amendments by means of a cumulative-effect adjustment to the balance sheet at the beginning of the first reporting period in which the guidance is effective. Early adoption was not permitted except for the provision to record fair value changes for financial liabilities under the fair value option resulting</w:t>
      </w:r>
    </w:p>
    <w:p>
      <w:pPr>
        <w:spacing w:after="0" w:line="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from instrument-specific credit risk in other comprehensive income. The standard, which was adopted in the first quarter of 2018, did not have a material impact on the condensed consolidated financial statements.</w:t>
      </w:r>
    </w:p>
    <w:p>
      <w:pPr>
        <w:spacing w:after="0" w:line="88"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In November 2016, the FASB issued Accounting Standards Update No. 2016-18 (ASU 2016-18), “Statement of Cash Flows,” which requires companies to include amounts generally described as restricted cash and restricted cash equivalents in cash and cash equivalents when reconciling beginning-of-period and end-of-period total amounts shown on the statement of cash flows. ASU 2016-18 is effective for fiscal years, and interim periods within those years, beginning after December 15, 2017. The standard, which was adopted in the first quarter of 2018, did not have a material impact on the condensed consolidated financial statements.</w:t>
      </w:r>
    </w:p>
    <w:p>
      <w:pPr>
        <w:spacing w:after="0" w:line="97" w:lineRule="exact"/>
        <w:rPr>
          <w:sz w:val="20"/>
          <w:szCs w:val="20"/>
          <w:color w:val="auto"/>
        </w:rPr>
      </w:pPr>
    </w:p>
    <w:p>
      <w:pPr>
        <w:ind w:right="160" w:firstLine="432"/>
        <w:spacing w:after="0" w:line="252" w:lineRule="auto"/>
        <w:rPr>
          <w:sz w:val="20"/>
          <w:szCs w:val="20"/>
          <w:color w:val="auto"/>
        </w:rPr>
      </w:pPr>
      <w:r>
        <w:rPr>
          <w:rFonts w:ascii="Arial" w:cs="Arial" w:eastAsia="Arial" w:hAnsi="Arial"/>
          <w:sz w:val="18"/>
          <w:szCs w:val="18"/>
          <w:color w:val="auto"/>
        </w:rPr>
        <w:t>In May 2017, the FASB issued ASU 2017-09 (ASU 2017-09), "Compensation - Stock Compensation." ASU 2017-09 was issued to provide clarity and reduce both 1) diversity in practice and 2) cost and complexity when applying the guidance in Topic 718 to a change in the terms or conditions of a share-based payment award. ASU 2017-09 provides guidance about which changes to the terms or conditions of a share-based payment award require an entity to apply modification accounting under Topic 718. ASU 2017-09 is effective for fiscal years, and interim periods within those years, beginning after December 15, 2017. The standard, which was adopted in the first quarter of 2018, did not have a material impact on the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Effective</w:t>
      </w:r>
    </w:p>
    <w:p>
      <w:pPr>
        <w:spacing w:after="0" w:line="139"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In February 2016, the FASB issued Accounting Standards Codification (“ASC”) 842 (“ASC 842”), “Leases,” which replaces the existing guidance in ASC 840, Leases. ASC 842 is effective for fiscal years, and interim periods within those years, beginning after December 15, 2018. ASC 842 requires a dual approach for lessee accounting under which a lessee would account for leases as finance leases or operating leases. Both finance leases and operating leases will result in the lessee recognizing a right-of-use (ROU) asset and a corresponding lease liability. For finance leases the lessee would recognize interest expense and amortization of the ROU asset and for operating leases the lessee would recognize a straight-line total lease expense. The Company is currently evaluating the impact of adoption on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12" w:lineRule="exact"/>
        <w:rPr>
          <w:sz w:val="20"/>
          <w:szCs w:val="20"/>
          <w:color w:val="auto"/>
        </w:rPr>
      </w:pPr>
    </w:p>
    <w:p>
      <w:pPr>
        <w:ind w:right="280" w:firstLine="446"/>
        <w:spacing w:after="0" w:line="253" w:lineRule="auto"/>
        <w:rPr>
          <w:sz w:val="20"/>
          <w:szCs w:val="20"/>
          <w:color w:val="auto"/>
        </w:rPr>
      </w:pPr>
      <w:r>
        <w:rPr>
          <w:rFonts w:ascii="Arial" w:cs="Arial" w:eastAsia="Arial" w:hAnsi="Arial"/>
          <w:sz w:val="18"/>
          <w:szCs w:val="18"/>
          <w:color w:val="auto"/>
        </w:rPr>
        <w:t>On January 1, 2018, the Company adopted Topic 606 and applied the modified retrospective method to all contracts that were not completed as of January 1, 2018. Results for reporting periods beginning after January 1, 2018 are presented under Topic 606, while prior period amounts are not adjusted and continue to be reported under the accounting standards in effect in the prior period. The Company recorded a net reduction to opening equity of $38.9 million on January 1, 2018 for the cumulative effect of adopting Topic 606. The impact to net revenues from the adoption of Topic 606 for the six months ended June 30, 2018 was a net increase of $2.5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 as a result of adopting Topic 606 and nature of goods</w:t>
      </w:r>
    </w:p>
    <w:p>
      <w:pPr>
        <w:spacing w:after="0" w:line="112"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The most significant impacts upon adoption of Topic 606 were how the Company accounts for revenue related to its Envoy communications device and related Enlighten service and the timing of when certain sales incentives are recognized. Under ASC 605 the Company’s Envoy communications device and Enlighten service were considered two units of accounting, and the portion of the consideration related to the hardware was recognized at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time of sale with the remaining consideration deferred and recognized over the estimated service period. Under ASC 606 the full consideration for these products represents a single performance obligation and is deferred and recognized over the estimated service period. This treatment resulted in a gross increase to deferred revenue of $77.5 million, an increase in deferred costs of $43.4 million and a net increase in accumulated deficit of $34.1 million upon adoption of ASC 606.</w:t>
      </w:r>
    </w:p>
    <w:p>
      <w:pPr>
        <w:spacing w:after="0" w:line="69" w:lineRule="exact"/>
        <w:rPr>
          <w:sz w:val="20"/>
          <w:szCs w:val="20"/>
          <w:color w:val="auto"/>
        </w:rPr>
      </w:pPr>
    </w:p>
    <w:p>
      <w:pPr>
        <w:ind w:right="140" w:firstLine="446"/>
        <w:spacing w:after="0" w:line="253" w:lineRule="auto"/>
        <w:rPr>
          <w:sz w:val="20"/>
          <w:szCs w:val="20"/>
          <w:color w:val="auto"/>
        </w:rPr>
      </w:pPr>
      <w:r>
        <w:rPr>
          <w:rFonts w:ascii="Arial" w:cs="Arial" w:eastAsia="Arial" w:hAnsi="Arial"/>
          <w:sz w:val="18"/>
          <w:szCs w:val="18"/>
          <w:color w:val="auto"/>
        </w:rPr>
        <w:t>The Company previously sold its Envoy communications device to certain customers under a long-term financing arrangement. Under ASC 605, this arrangement resulted in the recording of both deferred revenue and unbilled receivables on the balance sheet. The Company’s opening entries related to ASC 606 included the netting of approximately $6.4 million of unbilled receivables against deferred revenue. Thus, the $77.5 million increase to deferred revenue noted above was partially offset by a $6.4 million reclassification of unbilled receivables to deferred revenue.</w:t>
      </w:r>
    </w:p>
    <w:p>
      <w:pPr>
        <w:spacing w:after="0" w:line="70"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Under ASC 605 the Company recorded certain contra revenue promotions at the later of the date revenue was recognized or the date at which the promotional offer was extended. Under ASC 606 all such contra revenue programs are treated as variable consideration and recognized at the time the related revenue is recorded. This change in timing resulted in an increase in accrued liabilities of approximately $5.6 million and an increase to accumulated deficit of the same amount upon adoption of ASC 606. This change in timing is not expected to have a material impact in subsequent periods.</w:t>
      </w:r>
    </w:p>
    <w:p>
      <w:pPr>
        <w:spacing w:after="0" w:line="70"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Topic 606 requires upfront contract acquisition costs, such as sales commissions, to be capitalized and amortized over the estimated life of the asset. For contracts that have a duration of less than one year, the Company follows the Topic 606 practical expedient and expense these costs when incurred. Commissions related to the Company’s sale of monitoring hardware and service are capitalized and amortized over the period of the associated revenue, which is 6.5 years. This treatment resulted in an increase in deferred costs of approximately $0.8 million and an increase in accumulated deficit of the same amount upon adoption of ASC 606.</w:t>
      </w:r>
    </w:p>
    <w:p>
      <w:pPr>
        <w:spacing w:after="0" w:line="70" w:lineRule="exact"/>
        <w:rPr>
          <w:sz w:val="20"/>
          <w:szCs w:val="20"/>
          <w:color w:val="auto"/>
        </w:rPr>
      </w:pPr>
    </w:p>
    <w:p>
      <w:pPr>
        <w:jc w:val="both"/>
        <w:ind w:right="60" w:firstLine="446"/>
        <w:spacing w:after="0" w:line="256" w:lineRule="auto"/>
        <w:rPr>
          <w:sz w:val="20"/>
          <w:szCs w:val="20"/>
          <w:color w:val="auto"/>
        </w:rPr>
      </w:pPr>
      <w:r>
        <w:rPr>
          <w:rFonts w:ascii="Arial" w:cs="Arial" w:eastAsia="Arial" w:hAnsi="Arial"/>
          <w:sz w:val="18"/>
          <w:szCs w:val="18"/>
          <w:color w:val="auto"/>
        </w:rPr>
        <w:t>Revenues are recognized when control of the promised goods or services are transferred to the Company’s customers in an amount that reflects the consideration that is expected to be received in exchange for those goods or services. The Company generates all of its revenues from contracts with its customers. A description of principal activities from which the Company generates revenues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Delivered at a Point in Time</w:t>
      </w:r>
    </w:p>
    <w:p>
      <w:pPr>
        <w:spacing w:after="0" w:line="108" w:lineRule="exact"/>
        <w:rPr>
          <w:sz w:val="20"/>
          <w:szCs w:val="20"/>
          <w:color w:val="auto"/>
        </w:rPr>
      </w:pPr>
    </w:p>
    <w:p>
      <w:pPr>
        <w:ind w:right="240" w:firstLine="446"/>
        <w:spacing w:after="0" w:line="252" w:lineRule="auto"/>
        <w:rPr>
          <w:sz w:val="20"/>
          <w:szCs w:val="20"/>
          <w:color w:val="auto"/>
        </w:rPr>
      </w:pPr>
      <w:r>
        <w:rPr>
          <w:rFonts w:ascii="Arial" w:cs="Arial" w:eastAsia="Arial" w:hAnsi="Arial"/>
          <w:sz w:val="18"/>
          <w:szCs w:val="18"/>
          <w:color w:val="auto"/>
        </w:rPr>
        <w:t>The Company sells its products to customers in accordance with the terms of the related customer contracts. The Company generates revenues from sales of its microinverter systems, which include microinverter units and related accessories, an Envoy communications gateway and Enlighten service, communications accessories and AC Battery storage solutions to distributors, large installers, OEMs and strategic partners. Microinverter units, microinverter accessories, and AC Battery storage solutions are delivered to customers at a point in time, and in accordance with Topic 606, the Company recognizes revenue for these products when the Company transfers control of the product to the customer, which is generally upon shipment.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Delivered Over Time</w:t>
      </w:r>
    </w:p>
    <w:p>
      <w:pPr>
        <w:spacing w:after="0" w:line="108" w:lineRule="exact"/>
        <w:rPr>
          <w:sz w:val="20"/>
          <w:szCs w:val="20"/>
          <w:color w:val="auto"/>
        </w:rPr>
      </w:pPr>
    </w:p>
    <w:p>
      <w:pPr>
        <w:ind w:right="160" w:firstLine="446"/>
        <w:spacing w:after="0" w:line="256" w:lineRule="auto"/>
        <w:rPr>
          <w:sz w:val="20"/>
          <w:szCs w:val="20"/>
          <w:color w:val="auto"/>
        </w:rPr>
      </w:pPr>
      <w:r>
        <w:rPr>
          <w:rFonts w:ascii="Arial" w:cs="Arial" w:eastAsia="Arial" w:hAnsi="Arial"/>
          <w:sz w:val="18"/>
          <w:szCs w:val="18"/>
          <w:color w:val="auto"/>
        </w:rPr>
        <w:t>The sale of an Envoy communications gateway includes the Company’s Enlighten cloud-based monitoring service. Under Topic 606 the full consideration for these products represents a single performance obligation and is deferred at the sale date and recognized over the estimated service period, which is 6.5 years.</w:t>
      </w:r>
    </w:p>
    <w:p>
      <w:pPr>
        <w:spacing w:after="0" w:line="67" w:lineRule="exact"/>
        <w:rPr>
          <w:sz w:val="20"/>
          <w:szCs w:val="20"/>
          <w:color w:val="auto"/>
        </w:rPr>
      </w:pPr>
    </w:p>
    <w:p>
      <w:pPr>
        <w:ind w:right="60" w:firstLine="446"/>
        <w:spacing w:after="0" w:line="262" w:lineRule="auto"/>
        <w:rPr>
          <w:sz w:val="20"/>
          <w:szCs w:val="20"/>
          <w:color w:val="auto"/>
        </w:rPr>
      </w:pPr>
      <w:r>
        <w:rPr>
          <w:rFonts w:ascii="Arial" w:cs="Arial" w:eastAsia="Arial" w:hAnsi="Arial"/>
          <w:sz w:val="18"/>
          <w:szCs w:val="18"/>
          <w:color w:val="auto"/>
        </w:rPr>
        <w:t>The Company also sells certain communication accessories that are delivered over time. The revenue from these products is recognized over the related service period, which is typically 5 or 12 years.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12" w:lineRule="exact"/>
        <w:rPr>
          <w:sz w:val="20"/>
          <w:szCs w:val="20"/>
          <w:color w:val="auto"/>
        </w:rPr>
      </w:pPr>
    </w:p>
    <w:p>
      <w:pPr>
        <w:ind w:right="300" w:firstLine="446"/>
        <w:spacing w:after="0" w:line="256" w:lineRule="auto"/>
        <w:rPr>
          <w:sz w:val="20"/>
          <w:szCs w:val="20"/>
          <w:color w:val="auto"/>
        </w:rPr>
      </w:pPr>
      <w:r>
        <w:rPr>
          <w:rFonts w:ascii="Arial" w:cs="Arial" w:eastAsia="Arial" w:hAnsi="Arial"/>
          <w:sz w:val="18"/>
          <w:szCs w:val="18"/>
          <w:color w:val="auto"/>
        </w:rPr>
        <w:t>The Company has one business activity, which is the design, manufacture and sale of microinverter systems for the solar photovoltaic industry. The following table provides information about disaggregated revenue by primary geographical market and timing of revenue recognition for the Company’s single product line (in thousands):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40"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50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040" w:type="dxa"/>
            <w:vAlign w:val="bottom"/>
          </w:tcPr>
          <w:p>
            <w:pPr>
              <w:jc w:val="right"/>
              <w:ind w:right="7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7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2018</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Primary geographical markets:</w:t>
            </w:r>
          </w:p>
        </w:tc>
        <w:tc>
          <w:tcPr>
            <w:tcW w:w="5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7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50,258</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93,388</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5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25,638</w:t>
            </w:r>
          </w:p>
        </w:tc>
        <w:tc>
          <w:tcPr>
            <w:tcW w:w="3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52,480</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75,896</w:t>
            </w: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145,868</w:t>
            </w:r>
          </w:p>
        </w:tc>
      </w:tr>
      <w:tr>
        <w:trPr>
          <w:trHeight w:val="20"/>
        </w:trPr>
        <w:tc>
          <w:tcPr>
            <w:tcW w:w="6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156"/>
        </w:trPr>
        <w:tc>
          <w:tcPr>
            <w:tcW w:w="6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Timing of revenue recognition:</w:t>
            </w:r>
          </w:p>
        </w:tc>
        <w:tc>
          <w:tcPr>
            <w:tcW w:w="5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Products transferred at a point in time</w:t>
            </w:r>
          </w:p>
        </w:tc>
        <w:tc>
          <w:tcPr>
            <w:tcW w:w="520" w:type="dxa"/>
            <w:vAlign w:val="bottom"/>
          </w:tcPr>
          <w:p>
            <w:pPr>
              <w:jc w:val="right"/>
              <w:ind w:right="314"/>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65,937</w:t>
            </w:r>
          </w:p>
        </w:tc>
        <w:tc>
          <w:tcPr>
            <w:tcW w:w="3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125,308</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Products and services transferred over time</w:t>
            </w:r>
          </w:p>
        </w:tc>
        <w:tc>
          <w:tcPr>
            <w:tcW w:w="5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9,959</w:t>
            </w:r>
          </w:p>
        </w:tc>
        <w:tc>
          <w:tcPr>
            <w:tcW w:w="3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20,560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75,896</w:t>
            </w:r>
          </w:p>
        </w:tc>
        <w:tc>
          <w:tcPr>
            <w:tcW w:w="3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145,868</w:t>
            </w:r>
          </w:p>
        </w:tc>
      </w:tr>
      <w:tr>
        <w:trPr>
          <w:trHeight w:val="20"/>
        </w:trPr>
        <w:tc>
          <w:tcPr>
            <w:tcW w:w="6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328" w:lineRule="exact"/>
        <w:rPr>
          <w:sz w:val="20"/>
          <w:szCs w:val="20"/>
          <w:color w:val="auto"/>
        </w:rPr>
      </w:pPr>
    </w:p>
    <w:p>
      <w:pPr>
        <w:ind w:right="720" w:firstLine="446"/>
        <w:spacing w:after="0" w:line="262" w:lineRule="auto"/>
        <w:rPr>
          <w:sz w:val="20"/>
          <w:szCs w:val="20"/>
          <w:color w:val="auto"/>
        </w:rPr>
      </w:pPr>
      <w:r>
        <w:rPr>
          <w:rFonts w:ascii="Arial" w:cs="Arial" w:eastAsia="Arial" w:hAnsi="Arial"/>
          <w:sz w:val="18"/>
          <w:szCs w:val="18"/>
          <w:color w:val="auto"/>
        </w:rPr>
        <w:t>As of June 30, 2018, receivables, contract assets and contract liabilities from contracts with customers consist of the following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June 30, 2018</w:t>
            </w:r>
          </w:p>
        </w:tc>
      </w:tr>
      <w:tr>
        <w:trPr>
          <w:trHeight w:val="256"/>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58,696</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Short-term contract assets (Prepaid expenses and other assets)</w:t>
            </w:r>
          </w:p>
        </w:tc>
        <w:tc>
          <w:tcPr>
            <w:tcW w:w="38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13,626</w:t>
            </w: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contract assets (Other assets)</w:t>
            </w: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33,134</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Short-term contract liabilities (Deferred revenues, current)</w:t>
            </w:r>
          </w:p>
        </w:tc>
        <w:tc>
          <w:tcPr>
            <w:tcW w:w="380" w:type="dxa"/>
            <w:vAlign w:val="bottom"/>
          </w:tcPr>
          <w:p>
            <w:pPr>
              <w:spacing w:after="0"/>
              <w:rPr>
                <w:sz w:val="22"/>
                <w:szCs w:val="22"/>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34,954</w:t>
            </w: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contract liabilities (Deferred revenues, noncurrent)</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75,107</w:t>
            </w:r>
          </w:p>
        </w:tc>
      </w:tr>
    </w:tbl>
    <w:p>
      <w:pPr>
        <w:spacing w:after="0" w:line="377" w:lineRule="exact"/>
        <w:rPr>
          <w:sz w:val="20"/>
          <w:szCs w:val="20"/>
          <w:color w:val="auto"/>
        </w:rPr>
      </w:pPr>
    </w:p>
    <w:p>
      <w:pPr>
        <w:ind w:right="100" w:firstLine="446"/>
        <w:spacing w:after="0" w:line="252"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liabilities are recorded as deferred revenue on the accompanying condensed consolidated balance sheets and include payments received in advance of performance obligations under the contract and are realized when the associated revenue is recognized under the contract. Contract assets include deferred product costs and commissions associated with the deferred revenue and will be amortized along with the associated revenue. The Company had no asset impairment charges related to contract assets in the six months ended June 30, 2018.</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changes in the balances of contract liabilities (deferred revenues) and contract assets (prepaid expenses and 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 are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June 30, 2018</w:t>
            </w: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3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Balance on January 1, 2018</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116,830</w:t>
            </w: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Revenue recognized</w:t>
            </w: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(22,560)</w:t>
            </w:r>
          </w:p>
        </w:tc>
      </w:tr>
      <w:tr>
        <w:trPr>
          <w:trHeight w:val="264"/>
        </w:trPr>
        <w:tc>
          <w:tcPr>
            <w:tcW w:w="9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Increase due to billings</w:t>
            </w:r>
          </w:p>
        </w:tc>
        <w:tc>
          <w:tcPr>
            <w:tcW w:w="3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15,791</w:t>
            </w:r>
          </w:p>
        </w:tc>
      </w:tr>
      <w:tr>
        <w:trPr>
          <w:trHeight w:val="250"/>
        </w:trPr>
        <w:tc>
          <w:tcPr>
            <w:tcW w:w="9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as of June 30, 2018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110,061</w:t>
            </w: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924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380" w:type="dxa"/>
            <w:vAlign w:val="bottom"/>
          </w:tcPr>
          <w:p>
            <w:pPr>
              <w:spacing w:after="0"/>
              <w:rPr>
                <w:sz w:val="20"/>
                <w:szCs w:val="20"/>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34,954</w:t>
            </w: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75,107</w:t>
            </w:r>
          </w:p>
        </w:tc>
      </w:tr>
      <w:tr>
        <w:trPr>
          <w:trHeight w:val="189"/>
        </w:trPr>
        <w:tc>
          <w:tcPr>
            <w:tcW w:w="9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70"/>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Contract Assets</w:t>
            </w:r>
          </w:p>
        </w:tc>
        <w:tc>
          <w:tcPr>
            <w:tcW w:w="3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63"/>
        </w:trPr>
        <w:tc>
          <w:tcPr>
            <w:tcW w:w="9240" w:type="dxa"/>
            <w:vAlign w:val="bottom"/>
          </w:tcPr>
          <w:p>
            <w:pPr>
              <w:ind w:left="280"/>
              <w:spacing w:after="0"/>
              <w:rPr>
                <w:sz w:val="20"/>
                <w:szCs w:val="20"/>
                <w:color w:val="auto"/>
              </w:rPr>
            </w:pPr>
            <w:r>
              <w:rPr>
                <w:rFonts w:ascii="Arial" w:cs="Arial" w:eastAsia="Arial" w:hAnsi="Arial"/>
                <w:sz w:val="18"/>
                <w:szCs w:val="18"/>
                <w:color w:val="auto"/>
              </w:rPr>
              <w:t>Balance on January 1, 2018</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47,862</w:t>
            </w:r>
          </w:p>
        </w:tc>
      </w:tr>
      <w:tr>
        <w:trPr>
          <w:trHeight w:val="277"/>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 recognized</w:t>
            </w: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r>
      <w:tr>
        <w:trPr>
          <w:trHeight w:val="264"/>
        </w:trPr>
        <w:tc>
          <w:tcPr>
            <w:tcW w:w="9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Increase</w:t>
            </w:r>
          </w:p>
        </w:tc>
        <w:tc>
          <w:tcPr>
            <w:tcW w:w="3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6,579</w:t>
            </w:r>
          </w:p>
        </w:tc>
      </w:tr>
      <w:tr>
        <w:trPr>
          <w:trHeight w:val="250"/>
        </w:trPr>
        <w:tc>
          <w:tcPr>
            <w:tcW w:w="9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Balance as of June 30, 2018</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46,807</w:t>
            </w: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40"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328" w:lineRule="exact"/>
        <w:rPr>
          <w:sz w:val="20"/>
          <w:szCs w:val="20"/>
          <w:color w:val="auto"/>
        </w:rPr>
      </w:pPr>
    </w:p>
    <w:p>
      <w:pPr>
        <w:ind w:right="280" w:firstLine="446"/>
        <w:spacing w:after="0" w:line="262" w:lineRule="auto"/>
        <w:rPr>
          <w:sz w:val="20"/>
          <w:szCs w:val="20"/>
          <w:color w:val="auto"/>
        </w:rPr>
      </w:pPr>
      <w:r>
        <w:rPr>
          <w:rFonts w:ascii="Arial" w:cs="Arial" w:eastAsia="Arial" w:hAnsi="Arial"/>
          <w:sz w:val="18"/>
          <w:szCs w:val="18"/>
          <w:color w:val="auto"/>
        </w:rPr>
        <w:t>The following table includes estimated revenue expected to be recognized in future periods related to performance obligations that are unsatisfied or partially unsatisfied at the end of the reporting period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June 30, 2018</w:t>
            </w:r>
          </w:p>
        </w:tc>
      </w:tr>
      <w:tr>
        <w:trPr>
          <w:trHeight w:val="256"/>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19,849</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2"/>
                <w:szCs w:val="22"/>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29,349</w:t>
            </w: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23,194</w:t>
            </w:r>
          </w:p>
        </w:tc>
      </w:tr>
      <w:tr>
        <w:trPr>
          <w:trHeight w:val="263"/>
        </w:trPr>
        <w:tc>
          <w:tcPr>
            <w:tcW w:w="924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2"/>
                <w:szCs w:val="22"/>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16,997</w:t>
            </w:r>
          </w:p>
        </w:tc>
      </w:tr>
      <w:tr>
        <w:trPr>
          <w:trHeight w:val="277"/>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11,940</w:t>
            </w:r>
          </w:p>
        </w:tc>
      </w:tr>
      <w:tr>
        <w:trPr>
          <w:trHeight w:val="264"/>
        </w:trPr>
        <w:tc>
          <w:tcPr>
            <w:tcW w:w="9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8,732</w:t>
            </w: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110,061</w:t>
            </w: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328" w:lineRule="exact"/>
        <w:rPr>
          <w:sz w:val="20"/>
          <w:szCs w:val="20"/>
          <w:color w:val="auto"/>
        </w:rPr>
      </w:pPr>
    </w:p>
    <w:p>
      <w:pPr>
        <w:jc w:val="both"/>
        <w:ind w:right="40" w:firstLine="446"/>
        <w:spacing w:after="0" w:line="256" w:lineRule="auto"/>
        <w:rPr>
          <w:sz w:val="20"/>
          <w:szCs w:val="20"/>
          <w:color w:val="auto"/>
        </w:rPr>
      </w:pPr>
      <w:r>
        <w:rPr>
          <w:rFonts w:ascii="Arial" w:cs="Arial" w:eastAsia="Arial" w:hAnsi="Arial"/>
          <w:sz w:val="18"/>
          <w:szCs w:val="18"/>
          <w:color w:val="auto"/>
        </w:rPr>
        <w:t>The Company generally expenses sales commissions related to products delivered at a point in time when the commissions are incurred because the amortization period would have been less than one year. The Company records these costs as sales and marketing expense. The Company expenses shipping and handling costs as incurred.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Adoption of Topic 606</w:t>
      </w:r>
    </w:p>
    <w:p>
      <w:pPr>
        <w:spacing w:after="0" w:line="328" w:lineRule="exact"/>
        <w:rPr>
          <w:sz w:val="20"/>
          <w:szCs w:val="20"/>
          <w:color w:val="auto"/>
        </w:rPr>
      </w:pPr>
    </w:p>
    <w:p>
      <w:pPr>
        <w:ind w:right="840" w:firstLine="446"/>
        <w:spacing w:after="0" w:line="262" w:lineRule="auto"/>
        <w:rPr>
          <w:sz w:val="20"/>
          <w:szCs w:val="20"/>
          <w:color w:val="auto"/>
        </w:rPr>
      </w:pPr>
      <w:r>
        <w:rPr>
          <w:rFonts w:ascii="Arial" w:cs="Arial" w:eastAsia="Arial" w:hAnsi="Arial"/>
          <w:sz w:val="18"/>
          <w:szCs w:val="18"/>
          <w:color w:val="auto"/>
        </w:rPr>
        <w:t>In accordance with Topic 606, the disclosure of the impact of adoption to the Company’s condensed consolidated statements of operations and condensed consolidated balance sheets was as follows (in thousands):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4200"/>
        <w:spacing w:after="0"/>
        <w:rPr>
          <w:sz w:val="20"/>
          <w:szCs w:val="20"/>
          <w:color w:val="auto"/>
        </w:rPr>
      </w:pPr>
      <w:r>
        <w:rPr>
          <w:rFonts w:ascii="Arial" w:cs="Arial" w:eastAsia="Arial" w:hAnsi="Arial"/>
          <w:sz w:val="14"/>
          <w:szCs w:val="14"/>
          <w:b w:val="1"/>
          <w:bCs w:val="1"/>
          <w:color w:val="auto"/>
        </w:rPr>
        <w:t>Three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26035</wp:posOffset>
            </wp:positionV>
            <wp:extent cx="2470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67"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Without</w:t>
      </w:r>
    </w:p>
    <w:p>
      <w:pPr>
        <w:spacing w:after="0" w:line="1" w:lineRule="exact"/>
        <w:rPr>
          <w:sz w:val="20"/>
          <w:szCs w:val="20"/>
          <w:color w:val="auto"/>
        </w:rPr>
      </w:pPr>
    </w:p>
    <w:p>
      <w:pPr>
        <w:ind w:left="6380"/>
        <w:spacing w:after="0"/>
        <w:rPr>
          <w:sz w:val="20"/>
          <w:szCs w:val="20"/>
          <w:color w:val="auto"/>
        </w:rPr>
      </w:pPr>
      <w:r>
        <w:rPr>
          <w:rFonts w:ascii="Arial" w:cs="Arial" w:eastAsia="Arial" w:hAnsi="Arial"/>
          <w:sz w:val="14"/>
          <w:szCs w:val="14"/>
          <w:color w:val="auto"/>
        </w:rPr>
        <w:t>Adoption of</w:t>
      </w:r>
    </w:p>
    <w:p>
      <w:pPr>
        <w:spacing w:after="0" w:line="1" w:lineRule="exact"/>
        <w:rPr>
          <w:sz w:val="20"/>
          <w:szCs w:val="20"/>
          <w:color w:val="auto"/>
        </w:rPr>
      </w:pPr>
    </w:p>
    <w:p>
      <w:pPr>
        <w:ind w:left="3620"/>
        <w:spacing w:after="0"/>
        <w:tabs>
          <w:tab w:leader="none" w:pos="4980" w:val="left"/>
          <w:tab w:leader="none" w:pos="6420" w:val="left"/>
        </w:tabs>
        <w:rPr>
          <w:sz w:val="20"/>
          <w:szCs w:val="20"/>
          <w:color w:val="auto"/>
        </w:rPr>
      </w:pPr>
      <w:r>
        <w:rPr>
          <w:rFonts w:ascii="Arial" w:cs="Arial" w:eastAsia="Arial" w:hAnsi="Arial"/>
          <w:sz w:val="14"/>
          <w:szCs w:val="14"/>
          <w:color w:val="auto"/>
        </w:rPr>
        <w:t>As Reported</w:t>
      </w:r>
      <w:r>
        <w:rPr>
          <w:sz w:val="20"/>
          <w:szCs w:val="20"/>
          <w:color w:val="auto"/>
        </w:rPr>
        <w:tab/>
      </w:r>
      <w:r>
        <w:rPr>
          <w:rFonts w:ascii="Arial" w:cs="Arial" w:eastAsia="Arial" w:hAnsi="Arial"/>
          <w:sz w:val="14"/>
          <w:szCs w:val="14"/>
          <w:color w:val="auto"/>
        </w:rPr>
        <w:t>Adjustments</w:t>
      </w:r>
      <w:r>
        <w:rPr>
          <w:sz w:val="20"/>
          <w:szCs w:val="20"/>
          <w:color w:val="auto"/>
        </w:rPr>
        <w:tab/>
      </w:r>
      <w:r>
        <w:rPr>
          <w:rFonts w:ascii="Arial" w:cs="Arial" w:eastAsia="Arial" w:hAnsi="Arial"/>
          <w:sz w:val="14"/>
          <w:szCs w:val="14"/>
          <w:color w:val="auto"/>
        </w:rPr>
        <w:t>Topic 606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26035</wp:posOffset>
            </wp:positionV>
            <wp:extent cx="2461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67"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Without</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4"/>
          <w:szCs w:val="14"/>
          <w:color w:val="auto"/>
        </w:rPr>
        <w:t>Adoption of</w:t>
      </w:r>
    </w:p>
    <w:p>
      <w:pPr>
        <w:spacing w:after="0" w:line="1" w:lineRule="exact"/>
        <w:rPr>
          <w:sz w:val="20"/>
          <w:szCs w:val="20"/>
          <w:color w:val="auto"/>
        </w:rPr>
      </w:pPr>
    </w:p>
    <w:p>
      <w:pPr>
        <w:spacing w:after="0"/>
        <w:tabs>
          <w:tab w:leader="none" w:pos="1340" w:val="left"/>
          <w:tab w:leader="none" w:pos="2800" w:val="left"/>
        </w:tabs>
        <w:rPr>
          <w:sz w:val="20"/>
          <w:szCs w:val="20"/>
          <w:color w:val="auto"/>
        </w:rPr>
      </w:pPr>
      <w:r>
        <w:rPr>
          <w:rFonts w:ascii="Arial" w:cs="Arial" w:eastAsia="Arial" w:hAnsi="Arial"/>
          <w:sz w:val="14"/>
          <w:szCs w:val="14"/>
          <w:color w:val="auto"/>
        </w:rPr>
        <w:t>As Reported</w:t>
      </w:r>
      <w:r>
        <w:rPr>
          <w:sz w:val="20"/>
          <w:szCs w:val="20"/>
          <w:color w:val="auto"/>
        </w:rPr>
        <w:tab/>
      </w:r>
      <w:r>
        <w:rPr>
          <w:rFonts w:ascii="Arial" w:cs="Arial" w:eastAsia="Arial" w:hAnsi="Arial"/>
          <w:sz w:val="14"/>
          <w:szCs w:val="14"/>
          <w:color w:val="auto"/>
        </w:rPr>
        <w:t>Adjustments</w:t>
      </w:r>
      <w:r>
        <w:rPr>
          <w:sz w:val="20"/>
          <w:szCs w:val="20"/>
          <w:color w:val="auto"/>
        </w:rPr>
        <w:tab/>
      </w:r>
      <w:r>
        <w:rPr>
          <w:rFonts w:ascii="Arial" w:cs="Arial" w:eastAsia="Arial" w:hAnsi="Arial"/>
          <w:sz w:val="14"/>
          <w:szCs w:val="14"/>
          <w:color w:val="auto"/>
        </w:rPr>
        <w:t>Topic 606</w:t>
      </w:r>
    </w:p>
    <w:p>
      <w:pPr>
        <w:spacing w:after="0" w:line="11" w:lineRule="exact"/>
        <w:rPr>
          <w:sz w:val="20"/>
          <w:szCs w:val="20"/>
          <w:color w:val="auto"/>
        </w:rPr>
      </w:pPr>
    </w:p>
    <w:p>
      <w:pPr>
        <w:sectPr>
          <w:pgSz w:w="11900" w:h="16838" w:orient="portrait"/>
          <w:cols w:equalWidth="0" w:num="2">
            <w:col w:w="7120" w:space="600"/>
            <w:col w:w="3700"/>
          </w:cols>
          <w:pgMar w:left="240" w:top="140" w:right="2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75,896</w:t>
            </w:r>
          </w:p>
        </w:tc>
        <w:tc>
          <w:tcPr>
            <w:tcW w:w="220" w:type="dxa"/>
            <w:vAlign w:val="bottom"/>
            <w:tcBorders>
              <w:top w:val="single" w:sz="8" w:color="auto"/>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73,877</w:t>
            </w:r>
          </w:p>
        </w:tc>
        <w:tc>
          <w:tcPr>
            <w:tcW w:w="2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145,868</w:t>
            </w:r>
          </w:p>
        </w:tc>
        <w:tc>
          <w:tcPr>
            <w:tcW w:w="20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143,410</w:t>
            </w: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53,195</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52,368</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104,851</w:t>
            </w: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103,855</w:t>
            </w: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22,701</w:t>
            </w:r>
          </w:p>
        </w:tc>
        <w:tc>
          <w:tcPr>
            <w:tcW w:w="2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21,509</w:t>
            </w:r>
          </w:p>
        </w:tc>
        <w:tc>
          <w:tcPr>
            <w:tcW w:w="2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41,017</w:t>
            </w:r>
          </w:p>
        </w:tc>
        <w:tc>
          <w:tcPr>
            <w:tcW w:w="2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2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39,555</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9,462</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9,462</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17,082</w:t>
            </w: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263"/>
        </w:trPr>
        <w:tc>
          <w:tcPr>
            <w:tcW w:w="34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6,828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6,805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13,055</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12,997</w:t>
            </w:r>
          </w:p>
        </w:tc>
        <w:tc>
          <w:tcPr>
            <w:tcW w:w="0" w:type="dxa"/>
            <w:vAlign w:val="bottom"/>
          </w:tcPr>
          <w:p>
            <w:pPr>
              <w:spacing w:after="0"/>
              <w:rPr>
                <w:sz w:val="1"/>
                <w:szCs w:val="1"/>
                <w:color w:val="auto"/>
              </w:rPr>
            </w:pPr>
          </w:p>
        </w:tc>
      </w:tr>
      <w:tr>
        <w:trPr>
          <w:trHeight w:val="277"/>
        </w:trPr>
        <w:tc>
          <w:tcPr>
            <w:tcW w:w="3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6,969</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6,969</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13,913</w:t>
            </w: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13,913</w:t>
            </w:r>
          </w:p>
        </w:tc>
        <w:tc>
          <w:tcPr>
            <w:tcW w:w="0" w:type="dxa"/>
            <w:vAlign w:val="bottom"/>
          </w:tcPr>
          <w:p>
            <w:pPr>
              <w:spacing w:after="0"/>
              <w:rPr>
                <w:sz w:val="1"/>
                <w:szCs w:val="1"/>
                <w:color w:val="auto"/>
              </w:rPr>
            </w:pPr>
          </w:p>
        </w:tc>
      </w:tr>
      <w:tr>
        <w:trPr>
          <w:trHeight w:val="264"/>
        </w:trPr>
        <w:tc>
          <w:tcPr>
            <w:tcW w:w="344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23,259</w:t>
            </w:r>
          </w:p>
        </w:tc>
        <w:tc>
          <w:tcPr>
            <w:tcW w:w="2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23,236</w:t>
            </w:r>
          </w:p>
        </w:tc>
        <w:tc>
          <w:tcPr>
            <w:tcW w:w="2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44,050</w:t>
            </w:r>
          </w:p>
        </w:tc>
        <w:tc>
          <w:tcPr>
            <w:tcW w:w="2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43,992</w:t>
            </w:r>
          </w:p>
        </w:tc>
        <w:tc>
          <w:tcPr>
            <w:tcW w:w="0" w:type="dxa"/>
            <w:vAlign w:val="bottom"/>
          </w:tcPr>
          <w:p>
            <w:pPr>
              <w:spacing w:after="0"/>
              <w:rPr>
                <w:sz w:val="1"/>
                <w:szCs w:val="1"/>
                <w:color w:val="auto"/>
              </w:rPr>
            </w:pPr>
          </w:p>
        </w:tc>
      </w:tr>
      <w:tr>
        <w:trPr>
          <w:trHeight w:val="250"/>
        </w:trPr>
        <w:tc>
          <w:tcPr>
            <w:tcW w:w="34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(4,562)</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50"/>
        </w:trPr>
        <w:tc>
          <w:tcPr>
            <w:tcW w:w="344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57"/>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2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57"/>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Net loss per share:</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Shares used in per share calculation:</w:t>
            </w: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97,321</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97,321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94,026</w:t>
            </w: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94,026</w:t>
            </w:r>
          </w:p>
        </w:tc>
        <w:tc>
          <w:tcPr>
            <w:tcW w:w="0" w:type="dxa"/>
            <w:vAlign w:val="bottom"/>
          </w:tcPr>
          <w:p>
            <w:pPr>
              <w:spacing w:after="0"/>
              <w:rPr>
                <w:sz w:val="1"/>
                <w:szCs w:val="1"/>
                <w:color w:val="auto"/>
              </w:rPr>
            </w:pPr>
          </w:p>
        </w:tc>
      </w:tr>
      <w:tr>
        <w:trPr>
          <w:trHeight w:val="480"/>
        </w:trPr>
        <w:tc>
          <w:tcPr>
            <w:tcW w:w="3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2"/>
              <w:spacing w:after="0"/>
              <w:rPr>
                <w:sz w:val="20"/>
                <w:szCs w:val="20"/>
                <w:color w:val="auto"/>
              </w:rPr>
            </w:pPr>
            <w:r>
              <w:rPr>
                <w:rFonts w:ascii="Arial" w:cs="Arial" w:eastAsia="Arial" w:hAnsi="Arial"/>
                <w:sz w:val="14"/>
                <w:szCs w:val="14"/>
                <w:color w:val="auto"/>
              </w:rPr>
              <w:t>Without</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2"/>
              <w:spacing w:after="0"/>
              <w:rPr>
                <w:sz w:val="20"/>
                <w:szCs w:val="20"/>
                <w:color w:val="auto"/>
              </w:rPr>
            </w:pPr>
            <w:r>
              <w:rPr>
                <w:rFonts w:ascii="Arial" w:cs="Arial" w:eastAsia="Arial" w:hAnsi="Arial"/>
                <w:sz w:val="14"/>
                <w:szCs w:val="14"/>
                <w:color w:val="auto"/>
              </w:rPr>
              <w:t>Adoption of</w:t>
            </w:r>
          </w:p>
        </w:tc>
        <w:tc>
          <w:tcPr>
            <w:tcW w:w="0" w:type="dxa"/>
            <w:vAlign w:val="bottom"/>
          </w:tcPr>
          <w:p>
            <w:pPr>
              <w:spacing w:after="0"/>
              <w:rPr>
                <w:sz w:val="1"/>
                <w:szCs w:val="1"/>
                <w:color w:val="auto"/>
              </w:rPr>
            </w:pPr>
          </w:p>
        </w:tc>
      </w:tr>
      <w:tr>
        <w:trPr>
          <w:trHeight w:val="178"/>
        </w:trPr>
        <w:tc>
          <w:tcPr>
            <w:tcW w:w="3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As Reported</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Adjustments</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rPr>
              <w:t>Topic 606</w:t>
            </w:r>
          </w:p>
        </w:tc>
        <w:tc>
          <w:tcPr>
            <w:tcW w:w="0" w:type="dxa"/>
            <w:vAlign w:val="bottom"/>
          </w:tcPr>
          <w:p>
            <w:pPr>
              <w:spacing w:after="0"/>
              <w:rPr>
                <w:sz w:val="1"/>
                <w:szCs w:val="1"/>
                <w:color w:val="auto"/>
              </w:rPr>
            </w:pP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20,741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(9,878)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36,030</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(27,856)</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8,174</w:t>
            </w:r>
          </w:p>
        </w:tc>
        <w:tc>
          <w:tcPr>
            <w:tcW w:w="0" w:type="dxa"/>
            <w:vAlign w:val="bottom"/>
          </w:tcPr>
          <w:p>
            <w:pPr>
              <w:spacing w:after="0"/>
              <w:rPr>
                <w:sz w:val="1"/>
                <w:szCs w:val="1"/>
                <w:color w:val="auto"/>
              </w:rPr>
            </w:pP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31,095</w:t>
            </w:r>
          </w:p>
        </w:tc>
        <w:tc>
          <w:tcPr>
            <w:tcW w:w="26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(5,180)</w:t>
            </w:r>
          </w:p>
        </w:tc>
        <w:tc>
          <w:tcPr>
            <w:tcW w:w="16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25,915</w:t>
            </w:r>
          </w:p>
        </w:tc>
        <w:tc>
          <w:tcPr>
            <w:tcW w:w="0" w:type="dxa"/>
            <w:vAlign w:val="bottom"/>
          </w:tcPr>
          <w:p>
            <w:pPr>
              <w:spacing w:after="0"/>
              <w:rPr>
                <w:sz w:val="1"/>
                <w:szCs w:val="1"/>
                <w:color w:val="auto"/>
              </w:rPr>
            </w:pP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revenues</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34,954</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(19,884)</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15,070</w:t>
            </w:r>
          </w:p>
        </w:tc>
        <w:tc>
          <w:tcPr>
            <w:tcW w:w="0" w:type="dxa"/>
            <w:vAlign w:val="bottom"/>
          </w:tcPr>
          <w:p>
            <w:pPr>
              <w:spacing w:after="0"/>
              <w:rPr>
                <w:sz w:val="1"/>
                <w:szCs w:val="1"/>
                <w:color w:val="auto"/>
              </w:rPr>
            </w:pPr>
          </w:p>
        </w:tc>
      </w:tr>
      <w:tr>
        <w:trPr>
          <w:trHeight w:val="263"/>
        </w:trPr>
        <w:tc>
          <w:tcPr>
            <w:tcW w:w="3440" w:type="dxa"/>
            <w:vAlign w:val="bottom"/>
          </w:tcPr>
          <w:p>
            <w:pPr>
              <w:ind w:left="40"/>
              <w:spacing w:after="0"/>
              <w:rPr>
                <w:sz w:val="20"/>
                <w:szCs w:val="20"/>
                <w:color w:val="auto"/>
              </w:rPr>
            </w:pPr>
            <w:r>
              <w:rPr>
                <w:rFonts w:ascii="Arial" w:cs="Arial" w:eastAsia="Arial" w:hAnsi="Arial"/>
                <w:sz w:val="18"/>
                <w:szCs w:val="18"/>
                <w:color w:val="auto"/>
              </w:rPr>
              <w:t>Deferred revenues, noncurrent</w:t>
            </w: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75,107</w:t>
            </w:r>
          </w:p>
        </w:tc>
        <w:tc>
          <w:tcPr>
            <w:tcW w:w="26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(50,210)</w:t>
            </w:r>
          </w:p>
        </w:tc>
        <w:tc>
          <w:tcPr>
            <w:tcW w:w="16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24,897</w:t>
            </w:r>
          </w:p>
        </w:tc>
        <w:tc>
          <w:tcPr>
            <w:tcW w:w="0" w:type="dxa"/>
            <w:vAlign w:val="bottom"/>
          </w:tcPr>
          <w:p>
            <w:pPr>
              <w:spacing w:after="0"/>
              <w:rPr>
                <w:sz w:val="1"/>
                <w:szCs w:val="1"/>
                <w:color w:val="auto"/>
              </w:rPr>
            </w:pPr>
          </w:p>
        </w:tc>
      </w:tr>
      <w:tr>
        <w:trPr>
          <w:trHeight w:val="27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(343,541)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(306,001)</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as of June 30, 2018 and December 31, 2017 consists of the following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0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480" w:type="dxa"/>
            <w:vAlign w:val="bottom"/>
            <w:tcBorders>
              <w:bottom w:val="single" w:sz="8" w:color="CCEEFF"/>
            </w:tcBorders>
          </w:tcPr>
          <w:p>
            <w:pPr>
              <w:spacing w:after="0"/>
              <w:rPr>
                <w:sz w:val="17"/>
                <w:szCs w:val="17"/>
                <w:color w:val="auto"/>
              </w:rPr>
            </w:pPr>
          </w:p>
        </w:tc>
        <w:tc>
          <w:tcPr>
            <w:tcW w:w="48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Finished goods</w:t>
            </w:r>
          </w:p>
        </w:tc>
        <w:tc>
          <w:tcPr>
            <w:tcW w:w="4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14,582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23,658</w:t>
            </w:r>
          </w:p>
        </w:tc>
        <w:tc>
          <w:tcPr>
            <w:tcW w:w="0" w:type="dxa"/>
            <w:vAlign w:val="bottom"/>
          </w:tcPr>
          <w:p>
            <w:pPr>
              <w:spacing w:after="0"/>
              <w:rPr>
                <w:sz w:val="1"/>
                <w:szCs w:val="1"/>
                <w:color w:val="auto"/>
              </w:rPr>
            </w:pPr>
          </w:p>
        </w:tc>
      </w:tr>
      <w:tr>
        <w:trPr>
          <w:trHeight w:val="25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5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17,471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25,999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8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WARRANTY OBLIGATIONS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warranty activities during the three and six months ended June 30, 2018 and 2017 were as follows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6"/>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obligations, beginning of period</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30,625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31,995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29,816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31,414</w:t>
            </w: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Accruals for warranties issued during period</w:t>
            </w:r>
          </w:p>
        </w:tc>
        <w:tc>
          <w:tcPr>
            <w:tcW w:w="280" w:type="dxa"/>
            <w:vAlign w:val="bottom"/>
          </w:tcPr>
          <w:p>
            <w:pPr>
              <w:spacing w:after="0"/>
              <w:rPr>
                <w:sz w:val="22"/>
                <w:szCs w:val="22"/>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1,921</w:t>
            </w: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in estimates</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203</w:t>
            </w:r>
          </w:p>
        </w:tc>
      </w:tr>
      <w:tr>
        <w:trPr>
          <w:trHeight w:val="263"/>
        </w:trPr>
        <w:tc>
          <w:tcPr>
            <w:tcW w:w="650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(3,598)</w:t>
            </w:r>
          </w:p>
        </w:tc>
      </w:tr>
      <w:tr>
        <w:trPr>
          <w:trHeight w:val="277"/>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due to accretion expense</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993</w:t>
            </w:r>
          </w:p>
        </w:tc>
      </w:tr>
      <w:tr>
        <w:trPr>
          <w:trHeight w:val="264"/>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680</w:t>
            </w: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Warranty obligations, end of period</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31,642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31,613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31,642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31,613</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23,581</w:t>
            </w:r>
          </w:p>
        </w:tc>
      </w:tr>
      <w:tr>
        <w:trPr>
          <w:trHeight w:val="20"/>
        </w:trPr>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As of June 30, 2018, the $31.6 million of warranty obligations included $12.8 million measured at fair value. See Note 5, “Fair Value Measurements”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93" w:lineRule="exact"/>
        <w:rPr>
          <w:sz w:val="20"/>
          <w:szCs w:val="20"/>
          <w:color w:val="auto"/>
        </w:rPr>
      </w:pPr>
    </w:p>
    <w:p>
      <w:pPr>
        <w:ind w:right="320" w:firstLine="446"/>
        <w:spacing w:after="0" w:line="253"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52" w:lineRule="exact"/>
        <w:rPr>
          <w:sz w:val="20"/>
          <w:szCs w:val="20"/>
          <w:color w:val="auto"/>
        </w:rPr>
      </w:pPr>
    </w:p>
    <w:p>
      <w:pPr>
        <w:ind w:right="260" w:firstLine="446"/>
        <w:spacing w:after="0" w:line="256"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67" w:lineRule="exact"/>
        <w:rPr>
          <w:sz w:val="20"/>
          <w:szCs w:val="20"/>
          <w:color w:val="auto"/>
        </w:rPr>
      </w:pPr>
    </w:p>
    <w:p>
      <w:pPr>
        <w:ind w:left="980" w:right="20" w:hanging="486"/>
        <w:spacing w:after="0" w:line="25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66" w:lineRule="exact"/>
        <w:rPr>
          <w:rFonts w:ascii="Arial" w:cs="Arial" w:eastAsia="Arial" w:hAnsi="Arial"/>
          <w:sz w:val="18"/>
          <w:szCs w:val="18"/>
          <w:color w:val="auto"/>
        </w:rPr>
      </w:pPr>
    </w:p>
    <w:p>
      <w:pPr>
        <w:ind w:left="980" w:right="640" w:hanging="486"/>
        <w:spacing w:after="0" w:line="262"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61"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ind w:right="240" w:firstLine="446"/>
        <w:spacing w:after="0" w:line="262" w:lineRule="auto"/>
        <w:rPr>
          <w:sz w:val="20"/>
          <w:szCs w:val="20"/>
          <w:color w:val="auto"/>
        </w:rPr>
      </w:pPr>
      <w:r>
        <w:rPr>
          <w:rFonts w:ascii="Arial" w:cs="Arial" w:eastAsia="Arial" w:hAnsi="Arial"/>
          <w:sz w:val="18"/>
          <w:szCs w:val="18"/>
          <w:color w:val="auto"/>
        </w:rPr>
        <w:t>The following table presents the Company’s liabilities that were measured at fair value on a recurring basis and its categorization within the fair value hierarchy at June 30, 2018 and December 31, 2017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20" w:type="dxa"/>
            <w:vAlign w:val="bottom"/>
          </w:tcPr>
          <w:p>
            <w:pPr>
              <w:jc w:val="right"/>
              <w:ind w:right="159"/>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8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Hierarchy</w:t>
            </w:r>
          </w:p>
        </w:tc>
        <w:tc>
          <w:tcPr>
            <w:tcW w:w="260" w:type="dxa"/>
            <w:vAlign w:val="bottom"/>
          </w:tcPr>
          <w:p>
            <w:pPr>
              <w:spacing w:after="0"/>
              <w:rPr>
                <w:sz w:val="17"/>
                <w:szCs w:val="17"/>
                <w:color w:val="auto"/>
              </w:rPr>
            </w:pPr>
          </w:p>
        </w:tc>
        <w:tc>
          <w:tcPr>
            <w:tcW w:w="11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70"/>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Warranty obligations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12,836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9,790</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party option to purchase receivables at a discount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Level 3</w:t>
            </w:r>
          </w:p>
        </w:tc>
        <w:tc>
          <w:tcPr>
            <w:tcW w:w="2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193" w:lineRule="exact"/>
        <w:rPr>
          <w:sz w:val="20"/>
          <w:szCs w:val="20"/>
          <w:color w:val="auto"/>
        </w:rPr>
      </w:pPr>
    </w:p>
    <w:p>
      <w:pPr>
        <w:ind w:right="480" w:firstLine="446"/>
        <w:spacing w:after="0" w:line="262"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Under Accounting</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Standards Codification (“ASC”) 825—Financial Instruments,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150" w:lineRule="exact"/>
        <w:rPr>
          <w:sz w:val="20"/>
          <w:szCs w:val="20"/>
          <w:color w:val="auto"/>
        </w:rPr>
      </w:pPr>
    </w:p>
    <w:p>
      <w:pPr>
        <w:jc w:val="both"/>
        <w:ind w:right="320" w:firstLine="446"/>
        <w:spacing w:after="0" w:line="250"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w:t>
      </w:r>
    </w:p>
    <w:p>
      <w:pPr>
        <w:spacing w:after="0" w:line="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Such additional assumptions included a discount rate based on the Company’s credit-adjusted risk-free rate and compensation comprised of a profit element and risk premium required of a market participant to assume the obligation.</w:t>
      </w:r>
    </w:p>
    <w:p>
      <w:pPr>
        <w:spacing w:after="0" w:line="88" w:lineRule="exact"/>
        <w:rPr>
          <w:sz w:val="20"/>
          <w:szCs w:val="20"/>
          <w:color w:val="auto"/>
        </w:rPr>
      </w:pPr>
    </w:p>
    <w:p>
      <w:pPr>
        <w:ind w:right="620" w:firstLine="446"/>
        <w:spacing w:after="0" w:line="262"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r>
      <w:tr>
        <w:trPr>
          <w:trHeight w:val="264"/>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r>
      <w:tr>
        <w:trPr>
          <w:trHeight w:val="249"/>
        </w:trPr>
        <w:tc>
          <w:tcPr>
            <w:tcW w:w="69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11,719</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11,627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9,790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10,332</w:t>
            </w:r>
          </w:p>
        </w:tc>
      </w:tr>
      <w:tr>
        <w:trPr>
          <w:trHeight w:val="277"/>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for warranties issued during period</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1,910</w:t>
            </w: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Changes in estimates</w:t>
            </w: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7"/>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Increase due to accretion expense</w:t>
            </w: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994</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12,836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12,564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12,836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12,564</w:t>
            </w:r>
          </w:p>
        </w:tc>
      </w:tr>
      <w:tr>
        <w:trPr>
          <w:trHeight w:val="20"/>
        </w:trPr>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2018, the significant unobservable inputs used in the fair value measurement of the Company’s liabilities designated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jc w:val="center"/>
              <w:ind w:right="581"/>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17"/>
        </w:trPr>
        <w:tc>
          <w:tcPr>
            <w:tcW w:w="2760" w:type="dxa"/>
            <w:vAlign w:val="bottom"/>
            <w:gridSpan w:val="2"/>
            <w:shd w:val="clear" w:color="auto" w:fill="CCEEFF"/>
          </w:tcPr>
          <w:p>
            <w:pPr>
              <w:jc w:val="center"/>
              <w:ind w:right="820"/>
              <w:spacing w:after="0"/>
              <w:rPr>
                <w:sz w:val="20"/>
                <w:szCs w:val="20"/>
                <w:color w:val="auto"/>
              </w:rPr>
            </w:pPr>
            <w:r>
              <w:rPr>
                <w:rFonts w:ascii="Arial" w:cs="Arial" w:eastAsia="Arial" w:hAnsi="Arial"/>
                <w:sz w:val="16"/>
                <w:szCs w:val="16"/>
                <w:color w:val="auto"/>
              </w:rPr>
              <w:t>Warranty obligations for</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microinverters sold since January</w:t>
            </w: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shd w:val="clear" w:color="auto" w:fill="CCEEFF"/>
          </w:tcPr>
          <w:p>
            <w:pPr>
              <w:spacing w:after="0"/>
              <w:rPr>
                <w:sz w:val="16"/>
                <w:szCs w:val="16"/>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1, 2014</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20" w:type="dxa"/>
            <w:vAlign w:val="bottom"/>
            <w:gridSpan w:val="2"/>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As of December 31, 2017, the significant unobservable inputs used in the fair value measurement of the Company’s liabilities designated as Level 3 are as follows: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Item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44545" cy="403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4545" cy="403225"/>
                    </a:xfrm>
                    <a:prstGeom prst="rect">
                      <a:avLst/>
                    </a:prstGeom>
                    <a:noFill/>
                  </pic:spPr>
                </pic:pic>
              </a:graphicData>
            </a:graphic>
          </wp:anchor>
        </w:drawing>
      </w:r>
    </w:p>
    <w:p>
      <w:pPr>
        <w:spacing w:after="0" w:line="64" w:lineRule="exact"/>
        <w:rPr>
          <w:sz w:val="20"/>
          <w:szCs w:val="20"/>
          <w:color w:val="auto"/>
        </w:rPr>
      </w:pPr>
    </w:p>
    <w:p>
      <w:pPr>
        <w:ind w:left="200" w:hanging="80"/>
        <w:spacing w:after="0" w:line="253" w:lineRule="auto"/>
        <w:rPr>
          <w:sz w:val="20"/>
          <w:szCs w:val="20"/>
          <w:color w:val="auto"/>
        </w:rPr>
      </w:pPr>
      <w:r>
        <w:rPr>
          <w:rFonts w:ascii="Arial" w:cs="Arial" w:eastAsia="Arial" w:hAnsi="Arial"/>
          <w:sz w:val="16"/>
          <w:szCs w:val="16"/>
          <w:color w:val="auto"/>
        </w:rPr>
        <w:t>Warranty obligations for microinverters sold since January 1, 2014</w:t>
      </w:r>
    </w:p>
    <w:p>
      <w:pPr>
        <w:spacing w:after="0" w:line="39" w:lineRule="exact"/>
        <w:rPr>
          <w:sz w:val="20"/>
          <w:szCs w:val="20"/>
          <w:color w:val="auto"/>
        </w:rPr>
      </w:pPr>
    </w:p>
    <w:p>
      <w:pPr>
        <w:ind w:left="40" w:right="420"/>
        <w:spacing w:after="0" w:line="260" w:lineRule="auto"/>
        <w:rPr>
          <w:sz w:val="20"/>
          <w:szCs w:val="20"/>
          <w:color w:val="auto"/>
        </w:rPr>
      </w:pPr>
      <w:r>
        <w:rPr>
          <w:rFonts w:ascii="Arial" w:cs="Arial" w:eastAsia="Arial" w:hAnsi="Arial"/>
          <w:sz w:val="16"/>
          <w:szCs w:val="16"/>
          <w:color w:val="auto"/>
        </w:rPr>
        <w:t>Third party option to purchase receivables at a discount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Description of Significant Unobservable Input</w:t>
            </w:r>
          </w:p>
        </w:tc>
        <w:tc>
          <w:tcPr>
            <w:tcW w:w="12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277"/>
        </w:trPr>
        <w:tc>
          <w:tcPr>
            <w:tcW w:w="2400" w:type="dxa"/>
            <w:vAlign w:val="bottom"/>
            <w:vMerge w:val="restart"/>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Profit element and risk premium</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16"/>
        </w:trPr>
        <w:tc>
          <w:tcPr>
            <w:tcW w:w="2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3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rPr>
              <w:t>Credit-adjusted risk-free rate</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20" w:type="dxa"/>
            <w:vAlign w:val="bottom"/>
            <w:gridSpan w:val="2"/>
            <w:vMerge w:val="continue"/>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400" w:type="dxa"/>
            <w:vAlign w:val="bottom"/>
          </w:tcPr>
          <w:p>
            <w:pPr>
              <w:jc w:val="center"/>
              <w:spacing w:after="0"/>
              <w:rPr>
                <w:sz w:val="20"/>
                <w:szCs w:val="20"/>
                <w:color w:val="auto"/>
              </w:rPr>
            </w:pPr>
            <w:r>
              <w:rPr>
                <w:rFonts w:ascii="Arial" w:cs="Arial" w:eastAsia="Arial" w:hAnsi="Arial"/>
                <w:sz w:val="16"/>
                <w:szCs w:val="16"/>
                <w:color w:val="auto"/>
              </w:rPr>
              <w:t>Discounted cash flows</w:t>
            </w:r>
          </w:p>
        </w:tc>
        <w:tc>
          <w:tcPr>
            <w:tcW w:w="120" w:type="dxa"/>
            <w:vAlign w:val="bottom"/>
          </w:tcPr>
          <w:p>
            <w:pPr>
              <w:spacing w:after="0"/>
              <w:rPr>
                <w:sz w:val="24"/>
                <w:szCs w:val="24"/>
                <w:color w:val="auto"/>
              </w:rPr>
            </w:pPr>
          </w:p>
        </w:tc>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rPr>
              <w:t>Counter party credit-adjusted risk-free rate</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bl>
    <w:p>
      <w:pPr>
        <w:spacing w:after="0" w:line="309" w:lineRule="exact"/>
        <w:rPr>
          <w:sz w:val="20"/>
          <w:szCs w:val="20"/>
          <w:color w:val="auto"/>
        </w:rPr>
      </w:pPr>
    </w:p>
    <w:p>
      <w:pPr>
        <w:sectPr>
          <w:pgSz w:w="11900" w:h="16838" w:orient="portrait"/>
          <w:cols w:equalWidth="0" w:num="2">
            <w:col w:w="2600" w:space="160"/>
            <w:col w:w="8660"/>
          </w:cols>
          <w:pgMar w:left="240" w:top="140" w:right="239" w:bottom="1440" w:gutter="0" w:footer="0" w:header="0"/>
          <w:type w:val="continuous"/>
        </w:sectPr>
      </w:pP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40"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Inputs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Obligations</w:t>
      </w:r>
    </w:p>
    <w:p>
      <w:pPr>
        <w:spacing w:after="0" w:line="19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credit-adjusted risk free rate (“discount rate”) is determined by reference to the Company’s own credit standing at the fair value measurement date. Increasing or decreasing the profit element and risk premium input by 100 basis points would have a nominal impact on the fair value measurement of the liability. Increasing the discount rate by 100 basis points would result in a $0.6 million reduction of the liability. Decreasing the discount rate by 100 basis points would result in a $0.6 million increase to the liability.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goodwill and purchased intangible assets as of June 30, 2018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75"/>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35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Net</w:t>
            </w:r>
          </w:p>
        </w:tc>
      </w:tr>
      <w:tr>
        <w:trPr>
          <w:trHeight w:val="25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r>
      <w:tr>
        <w:trPr>
          <w:trHeight w:val="324"/>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indefinite-lived intangibles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r>
      <w:tr>
        <w:trPr>
          <w:trHeight w:val="263"/>
        </w:trPr>
        <w:tc>
          <w:tcPr>
            <w:tcW w:w="3540" w:type="dxa"/>
            <w:vAlign w:val="bottom"/>
          </w:tcPr>
          <w:p>
            <w:pPr>
              <w:ind w:left="40"/>
              <w:spacing w:after="0"/>
              <w:rPr>
                <w:sz w:val="20"/>
                <w:szCs w:val="20"/>
                <w:color w:val="auto"/>
              </w:rPr>
            </w:pPr>
            <w:r>
              <w:rPr>
                <w:rFonts w:ascii="Arial" w:cs="Arial" w:eastAsia="Arial" w:hAnsi="Arial"/>
                <w:sz w:val="18"/>
                <w:szCs w:val="18"/>
                <w:color w:val="auto"/>
              </w:rPr>
              <w:t>Intangible assets with finite lives: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Patents and licensed technology</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r>
      <w:tr>
        <w:trPr>
          <w:trHeight w:val="257"/>
        </w:trPr>
        <w:tc>
          <w:tcPr>
            <w:tcW w:w="3540" w:type="dxa"/>
            <w:vAlign w:val="bottom"/>
          </w:tcPr>
          <w:p>
            <w:pPr>
              <w:ind w:left="280"/>
              <w:spacing w:after="0"/>
              <w:rPr>
                <w:sz w:val="20"/>
                <w:szCs w:val="20"/>
                <w:color w:val="auto"/>
              </w:rPr>
            </w:pPr>
            <w:r>
              <w:rPr>
                <w:rFonts w:ascii="Arial" w:cs="Arial" w:eastAsia="Arial" w:hAnsi="Arial"/>
                <w:sz w:val="18"/>
                <w:szCs w:val="18"/>
                <w:color w:val="auto"/>
              </w:rPr>
              <w:t>Total purchased intangible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515</w:t>
            </w: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In July 2014, the Company purchased certain patents related to system interconnection and photovoltaic AC module construction. The patents were amortized over their legal life of 3 years. In October 2015, the Company licensed certain technology related to ASIC development for a 3 year term, which is also its estimated useful life.</w:t>
      </w:r>
    </w:p>
    <w:p>
      <w:pPr>
        <w:spacing w:after="0" w:line="94"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For the six months ended June 30, 2018, amortization expense related to intangible assets was $0.1 million. The remaining $0.1 million of patents and licensed technology will be amortized during the remainder of 2018.</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w:t>
      </w:r>
    </w:p>
    <w:p>
      <w:pPr>
        <w:spacing w:after="0" w:line="24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In the third quarter of 2016, the Company began implementing restructuring actions to lower its operating expenses.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 The Company substantially completed its restructuring activities in 2017.</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the Company’s restructuring charges for the periods indicated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4"/>
          </w:tcPr>
          <w:p>
            <w:pPr>
              <w:ind w:lef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severance and benefit arrangements</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63"/>
        </w:trPr>
        <w:tc>
          <w:tcPr>
            <w:tcW w:w="490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7"/>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Consultants engaged in restructuring activities</w:t>
            </w:r>
          </w:p>
        </w:tc>
        <w:tc>
          <w:tcPr>
            <w:tcW w:w="1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64"/>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Lease loss reserves and contract termination costs</w:t>
            </w:r>
          </w:p>
        </w:tc>
        <w:tc>
          <w:tcPr>
            <w:tcW w:w="1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57"/>
        </w:trPr>
        <w:tc>
          <w:tcPr>
            <w:tcW w:w="4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restructuring and asset impairment charges</w:t>
            </w:r>
          </w:p>
        </w:tc>
        <w:tc>
          <w:tcPr>
            <w:tcW w:w="20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10,856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Arial" w:cs="Arial" w:eastAsia="Arial" w:hAnsi="Arial"/>
                <w:sz w:val="18"/>
                <w:szCs w:val="18"/>
                <w:color w:val="auto"/>
              </w:rPr>
              <w:t>15</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9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accrued restructuring balance for the periods indicated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Lease Loss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Employee</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Reserves 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Severance and</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7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Obligations</w:t>
            </w:r>
          </w:p>
        </w:tc>
        <w:tc>
          <w:tcPr>
            <w:tcW w:w="260" w:type="dxa"/>
            <w:vAlign w:val="bottom"/>
          </w:tcPr>
          <w:p>
            <w:pPr>
              <w:spacing w:after="0"/>
              <w:rPr>
                <w:sz w:val="17"/>
                <w:szCs w:val="17"/>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6"/>
        </w:trPr>
        <w:tc>
          <w:tcPr>
            <w:tcW w:w="7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 as of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229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1,094</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1,323</w:t>
            </w:r>
          </w:p>
        </w:tc>
      </w:tr>
      <w:tr>
        <w:trPr>
          <w:trHeight w:val="264"/>
        </w:trPr>
        <w:tc>
          <w:tcPr>
            <w:tcW w:w="7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payments and receipts, net</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 as of June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1,148</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r>
      <w:tr>
        <w:trPr>
          <w:trHeight w:val="20"/>
        </w:trPr>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193" w:lineRule="exact"/>
        <w:rPr>
          <w:sz w:val="20"/>
          <w:szCs w:val="20"/>
          <w:color w:val="auto"/>
        </w:rPr>
      </w:pPr>
    </w:p>
    <w:p>
      <w:pPr>
        <w:ind w:firstLine="432"/>
        <w:spacing w:after="0" w:line="265" w:lineRule="auto"/>
        <w:rPr>
          <w:sz w:val="20"/>
          <w:szCs w:val="20"/>
          <w:color w:val="auto"/>
        </w:rPr>
      </w:pPr>
      <w:r>
        <w:rPr>
          <w:rFonts w:ascii="Arial" w:cs="Arial" w:eastAsia="Arial" w:hAnsi="Arial"/>
          <w:sz w:val="17"/>
          <w:szCs w:val="17"/>
          <w:color w:val="auto"/>
        </w:rPr>
        <w:t>In July 2016, the Company entered into a Loan and Security Agreement (the “Original Term Loan Agreement”) with lenders that are affiliates of Tennenbaum Capital Partners, LLC (the “Lenders” or “TCP”). Under the agreement, the Lenders committed to advance a term loan in an aggregate principal amount of up to $ 25.0 million with a maturity date of July 1, 2020. The Company borrowed the entire $25.0 million of term loan commitments on the loan closing date. Monthly payments due through June 30, 2017 were interest only, followed by consecutive equal monthly payments of principal plus accrued interest that were to begin on July 1, 2017 and continue through the maturity date. The term loan provided for an interest rate per annum equal to the higher of (i) 10.25% or (ii) LIBOR plus 9.5625%, subject to a 1.0% reduction if the Company achieves minimum levels of Revenue and EBITDA (each as defined in the Original Term Loan Agreement) for the twelve-consecutive month period ending June 30, 2017 as set forth in the Original Term Loan Agreement. In addition, the Company paid a commitment</w:t>
      </w:r>
    </w:p>
    <w:p>
      <w:pPr>
        <w:spacing w:after="0" w:line="2" w:lineRule="exact"/>
        <w:rPr>
          <w:sz w:val="20"/>
          <w:szCs w:val="20"/>
          <w:color w:val="auto"/>
        </w:rPr>
      </w:pPr>
    </w:p>
    <w:p>
      <w:pPr>
        <w:jc w:val="both"/>
        <w:ind w:right="640"/>
        <w:spacing w:after="0" w:line="256" w:lineRule="auto"/>
        <w:rPr>
          <w:sz w:val="20"/>
          <w:szCs w:val="20"/>
          <w:color w:val="auto"/>
        </w:rPr>
      </w:pPr>
      <w:r>
        <w:rPr>
          <w:rFonts w:ascii="Arial" w:cs="Arial" w:eastAsia="Arial" w:hAnsi="Arial"/>
          <w:sz w:val="18"/>
          <w:szCs w:val="18"/>
          <w:color w:val="auto"/>
        </w:rPr>
        <w:t>fee of 3.3% of the loan amount upon closing and a closing fee of 10.0% of the loan amount is payable in four equal installments at each anniversary of the closing date. The Company could elect to prepay the loan by incurring a prepayment fee between 1% and 3% of the principal amount of the term loan depending on the timing and circumstances of prepayment.</w:t>
      </w:r>
    </w:p>
    <w:p>
      <w:pPr>
        <w:spacing w:after="0" w:line="148"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In February 2017, the Company entered into an Amended and Restated Loan and Security Agreement (the “Loan Agreement”) that amended and restated the Original Term Loan Agreement. The Loan Agreement provides for a $25.0 million secured term loan to the Company (the “New Term Loan”), which is in addition to the $ 25.0 million secured term loan borrowed by the Company under the Original Term Loan Agreement (together with the “New Term Loan” the “Term Loans”). The New Term Loan has the same July 1, 2020 maturity date that was applicable to the Original Term Loan Agreement. The New Term Loan was fully drawn at closing, with approximately $10.3 million of the proceeds used to repay existing combined principal and interest due under the Company’s Revolver with Wells Fargo. Upon the repayment of loans under the Wells Fargo Revolver, the Wells Fargo Revolving Credit Agreement was terminated. The Company used the remainder of the proceeds from the New Term Loan for general corporate purposes.</w:t>
      </w:r>
    </w:p>
    <w:p>
      <w:pPr>
        <w:spacing w:after="0" w:line="152"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Monthly payments under the Term Loans through February 28, 2018 are interest only, followed by consecutive equal monthly payments of principal plus accrued interest beginning on March 1, 2018 and continuing through the maturity date. Interest on the Term Loans is the greater of (a) 10.3125%, and (b) a fluctuating rate of interest per annum equal to the three-month LIBOR Rate (rounded up to the nearest 1/16th of one percent) plus 9.25%. In addition, the Company paid a commitment fee of 3.0% of the New Term Loan amount upon closing and a closing fee of 4.0% of the New Term Loan amount, which is payable with the closing fee under the Original Term Loan Agreement in four equal installments at each anniversary of the closing date of the Original Term Loan Agreement. The Company may elect to prepay the Term Loans by incurring a prepayment fee between 1% and 3% of the principal amount of the Term Loans depending on the timing and circumstances of prepayment.</w:t>
      </w:r>
    </w:p>
    <w:p>
      <w:pPr>
        <w:spacing w:after="0" w:line="14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On February 28, 2018, the Company entered into a Second Amendment to the Term Loans. The Second Amendment decreased by 50% the amount of principal repayments required under the Loan Agreement for the period from March 1, 2018 through December 31, 2018 and provided that the Company shall not prepay any part of the Term Loans during that same period without the Collateral Agent’s prior written consent.</w:t>
      </w:r>
    </w:p>
    <w:p>
      <w:pPr>
        <w:spacing w:after="0" w:line="150" w:lineRule="exact"/>
        <w:rPr>
          <w:sz w:val="20"/>
          <w:szCs w:val="20"/>
          <w:color w:val="auto"/>
        </w:rPr>
      </w:pPr>
    </w:p>
    <w:p>
      <w:pPr>
        <w:ind w:right="360" w:firstLine="432"/>
        <w:spacing w:after="0" w:line="262" w:lineRule="auto"/>
        <w:rPr>
          <w:sz w:val="20"/>
          <w:szCs w:val="20"/>
          <w:color w:val="auto"/>
        </w:rPr>
      </w:pPr>
      <w:r>
        <w:rPr>
          <w:rFonts w:ascii="Arial" w:cs="Arial" w:eastAsia="Arial" w:hAnsi="Arial"/>
          <w:sz w:val="18"/>
          <w:szCs w:val="18"/>
          <w:color w:val="auto"/>
        </w:rPr>
        <w:t>The Term Loans are secured by a first-priority security interest on substantially all assets of the Company; provided, however, that the security interest in the Company’s intellectual property may be released if the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satisfies certain requirements. The Company’s obligations under the Term Loans are not guaranteed by any of the Company’s existing subsidiaries, nor have any existing subsidiaries of the Company pledged any of their assets to secure the Term Loans.</w:t>
      </w:r>
    </w:p>
    <w:p>
      <w:pPr>
        <w:spacing w:after="0" w:line="142"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Loan Agreement requires that (i) at all times from the closing date to and including March 31, 2018, the Company, and any future guarantors, have Unrestricted Cash (as defined in the Loan Agreement) of at least $10.0 million; (ii) at all times from the closing date to and including March 31, 2018, that the aggregate amount of Consolidated Unrestricted Cash, plus the value of Consolidated Receivables, plus the value of Consolidated Inventory (each as defined in the Loan Agreement) divided by the outstanding principal amount of Term Loans, shall equal or exceed 1.5; and (iii) at all times from April 1, 2018 and thereafter, that the aggregate amount of Consolidated Unrestricted Cash, plus the value of Consolidated Receivables, plus the value of Consolidated Inventory divided by the outstanding principal amount of Term Loans, shall equal or exceed 1.75. In addition, the Loan Agreement is subject to customary affirmative and negative covenants including restrictions on creation of liens, dispositions of assets, mergers, changing the nature of its business and dividends and other distributions, in each case subject to certain exceptions. The Loan Agreement also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the Company’s business. The Term Loan Agreement offers TCP customary rights and remedies in any event of default, including the ability to declare all amounts outstanding immediately due and payable.</w:t>
      </w:r>
    </w:p>
    <w:p>
      <w:pPr>
        <w:spacing w:after="0" w:line="157"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In connection with the New Term Loan, the Company issued to the Lenders warrants to purchase an aggregate 1,220,000 shares of the Company’s Common Stock at an exercise price of $1.05 per share. The warrants have a term of seven years and contain a “cashless exercise” feature that allows the holder to exercise the warrant without a cash payment upon the terms set forth therein.</w:t>
      </w:r>
    </w:p>
    <w:p>
      <w:pPr>
        <w:spacing w:after="0" w:line="148"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The Company estimated the fair value of the warrants by using the Black-Scholes approach and the following assumptions: stock price of $1.56; strike price of $1.05; volatility of 85.9%, risk-free rate of 2.23%; dividend yield of 0%; and a 7 year term. The resulting fair value was used to allocate the proceeds from the Term Loan between liability and equity components.</w:t>
      </w:r>
    </w:p>
    <w:p>
      <w:pPr>
        <w:spacing w:after="0" w:line="148"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The Company classified the warrants as equity and allocated the proceeds from the Term Loan and warrants using the relative fair value method. Using this method, the Company allocated $1.4 million to the warrants, which was recorded as equity. This amount represents debt discount that will be amortized to interest expense over the term of the loan. The Lenders converted the warrants into 912,067 shares of the Company’s common stock in a cashless exercise in the first quarter of 2018.</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2018, the estimated schedule of principal payments due on the term loan is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Year</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Amounts</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9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4,779</w:t>
            </w:r>
          </w:p>
        </w:tc>
      </w:tr>
      <w:tr>
        <w:trPr>
          <w:trHeight w:val="26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25,238</w:t>
            </w:r>
          </w:p>
        </w:tc>
      </w:tr>
      <w:tr>
        <w:trPr>
          <w:trHeight w:val="250"/>
        </w:trPr>
        <w:tc>
          <w:tcPr>
            <w:tcW w:w="99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16,854</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46,871</w:t>
            </w: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Long Term Financing Receivables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entered into an agreement with a third party in the fourth quarter of 2017 to sell certain current and future receivables at a discount. In December 2017, the third party made an initial purchase of receivables that resulted in net proceeds to the Company of $2.8 million. This transaction was recorded as debt on the accompanying consolidated balance sheets, and the debt balance will be relieved by January 2019 as the underlying receivables are settled. During the six months ended June 30, 2018, the third party made three additional purchases of receivables that resulted in total net proceeds to the Company of $5.6 million. These transactions were recorded as debt on the accompanying consolidated balance sheets, and the total associated debt balance will be relieved by September 2021 as the underlying receivables are settled. After the initial purchase, the buyer had the option to purchase certain additional future receivables at various fixed discounts. This option was valued at $0.7 million and was recorded as a liability with a corresponding offset to debt as of December 31,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As of June 30, 2018, all purchases relating to this option had been made, and the liability has been relieved. See Note 5, “Fair Value Measurements” for additional information.</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was comprised of the following at June 30, 2018 and December 31, 2017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30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49"/>
        </w:trPr>
        <w:tc>
          <w:tcPr>
            <w:tcW w:w="83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46,871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50,000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unamortized discount and issuance costs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50"/>
        </w:trPr>
        <w:tc>
          <w:tcPr>
            <w:tcW w:w="8340" w:type="dxa"/>
            <w:vAlign w:val="bottom"/>
          </w:tcPr>
          <w:p>
            <w:pPr>
              <w:ind w:left="280"/>
              <w:spacing w:after="0"/>
              <w:rPr>
                <w:sz w:val="20"/>
                <w:szCs w:val="20"/>
                <w:color w:val="auto"/>
              </w:rPr>
            </w:pPr>
            <w:r>
              <w:rPr>
                <w:rFonts w:ascii="Arial" w:cs="Arial" w:eastAsia="Arial" w:hAnsi="Arial"/>
                <w:sz w:val="18"/>
                <w:szCs w:val="18"/>
                <w:color w:val="auto"/>
              </w:rPr>
              <w:t>Carrying amount of term loan</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45,314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47,889</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 of long term financing receivable recorded as debt</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2,562</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Less value of future purchase option</w:t>
            </w:r>
          </w:p>
        </w:tc>
        <w:tc>
          <w:tcPr>
            <w:tcW w:w="2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50"/>
        </w:trPr>
        <w:tc>
          <w:tcPr>
            <w:tcW w:w="83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Carrying amount of sale of long term financing receivable recorded as debt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6,674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1,862</w:t>
            </w:r>
          </w:p>
        </w:tc>
      </w:tr>
      <w:tr>
        <w:trPr>
          <w:trHeight w:val="250"/>
        </w:trPr>
        <w:tc>
          <w:tcPr>
            <w:tcW w:w="8340" w:type="dxa"/>
            <w:vAlign w:val="bottom"/>
          </w:tcPr>
          <w:p>
            <w:pPr>
              <w:ind w:left="280"/>
              <w:spacing w:after="0"/>
              <w:rPr>
                <w:sz w:val="20"/>
                <w:szCs w:val="20"/>
                <w:color w:val="auto"/>
              </w:rPr>
            </w:pPr>
            <w:r>
              <w:rPr>
                <w:rFonts w:ascii="Arial" w:cs="Arial" w:eastAsia="Arial" w:hAnsi="Arial"/>
                <w:sz w:val="18"/>
                <w:szCs w:val="18"/>
                <w:color w:val="auto"/>
              </w:rPr>
              <w:t>Total carrying amount of debt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51,988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49,751</w:t>
            </w: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current portion term loan</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portion of long term financing receivable recorded as debt</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33,559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32,322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47"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Company had a $50.0 million revolving credit facility with Wells Fargo Bank, N.A. (“Wells Fargo”) that was entered into in November 2012. The Revolver had a balance of $10.1 million as of December 31, 2016 and was fully repaid and terminated in February 2017.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47"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From time to time, the Company may be involved in litigation relating to claims arising out of its operations. The Company is not currently involved in any material legal proceedings. The Company may, however, be involved in material legal proceedings in the future. Such matters are subject to uncertainty and there can be no assurance that such legal proceedings will not have a material adverse effect on its business, results of operations, financial position or cash flows.</w:t>
      </w:r>
    </w:p>
    <w:p>
      <w:pPr>
        <w:spacing w:after="0" w:line="204" w:lineRule="exact"/>
        <w:rPr>
          <w:sz w:val="20"/>
          <w:szCs w:val="20"/>
          <w:color w:val="auto"/>
        </w:rPr>
      </w:pPr>
    </w:p>
    <w:p>
      <w:pPr>
        <w:jc w:val="both"/>
        <w:ind w:right="400" w:firstLine="446"/>
        <w:spacing w:after="0" w:line="256" w:lineRule="auto"/>
        <w:rPr>
          <w:sz w:val="20"/>
          <w:szCs w:val="20"/>
          <w:color w:val="auto"/>
        </w:rPr>
      </w:pPr>
      <w:r>
        <w:rPr>
          <w:rFonts w:ascii="Arial" w:cs="Arial" w:eastAsia="Arial" w:hAnsi="Arial"/>
          <w:sz w:val="18"/>
          <w:szCs w:val="18"/>
          <w:color w:val="auto"/>
        </w:rPr>
        <w:t>The Company was previously involved in a dispute with a supplier regarding purchase volume commitments for which the Company recorded a liability of $1.8 million in the first quarter of 2018. The matter was resolved in the second quarter of 2018 for approximately $1.8 million.</w:t>
      </w:r>
    </w:p>
    <w:p>
      <w:pPr>
        <w:spacing w:after="0" w:line="148"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On June 12, 2018, the Company entered into an Asset Purchase Agreement (“APA”) with SunPower Corporation (“SunPower”) to purchase assets primarily relating to SunPower’s microinverter business (the “Business”). Upon the closing of the APA, which is currently expected to occur in the third quarter of 2018 (“Closing”), Enphase will acquire intellectual property, technology and other assets primarily relating to the Business and will assume certain contracts and other liabilities of the Business for the following consideration: (i) $15,000,000 payable in cash at Closing; (ii) 7,500,000 shares of Enphase common stock issuable to SunPower at Closing; and (iii) an additional cash payment of $10,000,000 payable by Enphase to SunPower on the earlier of the four month anniversary of the Closing and December 28,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SALE OF COMMON STOCK</w:t>
      </w:r>
    </w:p>
    <w:p>
      <w:pPr>
        <w:spacing w:after="0" w:line="247" w:lineRule="exact"/>
        <w:rPr>
          <w:sz w:val="20"/>
          <w:szCs w:val="20"/>
          <w:color w:val="auto"/>
        </w:rPr>
      </w:pPr>
    </w:p>
    <w:p>
      <w:pPr>
        <w:ind w:right="140" w:firstLine="446"/>
        <w:spacing w:after="0" w:line="256" w:lineRule="auto"/>
        <w:rPr>
          <w:sz w:val="20"/>
          <w:szCs w:val="20"/>
          <w:color w:val="auto"/>
        </w:rPr>
      </w:pPr>
      <w:r>
        <w:rPr>
          <w:rFonts w:ascii="Arial" w:cs="Arial" w:eastAsia="Arial" w:hAnsi="Arial"/>
          <w:sz w:val="18"/>
          <w:szCs w:val="18"/>
          <w:color w:val="auto"/>
        </w:rPr>
        <w:t>On February 4, 2018, the Company entered into a Securities Purchase Agreement with an investor pursuant to which the Company, in a private placement, issued and sold to the investor 9,523,809 shares of the Company’s common stock at a price per share of $2.10, for gross proceeds of $20.0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93"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2017.</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six months ended June 30, 2018 (in thousands, except per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rPr>
              <w:t>Average</w:t>
            </w:r>
          </w:p>
        </w:tc>
      </w:tr>
      <w:tr>
        <w:trPr>
          <w:trHeight w:val="162"/>
        </w:trPr>
        <w:tc>
          <w:tcPr>
            <w:tcW w:w="83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18"/>
              <w:spacing w:after="0"/>
              <w:rPr>
                <w:sz w:val="20"/>
                <w:szCs w:val="20"/>
                <w:color w:val="auto"/>
              </w:rPr>
            </w:pPr>
            <w:r>
              <w:rPr>
                <w:rFonts w:ascii="Arial" w:cs="Arial" w:eastAsia="Arial" w:hAnsi="Arial"/>
                <w:sz w:val="14"/>
                <w:szCs w:val="14"/>
                <w:b w:val="1"/>
                <w:bCs w:val="1"/>
                <w:color w:val="auto"/>
              </w:rPr>
              <w:t>Exercise Price</w:t>
            </w: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per Share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8,426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1.77</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4.43</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1.73</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5.06</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7,687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1.78</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intrinsic value of options exercised in the six months ended June 30, 2018 was $3.0 million. As of June 30, 2018, the intrinsic value of options outstanding was $38.6 million based on the closing price of the Company’s stock as of June 30,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Performance Stock Units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restricted stock unit (“RSU”) and performance stock unit (“PSU”) activity for the six months ended June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(in thousands,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 per Share</w:t>
            </w:r>
          </w:p>
        </w:tc>
      </w:t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at</w:t>
            </w:r>
          </w:p>
        </w:tc>
      </w:tr>
      <w:tr>
        <w:trPr>
          <w:trHeight w:val="196"/>
        </w:trPr>
        <w:tc>
          <w:tcPr>
            <w:tcW w:w="83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RSUs and PSUs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Grant Date</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3,505</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2.03</w:t>
            </w: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3,536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3.47</w:t>
            </w: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2.52</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2.19</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2018</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6,089</w:t>
            </w:r>
          </w:p>
        </w:tc>
        <w:tc>
          <w:tcPr>
            <w:tcW w:w="3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2.80</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firstLine="432"/>
        <w:spacing w:after="0" w:line="262" w:lineRule="auto"/>
        <w:rPr>
          <w:sz w:val="20"/>
          <w:szCs w:val="20"/>
          <w:color w:val="auto"/>
        </w:rPr>
      </w:pPr>
      <w:r>
        <w:rPr>
          <w:rFonts w:ascii="Arial" w:cs="Arial" w:eastAsia="Arial" w:hAnsi="Arial"/>
          <w:sz w:val="18"/>
          <w:szCs w:val="18"/>
          <w:color w:val="auto"/>
        </w:rPr>
        <w:t>The total intrinsic value of RSUs and PSUs that vested in the six months ended June 30, 2018 was $3.0 million. As of June 30, 2018, the intrinsic value of RSUs and PSUs outstanding was $41.0 million based on the closing price of the Company’s stock as of June 30, 2018.</w:t>
      </w:r>
    </w:p>
    <w:p>
      <w:pPr>
        <w:spacing w:after="0" w:line="142"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Stock-based compensation expense is measured at the grant date based on the fair value of the award. During the second quarter of 2018 the Company issued a PSU grant of 1.4 million shares, 720,000 of which include market conditions. Each grantee is granted a target award of PSUs and may earn between 0% and 150% of the target award depending on the Company’s performance against the performance goals. For PSUs, the grant date fair value is recognized as expense when the performance condition is probable of being achieved, and then on a graded basis over the requisite service period. The fair value of awards containing market conditions was determined using a Monte Carlo simulation model based upon the terms of the conditions, the expected volatility of the underlying security, and other relevant factors. The weighted average estimated fair value of the PSUs without market conditions was $4.57 per share, and the weighted average estimated fair value of the PSUs with market conditions was $4.54 per share.</w:t>
      </w:r>
    </w:p>
    <w:p>
      <w:pPr>
        <w:spacing w:after="0" w:line="152" w:lineRule="exact"/>
        <w:rPr>
          <w:sz w:val="20"/>
          <w:szCs w:val="20"/>
          <w:color w:val="auto"/>
        </w:rPr>
      </w:pPr>
    </w:p>
    <w:p>
      <w:pPr>
        <w:ind w:right="260" w:firstLine="432"/>
        <w:spacing w:after="0" w:line="274" w:lineRule="auto"/>
        <w:rPr>
          <w:sz w:val="20"/>
          <w:szCs w:val="20"/>
          <w:color w:val="auto"/>
        </w:rPr>
      </w:pPr>
      <w:r>
        <w:rPr>
          <w:rFonts w:ascii="Arial" w:cs="Arial" w:eastAsia="Arial" w:hAnsi="Arial"/>
          <w:sz w:val="17"/>
          <w:szCs w:val="17"/>
          <w:color w:val="auto"/>
        </w:rPr>
        <w:t>On April 3, 2017, the Company commenced a Tender Offer (the “Offer”) to exchange out of the money stock options for restricted stock units. The Offer expired on Monday, May 1, 2017. Pursuant to the Offer, the Company accepted elections to exchange options to purchase 2,362,470 shares of common stock and issued replacement awards of RSUs for 733,559 shares of common stock. As the transaction approximated a value-for-value exchange, it did not have a material impact on the Company’s stock-based compensation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Compensation expense for all stock-based awards expected to vest is measured at fair value on the date 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960"/>
        <w:spacing w:after="0" w:line="262" w:lineRule="auto"/>
        <w:rPr>
          <w:sz w:val="20"/>
          <w:szCs w:val="20"/>
          <w:color w:val="auto"/>
        </w:rPr>
      </w:pPr>
      <w:r>
        <w:rPr>
          <w:rFonts w:ascii="Arial" w:cs="Arial" w:eastAsia="Arial" w:hAnsi="Arial"/>
          <w:sz w:val="18"/>
          <w:szCs w:val="18"/>
          <w:color w:val="auto"/>
        </w:rPr>
        <w:t xml:space="preserve">grant and recognized ratably over the requisite service period. The following table summarizes the components of total stock-based compensation expense included </w:t>
      </w:r>
      <w:r>
        <w:rPr>
          <w:rFonts w:ascii="Arial" w:cs="Arial" w:eastAsia="Arial" w:hAnsi="Arial"/>
          <w:sz w:val="18"/>
          <w:szCs w:val="18"/>
          <w:color w:val="010202"/>
        </w:rPr>
        <w:t>in the condensed consolidated statements of operations for the periods presented (in</w:t>
      </w:r>
      <w:r>
        <w:rPr>
          <w:rFonts w:ascii="Arial" w:cs="Arial" w:eastAsia="Arial" w:hAnsi="Arial"/>
          <w:sz w:val="18"/>
          <w:szCs w:val="18"/>
          <w:color w:val="auto"/>
        </w:rPr>
        <w:t xml:space="preserve">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449</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1,767</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1,387</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663</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1,051</w:t>
            </w: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5,860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3,550</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various types of stock-based compensation expense for the periods presented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and RSUs and PSUs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1,291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7"/>
              </w:rPr>
              <w:t>5,293</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2,890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Employee stock purchase plan</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660</w:t>
            </w: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4,288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7"/>
              </w:rPr>
              <w:t>5,860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3,550</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432"/>
        <w:spacing w:after="0" w:line="262"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4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r>
      <w:tr>
        <w:trPr>
          <w:trHeight w:val="196"/>
        </w:trPr>
        <w:tc>
          <w:tcPr>
            <w:tcW w:w="4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737"/>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264"/>
        </w:trPr>
        <w:tc>
          <w:tcPr>
            <w:tcW w:w="46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0.71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0.71</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400" w:type="dxa"/>
            <w:vAlign w:val="bottom"/>
          </w:tcPr>
          <w:p>
            <w:pPr>
              <w:spacing w:after="0"/>
              <w:rPr>
                <w:sz w:val="22"/>
                <w:szCs w:val="22"/>
                <w:color w:val="auto"/>
              </w:rPr>
            </w:pP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237"/>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ind w:right="233"/>
              <w:spacing w:after="0"/>
              <w:rPr>
                <w:sz w:val="20"/>
                <w:szCs w:val="20"/>
                <w:color w:val="auto"/>
              </w:rPr>
            </w:pPr>
            <w:r>
              <w:rPr>
                <w:rFonts w:ascii="Arial" w:cs="Arial" w:eastAsia="Arial" w:hAnsi="Arial"/>
                <w:sz w:val="18"/>
                <w:szCs w:val="18"/>
                <w:color w:val="auto"/>
              </w:rPr>
              <w:t>4.6</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85.0%</w:t>
            </w: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Annual risk-free rate of return</w:t>
            </w:r>
          </w:p>
        </w:tc>
        <w:tc>
          <w:tcPr>
            <w:tcW w:w="400" w:type="dxa"/>
            <w:vAlign w:val="bottom"/>
          </w:tcPr>
          <w:p>
            <w:pPr>
              <w:spacing w:after="0"/>
              <w:rPr>
                <w:sz w:val="22"/>
                <w:szCs w:val="22"/>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1.8%</w:t>
            </w: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0.0%</w:t>
            </w:r>
          </w:p>
        </w:tc>
      </w:tr>
    </w:tbl>
    <w:p>
      <w:pPr>
        <w:spacing w:after="0" w:line="161" w:lineRule="exact"/>
        <w:rPr>
          <w:sz w:val="20"/>
          <w:szCs w:val="20"/>
          <w:color w:val="auto"/>
        </w:rPr>
      </w:pPr>
    </w:p>
    <w:p>
      <w:pPr>
        <w:ind w:right="540" w:firstLine="432"/>
        <w:spacing w:after="0" w:line="262" w:lineRule="auto"/>
        <w:rPr>
          <w:sz w:val="20"/>
          <w:szCs w:val="20"/>
          <w:color w:val="auto"/>
        </w:rPr>
      </w:pPr>
      <w:r>
        <w:rPr>
          <w:rFonts w:ascii="Arial" w:cs="Arial" w:eastAsia="Arial" w:hAnsi="Arial"/>
          <w:sz w:val="18"/>
          <w:szCs w:val="18"/>
          <w:color w:val="auto"/>
        </w:rPr>
        <w:t>As of June 30, 2018, there was approximately $16.8 million of total unrecognized compensation expense related to unvested equity awards expected to be recognized over a weighted-average period of 2.7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3"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The Company used the discrete tax approach in calculating the tax expense for the three and six months ended June 30, 2018 and 2017 due to the fact that a relatively small change in the Company’s projected pre-tax net income (loss) could result in a volatile effective tax rate. Under the discrete method, the Company determines its tax (expense) benefit based upon actual results as if the interim period was an annual period. The tax provision recorded was primarily related to income taxes attributable to its foreign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9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Basic net loss per share is computed by dividing net loss by the weighted average number of shares of common stock outstanding during the period. Diluted loss per share is computed in a similar manner, but it also includes the effect of potential common shares outstanding during the period, when dilutive. Potential common shares include outstanding in-the-money stock options, restricted stock units, shares to be purchased under the Company’s employee stock purchase plan and warrants to purchase common stock. The dilutive effect of potentially dilutive common shares is reflected in diluted earnings per share by application of the treasury stock method. To the extent these potential common shares are antidilutive, they are excluded from the calculation of diluted net loss per share.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00" w:firstLine="432"/>
        <w:spacing w:after="0" w:line="262" w:lineRule="auto"/>
        <w:rPr>
          <w:sz w:val="20"/>
          <w:szCs w:val="20"/>
          <w:color w:val="auto"/>
        </w:rPr>
      </w:pPr>
      <w:r>
        <w:rPr>
          <w:rFonts w:ascii="Arial" w:cs="Arial" w:eastAsia="Arial" w:hAnsi="Arial"/>
          <w:sz w:val="18"/>
          <w:szCs w:val="18"/>
          <w:color w:val="auto"/>
        </w:rPr>
        <w:t>The following table presents the computation of basic and diluted net loss per share for the periods presented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(35,398)</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1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97,321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84,434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94,026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80,542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As the Company incurred a net loss for all periods presented, potential dilutive securities from employee stock options, restricted stock units and warrants have been excluded from the diluted net loss per share computations because the effect of including such shares would have been anti-dilutive. The following table sets forth the potentially dilutive securities excluded from the computation of the diluted net loss per share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306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160" w:type="dxa"/>
            <w:vAlign w:val="bottom"/>
          </w:tcPr>
          <w:p>
            <w:pPr>
              <w:spacing w:after="0"/>
              <w:rPr>
                <w:sz w:val="17"/>
                <w:szCs w:val="17"/>
                <w:color w:val="auto"/>
              </w:rPr>
            </w:pPr>
          </w:p>
        </w:tc>
        <w:tc>
          <w:tcPr>
            <w:tcW w:w="2020" w:type="dxa"/>
            <w:vAlign w:val="bottom"/>
            <w:tcBorders>
              <w:bottom w:val="single" w:sz="8" w:color="auto"/>
            </w:tcBorders>
            <w:gridSpan w:val="3"/>
          </w:tcPr>
          <w:p>
            <w:pPr>
              <w:jc w:val="center"/>
              <w:ind w:left="1017"/>
              <w:spacing w:after="0"/>
              <w:rPr>
                <w:sz w:val="20"/>
                <w:szCs w:val="20"/>
                <w:color w:val="auto"/>
              </w:rPr>
            </w:pPr>
            <w:r>
              <w:rPr>
                <w:rFonts w:ascii="Arial" w:cs="Arial" w:eastAsia="Arial" w:hAnsi="Arial"/>
                <w:sz w:val="14"/>
                <w:szCs w:val="14"/>
                <w:b w:val="1"/>
                <w:bCs w:val="1"/>
                <w:color w:val="auto"/>
                <w:w w:val="99"/>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auto"/>
            </w:tcBorders>
            <w:gridSpan w:val="3"/>
          </w:tcPr>
          <w:p>
            <w:pPr>
              <w:jc w:val="center"/>
              <w:ind w:left="101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stock options</w:t>
            </w: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8,102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8,068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8,259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8,262</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RSUs and PSUs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1,276</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2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3"/>
                <w:szCs w:val="23"/>
                <w:color w:val="auto"/>
              </w:rPr>
            </w:pPr>
          </w:p>
        </w:tc>
        <w:tc>
          <w:tcPr>
            <w:tcW w:w="20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944</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13,812</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11,305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12,949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10,482</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1500" w:type="dxa"/>
            <w:vAlign w:val="bottom"/>
          </w:tcPr>
          <w:p>
            <w:pPr>
              <w:jc w:val="right"/>
              <w:ind w:right="75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liquidity sources, timing of new product releases, the impact of tariffs and other government actions with respect to the solar industry and international trade, and our expectations for and ability to close the transactions under our recently announced Asset Purchase Agreement with SunPower Corporation and the anticipated benefits and risks relating to the transaction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deliver simple, innovative and reliable energy management solutions that advance the worldwide potential of renewable energy. Our semiconductor-based microinverter system converts direct current (DC) electricity to alternating current (AC) electricity at the individual solar module level, and brings a system-based, high technology approach to solar energy generation leveraging our design expertise across power electronics, semiconductors, networking, and cloud-based software technologies. Our technology was designed to increase energy production, simplify design and installation, improve system uptime and reliability, reduce fire risk, and provide a platform for intelligent energy management. Since inception, we have shipped approximately 17 million microinverters representing over 4 gigawatts of solar PV generating capacity, and more than 790,000 Enphase residential and commercial systems have been deployed in over 120 countries.</w:t>
      </w:r>
    </w:p>
    <w:p>
      <w:pPr>
        <w:spacing w:after="0" w:line="20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June 12, 2018, we entered into an Asset Purchase Agreement (“APA”) with SunPower Corporation (“SunPower”), to purchase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primarily relating to SunPower’s microinverter business (the “Business”). Upon the anticipated closing of the transactions under the APA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2018 (“Closing”), Enphase will acquire intellectual property, technology and other assets primarily relating to the Business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assume certain contracts and other liabilities of the Business for the following consideration: (i) $15,000,000 payable in cash at Closing;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7,500,000 shares of Enphase common stock issuable to SunPower at Closing (“Closing Shares”); and (iii) an additional cash payment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$10,000,000 payable by Enphase to SunPower on the earlier of the four month anniversary of the closing and December 28, 2018. In addition,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conditions to the Closing, Enphase and SunPower will enter into (i) a Master Supply Agreement under which SunPower will exclusively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procure module level power electronics and related equipment for use in the U.S. residential market from Enphase for a period of five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(ii) a Stockholders Agreement to establish certain SunPower rights and obligations related to the Closing Shares, including SunPower’s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 to appoint one person to the Enphase board of directors, a six-month lock-up period, certain additional transfer restrictions on the Closing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registration rights, and voting, standstill and other undertakings by SunPower.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IQ Microinverter System</w:t>
      </w:r>
    </w:p>
    <w:p>
      <w:pPr>
        <w:spacing w:after="0" w:line="24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In the first quarter of 2018, we began shipping our seventh-generation Enphase IQ™ microinverters for the Enphase Home Energy Solution with IQ™, our next-generation integrated solar, storage and energy management system, to distributors in the United States. IQ 7 is a single worldwide SKU, which we began selling in Europe in the second quarter of 2018, representing Enphase’s entry into the German and Austrian solar markets, while expanding our presence in other solar markets such as France, Benelux, United Kingdom, and Switzerland. We also began selling IQ 7 in Australia and New Zealand during the second quarter of 2018.</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40"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Enphase IQ 7 Micro™ and Enphase IQ 7+ Micro™ support high-powered 60-cell and 72-cell solar modules and integrate with AC modules. During the second quarter of 2018, we began shipping our IQ 7X microinverter to solar distributors in the United States. The Enphase IQ 7X Micro™, the highest power and highest efficiency variant of our seventh-generation family of microinverters, supports and can be integrated with 96-cell modules.</w:t>
      </w:r>
    </w:p>
    <w:p>
      <w:pPr>
        <w:spacing w:after="0" w:line="204"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Our next-generation system, IQ 8, is built on our grid-agnostic “always on” Ensemble™ technology. The IQ 8 ASIC is fully functional, which demonstrates the technological feasibility of Ensemble. This ASIC is made in 55nm technology at TSMC, enabling very high speed digital signal processing. We are continuing to commercialize IQ 8 and expect to introduce our off-grid solution in the fourth quarter of 2018, followed by a grid-agnostic solution in 2019.</w:t>
      </w:r>
    </w:p>
    <w:p>
      <w:pPr>
        <w:spacing w:after="0" w:line="96" w:lineRule="exact"/>
        <w:rPr>
          <w:sz w:val="20"/>
          <w:szCs w:val="20"/>
          <w:color w:val="auto"/>
        </w:rPr>
      </w:pPr>
    </w:p>
    <w:p>
      <w:pPr>
        <w:ind w:right="380" w:firstLine="446"/>
        <w:spacing w:after="0" w:line="254" w:lineRule="auto"/>
        <w:rPr>
          <w:sz w:val="20"/>
          <w:szCs w:val="20"/>
          <w:color w:val="auto"/>
        </w:rPr>
      </w:pPr>
      <w:r>
        <w:rPr>
          <w:rFonts w:ascii="Arial" w:cs="Arial" w:eastAsia="Arial" w:hAnsi="Arial"/>
          <w:sz w:val="18"/>
          <w:szCs w:val="18"/>
          <w:color w:val="auto"/>
        </w:rPr>
        <w:t>The Enphase IQ microinverter is a key component of the Enphase Home Energy Solution, which can also include our Envoy™ Communications Gateway with IQ Combiner+, Enphase Enlighten™, a cloud-based energy management platform, and our Enphase AC Battery™. System owners can use Enphase Enlighten to monitor their home’s solar generation, energy storage and consumption from any web-enabled device.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Enphase Energized AC Modules</w:t>
      </w:r>
    </w:p>
    <w:p>
      <w:pPr>
        <w:spacing w:after="0" w:line="135" w:lineRule="exact"/>
        <w:rPr>
          <w:sz w:val="20"/>
          <w:szCs w:val="20"/>
          <w:color w:val="auto"/>
        </w:rPr>
      </w:pPr>
    </w:p>
    <w:p>
      <w:pPr>
        <w:ind w:right="240" w:firstLine="446"/>
        <w:spacing w:after="0" w:line="254" w:lineRule="auto"/>
        <w:rPr>
          <w:sz w:val="20"/>
          <w:szCs w:val="20"/>
          <w:color w:val="auto"/>
        </w:rPr>
      </w:pPr>
      <w:r>
        <w:rPr>
          <w:rFonts w:ascii="Arial" w:cs="Arial" w:eastAsia="Arial" w:hAnsi="Arial"/>
          <w:sz w:val="18"/>
          <w:szCs w:val="18"/>
          <w:color w:val="auto"/>
        </w:rPr>
        <w:t>We began shipping Enphase Energized AC Modules in North America in 2017. The Enphase Energized AC Modules with IQ utilize our sixth- and seventh-generation microinverters and are produced through our AC module partnerships with LG Electronics Inc., JinkoSolar Technology and Waaree Energies Ltd.. In 2018 we announced new AC Module partnerships with SunPower, Panasonic Corporation and Solaria Corporation.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Revenues</w:t>
      </w:r>
    </w:p>
    <w:p>
      <w:pPr>
        <w:spacing w:after="0" w:line="139" w:lineRule="exact"/>
        <w:rPr>
          <w:sz w:val="20"/>
          <w:szCs w:val="20"/>
          <w:color w:val="auto"/>
        </w:rPr>
      </w:pPr>
    </w:p>
    <w:p>
      <w:pPr>
        <w:ind w:right="200" w:firstLine="446"/>
        <w:spacing w:after="0" w:line="262" w:lineRule="auto"/>
        <w:rPr>
          <w:sz w:val="20"/>
          <w:szCs w:val="20"/>
          <w:color w:val="auto"/>
        </w:rPr>
      </w:pPr>
      <w:r>
        <w:rPr>
          <w:rFonts w:ascii="Arial" w:cs="Arial" w:eastAsia="Arial" w:hAnsi="Arial"/>
          <w:sz w:val="18"/>
          <w:szCs w:val="18"/>
          <w:color w:val="auto"/>
        </w:rPr>
        <w:t>We primarily generate net revenues from sales of our microinverter systems and related accessories, which can include our AC Battery storage systems, our Envoy communications gateway and Enlighten cloud-based monitoring service as well as other accessories.</w:t>
      </w:r>
    </w:p>
    <w:p>
      <w:pPr>
        <w:spacing w:after="0" w:line="88" w:lineRule="exact"/>
        <w:rPr>
          <w:sz w:val="20"/>
          <w:szCs w:val="20"/>
          <w:color w:val="auto"/>
        </w:rPr>
      </w:pPr>
    </w:p>
    <w:p>
      <w:pPr>
        <w:ind w:right="80" w:firstLine="446"/>
        <w:spacing w:after="0" w:line="253"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and related accessories, supply and demand, sales incentives, and competitive product offerings. Our revenue growth is dependent on our ability to compete effectively in the marketplace by remaining cost competitive,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39"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97" w:lineRule="exact"/>
        <w:rPr>
          <w:sz w:val="20"/>
          <w:szCs w:val="20"/>
          <w:color w:val="auto"/>
        </w:rPr>
      </w:pPr>
    </w:p>
    <w:p>
      <w:pPr>
        <w:ind w:right="140" w:firstLine="446"/>
        <w:spacing w:after="0" w:line="253" w:lineRule="auto"/>
        <w:rPr>
          <w:sz w:val="20"/>
          <w:szCs w:val="20"/>
          <w:color w:val="auto"/>
        </w:rPr>
      </w:pPr>
      <w:r>
        <w:rPr>
          <w:rFonts w:ascii="Arial" w:cs="Arial" w:eastAsia="Arial" w:hAnsi="Arial"/>
          <w:sz w:val="18"/>
          <w:szCs w:val="18"/>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United States, Europe and Asia.</w:t>
      </w:r>
    </w:p>
    <w:p>
      <w:pPr>
        <w:spacing w:after="0" w:line="97" w:lineRule="exact"/>
        <w:rPr>
          <w:sz w:val="20"/>
          <w:szCs w:val="20"/>
          <w:color w:val="auto"/>
        </w:rPr>
      </w:pPr>
    </w:p>
    <w:p>
      <w:pPr>
        <w:ind w:right="200" w:firstLine="446"/>
        <w:spacing w:after="0" w:line="262"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and sales volume fluctuations resulting from seasonality.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9" w:lineRule="exact"/>
        <w:rPr>
          <w:sz w:val="20"/>
          <w:szCs w:val="20"/>
          <w:color w:val="auto"/>
        </w:rPr>
      </w:pPr>
    </w:p>
    <w:p>
      <w:pPr>
        <w:ind w:right="160" w:firstLine="446"/>
        <w:spacing w:after="0" w:line="262" w:lineRule="auto"/>
        <w:rPr>
          <w:sz w:val="20"/>
          <w:szCs w:val="20"/>
          <w:color w:val="auto"/>
        </w:rPr>
      </w:pPr>
      <w:r>
        <w:rPr>
          <w:rFonts w:ascii="Arial" w:cs="Arial" w:eastAsia="Arial" w:hAnsi="Arial"/>
          <w:sz w:val="18"/>
          <w:szCs w:val="18"/>
          <w:color w:val="auto"/>
        </w:rPr>
        <w:t>Operating expenses consist of research and development, sales and marketing, general and administrative and restructuring expenses. Personnel-related costs are the most significant component of each of these expense</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categories other than restructuring expense and include salaries, benefits, payroll taxes, sales commissions, incentive compensation and stock-based compensation.</w:t>
      </w:r>
    </w:p>
    <w:p>
      <w:pPr>
        <w:spacing w:after="0" w:line="88"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Research and development expense includes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99"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Sales and marketing expense consists primarily of personnel -related expenses such as salaries, commissions, stock-based compensation, employee benefits and travel. It also includes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microinverter systems targeting the residential and commercial markets in the United States, Canada, Mexico and certain Central American markets, the United Kingdom, France, the Benelux region, certain other European markets, Australia, New Zealand, India and certain other Asian markets. We expect to continue to expand the geographic reach of our product offerings and explore new sales channels in addressable markets in the future.</w:t>
      </w:r>
    </w:p>
    <w:p>
      <w:pPr>
        <w:spacing w:after="0" w:line="98"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General and administrative expense consists primarily of salaries, incentive compensation, stock-based compensation and employee benefits for personnel related to our executive, finance, human resources, information technology and legal organizations. General and administrative expense also includes facilities costs and fees for professional services, which consist primarily of outside legal, accounting and information technology consulting costs.</w:t>
      </w:r>
    </w:p>
    <w:p>
      <w:pPr>
        <w:spacing w:after="0" w:line="96"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Restructuring charges are the net of charges resulting from restructuring initiatives implemented in 2016 and 2017 to improve operational performance and reduce overall operating expense and gain on divestiture of our services business. Costs included in restructuring primarily consist of fees paid to management consultants engaged to assist us in making organizational and structural changes to improve operational efficiencies and reduce expenses, severance for workforce reduction actions, non-cash charges related to the disposition of assets and impairment of property and equipment, and the establishment of lease loss reserves. Our restructuring initiatives were largely completed in 2017. See Note 7, “Restructuring” to the condensed consolidated financial statements for additional information.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39" w:lineRule="exact"/>
        <w:rPr>
          <w:sz w:val="20"/>
          <w:szCs w:val="20"/>
          <w:color w:val="auto"/>
        </w:rPr>
      </w:pPr>
    </w:p>
    <w:p>
      <w:pPr>
        <w:ind w:right="280" w:firstLine="446"/>
        <w:spacing w:after="0" w:line="256" w:lineRule="auto"/>
        <w:rPr>
          <w:sz w:val="20"/>
          <w:szCs w:val="20"/>
          <w:color w:val="auto"/>
        </w:rPr>
      </w:pPr>
      <w:r>
        <w:rPr>
          <w:rFonts w:ascii="Arial" w:cs="Arial" w:eastAsia="Arial" w:hAnsi="Arial"/>
          <w:sz w:val="18"/>
          <w:szCs w:val="18"/>
          <w:color w:val="auto"/>
        </w:rPr>
        <w:t>Other expense, net primarily consists of interest expense and commitment fees under our term loans and non-cash interest expense related to the amortization of deferred financing costs. Other expense, net also includes gains or losses upon conversion of foreign currency transactions into U.S. dollars.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2"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Due to the history of losses we have generated in the United States since inception, we believe that it is more-likely-than-not that all of our U.S. and state deferred tax assets will not be realized as of June 30,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2018 and 2017</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446"/>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75,896</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74,704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1,192</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  $</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145,868</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129,455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16,413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2018 and 2017</w:t>
      </w:r>
    </w:p>
    <w:p>
      <w:pPr>
        <w:spacing w:after="0" w:line="189"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Net revenues increased by 2% for the three months ended June 30, 2018, as compared to the same period in 2017, primarily due to $2.0 million of revenue earned in the three months ended June 30, 2018 under a joint development arrangement, which was partially offset by a decrease in volume of microinverter systems sold. We sold 675,000 microinverter units in the three months ended June 30, 2018, as compared to 775,000 units in the same period in 2017. The impact of the lower sales volume was more than offset by an increase in average selling price per microinverter due to the transition to our IQ series of microinverters. IQ series microinverters comprised approximately 72% of the total volume of microinverters sold in the three months ended June 30, 2018, as compared to approximately 20% in the same period in 2017. See Note 2. “Revenue Recognition” to the condensed consolidated financial statements.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2018 and 2017</w:t>
      </w:r>
    </w:p>
    <w:p>
      <w:pPr>
        <w:spacing w:after="0" w:line="189" w:lineRule="exact"/>
        <w:rPr>
          <w:sz w:val="20"/>
          <w:szCs w:val="20"/>
          <w:color w:val="auto"/>
        </w:rPr>
      </w:pPr>
    </w:p>
    <w:p>
      <w:pPr>
        <w:ind w:right="320" w:firstLine="432"/>
        <w:spacing w:after="0" w:line="253" w:lineRule="auto"/>
        <w:rPr>
          <w:sz w:val="20"/>
          <w:szCs w:val="20"/>
          <w:color w:val="auto"/>
        </w:rPr>
      </w:pPr>
      <w:r>
        <w:rPr>
          <w:rFonts w:ascii="Arial" w:cs="Arial" w:eastAsia="Arial" w:hAnsi="Arial"/>
          <w:sz w:val="18"/>
          <w:szCs w:val="18"/>
          <w:color w:val="auto"/>
        </w:rPr>
        <w:t>Net revenues increased by 13% for the six months ended June 30, 2018, as compared to the same period in 2017 due primarily to an increase in the average selling price per inverter and $2.0 million of revenue earned under a joint development agreement in the six months ended June 30, 2018. The impact of the increase in the average selling price per microinverter was partially offset by a 5% decrease in microinverter units sold. The increase in average selling price per microinverter was due to the transition to our IQ series microinverters and pricing management. See Note 2. “Revenue Recognition” to the condensed consolidated financial statements.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6"/>
        </w:trPr>
        <w:tc>
          <w:tcPr>
            <w:tcW w:w="2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503"/>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Change in</w:t>
            </w:r>
          </w:p>
        </w:tc>
        <w:tc>
          <w:tcPr>
            <w:tcW w:w="660" w:type="dxa"/>
            <w:vAlign w:val="bottom"/>
            <w:tcBorders>
              <w:bottom w:val="single" w:sz="8" w:color="auto"/>
            </w:tcBorders>
          </w:tcPr>
          <w:p>
            <w:pPr>
              <w:spacing w:after="0"/>
              <w:rPr>
                <w:sz w:val="17"/>
                <w:szCs w:val="17"/>
                <w:color w:val="auto"/>
              </w:rPr>
            </w:pPr>
          </w:p>
        </w:tc>
      </w:tr>
      <w:tr>
        <w:trPr>
          <w:trHeight w:val="264"/>
        </w:trPr>
        <w:tc>
          <w:tcPr>
            <w:tcW w:w="2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3"/>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903"/>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r>
      <w:tr>
        <w:trPr>
          <w:trHeight w:val="250"/>
        </w:trPr>
        <w:tc>
          <w:tcPr>
            <w:tcW w:w="2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8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60" w:type="dxa"/>
            <w:vAlign w:val="bottom"/>
            <w:gridSpan w:val="4"/>
          </w:tcPr>
          <w:p>
            <w:pPr>
              <w:jc w:val="right"/>
              <w:ind w:right="823"/>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1"/>
                <w:szCs w:val="21"/>
                <w:color w:val="auto"/>
              </w:rPr>
            </w:pPr>
          </w:p>
        </w:tc>
      </w:tr>
      <w:tr>
        <w:trPr>
          <w:trHeight w:val="276"/>
        </w:trPr>
        <w:tc>
          <w:tcPr>
            <w:tcW w:w="2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53,195</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61,157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83"/>
              <w:spacing w:after="0"/>
              <w:rPr>
                <w:sz w:val="20"/>
                <w:szCs w:val="20"/>
                <w:color w:val="auto"/>
              </w:rPr>
            </w:pPr>
            <w:r>
              <w:rPr>
                <w:rFonts w:ascii="Arial" w:cs="Arial" w:eastAsia="Arial" w:hAnsi="Arial"/>
                <w:sz w:val="16"/>
                <w:szCs w:val="16"/>
                <w:color w:val="auto"/>
              </w:rPr>
              <w:t>(7,962)</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(13)%  $</w:t>
            </w:r>
          </w:p>
        </w:tc>
        <w:tc>
          <w:tcPr>
            <w:tcW w:w="96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104,851</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108,861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03"/>
              <w:spacing w:after="0"/>
              <w:rPr>
                <w:sz w:val="20"/>
                <w:szCs w:val="20"/>
                <w:color w:val="auto"/>
              </w:rPr>
            </w:pPr>
            <w:r>
              <w:rPr>
                <w:rFonts w:ascii="Arial" w:cs="Arial" w:eastAsia="Arial" w:hAnsi="Arial"/>
                <w:sz w:val="16"/>
                <w:szCs w:val="16"/>
                <w:color w:val="auto"/>
              </w:rPr>
              <w:t>(4,010)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60"/>
        </w:trPr>
        <w:tc>
          <w:tcPr>
            <w:tcW w:w="21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22"/>
                <w:szCs w:val="22"/>
                <w:color w:val="auto"/>
              </w:rPr>
            </w:pPr>
          </w:p>
        </w:tc>
        <w:tc>
          <w:tcPr>
            <w:tcW w:w="880" w:type="dxa"/>
            <w:vAlign w:val="bottom"/>
          </w:tcPr>
          <w:p>
            <w:pPr>
              <w:jc w:val="right"/>
              <w:ind w:right="163"/>
              <w:spacing w:after="0"/>
              <w:rPr>
                <w:sz w:val="20"/>
                <w:szCs w:val="20"/>
                <w:color w:val="auto"/>
              </w:rPr>
            </w:pPr>
            <w:r>
              <w:rPr>
                <w:rFonts w:ascii="Arial" w:cs="Arial" w:eastAsia="Arial" w:hAnsi="Arial"/>
                <w:sz w:val="16"/>
                <w:szCs w:val="16"/>
                <w:color w:val="auto"/>
              </w:rPr>
              <w:t>22,701</w:t>
            </w:r>
          </w:p>
        </w:tc>
        <w:tc>
          <w:tcPr>
            <w:tcW w:w="360" w:type="dxa"/>
            <w:vAlign w:val="bottom"/>
          </w:tcPr>
          <w:p>
            <w:pPr>
              <w:spacing w:after="0"/>
              <w:rPr>
                <w:sz w:val="22"/>
                <w:szCs w:val="22"/>
                <w:color w:val="auto"/>
              </w:rPr>
            </w:pPr>
          </w:p>
        </w:tc>
        <w:tc>
          <w:tcPr>
            <w:tcW w:w="760" w:type="dxa"/>
            <w:vAlign w:val="bottom"/>
          </w:tcPr>
          <w:p>
            <w:pPr>
              <w:jc w:val="right"/>
              <w:ind w:right="103"/>
              <w:spacing w:after="0"/>
              <w:rPr>
                <w:sz w:val="20"/>
                <w:szCs w:val="20"/>
                <w:color w:val="auto"/>
              </w:rPr>
            </w:pPr>
            <w:r>
              <w:rPr>
                <w:rFonts w:ascii="Arial" w:cs="Arial" w:eastAsia="Arial" w:hAnsi="Arial"/>
                <w:sz w:val="16"/>
                <w:szCs w:val="16"/>
                <w:color w:val="auto"/>
              </w:rPr>
              <w:t>13,547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543"/>
              <w:spacing w:after="0"/>
              <w:rPr>
                <w:sz w:val="20"/>
                <w:szCs w:val="20"/>
                <w:color w:val="auto"/>
              </w:rPr>
            </w:pPr>
            <w:r>
              <w:rPr>
                <w:rFonts w:ascii="Arial" w:cs="Arial" w:eastAsia="Arial" w:hAnsi="Arial"/>
                <w:sz w:val="16"/>
                <w:szCs w:val="16"/>
                <w:color w:val="auto"/>
              </w:rPr>
              <w:t>9,154</w:t>
            </w:r>
          </w:p>
        </w:tc>
        <w:tc>
          <w:tcPr>
            <w:tcW w:w="68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43"/>
              <w:spacing w:after="0"/>
              <w:rPr>
                <w:sz w:val="20"/>
                <w:szCs w:val="20"/>
                <w:color w:val="auto"/>
              </w:rPr>
            </w:pPr>
            <w:r>
              <w:rPr>
                <w:rFonts w:ascii="Arial" w:cs="Arial" w:eastAsia="Arial" w:hAnsi="Arial"/>
                <w:sz w:val="16"/>
                <w:szCs w:val="16"/>
                <w:color w:val="auto"/>
              </w:rPr>
              <w:t>41,017</w:t>
            </w:r>
          </w:p>
        </w:tc>
        <w:tc>
          <w:tcPr>
            <w:tcW w:w="320" w:type="dxa"/>
            <w:vAlign w:val="bottom"/>
          </w:tcPr>
          <w:p>
            <w:pPr>
              <w:spacing w:after="0"/>
              <w:rPr>
                <w:sz w:val="22"/>
                <w:szCs w:val="22"/>
                <w:color w:val="auto"/>
              </w:rPr>
            </w:pPr>
          </w:p>
        </w:tc>
        <w:tc>
          <w:tcPr>
            <w:tcW w:w="820" w:type="dxa"/>
            <w:vAlign w:val="bottom"/>
          </w:tcPr>
          <w:p>
            <w:pPr>
              <w:jc w:val="right"/>
              <w:ind w:right="103"/>
              <w:spacing w:after="0"/>
              <w:rPr>
                <w:sz w:val="20"/>
                <w:szCs w:val="20"/>
                <w:color w:val="auto"/>
              </w:rPr>
            </w:pPr>
            <w:r>
              <w:rPr>
                <w:rFonts w:ascii="Arial" w:cs="Arial" w:eastAsia="Arial" w:hAnsi="Arial"/>
                <w:sz w:val="16"/>
                <w:szCs w:val="16"/>
                <w:color w:val="auto"/>
              </w:rPr>
              <w:t>20,594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563"/>
              <w:spacing w:after="0"/>
              <w:rPr>
                <w:sz w:val="20"/>
                <w:szCs w:val="20"/>
                <w:color w:val="auto"/>
              </w:rPr>
            </w:pPr>
            <w:r>
              <w:rPr>
                <w:rFonts w:ascii="Arial" w:cs="Arial" w:eastAsia="Arial" w:hAnsi="Arial"/>
                <w:sz w:val="16"/>
                <w:szCs w:val="16"/>
                <w:color w:val="auto"/>
              </w:rPr>
              <w:t>20,423</w:t>
            </w:r>
          </w:p>
        </w:tc>
        <w:tc>
          <w:tcPr>
            <w:tcW w:w="660" w:type="dxa"/>
            <w:vAlign w:val="bottom"/>
          </w:tcPr>
          <w:p>
            <w:pPr>
              <w:jc w:val="right"/>
              <w:spacing w:after="0"/>
              <w:rPr>
                <w:sz w:val="20"/>
                <w:szCs w:val="20"/>
                <w:color w:val="auto"/>
              </w:rPr>
            </w:pPr>
            <w:r>
              <w:rPr>
                <w:rFonts w:ascii="Arial" w:cs="Arial" w:eastAsia="Arial" w:hAnsi="Arial"/>
                <w:sz w:val="16"/>
                <w:szCs w:val="16"/>
                <w:color w:val="auto"/>
              </w:rPr>
              <w:t>99 %</w:t>
            </w:r>
          </w:p>
        </w:tc>
      </w:tr>
      <w:tr>
        <w:trPr>
          <w:trHeight w:val="280"/>
        </w:trPr>
        <w:tc>
          <w:tcPr>
            <w:tcW w:w="2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29.9%</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28.1%</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2018 and 2017</w:t>
      </w:r>
    </w:p>
    <w:p>
      <w:pPr>
        <w:spacing w:after="0" w:line="189"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Cost of revenues decreased by 13% for the three months ended June 30, 2018, as compared to the same period in 2017. The decrease in cost of revenues was primarily attributable to the decrease in volume of microinverter units sold combined with a 10% decrease in the average product cost. The decrease in cost of revenues was partially offset by increased expedite fees due to component shortages and higher warranty provision. Gross margin increased by 11.8 percentage points for the three months ended June 30, 2018, as compared to the same period in 2017. The increase in gross margin was primarily attributable to the combination of generally higher average selling prices of our products combined with decreases in product costs as a result of the transition to the IQ series microinverters as well as our cost management efforts. The improvement in gross margin due to the $2.0 million in revenue under a joint development arrangement was mostly offset by increased costs associated with component shortages. Our ability to reduce product costs and the timing of product cost reductions relative to declines in the selling prices of our products can have a significant impact on our gross margin.</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2018 and 2017</w:t>
      </w:r>
    </w:p>
    <w:p>
      <w:pPr>
        <w:spacing w:after="0" w:line="189"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Cost of revenues decreased by 4% for the six months ended June 30, 2018, as compared to the same period in 2017, primarily due to a 5% decrease in microinverter units sold combined with a 10% decrease in the average cost. Gross margin increased by 12.2 percentage points for the six months ended June 30, 2018, as compared to the same period in 2017. The increase in gross margin was primarily attributable to the combination of generally higher average selling prices of our products combined with decreases in product costs as a result of the transition to the IQ series microinverter as well as our cost management efforts. The improvement in margin due to the $2.0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million in revenue under a joint development arrangement was more than offset by increased costs associated with component shortages. Our ability to reduce product costs and the timing of product cost reductions relative to declines in the selling prices of our products can have a significant impact on our gross margin.</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Change in</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925"/>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2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9,462</w:t>
            </w: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7,947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1,515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19%  $</w:t>
            </w:r>
          </w:p>
        </w:tc>
        <w:tc>
          <w:tcPr>
            <w:tcW w:w="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17,082</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17,552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(470)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2018 and 2017</w:t>
      </w:r>
    </w:p>
    <w:p>
      <w:pPr>
        <w:spacing w:after="0" w:line="189"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Research and development expense increased by 19% for the three months ended June 30, 2018, as compared to the same period in 2017. The increase is primarily due to a $0.9 million increase in research and development and professional expenses associated with the development, introduction and qualification of new products. Personnel related expenses increased by a net $0.5 million due to an increase in stock-based compensation and bonus expenses, partially offset by lower payroll expenses associated with moving certain functions to lower cost locations as part of the restructuring actions taken in 2017.</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2018 and 2017</w:t>
      </w:r>
    </w:p>
    <w:p>
      <w:pPr>
        <w:spacing w:after="0" w:line="189"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Research and development expense decreased by 3% for the six months ended June 30, 2018, as compared to the same period in 2017. The decrease is primarily due to a $1.0 million reduction in research and development personnel related expenses due to lower payroll expenses associated with moving certain functions to lower cost locations as part of the restructuring actions taken in 2017, which were partially offset by an increase in stock-based compensation and bonus expense and an increase in expenses associated with developing new products.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jc w:val="right"/>
              <w:ind w:right="783"/>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6,828</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6,274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554</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9%  $</w:t>
            </w:r>
          </w:p>
        </w:tc>
        <w:tc>
          <w:tcPr>
            <w:tcW w:w="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13,055</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12,732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543"/>
              <w:spacing w:after="0"/>
              <w:rPr>
                <w:sz w:val="20"/>
                <w:szCs w:val="20"/>
                <w:color w:val="auto"/>
              </w:rPr>
            </w:pPr>
            <w:r>
              <w:rPr>
                <w:rFonts w:ascii="Arial" w:cs="Arial" w:eastAsia="Arial" w:hAnsi="Arial"/>
                <w:sz w:val="16"/>
                <w:szCs w:val="16"/>
                <w:color w:val="auto"/>
              </w:rPr>
              <w:t>323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2018 and 2017</w:t>
      </w:r>
    </w:p>
    <w:p>
      <w:pPr>
        <w:spacing w:after="0" w:line="189" w:lineRule="exact"/>
        <w:rPr>
          <w:sz w:val="20"/>
          <w:szCs w:val="20"/>
          <w:color w:val="auto"/>
        </w:rPr>
      </w:pPr>
    </w:p>
    <w:p>
      <w:pPr>
        <w:jc w:val="both"/>
        <w:ind w:right="100" w:firstLine="432"/>
        <w:spacing w:after="0" w:line="256" w:lineRule="auto"/>
        <w:rPr>
          <w:sz w:val="20"/>
          <w:szCs w:val="20"/>
          <w:color w:val="auto"/>
        </w:rPr>
      </w:pPr>
      <w:r>
        <w:rPr>
          <w:rFonts w:ascii="Arial" w:cs="Arial" w:eastAsia="Arial" w:hAnsi="Arial"/>
          <w:sz w:val="18"/>
          <w:szCs w:val="18"/>
          <w:color w:val="auto"/>
        </w:rPr>
        <w:t>Sales and marketing expense increased by 9% for the three months ended June 30, 2018, as compared to the same period in 2017. The increase is primarily due to an increase in stock-based compensation expense, which was partially offset by a decrease in bad debt expense, which was $0.2 million for the three months ended June 30, 2018, as compared to $0.6 million for the same period in 2017.</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2018 and 2017</w:t>
      </w:r>
    </w:p>
    <w:p>
      <w:pPr>
        <w:spacing w:after="0" w:line="189"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Sales and marketing expense increased by 3% for the six months ended June 30, 2018, as compared to the same period in 2017. The increase was due an increase in personnel related expenses primarily due to higher stock-based compensation expense combined with higher professional expenses, which was partially offset by a decrease in facilities and equipment costs.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4"/>
        </w:trPr>
        <w:tc>
          <w:tcPr>
            <w:tcW w:w="2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r>
      <w:tr>
        <w:trPr>
          <w:trHeight w:val="250"/>
        </w:trPr>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jc w:val="right"/>
              <w:ind w:right="78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6,969</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4,964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2,005</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40%  $</w:t>
            </w:r>
          </w:p>
        </w:tc>
        <w:tc>
          <w:tcPr>
            <w:tcW w:w="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13,913</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10,797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3,116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2018 and 2017</w:t>
      </w:r>
    </w:p>
    <w:p>
      <w:pPr>
        <w:spacing w:after="0" w:line="189"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General and administrative expense increased by $2.0 million for the three months ended June 30, 2018, as compared to the same period in 2017. The increase is due to a $1.8 million increase in personnel related expenses primarily due to stock-based compensation and bonus expenses, which was partially offset by a decrease in professional fees. General and administrative expense for the three months ended June 30, 2018 also includes $0.4 million in acquisition related costs.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2018 and 2017</w:t>
      </w:r>
    </w:p>
    <w:p>
      <w:pPr>
        <w:spacing w:after="0" w:line="189" w:lineRule="exact"/>
        <w:rPr>
          <w:sz w:val="20"/>
          <w:szCs w:val="20"/>
          <w:color w:val="auto"/>
        </w:rPr>
      </w:pPr>
    </w:p>
    <w:p>
      <w:pPr>
        <w:ind w:right="40" w:firstLine="432"/>
        <w:spacing w:after="0" w:line="256" w:lineRule="auto"/>
        <w:rPr>
          <w:sz w:val="20"/>
          <w:szCs w:val="20"/>
          <w:color w:val="auto"/>
        </w:rPr>
      </w:pPr>
      <w:r>
        <w:rPr>
          <w:rFonts w:ascii="Arial" w:cs="Arial" w:eastAsia="Arial" w:hAnsi="Arial"/>
          <w:sz w:val="18"/>
          <w:szCs w:val="18"/>
          <w:color w:val="auto"/>
        </w:rPr>
        <w:t>General and administrative expense increased by $3.1 million for the six months ended June 30, 2018, as compared to the same period in 2017. The increase is primarily due to $1.8 million paid to resolve a dispute with a supplier combined with higher personnel related expenses due to higher stock-based compensation and bonus expense and was partially offset by lower professional fees.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ind w:left="26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6"/>
        </w:trPr>
        <w:tc>
          <w:tcPr>
            <w:tcW w:w="23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June 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r>
      <w:tr>
        <w:trPr>
          <w:trHeight w:val="264"/>
        </w:trPr>
        <w:tc>
          <w:tcPr>
            <w:tcW w:w="230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6"/>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4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50"/>
        </w:trPr>
        <w:tc>
          <w:tcPr>
            <w:tcW w:w="2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340" w:type="dxa"/>
            <w:vAlign w:val="bottom"/>
            <w:gridSpan w:val="4"/>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380" w:type="dxa"/>
            <w:vAlign w:val="bottom"/>
            <w:gridSpan w:val="4"/>
          </w:tcPr>
          <w:p>
            <w:pPr>
              <w:jc w:val="right"/>
              <w:ind w:right="74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74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7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3,609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(3,609)</w:t>
            </w:r>
          </w:p>
        </w:tc>
        <w:tc>
          <w:tcPr>
            <w:tcW w:w="78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10,856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rPr>
              <w:t>(10,856)</w:t>
            </w:r>
          </w:p>
        </w:tc>
        <w:tc>
          <w:tcPr>
            <w:tcW w:w="680" w:type="dxa"/>
            <w:vAlign w:val="bottom"/>
            <w:shd w:val="clear" w:color="auto" w:fill="CCEEFF"/>
          </w:tcPr>
          <w:p>
            <w:pPr>
              <w:jc w:val="center"/>
              <w:ind w:right="263"/>
              <w:spacing w:after="0"/>
              <w:rPr>
                <w:sz w:val="20"/>
                <w:szCs w:val="20"/>
                <w:color w:val="auto"/>
              </w:rPr>
            </w:pPr>
            <w:r>
              <w:rPr>
                <w:rFonts w:ascii="Arial" w:cs="Arial" w:eastAsia="Arial" w:hAnsi="Arial"/>
                <w:sz w:val="16"/>
                <w:szCs w:val="16"/>
                <w:color w:val="auto"/>
                <w:w w:val="97"/>
              </w:rPr>
              <w:t>N/A</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2018 and 2017</w:t>
      </w:r>
    </w:p>
    <w:p>
      <w:pPr>
        <w:spacing w:after="0" w:line="189"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implemented a restructuring plan in 2016 to lower operating expenses that included reductions in our global workforce and the elimination of certain non-core projects. In 2017 we engaged a management consulting firm to assist us in making organizational and structural changes to improve operational efficiencies and reduce expenses. Our restructuring activities were largely completed in 2017. For the three months ended June 30, 2017, restructuring charges include $3.0 million of consulting services $0.4 million related to contract termination costs and lease loss reserves.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2018 and 2017</w:t>
      </w:r>
    </w:p>
    <w:p>
      <w:pPr>
        <w:spacing w:after="0" w:line="189" w:lineRule="exact"/>
        <w:rPr>
          <w:sz w:val="20"/>
          <w:szCs w:val="20"/>
          <w:color w:val="auto"/>
        </w:rPr>
      </w:pPr>
    </w:p>
    <w:p>
      <w:pPr>
        <w:ind w:right="480" w:firstLine="432"/>
        <w:spacing w:after="0" w:line="291" w:lineRule="auto"/>
        <w:rPr>
          <w:sz w:val="20"/>
          <w:szCs w:val="20"/>
          <w:color w:val="auto"/>
        </w:rPr>
      </w:pPr>
      <w:r>
        <w:rPr>
          <w:rFonts w:ascii="Arial" w:cs="Arial" w:eastAsia="Arial" w:hAnsi="Arial"/>
          <w:sz w:val="17"/>
          <w:szCs w:val="17"/>
          <w:color w:val="auto"/>
        </w:rPr>
        <w:t>Restructuring charges for the six months ended June 30, 2017 include $7.0 million of consulting services, $ 1.7 million in cash-based severance and related benefits and $2.1 million in charges for asset impairments, contract termination costs and lease loss reserves.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2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Change in</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486"/>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Change in</w:t>
            </w:r>
          </w:p>
        </w:tc>
        <w:tc>
          <w:tcPr>
            <w:tcW w:w="700" w:type="dxa"/>
            <w:vAlign w:val="bottom"/>
            <w:tcBorders>
              <w:bottom w:val="single" w:sz="8" w:color="auto"/>
            </w:tcBorders>
          </w:tcPr>
          <w:p>
            <w:pPr>
              <w:spacing w:after="0"/>
              <w:rPr>
                <w:sz w:val="17"/>
                <w:szCs w:val="17"/>
                <w:color w:val="auto"/>
              </w:rPr>
            </w:pPr>
          </w:p>
        </w:tc>
      </w:tr>
      <w:tr>
        <w:trPr>
          <w:trHeight w:val="264"/>
        </w:trPr>
        <w:tc>
          <w:tcPr>
            <w:tcW w:w="2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w:t>
            </w:r>
          </w:p>
        </w:tc>
      </w:tr>
      <w:tr>
        <w:trPr>
          <w:trHeight w:val="250"/>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80" w:type="dxa"/>
            <w:vAlign w:val="bottom"/>
            <w:gridSpan w:val="4"/>
          </w:tcPr>
          <w:p>
            <w:pPr>
              <w:jc w:val="right"/>
              <w:ind w:right="725"/>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6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(2,841)</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85"/>
              <w:spacing w:after="0"/>
              <w:rPr>
                <w:sz w:val="20"/>
                <w:szCs w:val="20"/>
                <w:color w:val="auto"/>
              </w:rPr>
            </w:pPr>
            <w:r>
              <w:rPr>
                <w:rFonts w:ascii="Arial" w:cs="Arial" w:eastAsia="Arial" w:hAnsi="Arial"/>
                <w:sz w:val="16"/>
                <w:szCs w:val="16"/>
                <w:color w:val="auto"/>
              </w:rPr>
              <w:t>(849)</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43%  $</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(5,260)</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(2,189)</w:t>
            </w:r>
          </w:p>
        </w:tc>
        <w:tc>
          <w:tcPr>
            <w:tcW w:w="700" w:type="dxa"/>
            <w:vAlign w:val="bottom"/>
            <w:shd w:val="clear" w:color="auto" w:fill="CCEEFF"/>
          </w:tcPr>
          <w:p>
            <w:pPr>
              <w:jc w:val="right"/>
              <w:ind w:right="283"/>
              <w:spacing w:after="0"/>
              <w:rPr>
                <w:sz w:val="20"/>
                <w:szCs w:val="20"/>
                <w:color w:val="auto"/>
              </w:rPr>
            </w:pPr>
            <w:r>
              <w:rPr>
                <w:rFonts w:ascii="Arial" w:cs="Arial" w:eastAsia="Arial" w:hAnsi="Arial"/>
                <w:sz w:val="16"/>
                <w:szCs w:val="16"/>
                <w:color w:val="auto"/>
                <w:w w:val="99"/>
              </w:rPr>
              <w:t>71%</w:t>
            </w:r>
          </w:p>
        </w:tc>
      </w:tr>
    </w:tbl>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June 30, 2018 and 2017</w:t>
      </w:r>
    </w:p>
    <w:p>
      <w:pPr>
        <w:spacing w:after="0" w:line="189"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Other expense, net is primarily comprised of interest expense and gains and losses related to foreign currency exchange and remeasurement and was $2.8 million for three months ended June 30, 2018 as compared to $2.0 million for the same period in 2017. Net interest expense is primarily related to our term loan and increased by $0.2 million to $2.3 million for the three months ended June 30, 2018. Other expense, net also includes gains and losses related to foreign currency exchange and remeasurement that resulted in a net loss of $0.6 million for three months ended June 30, 2018, as compared to a net gain of $0.1 million for the three months ended June 30, 2017.</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Six Months Ended June 30, 2018 and 2017</w:t>
      </w:r>
    </w:p>
    <w:p>
      <w:pPr>
        <w:spacing w:after="0" w:line="189" w:lineRule="exact"/>
        <w:rPr>
          <w:sz w:val="20"/>
          <w:szCs w:val="20"/>
          <w:color w:val="auto"/>
        </w:rPr>
      </w:pPr>
    </w:p>
    <w:p>
      <w:pPr>
        <w:ind w:right="640" w:firstLine="432"/>
        <w:spacing w:after="0" w:line="256" w:lineRule="auto"/>
        <w:rPr>
          <w:sz w:val="20"/>
          <w:szCs w:val="20"/>
          <w:color w:val="auto"/>
        </w:rPr>
      </w:pPr>
      <w:r>
        <w:rPr>
          <w:rFonts w:ascii="Arial" w:cs="Arial" w:eastAsia="Arial" w:hAnsi="Arial"/>
          <w:sz w:val="18"/>
          <w:szCs w:val="18"/>
          <w:color w:val="auto"/>
        </w:rPr>
        <w:t>Other expense, net is primarily comprised of interest expense and gains and losses related to foreign currency exchange and remeasurement and was $5.3 million for six months ended June 30, 2018, as compared to $3.1 million for the same period in 2017. Net interest expense is primarily related to our term loan and increased by $0.4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million to $4.6 million for the six months ended June 30, 2018. Other expense, net primarily includes gains and losses related to foreign currency exchange and remeasurement that resulted in a net loss of $0.7 million for six months ended June 30, 2018 as compared to a net gain of $1.1 million for the six months ended June 30, 2017.</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315"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As of June 30, 2018, we had $ 58.5 million in cash and cash equivalents and working capital of $40.7 million. Cash and cash equivalents held in the United States were $46.6 million and consisted primarily of U.S. Government money market mutual funds and non-interest-bearing checking deposits, with the remainder held in various foreign subsidiaries. We consider amounts held outside the U.S. to be accessible and have provided for the estimated U.S. income tax liability associated with our foreign earnings.</w:t>
      </w:r>
    </w:p>
    <w:p>
      <w:pPr>
        <w:spacing w:after="0" w:line="96"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In December of 2016, we entered into an At The Market Issuance Sales Agreement (“ATM”) under which we sold shares of our common stock up to a gross aggregate offering price of $17.0 million. We realized the full $17.0 million of gross proceeds available under the ATM in the first quarter of 2017.</w:t>
      </w:r>
    </w:p>
    <w:p>
      <w:pPr>
        <w:spacing w:after="0" w:line="94" w:lineRule="exact"/>
        <w:rPr>
          <w:sz w:val="20"/>
          <w:szCs w:val="20"/>
          <w:color w:val="auto"/>
        </w:rPr>
      </w:pPr>
    </w:p>
    <w:p>
      <w:pPr>
        <w:ind w:right="440" w:firstLine="648"/>
        <w:spacing w:after="0" w:line="262" w:lineRule="auto"/>
        <w:rPr>
          <w:sz w:val="20"/>
          <w:szCs w:val="20"/>
          <w:color w:val="auto"/>
        </w:rPr>
      </w:pPr>
      <w:r>
        <w:rPr>
          <w:rFonts w:ascii="Arial" w:cs="Arial" w:eastAsia="Arial" w:hAnsi="Arial"/>
          <w:sz w:val="18"/>
          <w:szCs w:val="18"/>
          <w:color w:val="auto"/>
        </w:rPr>
        <w:t>In January 2017, we completed a private placement of common stock that resulted in gross proceeds of $10.0 million. In February 2018, we completed another private placement of common stock that resulted in additional gross proceeds of $20.0 million.</w:t>
      </w:r>
    </w:p>
    <w:p>
      <w:pPr>
        <w:spacing w:after="0" w:line="88" w:lineRule="exact"/>
        <w:rPr>
          <w:sz w:val="20"/>
          <w:szCs w:val="20"/>
          <w:color w:val="auto"/>
        </w:rPr>
      </w:pPr>
    </w:p>
    <w:p>
      <w:pPr>
        <w:ind w:right="300" w:firstLine="648"/>
        <w:spacing w:after="0" w:line="253" w:lineRule="auto"/>
        <w:rPr>
          <w:sz w:val="20"/>
          <w:szCs w:val="20"/>
          <w:color w:val="auto"/>
        </w:rPr>
      </w:pPr>
      <w:r>
        <w:rPr>
          <w:rFonts w:ascii="Arial" w:cs="Arial" w:eastAsia="Arial" w:hAnsi="Arial"/>
          <w:sz w:val="18"/>
          <w:szCs w:val="18"/>
          <w:color w:val="auto"/>
        </w:rPr>
        <w:t>In July 2016, we entered into a loan and security agreement (the “Term Loan Agreement” or “Original Term Loan Agreement”) with lenders that are affiliates of Tennenbaum Capital Partners, LLC (“TCP”), which has subsequently been amended and modified as discussed below and in Note 8, “Debt” to the condensed consolidated financial statements. Under the agreement, the lenders committed to advance a term loan in an aggregate principal amount of up to $25.0 million with a maturity date of July 1, 2020. We drew down the $25.0 million term loan commitment at closing.</w:t>
      </w:r>
    </w:p>
    <w:p>
      <w:pPr>
        <w:spacing w:after="0" w:line="97" w:lineRule="exact"/>
        <w:rPr>
          <w:sz w:val="20"/>
          <w:szCs w:val="20"/>
          <w:color w:val="auto"/>
        </w:rPr>
      </w:pPr>
    </w:p>
    <w:p>
      <w:pPr>
        <w:ind w:right="160" w:firstLine="648"/>
        <w:spacing w:after="0" w:line="250" w:lineRule="auto"/>
        <w:rPr>
          <w:sz w:val="20"/>
          <w:szCs w:val="20"/>
          <w:color w:val="auto"/>
        </w:rPr>
      </w:pPr>
      <w:r>
        <w:rPr>
          <w:rFonts w:ascii="Arial" w:cs="Arial" w:eastAsia="Arial" w:hAnsi="Arial"/>
          <w:sz w:val="18"/>
          <w:szCs w:val="18"/>
          <w:color w:val="auto"/>
        </w:rPr>
        <w:t>Payments under the Original Term Loan Agreement were interest only through June 30, 2017, followed by consecutive equal monthly payments of principal plus accrued interest beginning on July 1, 2017 and continuing through the maturity date. In addition, we paid</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commitment fee of 3.3% of the loan amount upon closing and a closing fee of 10.0% of the loan amount is payable in four equal installments at each anniversary of the closing date. We may elect to prepay the loan by incurring a prepayment fee between 1% and 3% of the principal amount of the term loan depending on the timing and circumstances of prepayment.</w:t>
      </w:r>
    </w:p>
    <w:p>
      <w:pPr>
        <w:spacing w:after="0" w:line="9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Term Loan Agreement is subject to customary affirmative and negative covenants including restrictions on creation of liens, dispositions of assets, dividends, mergers, or changing the nature of its business, in each case, subject to certain customary exceptions. In addition, the Term Loan Agreement contains certain customary events of default including, but not limited to, failure to pay interest, principal and fees or other amounts when due, material breach of any representation or warranty, covenant defaults, cross defaults to other material indebtedness, events of bankruptcy and the occurrence of a material adverse change (as defined in the agreement) to our business. The Term Loan Agreement offers TCP customary rights and remedies in any event of default, including the ability to declare all amounts outstanding immediately due and payable. We were in compliance with all financial and other covenants under the Term Loan Agreement as of June 30, 2018.</w:t>
      </w:r>
    </w:p>
    <w:p>
      <w:pPr>
        <w:spacing w:after="0" w:line="98"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In February 2017, we amended and restated our loan and security agreement with TCP to provide an additional $25 million in principal (together with the Term Loan Agreement the “Combined Term Loans”). We simultaneously terminated our revolving credit facility with Wells Fargo Bank, N.A. (the “Revolver”), and the combined principal and interest balance of $10.3 under the Revolver million was fully repaid.</w:t>
      </w:r>
    </w:p>
    <w:p>
      <w:pPr>
        <w:spacing w:after="0" w:line="94" w:lineRule="exact"/>
        <w:rPr>
          <w:sz w:val="20"/>
          <w:szCs w:val="20"/>
          <w:color w:val="auto"/>
        </w:rPr>
      </w:pPr>
    </w:p>
    <w:p>
      <w:pPr>
        <w:ind w:firstLine="486"/>
        <w:spacing w:after="0" w:line="250" w:lineRule="auto"/>
        <w:rPr>
          <w:sz w:val="20"/>
          <w:szCs w:val="20"/>
          <w:color w:val="auto"/>
        </w:rPr>
      </w:pPr>
      <w:r>
        <w:rPr>
          <w:rFonts w:ascii="Arial" w:cs="Arial" w:eastAsia="Arial" w:hAnsi="Arial"/>
          <w:sz w:val="18"/>
          <w:szCs w:val="18"/>
          <w:color w:val="auto"/>
        </w:rPr>
        <w:t>The Combined Term Loans have the same July 1, 2020 maturity date as the Original Term Loan Agreement. Monthly payments under the Combined Term Loans were interest only through February 28, 2018, followed by consecutive equal monthly payments of principal plus accrued interest beginning on March 1, 2018 and continuing through the maturity date. Interest on the Combined Term Loans is the greater of</w:t>
      </w:r>
    </w:p>
    <w:p>
      <w:pPr>
        <w:spacing w:after="0" w:line="1" w:lineRule="exact"/>
        <w:rPr>
          <w:sz w:val="20"/>
          <w:szCs w:val="20"/>
          <w:color w:val="auto"/>
        </w:rPr>
      </w:pPr>
    </w:p>
    <w:p>
      <w:pPr>
        <w:ind w:right="220" w:firstLine="8"/>
        <w:spacing w:after="0" w:line="262"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10.3125%, and (b) a fluctuating rate of interest per annum equal to the three-month LIBOR Rate (rounded up to the nearest 1/16th of one percent) plus 9.25%.</w:t>
      </w:r>
    </w:p>
    <w:p>
      <w:pPr>
        <w:spacing w:after="0" w:line="88"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In February 2018, the Combined Term Loans were modified again to provide for the deferral of 50% of the scheduled principal payments in 2018. The term loans under our amended and restated loan and security agreement with TCP are secured by a first-priority security interest on substantially all of our assets; provided,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however, that the security interest in our intellectual property may be released when we satisfy certain requirements.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2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7,441</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(1,475)</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23,744</w:t>
            </w: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40,735</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93"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For the six months ended June 30, 2018, net cash provided by operating activities of $7.4 million was primarily attributable to a net loss of $8.9 million offset by non-cash charges of $12.2 million and net cash inflows from changes in operating assets and liabilities of $ 4.1 million. Non-cash charges included $5.9 million of stock-based compensation, $4.5 million of depreciation and amortization, $1.1 million of non-cash interest expense and a $0.8 million provision for doubtful accounts.</w:t>
      </w:r>
    </w:p>
    <w:p>
      <w:pPr>
        <w:spacing w:after="0" w:line="15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primary drivers of cash inflows from changes in operating assets and liabilities were a $ 5.9 million decrease in accounts receivable due to the timing of revenue as well as the impact of cash management efforts and a $ 8.5 million decrease in inventory due to a combination of supply chain management efforts and the impact of component shortages, which were partially offset by a $3.8 million decrease in accounts payable as a result of lower inventory levels and the timing of vendor payments.</w:t>
      </w:r>
    </w:p>
    <w:p>
      <w:pPr>
        <w:spacing w:after="0" w:line="150" w:lineRule="exact"/>
        <w:rPr>
          <w:sz w:val="20"/>
          <w:szCs w:val="20"/>
          <w:color w:val="auto"/>
        </w:rPr>
      </w:pPr>
    </w:p>
    <w:p>
      <w:pPr>
        <w:ind w:right="480" w:firstLine="432"/>
        <w:spacing w:after="0" w:line="254" w:lineRule="auto"/>
        <w:rPr>
          <w:sz w:val="20"/>
          <w:szCs w:val="20"/>
          <w:color w:val="auto"/>
        </w:rPr>
      </w:pPr>
      <w:r>
        <w:rPr>
          <w:rFonts w:ascii="Arial" w:cs="Arial" w:eastAsia="Arial" w:hAnsi="Arial"/>
          <w:sz w:val="18"/>
          <w:szCs w:val="18"/>
          <w:color w:val="auto"/>
        </w:rPr>
        <w:t>For the six months ended June 30, 2017, net cash used in operating activities of $24.3 million was primarily attributable to a net loss of $35.4 million offset by non-cash charges of $ 11.7 million and net cash outflows from changes in operating assets and liabilities of $0.6 million. Non-cash charges included $3.6 million of stock-based compensation, $4.6 million of depreciation and amortization, $0.7 million provision for doubtful accounts and a net $1.8 million in asset impairment and restructuring charges.</w:t>
      </w:r>
    </w:p>
    <w:p>
      <w:pPr>
        <w:spacing w:after="0" w:line="150"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The primary driver of cash outflows from changes in operating assets and liabilities was a $14.1 million decrease in accounts payable resulting from timing of vendor payments that led to a decrease in average days payable outstanding of approximately 47% and an increase in prepaid expenses and other assets of $5.3 million. Cash outflows from changes in operating assets and liabilities was mostly offset by a $11.1 million decrease in inventory, a $3.9 million decrease in accounts receivable and a $3.6 million increase in deferred revenue.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93" w:lineRule="exact"/>
        <w:rPr>
          <w:sz w:val="20"/>
          <w:szCs w:val="20"/>
          <w:color w:val="auto"/>
        </w:rPr>
      </w:pPr>
    </w:p>
    <w:p>
      <w:pPr>
        <w:ind w:right="80" w:firstLine="432"/>
        <w:spacing w:after="0" w:line="262" w:lineRule="auto"/>
        <w:rPr>
          <w:sz w:val="20"/>
          <w:szCs w:val="20"/>
          <w:color w:val="auto"/>
        </w:rPr>
      </w:pPr>
      <w:r>
        <w:rPr>
          <w:rFonts w:ascii="Arial" w:cs="Arial" w:eastAsia="Arial" w:hAnsi="Arial"/>
          <w:sz w:val="18"/>
          <w:szCs w:val="18"/>
          <w:color w:val="auto"/>
        </w:rPr>
        <w:t>For the six months ended June 30, 2018, net cash used in investing activities of $1.5 million primarily resulted from purchases of test and assembly equipment and capitalized costs related to internal-use software.</w:t>
      </w:r>
    </w:p>
    <w:p>
      <w:pPr>
        <w:spacing w:after="0" w:line="142" w:lineRule="exact"/>
        <w:rPr>
          <w:sz w:val="20"/>
          <w:szCs w:val="20"/>
          <w:color w:val="auto"/>
        </w:rPr>
      </w:pPr>
    </w:p>
    <w:p>
      <w:pPr>
        <w:ind w:right="80" w:firstLine="432"/>
        <w:spacing w:after="0" w:line="262" w:lineRule="auto"/>
        <w:rPr>
          <w:sz w:val="20"/>
          <w:szCs w:val="20"/>
          <w:color w:val="auto"/>
        </w:rPr>
      </w:pPr>
      <w:r>
        <w:rPr>
          <w:rFonts w:ascii="Arial" w:cs="Arial" w:eastAsia="Arial" w:hAnsi="Arial"/>
          <w:sz w:val="18"/>
          <w:szCs w:val="18"/>
          <w:color w:val="auto"/>
        </w:rPr>
        <w:t>For the six months ended June 30, 2017, net cash used in investing activities of $3.5 million primarily resulted from purchases of test and assembly equipment and capitalized costs related to internal-use software.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3" w:lineRule="exact"/>
        <w:rPr>
          <w:sz w:val="20"/>
          <w:szCs w:val="20"/>
          <w:color w:val="auto"/>
        </w:rPr>
      </w:pPr>
    </w:p>
    <w:p>
      <w:pPr>
        <w:ind w:right="660" w:firstLine="432"/>
        <w:spacing w:after="0" w:line="256" w:lineRule="auto"/>
        <w:rPr>
          <w:sz w:val="20"/>
          <w:szCs w:val="20"/>
          <w:color w:val="auto"/>
        </w:rPr>
      </w:pPr>
      <w:r>
        <w:rPr>
          <w:rFonts w:ascii="Arial" w:cs="Arial" w:eastAsia="Arial" w:hAnsi="Arial"/>
          <w:sz w:val="18"/>
          <w:szCs w:val="18"/>
          <w:color w:val="auto"/>
        </w:rPr>
        <w:t>For the six months ended June 30, 2018, net cash provided by financing activities of $23.7 million consisted of $21.3 million in net proceeds from sales of common stock and $5.6 million in net proceeds from the sale of certain long-term financing receivables. These proceeds were partially offset by a $3.1 million principal payment on our term loan.</w:t>
      </w:r>
    </w:p>
    <w:p>
      <w:pPr>
        <w:spacing w:after="0" w:line="148" w:lineRule="exact"/>
        <w:rPr>
          <w:sz w:val="20"/>
          <w:szCs w:val="20"/>
          <w:color w:val="auto"/>
        </w:rPr>
      </w:pPr>
    </w:p>
    <w:p>
      <w:pPr>
        <w:jc w:val="both"/>
        <w:ind w:right="40" w:firstLine="432"/>
        <w:spacing w:after="0" w:line="256" w:lineRule="auto"/>
        <w:rPr>
          <w:sz w:val="20"/>
          <w:szCs w:val="20"/>
          <w:color w:val="auto"/>
        </w:rPr>
      </w:pPr>
      <w:r>
        <w:rPr>
          <w:rFonts w:ascii="Arial" w:cs="Arial" w:eastAsia="Arial" w:hAnsi="Arial"/>
          <w:sz w:val="18"/>
          <w:szCs w:val="18"/>
          <w:color w:val="auto"/>
        </w:rPr>
        <w:t>For the six months ended June 30, 2017, net cash provided by financing activities of $40.7 million consisted of net proceeds from sales of common stock of $26.5 million, which included proceeds from the private placement and ATM offering described above and net proceeds from the term loan of $24.2 million, offset by the repayment of principal on our revolving credit facility of $10.1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right="200" w:firstLine="432"/>
        <w:spacing w:after="0" w:line="256" w:lineRule="auto"/>
        <w:rPr>
          <w:sz w:val="20"/>
          <w:szCs w:val="20"/>
          <w:color w:val="auto"/>
        </w:rPr>
      </w:pPr>
      <w:r>
        <w:rPr>
          <w:rFonts w:ascii="Arial" w:cs="Arial" w:eastAsia="Arial" w:hAnsi="Arial"/>
          <w:sz w:val="18"/>
          <w:szCs w:val="18"/>
          <w:color w:val="auto"/>
        </w:rPr>
        <w:t>Other than as described below and in the current report on Form 8-K filed on June 12, 2018, there were no material changes during the three months ended June 30, 2018 to our contractual commitments as presented in “Management’s Discussion and Analysis of Financial Condition and Results of Operations” of our 2017 Form 10-K. See Note 9. “Commitments and Contingencies.”</w:t>
      </w:r>
    </w:p>
    <w:p>
      <w:pPr>
        <w:spacing w:after="0" w:line="148"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On June 12, 2018, we entered into an Asset Purchase Agreement (“APA”) with SunPower Corporation (“SunPower”), to purchase assets primarily relating to SunPower’s microinverter business (the “Business”). Upon the closing of the APA, which is currently anticipated to be in the third quarter of 2018 (“Closing”), Enphase will acquire intellectual property, technology and other assets primarily relating to the Business and will assume certain contracts and other liabilities of the Business for the following consideration: (i) $15,000,000 payable in cash at Closing; (ii) 7,500,000 shares of Enphase common stock issuable to SunPower at Closing; and (iii) an additional cash payment of $10,000,000 payable by Enphase to SunPower on the earlier of the four month anniversary of the Closing and December 28,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2018, we did not have any off-balance sheet arrangements, as defined in Item 303(a)(4)(ii) of SEC Regulation S-K.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80" w:firstLine="432"/>
        <w:spacing w:after="0" w:line="251"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condensed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59"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spacing w:after="0" w:line="148" w:lineRule="exact"/>
        <w:rPr>
          <w:sz w:val="20"/>
          <w:szCs w:val="20"/>
          <w:color w:val="auto"/>
        </w:rPr>
      </w:pPr>
    </w:p>
    <w:p>
      <w:pPr>
        <w:jc w:val="both"/>
        <w:ind w:right="400" w:firstLine="432"/>
        <w:spacing w:after="0" w:line="254" w:lineRule="auto"/>
        <w:rPr>
          <w:sz w:val="20"/>
          <w:szCs w:val="20"/>
          <w:color w:val="auto"/>
        </w:rPr>
      </w:pPr>
      <w:r>
        <w:rPr>
          <w:rFonts w:ascii="Arial" w:cs="Arial" w:eastAsia="Arial" w:hAnsi="Arial"/>
          <w:sz w:val="18"/>
          <w:szCs w:val="18"/>
          <w:color w:val="auto"/>
        </w:rPr>
        <w:t>Other than as described in Note 2. “Revenue Recognition” and Note 11. “Stock-based Compensation,” in the notes to the condensed consolidated financial statements, there have been no significant changes during the six months ended June 30, 2018 to the items that we disclosed as our critical accounting policies and estimates in Management’s Discussion and Analysis of Financial Condition and Results of Operations in our Annual Report on Form 10-K for the year ended December 31, 2017.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193" w:lineRule="exact"/>
        <w:rPr>
          <w:sz w:val="20"/>
          <w:szCs w:val="20"/>
          <w:color w:val="auto"/>
        </w:rPr>
      </w:pPr>
    </w:p>
    <w:p>
      <w:pPr>
        <w:ind w:right="320" w:firstLine="432"/>
        <w:spacing w:after="0" w:line="262" w:lineRule="auto"/>
        <w:rPr>
          <w:sz w:val="20"/>
          <w:szCs w:val="20"/>
          <w:color w:val="auto"/>
        </w:rPr>
      </w:pPr>
      <w:r>
        <w:rPr>
          <w:rFonts w:ascii="Arial" w:cs="Arial" w:eastAsia="Arial" w:hAnsi="Arial"/>
          <w:sz w:val="18"/>
          <w:szCs w:val="18"/>
          <w:color w:val="auto"/>
        </w:rPr>
        <w:t>See Note 1. “Description of Business and Basis of Presentation” to the Notes to Condensed Consolidated Financial Statements under Item 1 for recently issued accounting pronouncements not yet effective.</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53" w:lineRule="exact"/>
        <w:rPr>
          <w:sz w:val="20"/>
          <w:szCs w:val="20"/>
          <w:color w:val="auto"/>
        </w:rPr>
      </w:pPr>
    </w:p>
    <w:p>
      <w:pPr>
        <w:ind w:right="120" w:firstLine="432"/>
        <w:spacing w:after="0" w:line="256" w:lineRule="auto"/>
        <w:rPr>
          <w:sz w:val="20"/>
          <w:szCs w:val="20"/>
          <w:color w:val="auto"/>
        </w:rPr>
      </w:pPr>
      <w:r>
        <w:rPr>
          <w:rFonts w:ascii="Arial" w:cs="Arial" w:eastAsia="Arial" w:hAnsi="Arial"/>
          <w:sz w:val="18"/>
          <w:szCs w:val="18"/>
          <w:color w:val="auto"/>
        </w:rPr>
        <w:t>For quantitative and qualitative disclosures about market risk, see Item 7A, “Quantitative and Qualitative Disclosures About Market Risk” of our annual report on Form 10-K for the year ended December 31, 2017. Our exposures to market risk have not changed materially since December 31, 2017.</w:t>
      </w:r>
    </w:p>
    <w:p>
      <w:pPr>
        <w:spacing w:after="0" w:line="28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right="360" w:firstLine="432"/>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June 30, 2018. The term “disclosure controls and procedures,” as defined in Rules 13a-15(e) and</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June 30, 2018, our chief executive officer and chief financial officer concluded that, as of such date, our disclosure controls and procedures were effective at the reasonable assurance level.</w:t>
      </w:r>
    </w:p>
    <w:p>
      <w:pPr>
        <w:spacing w:after="0" w:line="155"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93" w:lineRule="exact"/>
        <w:rPr>
          <w:sz w:val="20"/>
          <w:szCs w:val="20"/>
          <w:color w:val="auto"/>
        </w:rPr>
      </w:pPr>
    </w:p>
    <w:p>
      <w:pPr>
        <w:ind w:right="100" w:firstLine="432"/>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40"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7" w:lineRule="exact"/>
        <w:rPr>
          <w:sz w:val="20"/>
          <w:szCs w:val="20"/>
          <w:color w:val="auto"/>
        </w:rPr>
      </w:pPr>
    </w:p>
    <w:p>
      <w:pPr>
        <w:ind w:right="100" w:firstLine="446"/>
        <w:spacing w:after="0" w:line="253"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92" w:lineRule="exact"/>
        <w:rPr>
          <w:sz w:val="20"/>
          <w:szCs w:val="20"/>
          <w:color w:val="auto"/>
        </w:rPr>
      </w:pPr>
    </w:p>
    <w:p>
      <w:pPr>
        <w:ind w:left="80"/>
        <w:spacing w:after="0"/>
        <w:tabs>
          <w:tab w:leader="none" w:pos="14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29"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From 10-K for the year ended December 31, 2017.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9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have incurred substantial net losses since our inception, including a net loss of $3.7 million for three months ended June 30, 2018, and we may continue to incur additional losses in the future. For the years ended December 31, 2017, 2016 and 2015, we incurred net losses of $45.2 million, $67.5 million and $22.1 million, respectively. At June 30, 2018, we had an accumulated deficit of $343.5 million. Our revenue growth may slow or revenue may decline for a number of reasons, many of which are outside our control, including a decline in demand for our offerings, increased competition, a decrease in the growth of the solar industry or our market share, future declines in average selling prices of our products, the impact of the January 2018 trade tariffs established by President Trump, the imposition of additional tariffs applicable to our industry or our products, or our failure to capitalize on growth opportunities. If we fail to generate sufficient revenue to support our operations, we may not be able to achieve or sustain profitability.</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21" w:lineRule="exact"/>
        <w:rPr>
          <w:sz w:val="20"/>
          <w:szCs w:val="20"/>
          <w:color w:val="auto"/>
        </w:rPr>
      </w:pPr>
    </w:p>
    <w:p>
      <w:pPr>
        <w:ind w:right="240" w:firstLine="432"/>
        <w:spacing w:after="0" w:line="256" w:lineRule="auto"/>
        <w:rPr>
          <w:sz w:val="20"/>
          <w:szCs w:val="20"/>
          <w:color w:val="auto"/>
        </w:rPr>
      </w:pPr>
      <w:r>
        <w:rPr>
          <w:rFonts w:ascii="Arial" w:cs="Arial" w:eastAsia="Arial" w:hAnsi="Arial"/>
          <w:sz w:val="18"/>
          <w:szCs w:val="18"/>
          <w:color w:val="auto"/>
        </w:rPr>
        <w:t>We believe that our existing cash and cash equivalents and cash flows from our operating activities will be sufficient to meet our anticipated cash needs for at least the next 12 months. However, we may need to raise additional capital or debt financing to execute on our current or future business strategies, including to:</w:t>
      </w:r>
    </w:p>
    <w:p>
      <w:pPr>
        <w:spacing w:after="0" w:line="40" w:lineRule="exact"/>
        <w:rPr>
          <w:sz w:val="20"/>
          <w:szCs w:val="20"/>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additional cash reserves to support our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 in our research and development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117" w:lineRule="exact"/>
        <w:rPr>
          <w:rFonts w:ascii="Arial" w:cs="Arial" w:eastAsia="Arial" w:hAnsi="Arial"/>
          <w:sz w:val="18"/>
          <w:szCs w:val="18"/>
          <w:color w:val="auto"/>
        </w:rPr>
      </w:pPr>
    </w:p>
    <w:p>
      <w:pPr>
        <w:ind w:left="980" w:right="180" w:hanging="486"/>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 including adjustments to our business to mitigate the effects of any tariffs that might apply to us or our industry.</w:t>
      </w:r>
    </w:p>
    <w:p>
      <w:pPr>
        <w:spacing w:after="0" w:line="196"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40"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convertible debt securities, the percentage ownership of our stockholders could be significantly diluted, and these newly issued securities may have rights, preferences or privileges senior to those of existing stockholders.</w:t>
      </w:r>
    </w:p>
    <w:p>
      <w:pPr>
        <w:spacing w:after="0" w:line="12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*U.S. government actions with regard to the solar energy sector or international trade could materially harm our business, financial condition and results of operations.</w:t>
      </w:r>
    </w:p>
    <w:p>
      <w:pPr>
        <w:spacing w:after="0" w:line="121"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The current U.S. presidential administration has created and may continue to create regulatory uncertainty in the clean energy sector generally and the solar energy sector in particular. If the administration or the U.S. Congress takes action to eliminate or reduce legislation, regulations and incentives supporting solar energy, such actions may result in a decrease in demand for solar energy in the United States and other geographical markets, which could materially harm our business, financial condition and results of operations.</w:t>
      </w:r>
    </w:p>
    <w:p>
      <w:pPr>
        <w:spacing w:after="0" w:line="150"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On January 23, 2018, President Donald Trump signed a proclamation establishing tariffs on certain solar equipment manufactured outside of the U.S., and his administration has subsequently announced its intention to levy tariffs on additional classes of products. Such tariffs could have a negative impact on the overall demand for solar products in the U.S., and for our products in particular. Unless we obtain exemptions or take other actions to avoid them, such tariffs will apply to our microinverters and other products. If the tariffs are applied specifically to products that we or our commercial partners import, such tariffs could hurt the demand for these products and materially harm our business, financial condition and results of operations. We are seeking exemptions from those tariffs. There is no guarantee that we will be successful in obtaining such exemptions or any actions that we may pursue with respect to the organization and operation of our business to effectively mitigate the effects of any tariffs that apply to our business. If we are not able to avoid or mitigate the effects of such tariffs, the tariffs (or mitigating actions we might take) could result in material additional costs to us and our suppliers, and our results of operations could be negatively impacted as a result.</w:t>
      </w:r>
    </w:p>
    <w:p>
      <w:pPr>
        <w:spacing w:after="0" w:line="158" w:lineRule="exact"/>
        <w:rPr>
          <w:sz w:val="20"/>
          <w:szCs w:val="20"/>
          <w:color w:val="auto"/>
        </w:rPr>
      </w:pPr>
    </w:p>
    <w:p>
      <w:pPr>
        <w:ind w:right="140" w:firstLine="432"/>
        <w:spacing w:after="0" w:line="252" w:lineRule="auto"/>
        <w:rPr>
          <w:sz w:val="20"/>
          <w:szCs w:val="20"/>
          <w:color w:val="auto"/>
        </w:rPr>
      </w:pPr>
      <w:r>
        <w:rPr>
          <w:rFonts w:ascii="Arial" w:cs="Arial" w:eastAsia="Arial" w:hAnsi="Arial"/>
          <w:sz w:val="18"/>
          <w:szCs w:val="18"/>
          <w:color w:val="auto"/>
        </w:rPr>
        <w:t>Furthermore, a significant portion of our business activities are conducted in foreign countries, including Mexico, Canada and China. During the 2016 election campaign, then-candidate Trump made comments suggesting that he was not supportive of certain existing international trade agreements, including the North American Free Trade Agreement (“NAFTA”). At this time, it remains unclear what the administration or the U.S. Congress may or may not do with respect to these international trade agreements. If the administration takes action to impose any border tariff or to withdraw from or materially modify NAFTA or certain other international trade agreements, our business, financial condition and results of operations could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rapidly changing solar industry makes it difficult to evaluate our current business and future prospects.</w:t>
      </w:r>
    </w:p>
    <w:p>
      <w:pPr>
        <w:spacing w:after="0" w:line="19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50" w:lineRule="exact"/>
        <w:rPr>
          <w:sz w:val="20"/>
          <w:szCs w:val="20"/>
          <w:color w:val="auto"/>
        </w:rPr>
      </w:pPr>
    </w:p>
    <w:p>
      <w:pPr>
        <w:ind w:right="240" w:firstLine="432"/>
        <w:spacing w:after="0" w:line="254" w:lineRule="auto"/>
        <w:rPr>
          <w:sz w:val="20"/>
          <w:szCs w:val="20"/>
          <w:color w:val="auto"/>
        </w:rPr>
      </w:pPr>
      <w:r>
        <w:rPr>
          <w:rFonts w:ascii="Arial" w:cs="Arial" w:eastAsia="Arial" w:hAnsi="Arial"/>
          <w:sz w:val="18"/>
          <w:szCs w:val="18"/>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grow or grows at a slower rate than we anticipate, our business will suffer.</w:t>
      </w:r>
    </w:p>
    <w:p>
      <w:pPr>
        <w:spacing w:after="0" w:line="139"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Our microinverter and AC Battery storage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8"/>
          <w:szCs w:val="18"/>
          <w:i w:val="1"/>
          <w:iCs w:val="1"/>
          <w:color w:val="auto"/>
        </w:rPr>
        <w:t>,</w:t>
      </w:r>
      <w:r>
        <w:rPr>
          <w:rFonts w:ascii="Arial" w:cs="Arial" w:eastAsia="Arial" w:hAnsi="Arial"/>
          <w:sz w:val="18"/>
          <w:szCs w:val="18"/>
          <w:color w:val="auto"/>
        </w:rPr>
        <w:t xml:space="preserve"> and we cannot be certain that consumers and businesses will adopt solar PV systems as an alternative energy source at levels sufficient to continue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44" w:lineRule="exact"/>
        <w:rPr>
          <w:sz w:val="20"/>
          <w:szCs w:val="20"/>
          <w:color w:val="auto"/>
        </w:rPr>
      </w:pPr>
    </w:p>
    <w:p>
      <w:pPr>
        <w:ind w:left="5620" w:right="4780" w:hanging="5126"/>
        <w:spacing w:after="0" w:line="606" w:lineRule="auto"/>
        <w:tabs>
          <w:tab w:leader="none" w:pos="986"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 33</w:t>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980" w:right="160" w:hanging="486"/>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88" w:lineRule="exact"/>
        <w:rPr>
          <w:rFonts w:ascii="Arial" w:cs="Arial" w:eastAsia="Arial" w:hAnsi="Arial"/>
          <w:sz w:val="18"/>
          <w:szCs w:val="18"/>
          <w:color w:val="auto"/>
        </w:rPr>
      </w:pPr>
    </w:p>
    <w:p>
      <w:pPr>
        <w:ind w:left="980" w:right="580" w:hanging="486"/>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and amount of government subsidies and incentives to support the development and deployment of solar energy solutions;</w:t>
      </w:r>
    </w:p>
    <w:p>
      <w:pPr>
        <w:spacing w:after="0" w:line="88" w:lineRule="exact"/>
        <w:rPr>
          <w:rFonts w:ascii="Arial" w:cs="Arial" w:eastAsia="Arial" w:hAnsi="Arial"/>
          <w:sz w:val="18"/>
          <w:szCs w:val="18"/>
          <w:color w:val="auto"/>
        </w:rPr>
      </w:pPr>
    </w:p>
    <w:p>
      <w:pPr>
        <w:ind w:left="980" w:right="220" w:hanging="486"/>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117" w:lineRule="exact"/>
        <w:rPr>
          <w:rFonts w:ascii="Arial" w:cs="Arial" w:eastAsia="Arial" w:hAnsi="Arial"/>
          <w:sz w:val="18"/>
          <w:szCs w:val="18"/>
          <w:color w:val="auto"/>
        </w:rPr>
      </w:pPr>
    </w:p>
    <w:p>
      <w:pPr>
        <w:ind w:left="980" w:right="100" w:hanging="486"/>
        <w:spacing w:after="0" w:line="26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continuance or success of, or increased government support for, other alternative energy generation technologies and products.</w:t>
      </w:r>
    </w:p>
    <w:p>
      <w:pPr>
        <w:spacing w:after="0" w:line="196" w:lineRule="exact"/>
        <w:rPr>
          <w:sz w:val="20"/>
          <w:szCs w:val="20"/>
          <w:color w:val="auto"/>
        </w:rPr>
      </w:pPr>
    </w:p>
    <w:p>
      <w:pPr>
        <w:ind w:right="800" w:firstLine="432"/>
        <w:spacing w:after="0" w:line="262" w:lineRule="auto"/>
        <w:rPr>
          <w:sz w:val="20"/>
          <w:szCs w:val="20"/>
          <w:color w:val="auto"/>
        </w:rPr>
      </w:pPr>
      <w:r>
        <w:rPr>
          <w:rFonts w:ascii="Arial" w:cs="Arial" w:eastAsia="Arial" w:hAnsi="Arial"/>
          <w:sz w:val="18"/>
          <w:szCs w:val="18"/>
          <w:color w:val="auto"/>
        </w:rPr>
        <w:t>If demand for solar energy solutions does not grow, demand for our customers' products as well as demand for our products will decrease, which would have an adverse impact on our ability to increase our revenue and grow our business.</w:t>
      </w:r>
    </w:p>
    <w:p>
      <w:pPr>
        <w:spacing w:after="0" w:line="142" w:lineRule="exact"/>
        <w:rPr>
          <w:sz w:val="20"/>
          <w:szCs w:val="20"/>
          <w:color w:val="auto"/>
        </w:rPr>
      </w:pPr>
    </w:p>
    <w:p>
      <w:pPr>
        <w:ind w:right="220" w:firstLine="432"/>
        <w:spacing w:after="0" w:line="254"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lower-cost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28"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In 2017, two customers accounted for approximately 15% and 11% of total net revenues.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The loss of, or events affecting, one or more of our large customers have had, could have and could continue to have a material adverse effect on our business, financial condition and results of operations.</w:t>
      </w:r>
    </w:p>
    <w:p>
      <w:pPr>
        <w:spacing w:after="0" w:line="13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*The failure to close our agreements with SunPower or to successfully integrate our products with those of SunPower could have a material adverse effect on our business, financial condition and results of operations.</w:t>
      </w:r>
    </w:p>
    <w:p>
      <w:pPr>
        <w:spacing w:after="0" w:line="121"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On June 12, 2018, we announced that we would be entering into a Master Supply Agreement with SunPower Corporation, from whom we are purchasing certain intellectual property and other assets. Our failure to enter into the Master Supply Agreement or to successfully integrate our microinverter products and software with SunPower’s solar modules could frustrate the purposes of our acquisition of SunPower’s assets, negatively impact our revenue projections, and otherwise have a material adverse effect on our business, financial condition and results of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closing of the asset purchase transaction with SunPower is subject to the satisfaction of various closing conditions.</w:t>
      </w:r>
    </w:p>
    <w:p>
      <w:pPr>
        <w:spacing w:after="0" w:line="247" w:lineRule="exact"/>
        <w:rPr>
          <w:sz w:val="20"/>
          <w:szCs w:val="20"/>
          <w:color w:val="auto"/>
        </w:rPr>
      </w:pPr>
    </w:p>
    <w:p>
      <w:pPr>
        <w:ind w:right="120" w:firstLine="648"/>
        <w:spacing w:after="0" w:line="252" w:lineRule="auto"/>
        <w:rPr>
          <w:sz w:val="20"/>
          <w:szCs w:val="20"/>
          <w:color w:val="auto"/>
        </w:rPr>
      </w:pPr>
      <w:r>
        <w:rPr>
          <w:rFonts w:ascii="Arial" w:cs="Arial" w:eastAsia="Arial" w:hAnsi="Arial"/>
          <w:sz w:val="18"/>
          <w:szCs w:val="18"/>
          <w:color w:val="auto"/>
        </w:rPr>
        <w:t>On June 12, 2018, we announced that we had entered into an Asset Purchase Agreement with SunPower to acquire its microinverter business. We expect the transaction to close during the third quarter of 2018, subject to the satisfaction or waiver of closing conditions. We cannot provide any assurance that all of the closing conditions will be satisfied or waived. The failure to satisfy some or all of the required conditions could delay the closing of the acquisition for a significant period of time or prevent it from occurring. Further, our entry into supply arrangements with SunPower pursuant to a Master Supply Agreement depends on the closing of these transactions, and a failure to complete or delay in completing the closing under the Asset Purchase Agreement would result in a failure to implement (or a delay in implementing) the Master Supply Agreement with SunPower.</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0"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i w:val="1"/>
          <w:iCs w:val="1"/>
          <w:color w:val="auto"/>
        </w:rPr>
        <w:t>*We may fail to realize some or all of the anticipated benefits of the SunPower transaction, and the closing of the SunPower transaction will result in dilution to our shareholders and a change in the composition of our board of directors, which may result in conflicts between us and SunPower.</w:t>
      </w:r>
    </w:p>
    <w:p>
      <w:pPr>
        <w:spacing w:after="0" w:line="190"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Our ability to realize the anticipated benefits of the SunPower transaction will depend, to a large extent, on our ability to implement the master supply arrangements with SunPower under the Master Supply Agreement and to integrate our microinverter products and software with SunPower’s solar modules. The post-closing implementation of the master supply arrangements with SunPower could be a complex and time-consuming process, and our management may face challenges in the implementation of these arrangements. Any delay, failure or breach of our master supply arrangements that will be effective with SunPower following the closing under the Master Supply Agreement could adversely impact the expected benefits of the transaction and could otherwise have a material adverse effect on our business, financial condition and results of operations. Further, SunPower’s products are also subject to the Trump administration tariffs described above, which may reduce the benefits of the transaction to us.</w:t>
      </w:r>
    </w:p>
    <w:p>
      <w:pPr>
        <w:spacing w:after="0" w:line="20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Additionally, in connection with the closing under the Asset Purchase Agreement with SunPower, we will issue 7,500,000 shares of our common stock to SunPower as partial consideration for the transaction, which will result in additional dilution to our shareholders. SunPower will also have the right to designate one member of our board of directors. Through its share ownership and board seat, SunPower may have the ability to directly or indirectly influence our business, and conflicts may arise between us and SunPower regarding corporate priorities and strategic objectives.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could materially and adversely affect our results of operations.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In addition to the SunPower transaction, we may in the future seek to expand our business through further acquisitions and strategic transactions. Such transactions involve a number of risks that could harm our business or result in us not achieving anticipated benefits, including issues with integrating acquired businesses, the diversion of management time and attention, failures in due diligence or in identifying financial and legal liabilities and other risks, transaction related impairments or financial charges and the assumption of liabilities. In our future transactions, we may also decide to pay all or a portion of the transaction consideration through dilutive equity issuances, and our future acquisitions may require significant reductions in our available cash or the incurrence of indebtedness, all of which could harm our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39" w:lineRule="exact"/>
        <w:rPr>
          <w:sz w:val="20"/>
          <w:szCs w:val="20"/>
          <w:color w:val="auto"/>
        </w:rPr>
      </w:pPr>
    </w:p>
    <w:p>
      <w:pPr>
        <w:ind w:right="760" w:firstLine="432"/>
        <w:spacing w:after="0" w:line="262"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34"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117" w:lineRule="exact"/>
        <w:rPr>
          <w:rFonts w:ascii="Arial" w:cs="Arial" w:eastAsia="Arial" w:hAnsi="Arial"/>
          <w:sz w:val="18"/>
          <w:szCs w:val="18"/>
          <w:color w:val="auto"/>
        </w:rPr>
      </w:pPr>
    </w:p>
    <w:p>
      <w:pPr>
        <w:ind w:left="980" w:right="32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88" w:lineRule="exact"/>
        <w:rPr>
          <w:rFonts w:ascii="Arial" w:cs="Arial" w:eastAsia="Arial" w:hAnsi="Arial"/>
          <w:sz w:val="18"/>
          <w:szCs w:val="18"/>
          <w:color w:val="auto"/>
        </w:rPr>
      </w:pPr>
    </w:p>
    <w:p>
      <w:pPr>
        <w:ind w:left="980" w:right="24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component shortages and related expedited shipping costs;</w:t>
      </w:r>
    </w:p>
    <w:p>
      <w:pPr>
        <w:spacing w:after="0" w:line="117" w:lineRule="exact"/>
        <w:rPr>
          <w:rFonts w:ascii="Arial" w:cs="Arial" w:eastAsia="Arial" w:hAnsi="Arial"/>
          <w:sz w:val="18"/>
          <w:szCs w:val="18"/>
          <w:color w:val="auto"/>
        </w:rPr>
      </w:pPr>
    </w:p>
    <w:p>
      <w:pPr>
        <w:ind w:left="980" w:right="20" w:hanging="486"/>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reduce production costs, such as through technology innovations, in order to offset price declines in our products over time;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ectPr>
          <w:pgSz w:w="11900" w:h="16838" w:orient="portrait"/>
          <w:cols w:equalWidth="0" w:num="1">
            <w:col w:w="11380"/>
          </w:cols>
          <w:pgMar w:left="240" w:top="140" w:right="279" w:bottom="1440" w:gutter="0" w:footer="0" w:header="0"/>
        </w:sect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80"/>
          </w:cols>
          <w:pgMar w:left="240" w:top="140" w:right="27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14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15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13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products, which could negatively impact our results of operations and market share.</w:t>
      </w:r>
    </w:p>
    <w:p>
      <w:pPr>
        <w:spacing w:after="0" w:line="121" w:lineRule="exact"/>
        <w:rPr>
          <w:sz w:val="20"/>
          <w:szCs w:val="20"/>
          <w:color w:val="auto"/>
        </w:rPr>
      </w:pPr>
    </w:p>
    <w:p>
      <w:pPr>
        <w:ind w:right="260" w:firstLine="432"/>
        <w:spacing w:after="0" w:line="252" w:lineRule="auto"/>
        <w:rPr>
          <w:sz w:val="20"/>
          <w:szCs w:val="20"/>
          <w:color w:val="auto"/>
        </w:rPr>
      </w:pPr>
      <w:r>
        <w:rPr>
          <w:rFonts w:ascii="Arial" w:cs="Arial" w:eastAsia="Arial" w:hAnsi="Arial"/>
          <w:sz w:val="18"/>
          <w:szCs w:val="18"/>
          <w:color w:val="auto"/>
        </w:rPr>
        <w:t>The market for PV inverter solutions is highly competitive. To date, we have competed primarily against central and string inverter manufacturers, but as the solar industry rapidly grows, new solutions and technologies are emerging that will directly compete with our business. We believe that a number of companies have developed or are developing microinverters and other products that will compete directly with our microinverter systems in the module-level power electronics market. Competitors in the inverter market include, amongst others, SolarEdge Technologies, Inc., SMA Solar Technology AG, Huawei Technologies Co. Ltd., Fronius International GmbH and ABB Ltd.. Other existing or emerging companies may also begin offering alternative microinverter, DC to DC optimizer and other power electronic solutions.</w:t>
      </w:r>
    </w:p>
    <w:p>
      <w:pPr>
        <w:spacing w:after="0" w:line="15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 or if we are unable to offset any future reductions in our average selling prices by increasing our sales volume, reducing our costs and expenses or introducing new products, our revenues and gross profit would suffer.</w:t>
      </w:r>
    </w:p>
    <w:p>
      <w:pPr>
        <w:spacing w:after="0" w:line="158"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Other solar module manufacturers could also develop or acquire competing inverter technology or attempt to develop components that directly perform DC to AC conversion in the module itself. Due to the fact that such customers may not seek to make a profit directly from the manufacture of these inverter products, they may have the ability to manufacture competitive products at a lower cost than we would charge such customers. As a result, these customers or potential customers may purchase fewer of our microinverter systems or sell products that compete with our microinverter systems, which would negatively impact our revenue and gross profit.</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40"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12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13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PV systems, including our AC Battery storage solution, integrated AC Module and recently introduced seventh-generation IQ microinverters, may not achieve broader market acceptance, which would prevent us from increasing our revenue and market share.</w:t>
      </w:r>
    </w:p>
    <w:p>
      <w:pPr>
        <w:spacing w:after="0" w:line="67" w:lineRule="exact"/>
        <w:rPr>
          <w:sz w:val="20"/>
          <w:szCs w:val="20"/>
          <w:color w:val="auto"/>
        </w:rPr>
      </w:pPr>
    </w:p>
    <w:p>
      <w:pPr>
        <w:ind w:right="800" w:firstLine="432"/>
        <w:spacing w:after="0" w:line="256" w:lineRule="auto"/>
        <w:rPr>
          <w:sz w:val="20"/>
          <w:szCs w:val="20"/>
          <w:color w:val="auto"/>
        </w:rPr>
      </w:pPr>
      <w:r>
        <w:rPr>
          <w:rFonts w:ascii="Arial" w:cs="Arial" w:eastAsia="Arial" w:hAnsi="Arial"/>
          <w:sz w:val="18"/>
          <w:szCs w:val="18"/>
          <w:color w:val="auto"/>
        </w:rPr>
        <w:t>If we fail to achieve broader market acceptance of our products, including international acceptance of our seventh-generation IQ microinverters,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40" w:lineRule="exact"/>
        <w:rPr>
          <w:sz w:val="20"/>
          <w:szCs w:val="20"/>
          <w:color w:val="auto"/>
        </w:rPr>
      </w:pPr>
    </w:p>
    <w:p>
      <w:pPr>
        <w:ind w:left="980" w:right="62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produce PV systems that compete favorably against other solutions on the basis of price, quality, reliability and performance;</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117" w:lineRule="exact"/>
        <w:rPr>
          <w:rFonts w:ascii="Arial" w:cs="Arial" w:eastAsia="Arial" w:hAnsi="Arial"/>
          <w:sz w:val="18"/>
          <w:szCs w:val="18"/>
          <w:color w:val="auto"/>
        </w:rPr>
      </w:pPr>
    </w:p>
    <w:p>
      <w:pPr>
        <w:ind w:left="980" w:right="16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systems, which have a relatively limited history with respect to reliability and performance;</w:t>
      </w:r>
    </w:p>
    <w:p>
      <w:pPr>
        <w:spacing w:after="0" w:line="88" w:lineRule="exact"/>
        <w:rPr>
          <w:rFonts w:ascii="Arial" w:cs="Arial" w:eastAsia="Arial" w:hAnsi="Arial"/>
          <w:sz w:val="18"/>
          <w:szCs w:val="18"/>
          <w:color w:val="auto"/>
        </w:rPr>
      </w:pPr>
    </w:p>
    <w:p>
      <w:pPr>
        <w:ind w:left="98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adopt our AC Battery storage solution, which is a relatively new technology with a limited history with respect to reliability and performance;</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88" w:lineRule="exact"/>
        <w:rPr>
          <w:rFonts w:ascii="Arial" w:cs="Arial" w:eastAsia="Arial" w:hAnsi="Arial"/>
          <w:sz w:val="18"/>
          <w:szCs w:val="18"/>
          <w:color w:val="auto"/>
        </w:rPr>
      </w:pPr>
    </w:p>
    <w:p>
      <w:pPr>
        <w:ind w:left="980" w:right="680" w:hanging="486"/>
        <w:spacing w:after="0" w:line="26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225" w:lineRule="exact"/>
        <w:rPr>
          <w:sz w:val="20"/>
          <w:szCs w:val="20"/>
          <w:color w:val="auto"/>
        </w:rPr>
      </w:pPr>
    </w:p>
    <w:p>
      <w:pPr>
        <w:ind w:right="260" w:firstLine="432"/>
        <w:spacing w:after="0" w:line="25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or string inverters, or who currently sell DC-to-DC optimizers. These installers often have made substantial investments in design, installation resources and training in traditional central or string inverter systems or DC optimizers, which may create challenges for us to achieve their adoption of our microinverter systems.</w:t>
      </w:r>
    </w:p>
    <w:p>
      <w:pPr>
        <w:spacing w:after="0" w:line="12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2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52"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including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that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31" w:lineRule="exact"/>
        <w:rPr>
          <w:sz w:val="20"/>
          <w:szCs w:val="20"/>
          <w:color w:val="auto"/>
        </w:rPr>
      </w:pPr>
    </w:p>
    <w:p>
      <w:pPr>
        <w:ind w:right="580"/>
        <w:spacing w:after="0" w:line="269"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spacing w:after="0" w:line="82"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98"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04"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2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12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For instance, the Renewable Energy and Job Creation Act of 2008 currently provides a 30% federal tax credit for residential and commercial solar installations through December 31, 2019 and reduced tax credits of 26% and 22% through December 31, 2020 and 2021 respectively, before being reduced to 10% for commercial installations and 0% for residential installations beginning in 2022. These tax credits could be reduced or eliminated as part of tax code changes or regulatory reform initiatives by the current Congress and presidential administration.</w:t>
      </w:r>
    </w:p>
    <w:p>
      <w:pPr>
        <w:spacing w:after="0" w:line="152"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0"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incentivizing the installation of residential solar systems. California, however, is re-evaluating existing incentives, tariffs and rates for residential systems in order to accommodate a sustainable growth trajectory for residential solar and to also encourage the adoption of other distributed energy resources, such as energy storage, that provide additional benefits to the consumer and the electricity grid. There is a risk that future regulatory changes will not adequately stimulate future growth in the residential solar market.</w:t>
      </w:r>
    </w:p>
    <w:p>
      <w:pPr>
        <w:spacing w:after="0" w:line="15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also sell our products in Europe. A number of European countries, including Germany, Belgium, Italy and the United Kingdom have adopted reductions or concluded their FiT programs. Certain countries have proposed or enacted taxes levied on renewable energy. These and related developments have significantly impacted the solar industry in Europe and may adversely affect the future demand for the solar energy solutions in Europe.</w:t>
      </w:r>
    </w:p>
    <w:p>
      <w:pPr>
        <w:spacing w:after="0" w:line="150" w:lineRule="exact"/>
        <w:rPr>
          <w:sz w:val="20"/>
          <w:szCs w:val="20"/>
          <w:color w:val="auto"/>
        </w:rPr>
      </w:pPr>
    </w:p>
    <w:p>
      <w:pPr>
        <w:ind w:right="60" w:firstLine="432"/>
        <w:spacing w:after="0" w:line="251" w:lineRule="auto"/>
        <w:rPr>
          <w:sz w:val="20"/>
          <w:szCs w:val="20"/>
          <w:color w:val="auto"/>
        </w:rPr>
      </w:pPr>
      <w:r>
        <w:rPr>
          <w:rFonts w:ascii="Arial" w:cs="Arial" w:eastAsia="Arial" w:hAnsi="Arial"/>
          <w:sz w:val="18"/>
          <w:szCs w:val="18"/>
          <w:color w:val="auto"/>
        </w:rPr>
        <w:t>We also sell our products in Australia. In 2012 Australia enacted a Renewable Energy Target (RET) that is intended to ensure that 33,000 Gigawatt-hours of Australia's electricity comes from renewable sources by 2020. In 2016, Australia re-elected its conservative national government, which revised national energy policy in October of 2017 with the introduction of the National Energy Guarantee. The National Energy Guarantee imposes a reliability obligation and an emissions reduction expectation on energy retailers and a small number of large electricity users. Energy retailers will have to have a mix in their portfolio: generation from dispatchable sources and from low-emissions sources, to meet their regulatory obligations. The Direct Action Plan previously put into place remains and has been renamed the Emissions Reduction Fund. This plan primarily provides funding to corporations to reduce emissions. The Emissions Reduction Fund is the central component in the Australian government's policy suite to reduce emissions and operates alongside existing programs such as the Renewable Energy Target, the National Carbon Offset Standard and energy efficiency standards on appliances, equipment and buildings. The objective of the Emissions Reduction Fund is to help achieve Australia’s 2020 emissions reduction target of 5% below 2000 levels by 2020 and 26-28% below 2005 emissions by 2030. The Australian government has provided $2.55 billion of funding toward the Emissions Reduction Fund, with further funding to be considered in future budgets. States and territories in Australia have different FiTs, and the gradual reduction of FiTs in some states may reduce the incentive for homeowners to export unused solar energy produced back to the grid.</w:t>
      </w:r>
    </w:p>
    <w:p>
      <w:pPr>
        <w:spacing w:after="0" w:line="157"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We also sell our products in Ontario, Canada. The government of Ontario has the authority to modify, suspend, or discontinue the FiT program at any time and has currently suspended it.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50"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believe the Federal and State tax credits, applicable federal and state grants, applicable tariffs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The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3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21"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Changes in current laws or regulations applicable to us or the imposition of new laws and regulations in the United States, Canada, Mexico and certain Central American markets, France, the Benelux region, certain other European markets, Australia, India, New Zealand and certain other Asian markets,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155"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For example, several states or territories, including California, Hawaii and Queensland, Australia, have either implemented or are considering implementing new restrictions on incentives or rules regulating the installation of solar systems that we may not be able to currently comply with. In the event that we cannot comply with these or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other new regulations or implement a solution to such noncompliance as they arise, the total market available for our microinverter products in such states, and our business as a result, may be adversely impacted.</w:t>
      </w:r>
    </w:p>
    <w:p>
      <w:pPr>
        <w:spacing w:after="0" w:line="14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threat of global economic, capital markets and credit disruptions, including sovereign debt issues, pose risks for our business.</w:t>
      </w:r>
    </w:p>
    <w:p>
      <w:pPr>
        <w:spacing w:after="0" w:line="193"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The threat of global economic, capital markets and credit disruptions pose risks for our business. These risks include slower economic activity and investment in projects that make use of our products and services. These economic developments, particularly decreased credit availability, have in the past reduced demand for solar products. For instance, the European sovereign debt crisis in recent years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internationally.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9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and near the sites of recent catastrophic wild fires. Further, a terrorist attack, including one aimed at energy or communications infrastructure suppliers or our cloud-based monitoring service, could hinder or delay the development and sale or performance of our products. In the event that an earthquake, fire,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13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21"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153" w:lineRule="exact"/>
        <w:rPr>
          <w:sz w:val="20"/>
          <w:szCs w:val="20"/>
          <w:color w:val="auto"/>
        </w:rPr>
      </w:pPr>
    </w:p>
    <w:p>
      <w:pPr>
        <w:ind w:right="320" w:firstLine="432"/>
        <w:spacing w:after="0" w:line="252" w:lineRule="auto"/>
        <w:rPr>
          <w:sz w:val="20"/>
          <w:szCs w:val="20"/>
          <w:color w:val="auto"/>
        </w:rPr>
      </w:pPr>
      <w:r>
        <w:rPr>
          <w:rFonts w:ascii="Arial" w:cs="Arial" w:eastAsia="Arial" w:hAnsi="Arial"/>
          <w:sz w:val="18"/>
          <w:szCs w:val="18"/>
          <w:color w:val="auto"/>
        </w:rPr>
        <w:t>Effective May 25, 2018, the European Union, or EU, implemented the General Data Protection Regulation, or GDPR, a broad data protection framework that expands the scope of current EU data protection law to non-European Union entities that process, or control the processing of, the personal information of EU subjects. The GDPR allows for the imposition of fines and corrective action on entities that improperly use or disclose the personal information of EU subjects, including through a data security breach. On June 27, 2018, the state of California enacted the California Consumer Privacy Act of 2018 or CCPA, which contains requirements similar to GDPR for the handling of personal information of California residents, commencing on January 1, 2020.</w:t>
      </w:r>
    </w:p>
    <w:p>
      <w:pPr>
        <w:spacing w:after="0" w:line="15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and our collaborators’ and contractors’ failure to fully comply with GDPR, CCPA and other laws could lead to significant fines and require onerous corrective action. In addition, data security breaches experienced by us, our collaborators or contractors could result in the loss of trade secrets or other intellectual property, public disclosure of sensitive commercial data, and the exposure of personally identifiable information (including sensitive personal information) of our employees, customers, collaborators and others.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20" w:firstLine="432"/>
        <w:spacing w:after="0" w:line="251" w:lineRule="auto"/>
        <w:rPr>
          <w:sz w:val="20"/>
          <w:szCs w:val="20"/>
          <w:color w:val="auto"/>
        </w:rPr>
      </w:pPr>
      <w:r>
        <w:rPr>
          <w:rFonts w:ascii="Arial" w:cs="Arial" w:eastAsia="Arial" w:hAnsi="Arial"/>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3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In addition, our Enlighten web-based monitoring service, which our customers use to track and monitor the performance of their solar PV systems, is dependent on cloud-based hosting services, along with the availability of internet services at end-user premises. A disruption, infiltration or failure of our information technology systems, third-party cloud hosting platforms or end-user internet services as a result of software or hardware malfunctions, system implementations or upgrades, computer viruses, cyber-attacks, third-party security breaches, employee error, theft or misuse, malfeasance, power disruptions, natural disasters or accidents could cause breaches of data security, failure of our Enlighten service,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13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21"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solar PV systems less economically attractive and lowering sales of our products. In addition, energy conservation technologies and public initiatives to reduce demand for electricity also could cause a fall in the retail price of electricity from the utility grid. Moreover, technological developments by our competitors in the solar components industry, including manufacturers of central inverters and DC-to-DC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3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each subsequent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52"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53"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proved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153"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12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58"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workforce, our business and operating results may suffer.</w:t>
      </w:r>
    </w:p>
    <w:p>
      <w:pPr>
        <w:spacing w:after="0" w:line="139" w:lineRule="exact"/>
        <w:rPr>
          <w:sz w:val="20"/>
          <w:szCs w:val="20"/>
          <w:color w:val="auto"/>
        </w:rPr>
      </w:pPr>
    </w:p>
    <w:p>
      <w:pPr>
        <w:jc w:val="both"/>
        <w:ind w:right="300" w:firstLine="432"/>
        <w:spacing w:after="0" w:line="256" w:lineRule="auto"/>
        <w:rPr>
          <w:sz w:val="20"/>
          <w:szCs w:val="20"/>
          <w:color w:val="auto"/>
        </w:rPr>
      </w:pPr>
      <w:r>
        <w:rPr>
          <w:rFonts w:ascii="Arial" w:cs="Arial" w:eastAsia="Arial" w:hAnsi="Arial"/>
          <w:sz w:val="18"/>
          <w:szCs w:val="18"/>
          <w:color w:val="auto"/>
        </w:rPr>
        <w:t>We have experienced, and expect to experience in the future, volatility in our sales and operations. Our historical growth and our more recent cost reduction initiatives have placed, and are expected to continue to place, significant demands on our management as well as our financial and operational resources, to:</w:t>
      </w:r>
    </w:p>
    <w:p>
      <w:pPr>
        <w:spacing w:after="0" w:line="40"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 dynamic organization;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execute on our cost reduction efforts and product initiatives with reduced headcount;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 acquired businesses or technologies and integration efforts related to acquisitions;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train and manage a dynamic and increasingly international employee base;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broaden our customer support capabilities;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w:t>
      </w:r>
    </w:p>
    <w:p>
      <w:pPr>
        <w:spacing w:after="0" w:line="225"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We cannot assure you that our current and planned operations, personnel, systems, internal procedures and controls will be adequate to support our future operations. If we cannot manage our sales and operations effectively, we may be unable to take advantage of market opportunities, execute our business strategies or respond to competitive pressures, any of which could have a material adverse effect on our financial condition, results of operations, business or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39"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We currently offer PV systems targeting the residential and commercial markets in the United States, Canada, Mexico and certain Central American markets, the United Kingdom, France, the Benelux region, certain other European markets, Australia, India, New Zealand and certain other Asian markets. We intend to expand into other international markets, including the remainder of Europe and South America. Our success in these new geographic and product markets will depend on a number of factors, such as:</w:t>
      </w:r>
    </w:p>
    <w:p>
      <w:pPr>
        <w:spacing w:after="0" w:line="42"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manufacturing capacity and production;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71" w:lineRule="exact"/>
        <w:rPr>
          <w:sz w:val="20"/>
          <w:szCs w:val="20"/>
          <w:color w:val="auto"/>
        </w:rPr>
      </w:pPr>
    </w:p>
    <w:p>
      <w:pPr>
        <w:ind w:right="20" w:firstLine="432"/>
        <w:spacing w:after="0" w:line="256" w:lineRule="auto"/>
        <w:rPr>
          <w:sz w:val="20"/>
          <w:szCs w:val="20"/>
          <w:color w:val="auto"/>
        </w:rPr>
      </w:pPr>
      <w:r>
        <w:rPr>
          <w:rFonts w:ascii="Arial" w:cs="Arial" w:eastAsia="Arial" w:hAnsi="Arial"/>
          <w:sz w:val="18"/>
          <w:szCs w:val="18"/>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40" w:lineRule="exact"/>
        <w:rPr>
          <w:sz w:val="20"/>
          <w:szCs w:val="20"/>
          <w:color w:val="auto"/>
        </w:rPr>
      </w:pPr>
    </w:p>
    <w:p>
      <w:pPr>
        <w:ind w:left="980" w:right="420" w:hanging="486"/>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ectPr>
          <w:pgSz w:w="11900" w:h="16838" w:orient="portrait"/>
          <w:cols w:equalWidth="0" w:num="1">
            <w:col w:w="11420"/>
          </w:cols>
          <w:pgMar w:left="240" w:top="140" w:right="2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40"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117" w:lineRule="exact"/>
        <w:rPr>
          <w:rFonts w:ascii="Arial" w:cs="Arial" w:eastAsia="Arial" w:hAnsi="Arial"/>
          <w:sz w:val="18"/>
          <w:szCs w:val="18"/>
          <w:color w:val="auto"/>
        </w:rPr>
      </w:pPr>
    </w:p>
    <w:p>
      <w:pPr>
        <w:ind w:left="980" w:right="100" w:hanging="486"/>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 UK Bribery Act;</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225"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93"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may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3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21" w:lineRule="exact"/>
        <w:rPr>
          <w:sz w:val="20"/>
          <w:szCs w:val="20"/>
          <w:color w:val="auto"/>
        </w:rPr>
      </w:pPr>
    </w:p>
    <w:p>
      <w:pPr>
        <w:ind w:right="20" w:firstLine="432"/>
        <w:spacing w:after="0" w:line="252" w:lineRule="auto"/>
        <w:rPr>
          <w:sz w:val="20"/>
          <w:szCs w:val="20"/>
          <w:color w:val="auto"/>
        </w:rPr>
      </w:pPr>
      <w:r>
        <w:rPr>
          <w:rFonts w:ascii="Arial" w:cs="Arial" w:eastAsia="Arial" w:hAnsi="Arial"/>
          <w:sz w:val="18"/>
          <w:szCs w:val="18"/>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55" w:lineRule="exact"/>
        <w:rPr>
          <w:sz w:val="20"/>
          <w:szCs w:val="20"/>
          <w:color w:val="auto"/>
        </w:rPr>
      </w:pPr>
    </w:p>
    <w:p>
      <w:pPr>
        <w:ind w:right="340" w:firstLine="432"/>
        <w:spacing w:after="0" w:line="253"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52"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2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52" w:lineRule="exact"/>
        <w:rPr>
          <w:sz w:val="20"/>
          <w:szCs w:val="20"/>
          <w:color w:val="auto"/>
        </w:rPr>
      </w:pPr>
    </w:p>
    <w:p>
      <w:pPr>
        <w:jc w:val="both"/>
        <w:ind w:right="160" w:firstLine="432"/>
        <w:spacing w:after="0" w:line="254"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150"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and changes in customer requirements, manufacturing facilities or processes have historically caused, and may in the future cause, reduced manufacturing yields, negatively impacting the gross profit on, and our production capacity for, those products. Component shortages have required us and may continue to require us to incur expedited shipping costs to meet delivery schedules, which also impacts our revenues and gross profit. Moreover, an increase in the rejection and rework rate of products during the quality control process before, during or after manufacture would result in our experiencing lower yields, gross profit and production capacity.</w:t>
      </w:r>
    </w:p>
    <w:p>
      <w:pPr>
        <w:spacing w:after="0" w:line="15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28"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i w:val="1"/>
          <w:iCs w:val="1"/>
          <w:color w:val="auto"/>
        </w:rPr>
        <w:t>We depend on sole-source and limited-source suppliers for key components and products. If we are unable to source these components on a timely basis, we will not be able to deliver our products to our customers.</w:t>
      </w:r>
    </w:p>
    <w:p>
      <w:pPr>
        <w:spacing w:after="0" w:line="121"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depend on sole-source and limited-source suppliers for key components of our products. For example, our ASICs are purchased from a sole source supplier or developed for us by sole source suppliers. Any of the sole-source and limited-source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spacing w:after="0" w:line="13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21" w:lineRule="exact"/>
        <w:rPr>
          <w:sz w:val="20"/>
          <w:szCs w:val="20"/>
          <w:color w:val="auto"/>
        </w:rPr>
      </w:pPr>
    </w:p>
    <w:p>
      <w:pPr>
        <w:ind w:right="300" w:firstLine="432"/>
        <w:spacing w:after="0" w:line="254"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3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Many owners of solar PV systems depend on financing to purchase their systems. The limited use of microinverters to date, coupled with our relatively smaller size and capitalization compared to some of our competitors,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 significant share of residential solar installations has been provided through third-party financing structures, such as power purchase or lease agreements. Our sales growth may depend on sales to developers of third-party solar finance offerings who provide solar as a service via power purchase agreements or leasing structures. The third-party finance market for residential solar in the United States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could be constrained.</w:t>
      </w:r>
    </w:p>
    <w:p>
      <w:pPr>
        <w:spacing w:after="0" w:line="13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rely primarily on distributors, installers and providers of solar financing to assist in selling our products, and the failure of these customers to perform as expected could reduce our future revenue.</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We sell our microinverter systems primarily through distributors, as well as through direct sales to solar equipment installers and sales to developers of third 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153"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these customers to perform as expected, or failure by us to cultivate new customer relationships, could hinder our ability to expand our operations and harm our revenue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19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 In addition, we are pursuing new geographic markets. The inability to capture new customers in the high-growth geographic markets could have a material adverse effect on our business, financial condition or results of operations.</w:t>
      </w:r>
    </w:p>
    <w:p>
      <w:pPr>
        <w:spacing w:after="0" w:line="1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success in “AC module” versions of our microinverter system may depend in part upon our ability to continue to work closely with leading solar module manufacturers.</w:t>
      </w:r>
    </w:p>
    <w:p>
      <w:pPr>
        <w:spacing w:after="0" w:line="121" w:lineRule="exact"/>
        <w:rPr>
          <w:sz w:val="20"/>
          <w:szCs w:val="20"/>
          <w:color w:val="auto"/>
        </w:rPr>
      </w:pPr>
    </w:p>
    <w:p>
      <w:pPr>
        <w:ind w:right="80" w:firstLine="432"/>
        <w:spacing w:after="0" w:line="252" w:lineRule="auto"/>
        <w:rPr>
          <w:sz w:val="20"/>
          <w:szCs w:val="20"/>
          <w:color w:val="auto"/>
        </w:rPr>
      </w:pPr>
      <w:r>
        <w:rPr>
          <w:rFonts w:ascii="Arial" w:cs="Arial" w:eastAsia="Arial" w:hAnsi="Arial"/>
          <w:sz w:val="18"/>
          <w:szCs w:val="18"/>
          <w:color w:val="auto"/>
        </w:rPr>
        <w:t>We continue to work on variants of our microinverter systems that enable direct attachment of the microinverter to solar modules. The market success of such “AC Module”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challenges faced by many of these manufacturers due to declining prices and revenues from sales of solar modules and the new tariffs in the U.S.</w:t>
      </w:r>
    </w:p>
    <w:p>
      <w:pPr>
        <w:spacing w:after="0" w:line="130"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67" w:lineRule="exact"/>
        <w:rPr>
          <w:sz w:val="20"/>
          <w:szCs w:val="20"/>
          <w:color w:val="auto"/>
        </w:rPr>
      </w:pPr>
    </w:p>
    <w:p>
      <w:pPr>
        <w:ind w:right="60" w:firstLine="432"/>
        <w:spacing w:after="0" w:line="252"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existing or recruit new senior management and other key personnel or if we fail to attract additional qualified personnel, we may not be able to achieve our strategic objectives and our business could suffer.</w:t>
      </w:r>
    </w:p>
    <w:p>
      <w:pPr>
        <w:spacing w:after="0" w:line="13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67"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59"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40"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21" w:lineRule="exact"/>
        <w:rPr>
          <w:sz w:val="20"/>
          <w:szCs w:val="20"/>
          <w:color w:val="auto"/>
        </w:rPr>
      </w:pPr>
    </w:p>
    <w:p>
      <w:pPr>
        <w:ind w:right="140" w:firstLine="432"/>
        <w:spacing w:after="0" w:line="251"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51" w:lineRule="exact"/>
        <w:rPr>
          <w:sz w:val="20"/>
          <w:szCs w:val="20"/>
          <w:color w:val="auto"/>
        </w:rPr>
      </w:pPr>
    </w:p>
    <w:p>
      <w:pPr>
        <w:ind w:left="980" w:right="48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indemnify our customers pursuant to indemnification obligations under some of our customer contracts; or</w:t>
      </w:r>
    </w:p>
    <w:p>
      <w:pPr>
        <w:spacing w:after="0" w:line="117" w:lineRule="exact"/>
        <w:rPr>
          <w:rFonts w:ascii="Arial" w:cs="Arial" w:eastAsia="Arial" w:hAnsi="Arial"/>
          <w:sz w:val="18"/>
          <w:szCs w:val="18"/>
          <w:color w:val="auto"/>
        </w:rPr>
      </w:pPr>
    </w:p>
    <w:p>
      <w:pPr>
        <w:ind w:left="980" w:right="200" w:hanging="486"/>
        <w:spacing w:after="0" w:line="26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infringing technology and to develop or acquire non-infringing technology.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21"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140" w:right="2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20" w:firstLine="432"/>
        <w:spacing w:after="0" w:line="251" w:lineRule="auto"/>
        <w:rPr>
          <w:sz w:val="20"/>
          <w:szCs w:val="20"/>
          <w:color w:val="auto"/>
        </w:rPr>
      </w:pPr>
      <w:r>
        <w:rPr>
          <w:rFonts w:ascii="Arial" w:cs="Arial" w:eastAsia="Arial" w:hAnsi="Arial"/>
          <w:sz w:val="18"/>
          <w:szCs w:val="18"/>
          <w:color w:val="auto"/>
        </w:rPr>
        <w:t>We have been and could continue to be subject to industry-specific seasonal fluctuations, particularly in climates that experience colder or rainier weather during the winter months, such as northern Europe, Canada, and the United States. In general, we expect our products in the second, third, and fourth quarters will be positively affected by seasonal customer demand trends, including solar economic incentives, weather patterns and construction cycles, preceded by a seasonally softer first quarter. In the United States, customers will sometimes make purchasing decisions towards the end of the year in order to take advantage of tax credits or for budgetary reasons. In addition, construction levels are typically slower in colder and wetter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37"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i w:val="1"/>
          <w:iCs w:val="1"/>
          <w:color w:val="auto"/>
        </w:rPr>
        <w:t>*Covenants in our term loan agreements may limit our flexibility in responding to business opportunities and competitive developments and increase our vulnerability to adverse economic or industry conditions.</w:t>
      </w:r>
    </w:p>
    <w:p>
      <w:pPr>
        <w:spacing w:after="0" w:line="121" w:lineRule="exact"/>
        <w:rPr>
          <w:sz w:val="20"/>
          <w:szCs w:val="20"/>
          <w:color w:val="auto"/>
        </w:rPr>
      </w:pPr>
    </w:p>
    <w:p>
      <w:pPr>
        <w:ind w:firstLine="432"/>
        <w:spacing w:after="0" w:line="252" w:lineRule="auto"/>
        <w:rPr>
          <w:sz w:val="20"/>
          <w:szCs w:val="20"/>
          <w:color w:val="auto"/>
        </w:rPr>
      </w:pPr>
      <w:r>
        <w:rPr>
          <w:rFonts w:ascii="Arial" w:cs="Arial" w:eastAsia="Arial" w:hAnsi="Arial"/>
          <w:sz w:val="18"/>
          <w:szCs w:val="18"/>
          <w:color w:val="auto"/>
        </w:rPr>
        <w:t>We are a party to a term loan agreement with affiliates of Tennenbaum Capital Partners, LLC. This agreement restricts our ability to take certain actions such as incurring additional debt, encumbering our tangible or intangible property, paying dividends, or engaging in certain transactions, such as mergers and acquisitions, investments and asset sales. These restrictions may limit our flexibility in responding to business opportunities, competitive developments and adverse economic or industry conditions. In addition, our obligations under these agreements are secured by substantially all of our assets,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30" w:lineRule="exact"/>
        <w:rPr>
          <w:sz w:val="20"/>
          <w:szCs w:val="20"/>
          <w:color w:val="auto"/>
        </w:rPr>
      </w:pPr>
    </w:p>
    <w:p>
      <w:pPr>
        <w:jc w:val="both"/>
        <w:ind w:right="180"/>
        <w:spacing w:after="0" w:line="26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36"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Although we are currently not required to provide an auditor’s attestation report on management’s assessment of the effectiveness of our internal control over financial reporting, otherwise required by Section 404(b) of the Sarbanes-Oxley Act, this exemption will no longer be available to us beginning with our Annual Report on Form 10-K for 2018. If we are no longer deemed to be a “smaller reporting company” at such time. If we or our independent registered public accounting firm discover a material weakness in the future, the disclosure of that fact, even if quickly remedied, could reduce the market’s confidence in our financial statements and harm our stock price. To the extent any material weaknesses in our internal control over financial reporting are identified in the future, we could be required to expend significant management time and financial resources to correct such material weaknesses or to respond to any resulting regulatory investigations or proceedings.</w:t>
      </w:r>
    </w:p>
    <w:p>
      <w:pPr>
        <w:spacing w:after="0" w:line="13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21" w:lineRule="exact"/>
        <w:rPr>
          <w:sz w:val="20"/>
          <w:szCs w:val="20"/>
          <w:color w:val="auto"/>
        </w:rPr>
      </w:pPr>
    </w:p>
    <w:p>
      <w:pPr>
        <w:ind w:right="80" w:firstLine="432"/>
        <w:spacing w:after="0" w:line="251" w:lineRule="auto"/>
        <w:rPr>
          <w:sz w:val="20"/>
          <w:szCs w:val="20"/>
          <w:color w:val="auto"/>
        </w:rPr>
      </w:pPr>
      <w:r>
        <w:rPr>
          <w:rFonts w:ascii="Arial" w:cs="Arial" w:eastAsia="Arial" w:hAnsi="Arial"/>
          <w:sz w:val="18"/>
          <w:szCs w:val="18"/>
          <w:color w:val="auto"/>
        </w:rPr>
        <w:t>Sections 382 and 383 of the Internal Revenue Code of 1986, as amended (the “Code”), contain rules that limit the ability of a company that undergoes an “ownership change,” generally defined as a more than 50 percentage point increase in the percentage of its stock owned by certain stockholders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If these limitations apply, we may be unable to offset our taxable income with net operating losses, or our tax liability with credits, before these losses and credits expire. We are in the process of updating our study to assess whether an ownership change has occurred or whether there have been multiple ownership changes since we became a loss corporation under the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Code. We do not anticipate these limitations will significantly impact our ability to utilize the net operating losses and tax credit carryforwards.</w:t>
      </w:r>
    </w:p>
    <w:p>
      <w:pPr>
        <w:spacing w:after="0" w:line="171"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In addition, it is possible that future transactions (including issuances of new shares of our common stock and sales of shares of our common stock or other equity-linked securities)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laws could adversely affect our business and financial condition.</w:t>
      </w:r>
    </w:p>
    <w:p>
      <w:pPr>
        <w:spacing w:after="0" w:line="193" w:lineRule="exact"/>
        <w:rPr>
          <w:sz w:val="20"/>
          <w:szCs w:val="20"/>
          <w:color w:val="auto"/>
        </w:rPr>
      </w:pPr>
    </w:p>
    <w:p>
      <w:pPr>
        <w:ind w:right="160" w:firstLine="432"/>
        <w:spacing w:after="0" w:line="251" w:lineRule="auto"/>
        <w:rPr>
          <w:sz w:val="20"/>
          <w:szCs w:val="20"/>
          <w:color w:val="auto"/>
        </w:rPr>
      </w:pPr>
      <w:r>
        <w:rPr>
          <w:rFonts w:ascii="Arial" w:cs="Arial" w:eastAsia="Arial" w:hAnsi="Arial"/>
          <w:sz w:val="18"/>
          <w:szCs w:val="18"/>
          <w:color w:val="auto"/>
        </w:rPr>
        <w:t>The U.S. government recently enacted comprehensive tax legislation (the Tax Cuts and Jobs Act of 2017, or Tax Reform Act) that includes significant changes to the taxation of business entities. These changes include, among others, (i) a permanent reduction to the corporate income tax rate from 35% to 21%,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 On December 22, 2017, the Securities and Exchange Commission issued Staff Accounting Bulletin (SAB 118) which provides a measurement period of no more than a year from the Tax Act enactment date for companies to complete the accounting under Accounting Standards Codification 740 (ASC 740). Given our current taxable loss position, we do not expect the new tax legislation to have a material cash tax impact on our business other than reducing the net operating loss carryforwards, which are offset by a valuation allowance. The Tax Reform Act could adversely affect our business and financial condition.</w:t>
      </w:r>
    </w:p>
    <w:p>
      <w:pPr>
        <w:spacing w:after="0" w:line="136" w:lineRule="exact"/>
        <w:rPr>
          <w:sz w:val="20"/>
          <w:szCs w:val="20"/>
          <w:color w:val="auto"/>
        </w:rPr>
      </w:pPr>
    </w:p>
    <w:p>
      <w:pPr>
        <w:ind w:right="900"/>
        <w:spacing w:after="0" w:line="318" w:lineRule="auto"/>
        <w:rPr>
          <w:sz w:val="20"/>
          <w:szCs w:val="20"/>
          <w:color w:val="auto"/>
        </w:rPr>
      </w:pPr>
      <w:r>
        <w:rPr>
          <w:rFonts w:ascii="Arial" w:cs="Arial" w:eastAsia="Arial" w:hAnsi="Arial"/>
          <w:sz w:val="17"/>
          <w:szCs w:val="17"/>
          <w:b w:val="1"/>
          <w:bCs w:val="1"/>
          <w:i w:val="1"/>
          <w:iCs w:val="1"/>
          <w:color w:val="auto"/>
        </w:rPr>
        <w:t>We are dependent on ocean transportation to deliver our products in a cost-efficient manner. If we are unable to use ocean transportation to deliver our products, our business and financial condition could be materially and adversely impacted.</w:t>
      </w:r>
    </w:p>
    <w:p>
      <w:pPr>
        <w:spacing w:after="0" w:line="98" w:lineRule="exact"/>
        <w:rPr>
          <w:sz w:val="20"/>
          <w:szCs w:val="20"/>
          <w:color w:val="auto"/>
        </w:rPr>
      </w:pPr>
    </w:p>
    <w:p>
      <w:pPr>
        <w:ind w:right="40" w:firstLine="432"/>
        <w:spacing w:after="0" w:line="251" w:lineRule="auto"/>
        <w:rPr>
          <w:sz w:val="20"/>
          <w:szCs w:val="20"/>
          <w:color w:val="auto"/>
        </w:rPr>
      </w:pPr>
      <w:r>
        <w:rPr>
          <w:rFonts w:ascii="Arial" w:cs="Arial" w:eastAsia="Arial" w:hAnsi="Arial"/>
          <w:sz w:val="18"/>
          <w:szCs w:val="18"/>
          <w:color w:val="auto"/>
        </w:rPr>
        <w:t>We rely on commercial ocean transportation for the delivery of a large percentage of our products to our customers in North America, Europe, Australia and other markets.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and are required to substitute more expensive air transportation,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93" w:lineRule="exact"/>
        <w:rPr>
          <w:sz w:val="20"/>
          <w:szCs w:val="20"/>
          <w:color w:val="auto"/>
        </w:rPr>
      </w:pPr>
    </w:p>
    <w:p>
      <w:pPr>
        <w:ind w:firstLine="432"/>
        <w:spacing w:after="0" w:line="251"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3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*Our financial results may vary significantly from quarter to quarter due to a number of factors, which may lead to volatility in our stock price.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0"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40"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seasonal and other fluctuations in demand for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117" w:lineRule="exact"/>
        <w:rPr>
          <w:rFonts w:ascii="Arial" w:cs="Arial" w:eastAsia="Arial" w:hAnsi="Arial"/>
          <w:sz w:val="18"/>
          <w:szCs w:val="18"/>
          <w:color w:val="auto"/>
        </w:rPr>
      </w:pPr>
    </w:p>
    <w:p>
      <w:pPr>
        <w:ind w:left="980" w:right="58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117" w:lineRule="exact"/>
        <w:rPr>
          <w:rFonts w:ascii="Arial" w:cs="Arial" w:eastAsia="Arial" w:hAnsi="Arial"/>
          <w:sz w:val="18"/>
          <w:szCs w:val="18"/>
          <w:color w:val="auto"/>
        </w:rPr>
      </w:pPr>
    </w:p>
    <w:p>
      <w:pPr>
        <w:ind w:left="980" w:right="64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tariffs on the solar industry in general and our products in particular;</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117" w:lineRule="exact"/>
        <w:rPr>
          <w:rFonts w:ascii="Arial" w:cs="Arial" w:eastAsia="Arial" w:hAnsi="Arial"/>
          <w:sz w:val="18"/>
          <w:szCs w:val="18"/>
          <w:color w:val="auto"/>
        </w:rPr>
      </w:pPr>
    </w:p>
    <w:p>
      <w:pPr>
        <w:ind w:left="980" w:right="50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maintenance and expansion of our business operations;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117" w:lineRule="exact"/>
        <w:rPr>
          <w:rFonts w:ascii="Arial" w:cs="Arial" w:eastAsia="Arial" w:hAnsi="Arial"/>
          <w:sz w:val="18"/>
          <w:szCs w:val="18"/>
          <w:color w:val="auto"/>
        </w:rPr>
      </w:pPr>
    </w:p>
    <w:p>
      <w:pPr>
        <w:ind w:left="980" w:right="500" w:hanging="486"/>
        <w:spacing w:after="0" w:line="26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88"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 of acquisitions or dispositions of our assets or business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management;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analyst reports or other news articles.</w:t>
      </w:r>
    </w:p>
    <w:p>
      <w:pPr>
        <w:spacing w:after="0" w:line="225"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2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If we fail to meet the continued listing standards of Nasdaq, our common stock may be delisted, which could have a material adverse effect on the liquidity and market price of our common stock.</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40"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Our common stock is currently traded on the Nasdaq Global Market. The Nasdaq Stock Market LLC (“Nasdaq”) has requirements that a company must meet in order to remain listed. There can be no assurance that we will continue to meet these requirements in the future. If we fail to meet any such requirements, Nasdaq may initiate delisting processes. If our common stock were to be delisted, the liquidity of our common stock would be adversely affected and the market price of our common stock could decrease.</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121" w:lineRule="exact"/>
        <w:rPr>
          <w:sz w:val="20"/>
          <w:szCs w:val="20"/>
          <w:color w:val="auto"/>
        </w:rPr>
      </w:pPr>
    </w:p>
    <w:p>
      <w:pPr>
        <w:ind w:right="40" w:firstLine="432"/>
        <w:spacing w:after="0" w:line="252" w:lineRule="auto"/>
        <w:rPr>
          <w:sz w:val="20"/>
          <w:szCs w:val="20"/>
          <w:color w:val="auto"/>
        </w:rPr>
      </w:pPr>
      <w:r>
        <w:rPr>
          <w:rFonts w:ascii="Arial" w:cs="Arial" w:eastAsia="Arial" w:hAnsi="Arial"/>
          <w:sz w:val="18"/>
          <w:szCs w:val="18"/>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13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21" w:lineRule="exact"/>
        <w:rPr>
          <w:sz w:val="20"/>
          <w:szCs w:val="20"/>
          <w:color w:val="auto"/>
        </w:rPr>
      </w:pPr>
    </w:p>
    <w:p>
      <w:pPr>
        <w:ind w:right="120" w:firstLine="432"/>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of the outstanding shares of our common stock are eligible for sale in the public market, subject in some cases to the volume limitations and manner of sale requirements of Rule 144 under the Securities Act. Sales of stock by our stockholders could have a material adverse effect on the trading price of our common stock. We have agreed to issue 7,500,000 shares of our common stock to SunPower upon closing of the transactions under the Asset Purchase Agreement.</w:t>
      </w:r>
    </w:p>
    <w:p>
      <w:pPr>
        <w:spacing w:after="0" w:line="153"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 We have also agreed to grant SunPower registration rights with respect to the 7,500,000 shares to be issued upon closing of the transactions under the Asset Purchase Agreement.</w:t>
      </w:r>
    </w:p>
    <w:p>
      <w:pPr>
        <w:spacing w:after="0" w:line="13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21" w:lineRule="exact"/>
        <w:rPr>
          <w:sz w:val="20"/>
          <w:szCs w:val="20"/>
          <w:color w:val="auto"/>
        </w:rPr>
      </w:pPr>
    </w:p>
    <w:p>
      <w:pPr>
        <w:ind w:right="640" w:firstLine="432"/>
        <w:spacing w:after="0" w:line="256"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12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67" w:lineRule="exact"/>
        <w:rPr>
          <w:sz w:val="20"/>
          <w:szCs w:val="20"/>
          <w:color w:val="auto"/>
        </w:rPr>
      </w:pPr>
    </w:p>
    <w:p>
      <w:pPr>
        <w:jc w:val="both"/>
        <w:ind w:right="200" w:firstLine="432"/>
        <w:spacing w:after="0" w:line="256"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40" w:lineRule="exact"/>
        <w:rPr>
          <w:sz w:val="20"/>
          <w:szCs w:val="20"/>
          <w:color w:val="auto"/>
        </w:rPr>
      </w:pPr>
    </w:p>
    <w:p>
      <w:pPr>
        <w:ind w:left="980" w:right="62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88" w:lineRule="exact"/>
        <w:rPr>
          <w:rFonts w:ascii="Arial" w:cs="Arial" w:eastAsia="Arial" w:hAnsi="Arial"/>
          <w:sz w:val="18"/>
          <w:szCs w:val="18"/>
          <w:color w:val="auto"/>
        </w:rPr>
      </w:pPr>
    </w:p>
    <w:p>
      <w:pPr>
        <w:ind w:left="980" w:right="56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 which limits the ability of minority stockholders to elect director candidates;</w:t>
      </w:r>
    </w:p>
    <w:p>
      <w:pPr>
        <w:spacing w:after="0" w:line="88" w:lineRule="exact"/>
        <w:rPr>
          <w:rFonts w:ascii="Arial" w:cs="Arial" w:eastAsia="Arial" w:hAnsi="Arial"/>
          <w:sz w:val="18"/>
          <w:szCs w:val="18"/>
          <w:color w:val="auto"/>
        </w:rPr>
      </w:pPr>
    </w:p>
    <w:p>
      <w:pPr>
        <w:ind w:left="980" w:right="260" w:hanging="486"/>
        <w:spacing w:after="0" w:line="262"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5" w:lineRule="exact"/>
        <w:rPr>
          <w:sz w:val="20"/>
          <w:szCs w:val="20"/>
          <w:color w:val="auto"/>
        </w:rPr>
      </w:pPr>
    </w:p>
    <w:p>
      <w:pPr>
        <w:ind w:left="980" w:hanging="486"/>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88" w:lineRule="exact"/>
        <w:rPr>
          <w:rFonts w:ascii="Arial" w:cs="Arial" w:eastAsia="Arial" w:hAnsi="Arial"/>
          <w:sz w:val="18"/>
          <w:szCs w:val="18"/>
          <w:color w:val="auto"/>
        </w:rPr>
      </w:pPr>
    </w:p>
    <w:p>
      <w:pPr>
        <w:ind w:left="980" w:right="60" w:hanging="486"/>
        <w:spacing w:after="0" w:line="253"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97" w:lineRule="exact"/>
        <w:rPr>
          <w:rFonts w:ascii="Arial" w:cs="Arial" w:eastAsia="Arial" w:hAnsi="Arial"/>
          <w:sz w:val="18"/>
          <w:szCs w:val="18"/>
          <w:color w:val="auto"/>
        </w:rPr>
      </w:pPr>
    </w:p>
    <w:p>
      <w:pPr>
        <w:ind w:left="980" w:right="200" w:hanging="486"/>
        <w:spacing w:after="0" w:line="25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93" w:lineRule="exact"/>
        <w:rPr>
          <w:rFonts w:ascii="Arial" w:cs="Arial" w:eastAsia="Arial" w:hAnsi="Arial"/>
          <w:sz w:val="18"/>
          <w:szCs w:val="18"/>
          <w:color w:val="auto"/>
        </w:rPr>
      </w:pPr>
    </w:p>
    <w:p>
      <w:pPr>
        <w:ind w:left="980" w:right="180" w:hanging="486"/>
        <w:spacing w:after="0" w:line="26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96"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48" w:lineRule="exact"/>
        <w:rPr>
          <w:sz w:val="20"/>
          <w:szCs w:val="20"/>
          <w:color w:val="auto"/>
        </w:rPr>
      </w:pPr>
    </w:p>
    <w:p>
      <w:pPr>
        <w:ind w:right="260" w:firstLine="432"/>
        <w:spacing w:after="0" w:line="256"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unregistered sales of common stock or other equity securities during the three months ended June 30, 2018.</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list of exhibits filed with this report or incorporated herein by reference is found in the Exhibit Index below.</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300"/>
        <w:spacing w:after="0"/>
        <w:tabs>
          <w:tab w:leader="none" w:pos="60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227"/>
        </w:trPr>
        <w:tc>
          <w:tcPr>
            <w:tcW w:w="1420" w:type="dxa"/>
            <w:vAlign w:val="bottom"/>
            <w:vMerge w:val="restart"/>
          </w:tcPr>
          <w:p>
            <w:pPr>
              <w:spacing w:after="0"/>
              <w:rPr>
                <w:sz w:val="20"/>
                <w:szCs w:val="20"/>
                <w:color w:val="auto"/>
              </w:rPr>
            </w:pPr>
            <w:r>
              <w:rPr>
                <w:rFonts w:ascii="Arial" w:cs="Arial" w:eastAsia="Arial" w:hAnsi="Arial"/>
                <w:sz w:val="18"/>
                <w:szCs w:val="18"/>
                <w:color w:val="auto"/>
              </w:rPr>
              <w:t>2.1</w:t>
            </w:r>
          </w:p>
        </w:tc>
        <w:tc>
          <w:tcPr>
            <w:tcW w:w="9280" w:type="dxa"/>
            <w:vAlign w:val="bottom"/>
            <w:tcBorders>
              <w:bottom w:val="single" w:sz="8" w:color="0000FF"/>
            </w:tcBorders>
            <w:gridSpan w:val="11"/>
          </w:tcPr>
          <w:p>
            <w:pPr>
              <w:spacing w:after="0"/>
              <w:rPr>
                <w:rFonts w:ascii="Arial" w:cs="Arial" w:eastAsia="Arial" w:hAnsi="Arial"/>
                <w:sz w:val="18"/>
                <w:szCs w:val="18"/>
                <w:color w:val="0000FF"/>
                <w:w w:val="99"/>
              </w:rPr>
            </w:pPr>
            <w:hyperlink r:id="rId22">
              <w:r>
                <w:rPr>
                  <w:rFonts w:ascii="Arial" w:cs="Arial" w:eastAsia="Arial" w:hAnsi="Arial"/>
                  <w:sz w:val="18"/>
                  <w:szCs w:val="18"/>
                  <w:color w:val="0000FF"/>
                  <w:w w:val="99"/>
                </w:rPr>
                <w:t>Asset Purchase Agreement by and between Enphase Energy, Inc. and SunPower Corporation, dated June 12, 2018.</w:t>
              </w:r>
            </w:hyperlink>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420" w:type="dxa"/>
            <w:vAlign w:val="bottom"/>
            <w:vMerge w:val="continue"/>
          </w:tcPr>
          <w:p>
            <w:pPr>
              <w:spacing w:after="0"/>
              <w:rPr>
                <w:sz w:val="6"/>
                <w:szCs w:val="6"/>
                <w:color w:val="auto"/>
              </w:rPr>
            </w:pPr>
          </w:p>
        </w:tc>
        <w:tc>
          <w:tcPr>
            <w:tcW w:w="4480" w:type="dxa"/>
            <w:vAlign w:val="bottom"/>
            <w:vMerge w:val="restart"/>
          </w:tcPr>
          <w:p>
            <w:pPr>
              <w:spacing w:after="0"/>
              <w:rPr>
                <w:sz w:val="20"/>
                <w:szCs w:val="20"/>
                <w:color w:val="auto"/>
              </w:rPr>
            </w:pPr>
            <w:r>
              <w:rPr>
                <w:rFonts w:ascii="Arial" w:cs="Arial" w:eastAsia="Arial" w:hAnsi="Arial"/>
                <w:sz w:val="11"/>
                <w:szCs w:val="11"/>
                <w:color w:val="auto"/>
              </w:rPr>
              <w:t>(1)</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1420" w:type="dxa"/>
            <w:vAlign w:val="bottom"/>
          </w:tcPr>
          <w:p>
            <w:pPr>
              <w:spacing w:after="0"/>
              <w:rPr>
                <w:sz w:val="5"/>
                <w:szCs w:val="5"/>
                <w:color w:val="auto"/>
              </w:rPr>
            </w:pPr>
          </w:p>
        </w:tc>
        <w:tc>
          <w:tcPr>
            <w:tcW w:w="4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1420" w:type="dxa"/>
            <w:vAlign w:val="bottom"/>
          </w:tcPr>
          <w:p>
            <w:pPr>
              <w:spacing w:after="0"/>
              <w:rPr>
                <w:sz w:val="20"/>
                <w:szCs w:val="20"/>
                <w:color w:val="auto"/>
              </w:rPr>
            </w:pPr>
            <w:r>
              <w:rPr>
                <w:rFonts w:ascii="Arial" w:cs="Arial" w:eastAsia="Arial" w:hAnsi="Arial"/>
                <w:sz w:val="18"/>
                <w:szCs w:val="18"/>
                <w:color w:val="auto"/>
              </w:rPr>
              <w:t>3.1</w:t>
            </w:r>
          </w:p>
        </w:tc>
        <w:tc>
          <w:tcPr>
            <w:tcW w:w="9300" w:type="dxa"/>
            <w:vAlign w:val="bottom"/>
            <w:gridSpan w:val="12"/>
          </w:tcPr>
          <w:p>
            <w:pPr>
              <w:spacing w:after="0"/>
              <w:rPr>
                <w:rFonts w:ascii="Arial" w:cs="Arial" w:eastAsia="Arial" w:hAnsi="Arial"/>
                <w:sz w:val="18"/>
                <w:szCs w:val="18"/>
                <w:color w:val="0000FF"/>
              </w:rPr>
            </w:pPr>
            <w:hyperlink r:id="rId23">
              <w:r>
                <w:rPr>
                  <w:rFonts w:ascii="Arial" w:cs="Arial" w:eastAsia="Arial" w:hAnsi="Arial"/>
                  <w:sz w:val="18"/>
                  <w:szCs w:val="18"/>
                  <w:color w:val="0000FF"/>
                </w:rPr>
                <w:t>Amended and Restated Certificate of Incorporation of Enphase Energy, Inc.</w:t>
              </w:r>
            </w:hyperlink>
            <w:r>
              <w:rPr>
                <w:rFonts w:ascii="Arial" w:cs="Arial" w:eastAsia="Arial" w:hAnsi="Arial"/>
                <w:sz w:val="21"/>
                <w:szCs w:val="21"/>
                <w:color w:val="000000"/>
                <w:vertAlign w:val="superscript"/>
              </w:rPr>
              <w:t>(2)</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20" w:type="dxa"/>
            <w:vAlign w:val="bottom"/>
          </w:tcPr>
          <w:p>
            <w:pPr>
              <w:spacing w:after="0"/>
              <w:rPr>
                <w:sz w:val="20"/>
                <w:szCs w:val="20"/>
                <w:color w:val="auto"/>
              </w:rPr>
            </w:pPr>
            <w:r>
              <w:rPr>
                <w:rFonts w:ascii="Arial" w:cs="Arial" w:eastAsia="Arial" w:hAnsi="Arial"/>
                <w:sz w:val="18"/>
                <w:szCs w:val="18"/>
                <w:color w:val="auto"/>
              </w:rPr>
              <w:t>3.2</w:t>
            </w:r>
          </w:p>
        </w:tc>
        <w:tc>
          <w:tcPr>
            <w:tcW w:w="9300" w:type="dxa"/>
            <w:vAlign w:val="bottom"/>
            <w:gridSpan w:val="12"/>
          </w:tcPr>
          <w:p>
            <w:pPr>
              <w:spacing w:after="0"/>
              <w:rPr>
                <w:rFonts w:ascii="Arial" w:cs="Arial" w:eastAsia="Arial" w:hAnsi="Arial"/>
                <w:sz w:val="18"/>
                <w:szCs w:val="18"/>
                <w:color w:val="0000FF"/>
              </w:rPr>
            </w:pPr>
            <w:hyperlink r:id="rId24">
              <w:r>
                <w:rPr>
                  <w:rFonts w:ascii="Arial" w:cs="Arial" w:eastAsia="Arial" w:hAnsi="Arial"/>
                  <w:sz w:val="18"/>
                  <w:szCs w:val="18"/>
                  <w:color w:val="0000FF"/>
                </w:rPr>
                <w:t>Certificate of Amendment of the Amended and Restated Certificate of Incorporation of Enphase Energy, Inc.</w:t>
              </w:r>
            </w:hyperlink>
            <w:r>
              <w:rPr>
                <w:rFonts w:ascii="Arial" w:cs="Arial" w:eastAsia="Arial" w:hAnsi="Arial"/>
                <w:sz w:val="21"/>
                <w:szCs w:val="21"/>
                <w:color w:val="000000"/>
                <w:vertAlign w:val="superscript"/>
              </w:rPr>
              <w:t>(3)</w:t>
            </w:r>
          </w:p>
        </w:tc>
        <w:tc>
          <w:tcPr>
            <w:tcW w:w="0" w:type="dxa"/>
            <w:vAlign w:val="bottom"/>
          </w:tcPr>
          <w:p>
            <w:pPr>
              <w:spacing w:after="0"/>
              <w:rPr>
                <w:sz w:val="1"/>
                <w:szCs w:val="1"/>
                <w:color w:val="auto"/>
              </w:rPr>
            </w:pPr>
          </w:p>
        </w:tc>
      </w:tr>
      <w:tr>
        <w:trPr>
          <w:trHeight w:val="385"/>
        </w:trPr>
        <w:tc>
          <w:tcPr>
            <w:tcW w:w="1420" w:type="dxa"/>
            <w:vAlign w:val="bottom"/>
          </w:tcPr>
          <w:p>
            <w:pPr>
              <w:spacing w:after="0"/>
              <w:rPr>
                <w:sz w:val="20"/>
                <w:szCs w:val="20"/>
                <w:color w:val="auto"/>
              </w:rPr>
            </w:pPr>
            <w:r>
              <w:rPr>
                <w:rFonts w:ascii="Arial" w:cs="Arial" w:eastAsia="Arial" w:hAnsi="Arial"/>
                <w:sz w:val="18"/>
                <w:szCs w:val="18"/>
                <w:color w:val="auto"/>
              </w:rPr>
              <w:t>3.3</w:t>
            </w:r>
          </w:p>
        </w:tc>
        <w:tc>
          <w:tcPr>
            <w:tcW w:w="86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9"/>
              </w:rPr>
            </w:pPr>
            <w:hyperlink w:anchor="page57">
              <w:r>
                <w:rPr>
                  <w:rFonts w:ascii="Arial" w:cs="Arial" w:eastAsia="Arial" w:hAnsi="Arial"/>
                  <w:sz w:val="18"/>
                  <w:szCs w:val="18"/>
                  <w:color w:val="0000FF"/>
                  <w:w w:val="99"/>
                </w:rPr>
                <w:t>Certificate of Amendment of the Amended and Restated Certificate of Incorporation of Enphase Energy, Inc.</w:t>
              </w:r>
            </w:hyperlink>
          </w:p>
        </w:tc>
        <w:tc>
          <w:tcPr>
            <w:tcW w:w="20" w:type="dxa"/>
            <w:vAlign w:val="bottom"/>
            <w:tcBorders>
              <w:top w:val="single" w:sz="8" w:color="0000FF"/>
            </w:tcBorders>
          </w:tcPr>
          <w:p>
            <w:pPr>
              <w:spacing w:after="0"/>
              <w:rPr>
                <w:sz w:val="24"/>
                <w:szCs w:val="24"/>
                <w:color w:val="auto"/>
              </w:rPr>
            </w:pPr>
          </w:p>
        </w:tc>
        <w:tc>
          <w:tcPr>
            <w:tcW w:w="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420" w:type="dxa"/>
            <w:vAlign w:val="bottom"/>
          </w:tcPr>
          <w:p>
            <w:pPr>
              <w:spacing w:after="0"/>
              <w:rPr>
                <w:sz w:val="20"/>
                <w:szCs w:val="20"/>
                <w:color w:val="auto"/>
              </w:rPr>
            </w:pPr>
            <w:r>
              <w:rPr>
                <w:rFonts w:ascii="Arial" w:cs="Arial" w:eastAsia="Arial" w:hAnsi="Arial"/>
                <w:sz w:val="18"/>
                <w:szCs w:val="18"/>
                <w:color w:val="auto"/>
              </w:rPr>
              <w:t>3.4</w:t>
            </w:r>
          </w:p>
        </w:tc>
        <w:tc>
          <w:tcPr>
            <w:tcW w:w="9300" w:type="dxa"/>
            <w:vAlign w:val="bottom"/>
            <w:gridSpan w:val="12"/>
          </w:tcPr>
          <w:p>
            <w:pPr>
              <w:spacing w:after="0"/>
              <w:rPr>
                <w:rFonts w:ascii="Arial" w:cs="Arial" w:eastAsia="Arial" w:hAnsi="Arial"/>
                <w:sz w:val="18"/>
                <w:szCs w:val="18"/>
                <w:color w:val="0000FF"/>
              </w:rPr>
            </w:pPr>
            <w:hyperlink r:id="rId25">
              <w:r>
                <w:rPr>
                  <w:rFonts w:ascii="Arial" w:cs="Arial" w:eastAsia="Arial" w:hAnsi="Arial"/>
                  <w:sz w:val="18"/>
                  <w:szCs w:val="18"/>
                  <w:color w:val="0000FF"/>
                </w:rPr>
                <w:t>Amended and Restated Bylaws of Enphase Energy, Inc.</w:t>
              </w:r>
            </w:hyperlink>
            <w:r>
              <w:rPr>
                <w:rFonts w:ascii="Arial" w:cs="Arial" w:eastAsia="Arial" w:hAnsi="Arial"/>
                <w:sz w:val="21"/>
                <w:szCs w:val="21"/>
                <w:color w:val="000000"/>
                <w:vertAlign w:val="superscript"/>
              </w:rPr>
              <w:t>(4)</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20" w:type="dxa"/>
            <w:vAlign w:val="bottom"/>
          </w:tcPr>
          <w:p>
            <w:pPr>
              <w:spacing w:after="0"/>
              <w:rPr>
                <w:sz w:val="20"/>
                <w:szCs w:val="20"/>
                <w:color w:val="auto"/>
              </w:rPr>
            </w:pPr>
            <w:r>
              <w:rPr>
                <w:rFonts w:ascii="Arial" w:cs="Arial" w:eastAsia="Arial" w:hAnsi="Arial"/>
                <w:sz w:val="18"/>
                <w:szCs w:val="18"/>
                <w:color w:val="auto"/>
              </w:rPr>
              <w:t>4.1</w:t>
            </w:r>
          </w:p>
        </w:tc>
        <w:tc>
          <w:tcPr>
            <w:tcW w:w="9300" w:type="dxa"/>
            <w:vAlign w:val="bottom"/>
            <w:gridSpan w:val="12"/>
          </w:tcPr>
          <w:p>
            <w:pPr>
              <w:spacing w:after="0"/>
              <w:rPr>
                <w:rFonts w:ascii="Arial" w:cs="Arial" w:eastAsia="Arial" w:hAnsi="Arial"/>
                <w:sz w:val="18"/>
                <w:szCs w:val="18"/>
                <w:color w:val="0000FF"/>
              </w:rPr>
            </w:pPr>
            <w:hyperlink r:id="rId26">
              <w:r>
                <w:rPr>
                  <w:rFonts w:ascii="Arial" w:cs="Arial" w:eastAsia="Arial" w:hAnsi="Arial"/>
                  <w:sz w:val="18"/>
                  <w:szCs w:val="18"/>
                  <w:color w:val="0000FF"/>
                </w:rPr>
                <w:t>Specimen Common Stock Certificate of Enphase Energy, Inc.</w:t>
              </w:r>
            </w:hyperlink>
            <w:r>
              <w:rPr>
                <w:rFonts w:ascii="Arial" w:cs="Arial" w:eastAsia="Arial" w:hAnsi="Arial"/>
                <w:sz w:val="21"/>
                <w:szCs w:val="21"/>
                <w:color w:val="000000"/>
                <w:vertAlign w:val="superscript"/>
              </w:rPr>
              <w:t>(5)</w:t>
            </w: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47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20" w:type="dxa"/>
            <w:vAlign w:val="bottom"/>
            <w:vMerge w:val="continue"/>
          </w:tcPr>
          <w:p>
            <w:pPr>
              <w:spacing w:after="0"/>
              <w:rPr>
                <w:sz w:val="24"/>
                <w:szCs w:val="24"/>
                <w:color w:val="auto"/>
              </w:rPr>
            </w:pPr>
          </w:p>
        </w:tc>
        <w:tc>
          <w:tcPr>
            <w:tcW w:w="726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58">
              <w:r>
                <w:rPr>
                  <w:rFonts w:ascii="Arial" w:cs="Arial" w:eastAsia="Arial" w:hAnsi="Arial"/>
                  <w:sz w:val="18"/>
                  <w:szCs w:val="18"/>
                  <w:color w:val="0000FF"/>
                  <w:w w:val="99"/>
                </w:rPr>
                <w:t>Offer Letter, by and between Enphase Energy, Inc. and Eric Branderiz, dated June 4, 2018.</w:t>
              </w:r>
            </w:hyperlink>
          </w:p>
        </w:tc>
        <w:tc>
          <w:tcPr>
            <w:tcW w:w="20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420" w:type="dxa"/>
            <w:vAlign w:val="bottom"/>
          </w:tcPr>
          <w:p>
            <w:pPr>
              <w:spacing w:after="0"/>
              <w:rPr>
                <w:sz w:val="20"/>
                <w:szCs w:val="20"/>
                <w:color w:val="auto"/>
              </w:rPr>
            </w:pPr>
            <w:r>
              <w:rPr>
                <w:rFonts w:ascii="Arial" w:cs="Arial" w:eastAsia="Arial" w:hAnsi="Arial"/>
                <w:sz w:val="18"/>
                <w:szCs w:val="18"/>
                <w:color w:val="auto"/>
              </w:rPr>
              <w:t>31.1</w:t>
            </w:r>
          </w:p>
        </w:tc>
        <w:tc>
          <w:tcPr>
            <w:tcW w:w="612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68">
              <w:r>
                <w:rPr>
                  <w:rFonts w:ascii="Arial" w:cs="Arial" w:eastAsia="Arial" w:hAnsi="Arial"/>
                  <w:sz w:val="18"/>
                  <w:szCs w:val="18"/>
                  <w:color w:val="0000FF"/>
                  <w:w w:val="99"/>
                </w:rPr>
                <w:t>Certification of Chief Executive Officer pursuant to Rule 13a-14(a)/15d-14(a).</w:t>
              </w:r>
            </w:hyperlink>
          </w:p>
        </w:tc>
        <w:tc>
          <w:tcPr>
            <w:tcW w:w="3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420" w:type="dxa"/>
            <w:vAlign w:val="bottom"/>
          </w:tcPr>
          <w:p>
            <w:pPr>
              <w:spacing w:after="0"/>
              <w:rPr>
                <w:sz w:val="20"/>
                <w:szCs w:val="20"/>
                <w:color w:val="auto"/>
              </w:rPr>
            </w:pPr>
            <w:r>
              <w:rPr>
                <w:rFonts w:ascii="Arial" w:cs="Arial" w:eastAsia="Arial" w:hAnsi="Arial"/>
                <w:sz w:val="18"/>
                <w:szCs w:val="18"/>
                <w:color w:val="auto"/>
              </w:rPr>
              <w:t>31.2</w:t>
            </w:r>
          </w:p>
        </w:tc>
        <w:tc>
          <w:tcPr>
            <w:tcW w:w="606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69">
              <w:r>
                <w:rPr>
                  <w:rFonts w:ascii="Arial" w:cs="Arial" w:eastAsia="Arial" w:hAnsi="Arial"/>
                  <w:sz w:val="18"/>
                  <w:szCs w:val="18"/>
                  <w:color w:val="0000FF"/>
                  <w:w w:val="99"/>
                </w:rPr>
                <w:t>Certification of Chief Financial Officer pursuant to Rule 13a-14(a)/15d-14(a).</w:t>
              </w:r>
            </w:hyperlink>
          </w:p>
        </w:tc>
        <w:tc>
          <w:tcPr>
            <w:tcW w:w="3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42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9300" w:type="dxa"/>
            <w:vAlign w:val="bottom"/>
            <w:gridSpan w:val="12"/>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Certification of Chief Executive Officer and Chief Financial Officer pursuant to 18 U.S.C. Section 1350 as Adopted</w:t>
              </w:r>
            </w:hyperlink>
          </w:p>
        </w:tc>
        <w:tc>
          <w:tcPr>
            <w:tcW w:w="0" w:type="dxa"/>
            <w:vAlign w:val="bottom"/>
          </w:tcPr>
          <w:p>
            <w:pPr>
              <w:spacing w:after="0"/>
              <w:rPr>
                <w:sz w:val="1"/>
                <w:szCs w:val="1"/>
                <w:color w:val="auto"/>
              </w:rPr>
            </w:pPr>
          </w:p>
        </w:tc>
      </w:tr>
      <w:tr>
        <w:trPr>
          <w:trHeight w:val="115"/>
        </w:trPr>
        <w:tc>
          <w:tcPr>
            <w:tcW w:w="1420" w:type="dxa"/>
            <w:vAlign w:val="bottom"/>
            <w:vMerge w:val="continue"/>
          </w:tcPr>
          <w:p>
            <w:pPr>
              <w:spacing w:after="0"/>
              <w:rPr>
                <w:sz w:val="10"/>
                <w:szCs w:val="10"/>
                <w:color w:val="auto"/>
              </w:rPr>
            </w:pPr>
          </w:p>
        </w:tc>
        <w:tc>
          <w:tcPr>
            <w:tcW w:w="4780" w:type="dxa"/>
            <w:vAlign w:val="bottom"/>
            <w:tcBorders>
              <w:top w:val="single" w:sz="8" w:color="0000FF"/>
            </w:tcBorders>
            <w:gridSpan w:val="2"/>
            <w:vMerge w:val="restart"/>
          </w:tcPr>
          <w:p>
            <w:pPr>
              <w:spacing w:after="0" w:line="182" w:lineRule="exact"/>
              <w:rPr>
                <w:rFonts w:ascii="Arial" w:cs="Arial" w:eastAsia="Arial" w:hAnsi="Arial"/>
                <w:sz w:val="18"/>
                <w:szCs w:val="18"/>
                <w:color w:val="0000FF"/>
                <w:w w:val="99"/>
              </w:rPr>
            </w:pPr>
            <w:hyperlink w:anchor="page70">
              <w:r>
                <w:rPr>
                  <w:rFonts w:ascii="Arial" w:cs="Arial" w:eastAsia="Arial" w:hAnsi="Arial"/>
                  <w:sz w:val="18"/>
                  <w:szCs w:val="18"/>
                  <w:color w:val="0000FF"/>
                  <w:w w:val="99"/>
                </w:rPr>
                <w:t>Pursuant to Section 906 of the Sarbanes-Oxley Act of 2002.</w:t>
              </w:r>
            </w:hyperlink>
          </w:p>
        </w:tc>
        <w:tc>
          <w:tcPr>
            <w:tcW w:w="4260" w:type="dxa"/>
            <w:vAlign w:val="bottom"/>
            <w:tcBorders>
              <w:top w:val="single" w:sz="8" w:color="0000FF"/>
            </w:tcBorders>
            <w:gridSpan w:val="8"/>
            <w:vMerge w:val="restart"/>
          </w:tcPr>
          <w:p>
            <w:pPr>
              <w:spacing w:after="0"/>
              <w:rPr>
                <w:sz w:val="10"/>
                <w:szCs w:val="10"/>
                <w:color w:val="auto"/>
              </w:rPr>
            </w:pPr>
          </w:p>
        </w:tc>
        <w:tc>
          <w:tcPr>
            <w:tcW w:w="2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420" w:type="dxa"/>
            <w:vAlign w:val="bottom"/>
          </w:tcPr>
          <w:p>
            <w:pPr>
              <w:spacing w:after="0"/>
              <w:rPr>
                <w:sz w:val="5"/>
                <w:szCs w:val="5"/>
                <w:color w:val="auto"/>
              </w:rPr>
            </w:pPr>
          </w:p>
        </w:tc>
        <w:tc>
          <w:tcPr>
            <w:tcW w:w="4780" w:type="dxa"/>
            <w:vAlign w:val="bottom"/>
            <w:tcBorders>
              <w:bottom w:val="single" w:sz="8" w:color="0000FF"/>
            </w:tcBorders>
            <w:gridSpan w:val="2"/>
            <w:vMerge w:val="continue"/>
          </w:tcPr>
          <w:p>
            <w:pPr>
              <w:spacing w:after="0"/>
              <w:rPr>
                <w:sz w:val="5"/>
                <w:szCs w:val="5"/>
                <w:color w:val="auto"/>
              </w:rPr>
            </w:pPr>
          </w:p>
        </w:tc>
        <w:tc>
          <w:tcPr>
            <w:tcW w:w="4260" w:type="dxa"/>
            <w:vAlign w:val="bottom"/>
            <w:gridSpan w:val="8"/>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9"/>
        </w:trPr>
        <w:tc>
          <w:tcPr>
            <w:tcW w:w="1420" w:type="dxa"/>
            <w:vAlign w:val="bottom"/>
          </w:tcPr>
          <w:p>
            <w:pPr>
              <w:spacing w:after="0"/>
              <w:rPr>
                <w:sz w:val="20"/>
                <w:szCs w:val="20"/>
                <w:color w:val="auto"/>
              </w:rPr>
            </w:pPr>
            <w:r>
              <w:rPr>
                <w:rFonts w:ascii="Arial" w:cs="Arial" w:eastAsia="Arial" w:hAnsi="Arial"/>
                <w:sz w:val="18"/>
                <w:szCs w:val="18"/>
                <w:color w:val="auto"/>
              </w:rPr>
              <w:t>101.INS</w:t>
            </w:r>
          </w:p>
        </w:tc>
        <w:tc>
          <w:tcPr>
            <w:tcW w:w="930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1420" w:type="dxa"/>
            <w:vAlign w:val="bottom"/>
          </w:tcPr>
          <w:p>
            <w:pPr>
              <w:spacing w:after="0"/>
              <w:rPr>
                <w:sz w:val="20"/>
                <w:szCs w:val="20"/>
                <w:color w:val="auto"/>
              </w:rPr>
            </w:pPr>
            <w:r>
              <w:rPr>
                <w:rFonts w:ascii="Arial" w:cs="Arial" w:eastAsia="Arial" w:hAnsi="Arial"/>
                <w:sz w:val="18"/>
                <w:szCs w:val="18"/>
                <w:color w:val="auto"/>
              </w:rPr>
              <w:t>101.SCH</w:t>
            </w:r>
          </w:p>
        </w:tc>
        <w:tc>
          <w:tcPr>
            <w:tcW w:w="930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420" w:type="dxa"/>
            <w:vAlign w:val="bottom"/>
          </w:tcPr>
          <w:p>
            <w:pPr>
              <w:spacing w:after="0"/>
              <w:rPr>
                <w:sz w:val="20"/>
                <w:szCs w:val="20"/>
                <w:color w:val="auto"/>
              </w:rPr>
            </w:pPr>
            <w:r>
              <w:rPr>
                <w:rFonts w:ascii="Arial" w:cs="Arial" w:eastAsia="Arial" w:hAnsi="Arial"/>
                <w:sz w:val="18"/>
                <w:szCs w:val="18"/>
                <w:color w:val="auto"/>
              </w:rPr>
              <w:t>101.CAL</w:t>
            </w:r>
          </w:p>
        </w:tc>
        <w:tc>
          <w:tcPr>
            <w:tcW w:w="930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420" w:type="dxa"/>
            <w:vAlign w:val="bottom"/>
          </w:tcPr>
          <w:p>
            <w:pPr>
              <w:spacing w:after="0"/>
              <w:rPr>
                <w:sz w:val="20"/>
                <w:szCs w:val="20"/>
                <w:color w:val="auto"/>
              </w:rPr>
            </w:pPr>
            <w:r>
              <w:rPr>
                <w:rFonts w:ascii="Arial" w:cs="Arial" w:eastAsia="Arial" w:hAnsi="Arial"/>
                <w:sz w:val="18"/>
                <w:szCs w:val="18"/>
                <w:color w:val="auto"/>
              </w:rPr>
              <w:t>101.DEF</w:t>
            </w:r>
          </w:p>
        </w:tc>
        <w:tc>
          <w:tcPr>
            <w:tcW w:w="930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420" w:type="dxa"/>
            <w:vAlign w:val="bottom"/>
          </w:tcPr>
          <w:p>
            <w:pPr>
              <w:spacing w:after="0"/>
              <w:rPr>
                <w:sz w:val="20"/>
                <w:szCs w:val="20"/>
                <w:color w:val="auto"/>
              </w:rPr>
            </w:pPr>
            <w:r>
              <w:rPr>
                <w:rFonts w:ascii="Arial" w:cs="Arial" w:eastAsia="Arial" w:hAnsi="Arial"/>
                <w:sz w:val="18"/>
                <w:szCs w:val="18"/>
                <w:color w:val="auto"/>
              </w:rPr>
              <w:t>101.LAB</w:t>
            </w:r>
          </w:p>
        </w:tc>
        <w:tc>
          <w:tcPr>
            <w:tcW w:w="930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420" w:type="dxa"/>
            <w:vAlign w:val="bottom"/>
          </w:tcPr>
          <w:p>
            <w:pPr>
              <w:spacing w:after="0"/>
              <w:rPr>
                <w:sz w:val="20"/>
                <w:szCs w:val="20"/>
                <w:color w:val="auto"/>
              </w:rPr>
            </w:pPr>
            <w:r>
              <w:rPr>
                <w:rFonts w:ascii="Arial" w:cs="Arial" w:eastAsia="Arial" w:hAnsi="Arial"/>
                <w:sz w:val="18"/>
                <w:szCs w:val="18"/>
                <w:color w:val="auto"/>
              </w:rPr>
              <w:t>101.PRE</w:t>
            </w:r>
          </w:p>
        </w:tc>
        <w:tc>
          <w:tcPr>
            <w:tcW w:w="930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ectPr>
          <w:pgSz w:w="11900" w:h="16838" w:orient="portrait"/>
          <w:cols w:equalWidth="0" w:num="1">
            <w:col w:w="11000"/>
          </w:cols>
          <w:pgMar w:left="240" w:top="140" w:right="6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000"/>
          </w:cols>
          <w:pgMar w:left="240" w:top="140" w:right="65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2" w:lineRule="exact"/>
        <w:rPr>
          <w:sz w:val="20"/>
          <w:szCs w:val="20"/>
          <w:color w:val="auto"/>
        </w:rPr>
      </w:pPr>
    </w:p>
    <w:p>
      <w:pPr>
        <w:ind w:left="1300" w:hanging="482"/>
        <w:spacing w:after="0" w:line="262"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as Exhibit 2.1 to the Current Report on Form 8-K (File No. 001-35480), filed with the Securities and Exchange Commission on June 12, 2018, and incorporated by reference herein.</w:t>
      </w:r>
    </w:p>
    <w:p>
      <w:pPr>
        <w:spacing w:after="0" w:line="61" w:lineRule="exact"/>
        <w:rPr>
          <w:rFonts w:ascii="Arial" w:cs="Arial" w:eastAsia="Arial" w:hAnsi="Arial"/>
          <w:sz w:val="18"/>
          <w:szCs w:val="18"/>
          <w:color w:val="auto"/>
        </w:rPr>
      </w:pPr>
    </w:p>
    <w:p>
      <w:pPr>
        <w:ind w:left="1300" w:hanging="482"/>
        <w:spacing w:after="0" w:line="262"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61" w:lineRule="exact"/>
        <w:rPr>
          <w:rFonts w:ascii="Arial" w:cs="Arial" w:eastAsia="Arial" w:hAnsi="Arial"/>
          <w:sz w:val="18"/>
          <w:szCs w:val="18"/>
          <w:color w:val="auto"/>
        </w:rPr>
      </w:pPr>
    </w:p>
    <w:p>
      <w:pPr>
        <w:ind w:left="1300" w:hanging="482"/>
        <w:spacing w:after="0" w:line="262"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as Exhibit 3.1 to the Quarterly Report on Form 10-Q (File No. 001-35480), filed with the Securities and Exchange Commission on August 9, 2017, and incorporated by reference herein.</w:t>
      </w:r>
    </w:p>
    <w:p>
      <w:pPr>
        <w:spacing w:after="0" w:line="61" w:lineRule="exact"/>
        <w:rPr>
          <w:rFonts w:ascii="Arial" w:cs="Arial" w:eastAsia="Arial" w:hAnsi="Arial"/>
          <w:sz w:val="18"/>
          <w:szCs w:val="18"/>
          <w:color w:val="auto"/>
        </w:rPr>
      </w:pPr>
    </w:p>
    <w:p>
      <w:pPr>
        <w:ind w:left="1300" w:right="20" w:hanging="482"/>
        <w:spacing w:after="0" w:line="262"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61" w:lineRule="exact"/>
        <w:rPr>
          <w:rFonts w:ascii="Arial" w:cs="Arial" w:eastAsia="Arial" w:hAnsi="Arial"/>
          <w:sz w:val="18"/>
          <w:szCs w:val="18"/>
          <w:color w:val="auto"/>
        </w:rPr>
      </w:pPr>
    </w:p>
    <w:p>
      <w:pPr>
        <w:ind w:left="1300" w:right="20" w:hanging="482"/>
        <w:spacing w:after="0" w:line="262"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filed as Exhibit 4.1 to Amendment No. 7 to the Registration Statement on Form S-1/A (File No. 333-174925), filed with the Securities and Exchange Commission on March 12, 2012, and incorporated by reference herein.</w:t>
      </w:r>
    </w:p>
    <w:p>
      <w:pPr>
        <w:spacing w:after="0" w:line="61" w:lineRule="exact"/>
        <w:rPr>
          <w:sz w:val="20"/>
          <w:szCs w:val="20"/>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90" w:lineRule="exact"/>
        <w:rPr>
          <w:sz w:val="20"/>
          <w:szCs w:val="20"/>
          <w:color w:val="auto"/>
        </w:rPr>
      </w:pPr>
    </w:p>
    <w:p>
      <w:pPr>
        <w:jc w:val="both"/>
        <w:ind w:left="1300" w:hanging="482"/>
        <w:spacing w:after="0" w:line="256"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August 6, 2018</w:t>
      </w:r>
    </w:p>
    <w:p>
      <w:pPr>
        <w:spacing w:after="0" w:line="338"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207"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23495</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Eric Branderiz</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(Duly Authorized Officer)</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140" w:right="359" w:bottom="1440" w:gutter="0" w:footer="0" w:header="0"/>
        </w:sectPr>
      </w:pPr>
    </w:p>
    <w:bookmarkStart w:id="56" w:name="page57"/>
    <w:bookmarkEnd w:id="56"/>
    <w:p>
      <w:pPr>
        <w:jc w:val="center"/>
        <w:spacing w:after="0" w:line="266" w:lineRule="auto"/>
        <w:rPr>
          <w:sz w:val="20"/>
          <w:szCs w:val="20"/>
          <w:color w:val="auto"/>
        </w:rPr>
      </w:pPr>
      <w:r>
        <w:rPr>
          <w:rFonts w:ascii="Arial" w:cs="Arial" w:eastAsia="Arial" w:hAnsi="Arial"/>
          <w:sz w:val="18"/>
          <w:szCs w:val="18"/>
          <w:b w:val="1"/>
          <w:bCs w:val="1"/>
          <w:color w:val="auto"/>
        </w:rPr>
        <w:t>CERTIFICATE OF AMENDMENT OF THE AMENDED AND RESTATED CERTIFICATE OF INCORPORATION OF ENPHASE ENERGY, INC.</w:t>
      </w:r>
    </w:p>
    <w:p>
      <w:pPr>
        <w:spacing w:after="0" w:line="122" w:lineRule="exact"/>
        <w:rPr>
          <w:sz w:val="20"/>
          <w:szCs w:val="20"/>
          <w:color w:val="auto"/>
        </w:rPr>
      </w:pPr>
    </w:p>
    <w:p>
      <w:pPr>
        <w:ind w:right="20" w:firstLine="446"/>
        <w:spacing w:after="0" w:line="282" w:lineRule="auto"/>
        <w:rPr>
          <w:sz w:val="20"/>
          <w:szCs w:val="20"/>
          <w:color w:val="auto"/>
        </w:rPr>
      </w:pPr>
      <w:r>
        <w:rPr>
          <w:rFonts w:ascii="Arial" w:cs="Arial" w:eastAsia="Arial" w:hAnsi="Arial"/>
          <w:sz w:val="18"/>
          <w:szCs w:val="18"/>
          <w:b w:val="1"/>
          <w:bCs w:val="1"/>
          <w:color w:val="auto"/>
        </w:rPr>
        <w:t>ENPHASE ENERGY, INC.</w:t>
      </w:r>
      <w:r>
        <w:rPr>
          <w:rFonts w:ascii="Arial" w:cs="Arial" w:eastAsia="Arial" w:hAnsi="Arial"/>
          <w:sz w:val="18"/>
          <w:szCs w:val="18"/>
          <w:color w:val="auto"/>
        </w:rPr>
        <w:t>, a corporation organized and existing under and by virtue of the General Corporation Law of the State of Delaware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hereby certifies that: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w:t>
      </w:r>
      <w:r>
        <w:rPr>
          <w:rFonts w:ascii="Arial" w:cs="Arial" w:eastAsia="Arial" w:hAnsi="Arial"/>
          <w:sz w:val="18"/>
          <w:szCs w:val="18"/>
          <w:b w:val="1"/>
          <w:bCs w:val="1"/>
          <w:color w:val="auto"/>
        </w:rPr>
        <w:t xml:space="preserve"> ENPHASE ENERGY, INC.</w:t>
      </w:r>
    </w:p>
    <w:p>
      <w:pPr>
        <w:spacing w:after="0" w:line="171" w:lineRule="exact"/>
        <w:rPr>
          <w:sz w:val="20"/>
          <w:szCs w:val="20"/>
          <w:color w:val="auto"/>
        </w:rPr>
      </w:pPr>
    </w:p>
    <w:p>
      <w:pPr>
        <w:ind w:firstLine="446"/>
        <w:spacing w:after="0" w:line="28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The Certificate of Incorporation of this corporation was originally filed with the Secretary of State of Delaware on March 20, 2006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 “PVI Solutions, Inc.”</w:t>
      </w:r>
    </w:p>
    <w:p>
      <w:pPr>
        <w:spacing w:after="0" w:line="108" w:lineRule="exact"/>
        <w:rPr>
          <w:sz w:val="20"/>
          <w:szCs w:val="20"/>
          <w:color w:val="auto"/>
        </w:rPr>
      </w:pPr>
    </w:p>
    <w:p>
      <w:pPr>
        <w:ind w:firstLine="446"/>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Board of Directors of the Corporation, acting in accordance with the provisions of Sections 141 and 242 of the General Corporation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Delaware, adopted resolutions to amend its Amended and Restated Certificate of Incorporation as follows: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Article IV, Section A shall be amended and restated to read in its entirety as follows:</w:t>
      </w:r>
    </w:p>
    <w:p>
      <w:pPr>
        <w:spacing w:after="0" w:line="90"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“(A) This Corporation is authorized to issue two classes of stock to be designated, respectively, “Common Stock” and “Preferred Stock.” The total number of shares that this Corporation is authorized to issue is One Hundred and Sixty Million (160,000,000) shares, each with a par value of $0.00001 per share. One Hundred and Fifty Million (150,000,000) shares shall be Common Stock and Ten Million (10,000,000) shares shall be Preferred Stock.”</w:t>
      </w:r>
    </w:p>
    <w:p>
      <w:pPr>
        <w:spacing w:after="0" w:line="129" w:lineRule="exact"/>
        <w:rPr>
          <w:sz w:val="20"/>
          <w:szCs w:val="20"/>
          <w:color w:val="auto"/>
        </w:rPr>
      </w:pPr>
    </w:p>
    <w:p>
      <w:pPr>
        <w:jc w:val="both"/>
        <w:ind w:firstLine="446"/>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of Directors, this Certificate of Amendment was submitted to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their approval, and was duly adopted at the Annual Meeting of Stockholders held on May 17, 2018 in accordance with the provisions of Section 242 of the General Corporation Law of the State of Delaware.</w:t>
      </w:r>
    </w:p>
    <w:p>
      <w:pPr>
        <w:spacing w:after="0" w:line="122" w:lineRule="exact"/>
        <w:rPr>
          <w:sz w:val="20"/>
          <w:szCs w:val="20"/>
          <w:color w:val="auto"/>
        </w:rPr>
      </w:pPr>
    </w:p>
    <w:p>
      <w:pPr>
        <w:jc w:val="both"/>
        <w:ind w:right="20" w:firstLine="44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its Chief Executive Officer this 17th day of</w:t>
      </w:r>
      <w:r>
        <w:rPr>
          <w:rFonts w:ascii="Arial" w:cs="Arial" w:eastAsia="Arial" w:hAnsi="Arial"/>
          <w:sz w:val="18"/>
          <w:szCs w:val="18"/>
          <w:b w:val="1"/>
          <w:bCs w:val="1"/>
          <w:color w:val="auto"/>
        </w:rPr>
        <w:t xml:space="preserve"> </w:t>
      </w:r>
      <w:r>
        <w:rPr>
          <w:rFonts w:ascii="Arial" w:cs="Arial" w:eastAsia="Arial" w:hAnsi="Arial"/>
          <w:sz w:val="18"/>
          <w:szCs w:val="18"/>
          <w:color w:val="auto"/>
        </w:rPr>
        <w:t>May, 2018.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ENPHASE ENERGY,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60"/>
        <w:spacing w:after="0"/>
        <w:tabs>
          <w:tab w:leader="none" w:pos="7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238125</wp:posOffset>
            </wp:positionV>
            <wp:extent cx="2607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8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Badrinarayanan Kothandaraman</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176974878 v1</w:t>
      </w:r>
    </w:p>
    <w:p>
      <w:pPr>
        <w:sectPr>
          <w:pgSz w:w="11900" w:h="16838" w:orient="portrait"/>
          <w:cols w:equalWidth="0" w:num="1">
            <w:col w:w="11420"/>
          </w:cols>
          <w:pgMar w:left="240" w:top="36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0617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06170" cy="188595"/>
                    </a:xfrm>
                    <a:prstGeom prst="rect">
                      <a:avLst/>
                    </a:prstGeom>
                    <a:noFill/>
                  </pic:spPr>
                </pic:pic>
              </a:graphicData>
            </a:graphic>
          </wp:anchor>
        </w:drawing>
        <w:t>May 16, 2018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Branderiz</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Dear Eric: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 pleased to offer you employment on the following terms:</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Your title will be Chief Financial Officer (CFO) and you will report to Badri Kothandaraman, Chief Executive Officer. This is a full-time exempt</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located in Petaluma, CA. While you render services to the Company, you will not engage in any other employment, consulting or other business activity (whether full-time or part-time) that would create a conflict of interest with your duties to the Company. By signing this letter agreement, you confirm to the Company that you have no contractual commitments or other legal obligations that would prohibit you from performing your duties for the Company.</w:t>
      </w:r>
    </w:p>
    <w:p>
      <w:pPr>
        <w:spacing w:after="0" w:line="15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The Company will pay you a starting salary at the rate of $400,000.00 per year, payable in accordance with the Company’s standard payroll</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Your salary will be subject to adjustment pursuant to the Company’s employee compensation policies in effect from time to time.</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18"/>
          <w:szCs w:val="18"/>
          <w:color w:val="auto"/>
        </w:rPr>
        <w:t>In addition to your salary,</w:t>
      </w:r>
      <w:r>
        <w:rPr>
          <w:rFonts w:ascii="Arial" w:cs="Arial" w:eastAsia="Arial" w:hAnsi="Arial"/>
          <w:sz w:val="18"/>
          <w:szCs w:val="18"/>
          <w:b w:val="1"/>
          <w:bCs w:val="1"/>
          <w:color w:val="auto"/>
        </w:rPr>
        <w:t xml:space="preserve"> </w:t>
      </w:r>
      <w:r>
        <w:rPr>
          <w:rFonts w:ascii="Arial" w:cs="Arial" w:eastAsia="Arial" w:hAnsi="Arial"/>
          <w:sz w:val="18"/>
          <w:szCs w:val="18"/>
          <w:color w:val="2A2A2A"/>
        </w:rPr>
        <w:t>you be eligible for an annual bonus target of 75% of your eligible earnings for 2018. This bonus will be pursuant to and</w:t>
      </w:r>
      <w:r>
        <w:rPr>
          <w:rFonts w:ascii="Arial" w:cs="Arial" w:eastAsia="Arial" w:hAnsi="Arial"/>
          <w:sz w:val="18"/>
          <w:szCs w:val="18"/>
          <w:b w:val="1"/>
          <w:bCs w:val="1"/>
          <w:color w:val="auto"/>
        </w:rPr>
        <w:t xml:space="preserve"> </w:t>
      </w:r>
      <w:r>
        <w:rPr>
          <w:rFonts w:ascii="Arial" w:cs="Arial" w:eastAsia="Arial" w:hAnsi="Arial"/>
          <w:sz w:val="18"/>
          <w:szCs w:val="18"/>
          <w:color w:val="2A2A2A"/>
        </w:rPr>
        <w:t>subject to the terms and conditions of the Enphase Energy incentive bonus plan. You must be employed in good standing by Enphase Energy at the scheduled payment time to be eligible to receive a bonus.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employee of the Company, you will be eligible to participate in regular health insurance, employee stock purchase,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employee benefit plans if and as established and maintained by the Company for its employees from time to time. In addition, you will be entitled to paid vacation in accordance with the Company’s vacation policy, as in effect from time to time.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You will be reimbursed for reasonable legitimate business expenses incurred in the performance of your duties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reimbursement policies, as in effect from time to time.</w:t>
      </w:r>
    </w:p>
    <w:p>
      <w:pPr>
        <w:spacing w:after="0" w:line="1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color w:val="auto"/>
        </w:rPr>
        <w:t>Stock Grant (RSUs)</w:t>
      </w:r>
      <w:r>
        <w:rPr>
          <w:rFonts w:ascii="Arial" w:cs="Arial" w:eastAsia="Arial" w:hAnsi="Arial"/>
          <w:sz w:val="17"/>
          <w:szCs w:val="17"/>
          <w:color w:val="auto"/>
        </w:rPr>
        <w:t>. Following execution of this letter agreement, we will recommend to the Board of Directors of the Company that you be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300,000 Restricted stock units (RSU’s) under the Company’s 2011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(as adjusted for stock splits, stock dividends, reclassifications and the like). The shares will be subject to the terms and conditions applicable to shares granted under the Plan, as described in and subject to the Plan and the applicable stock award or purchase agreement. Subject to your continued employment and the terms and conditions of the Plan and applicable agreement (a) 25% of the shares (rounded down to the nearest whole share) shall vest on the Initial Vesting Date of the 15th of the month one year following hiring date and (b) thereafter 12.5% of the shares (rounded down to the nearest whole share, except for the last vesting installment) shall vest and become exercisable on each six-month anniversary of the Initial Vesting Date, provided that the grantee remains in Continuous Service (as defined in the Plan) from the Date of Grant through each such vesting date.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Stock Grant (PSUs). </w:t>
      </w:r>
      <w:r>
        <w:rPr>
          <w:rFonts w:ascii="Arial" w:cs="Arial" w:eastAsia="Arial" w:hAnsi="Arial"/>
          <w:sz w:val="17"/>
          <w:szCs w:val="17"/>
          <w:color w:val="auto"/>
        </w:rPr>
        <w:t>Following execution of this letter agreement, we will recommend to the Board of Directors of the Company that you be granted</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100,000 Performance Stock Units (PSUs) under the Company’s 2011 Equity Incentive Plan (the "Plan") (as adjusted for stock splits, stock dividends,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and the like). PSUs are grants with specific performance targets identified by the Compensation Committee of the Board of Directors.</w:t>
      </w:r>
    </w:p>
    <w:p>
      <w:pPr>
        <w:spacing w:after="0" w:line="22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PSUs are earned based on Enphase Stock Performance (“ESP”) and CEO Goals Performance (“CGP”). Any PSU shares earned will vest on March 29, 2019 subject to the ESP and CGP performance criteria. With great performance, you can earn up to 150% of your total performance-based PSU grant.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Performance-Based (PSU) Vesting Terms</w:t>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Performance-based PSU shares will be eligible to vest subject to satisfaction of the vesting and performance criteria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Enphase Stock Performance (ESP): 50,000 Shares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are eligible to earn your targeted ESP shares based upon Enphase’s stock price, measured as the 15-day trailing Volume Weighted Average Price per share of ENPH Stock as of December 31, 2018 (“ESV15”). The Target price is set at $5.00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ESP shares are eligible to vest on March 29, 2019, subject to satisfaction of the vesting and performance criteria.</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 Payout of ESP shares occurs when ESV15 is less than $3.00 per share.</w:t>
      </w:r>
    </w:p>
    <w:p>
      <w:pPr>
        <w:spacing w:after="0" w:line="23" w:lineRule="exact"/>
        <w:rPr>
          <w:rFonts w:ascii="Arial" w:cs="Arial" w:eastAsia="Arial" w:hAnsi="Arial"/>
          <w:sz w:val="18"/>
          <w:szCs w:val="18"/>
          <w:color w:val="auto"/>
        </w:rPr>
      </w:pPr>
    </w:p>
    <w:p>
      <w:pPr>
        <w:ind w:right="2560" w:firstLine="332"/>
        <w:spacing w:after="0" w:line="250"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0% to 150% Payout of ESP shares occurs, calculated linearly, when ESV15 is between $3.00 and $6.00 per share. For example:</w:t>
      </w:r>
    </w:p>
    <w:p>
      <w:pPr>
        <w:ind w:left="340" w:right="5960"/>
        <w:spacing w:after="0" w:line="281" w:lineRule="auto"/>
        <w:rPr>
          <w:rFonts w:ascii="Arial" w:cs="Arial" w:eastAsia="Arial" w:hAnsi="Arial"/>
          <w:sz w:val="18"/>
          <w:szCs w:val="18"/>
          <w:color w:val="auto"/>
        </w:rPr>
      </w:pPr>
      <w:r>
        <w:rPr>
          <w:rFonts w:ascii="Arial" w:cs="Arial" w:eastAsia="Arial" w:hAnsi="Arial"/>
          <w:sz w:val="16"/>
          <w:szCs w:val="16"/>
          <w:color w:val="auto"/>
        </w:rPr>
        <w:t>o 0% Payout of ESP shares occurs when ESV15 is equal to $3.00. o 25% Payout of ESP shares occurs when ESV15 is equal to $3.50. o 50% Payout of ESP shares occurs when ESV15 is equal to $4.00. o 75% Payout of ESP shares occurs when ESV15 is equal to $4.50. o 100% Payout of ESP shares occurs when ESV15 is equal to $5.00. o 125% Payout of ESP shares occurs when ESV15 is equal to $5.50. o 150% Payout of ESP shares occurs when ESV15 is equal to $6.00.</w:t>
      </w:r>
    </w:p>
    <w:p>
      <w:pPr>
        <w:spacing w:after="0" w:line="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   150% Payout of ESP shares occurs when ESV15 is greater than $6.00 per share.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Goals Performance (CGP): 50,000 Shares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are eligible to earn your targeted CGP shares based upon achievement of 2018 Annual CEO Goals (“2018 CEO Goals”), measured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CGP shares are eligible to vest on March 29, 2019 subject to the satisfaction of the vesting and performance criteria.</w:t>
      </w:r>
    </w:p>
    <w:p>
      <w:pPr>
        <w:spacing w:after="0" w:line="239" w:lineRule="exact"/>
        <w:rPr>
          <w:sz w:val="20"/>
          <w:szCs w:val="20"/>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 Payout of CGP shares occurs when 2018 CEO Goals completed are less than 65% of total including Stretch Goals</w:t>
      </w:r>
    </w:p>
    <w:p>
      <w:pPr>
        <w:spacing w:after="0" w:line="36" w:lineRule="exact"/>
        <w:rPr>
          <w:rFonts w:ascii="Arial" w:cs="Arial" w:eastAsia="Arial" w:hAnsi="Arial"/>
          <w:sz w:val="18"/>
          <w:szCs w:val="18"/>
          <w:color w:val="auto"/>
        </w:rPr>
      </w:pPr>
    </w:p>
    <w:p>
      <w:pPr>
        <w:ind w:left="600" w:hanging="322"/>
        <w:spacing w:after="0" w:line="281"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50% Payout of CGP shares occurs when 2018 CEO Goals completed are greater than or equal to 65% but less than 80% of total including Stretch Goals</w:t>
      </w:r>
    </w:p>
    <w:p>
      <w:pPr>
        <w:spacing w:after="0" w:line="1" w:lineRule="exact"/>
        <w:rPr>
          <w:rFonts w:ascii="Arial" w:cs="Arial" w:eastAsia="Arial" w:hAnsi="Arial"/>
          <w:sz w:val="18"/>
          <w:szCs w:val="18"/>
          <w:color w:val="auto"/>
        </w:rPr>
      </w:pPr>
    </w:p>
    <w:p>
      <w:pPr>
        <w:ind w:left="600" w:right="20" w:hanging="322"/>
        <w:spacing w:after="0" w:line="281"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 Payout of CGP shares occurs when 2018 CEO Goals completed are greater than or equal to 80% but less than 100% of total including Stretch Goals</w:t>
      </w:r>
    </w:p>
    <w:p>
      <w:pPr>
        <w:spacing w:after="0" w:line="1"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150% Payout of CGP shares occurs when 2018 CEO Goals completed are greater than or equal to 100% of total including Stretch Goals</w:t>
      </w:r>
    </w:p>
    <w:p>
      <w:pPr>
        <w:spacing w:after="0" w:line="246"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ADDITIONAL VESTING CONDITIONS</w:t>
      </w:r>
    </w:p>
    <w:p>
      <w:pPr>
        <w:spacing w:after="0" w:line="27" w:lineRule="exact"/>
        <w:rPr>
          <w:sz w:val="20"/>
          <w:szCs w:val="20"/>
          <w:color w:val="auto"/>
        </w:rPr>
      </w:pPr>
    </w:p>
    <w:p>
      <w:pPr>
        <w:jc w:val="both"/>
        <w:ind w:left="280"/>
        <w:spacing w:after="0" w:line="295" w:lineRule="auto"/>
        <w:rPr>
          <w:sz w:val="20"/>
          <w:szCs w:val="20"/>
          <w:color w:val="auto"/>
        </w:rPr>
      </w:pPr>
      <w:r>
        <w:rPr>
          <w:rFonts w:ascii="Arial" w:cs="Arial" w:eastAsia="Arial" w:hAnsi="Arial"/>
          <w:sz w:val="16"/>
          <w:szCs w:val="16"/>
          <w:color w:val="auto"/>
        </w:rPr>
        <w:t>PSUs have no exercise price and, therefore, always have value. Once vested, the value of each share that vested pursuant to a PSU is equal to the value of one share of Enphase’s common stock as reported on the NASDAQ market. Upon each vesting date, shares will be sold to cover tax withholding requirements, or you will need to use cash from external sources to satisfy the tax withholding requirements. Vested shares remain yours for as long as you hold the shares, even if you are no longer an employee. However, you bear the risk of the stock declining in price and your shares losing value.</w:t>
      </w:r>
    </w:p>
    <w:p>
      <w:pPr>
        <w:spacing w:after="0" w:line="158" w:lineRule="exact"/>
        <w:rPr>
          <w:sz w:val="20"/>
          <w:szCs w:val="20"/>
          <w:color w:val="auto"/>
        </w:rPr>
      </w:pPr>
    </w:p>
    <w:p>
      <w:pPr>
        <w:ind w:left="660" w:firstLine="14"/>
        <w:spacing w:after="0" w:line="347" w:lineRule="auto"/>
        <w:rPr>
          <w:sz w:val="20"/>
          <w:szCs w:val="20"/>
          <w:color w:val="auto"/>
        </w:rPr>
      </w:pPr>
      <w:r>
        <w:rPr>
          <w:rFonts w:ascii="Arial" w:cs="Arial" w:eastAsia="Arial" w:hAnsi="Arial"/>
          <w:sz w:val="16"/>
          <w:szCs w:val="16"/>
          <w:b w:val="1"/>
          <w:bCs w:val="1"/>
          <w:color w:val="auto"/>
        </w:rPr>
        <w:t>With respect to the foregoing, the grant of such RSUs and PSUs by the Company is subject to the Board's approval and this promise to recommend such approval is not a promise of compensation and is not intended to create any obligation on the part of the Company</w:t>
      </w:r>
    </w:p>
    <w:p>
      <w:pPr>
        <w:spacing w:after="0" w:line="11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Change in Control and Severance Agreement. </w:t>
      </w:r>
      <w:r>
        <w:rPr>
          <w:rFonts w:ascii="Arial" w:cs="Arial" w:eastAsia="Arial" w:hAnsi="Arial"/>
          <w:sz w:val="18"/>
          <w:szCs w:val="18"/>
          <w:color w:val="auto"/>
        </w:rPr>
        <w:t>The Company will enter with you a Tier 1 Change in Control and Severance Agreement, subject to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w:t>
      </w:r>
    </w:p>
    <w:p>
      <w:pPr>
        <w:sectPr>
          <w:pgSz w:w="11900" w:h="16838" w:orient="portrait"/>
          <w:cols w:equalWidth="0" w:num="1">
            <w:col w:w="11420"/>
          </w:cols>
          <w:pgMar w:left="240" w:top="449" w:right="239" w:bottom="1440" w:gutter="0" w:footer="0" w:header="0"/>
        </w:sectPr>
      </w:pPr>
    </w:p>
    <w:bookmarkStart w:id="59" w:name="page60"/>
    <w:bookmarkEnd w:id="59"/>
    <w:p>
      <w:pPr>
        <w:jc w:val="both"/>
        <w:spacing w:after="0" w:line="288" w:lineRule="auto"/>
        <w:rPr>
          <w:sz w:val="20"/>
          <w:szCs w:val="20"/>
          <w:color w:val="auto"/>
        </w:rPr>
      </w:pPr>
      <w:r>
        <w:rPr>
          <w:rFonts w:ascii="Arial" w:cs="Arial" w:eastAsia="Arial" w:hAnsi="Arial"/>
          <w:sz w:val="16"/>
          <w:szCs w:val="16"/>
          <w:b w:val="1"/>
          <w:bCs w:val="1"/>
          <w:color w:val="auto"/>
        </w:rPr>
        <w:t>Confidentiality</w:t>
      </w:r>
      <w:r>
        <w:rPr>
          <w:rFonts w:ascii="Arial" w:cs="Arial" w:eastAsia="Arial" w:hAnsi="Arial"/>
          <w:sz w:val="16"/>
          <w:szCs w:val="16"/>
          <w:color w:val="auto"/>
        </w:rPr>
        <w:t>. As an employee of the Company, you will have access to certain confidential information of the Company and you may, during the course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your employment, develop certain information or inventions that will be the property of the Company. To protect the interests of the Company, you will need to sign the Company's standard "Employee Invention Assignment and Confidentiality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a condition of your employment. We wish to impress upon you that we do not want you to, and we hereby direct you not to, bring with you any confidential or proprietary material of any former employer or to violate any other obligations you may have to any former employer. During the period that you render services to the Company, you agree to not engage in any employment, business or activity that is in any way competitive with the business or proposed business of the Company. You will disclose to the Company in writing any other gainful employment, business or activity that you are currently associated with or participate in that competes with the Company. You will not assist any other person or organization in competing with the Company or in preparing to engage in competition with the business or proposed business of the Company. You represent that your signing of this offer letter, agreement(s) concerning stock granted to you, if any, under the Plan and the Company's Employee Invention Assignment and Confidentiality Agreement and your commencement of employment with the Company will not violate any agreement currently in place between yourself and current or past employers.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 will be “at will,”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All forms of compensation referred to in this letter agreement are subject to reduction to reflect applicable withholding and payroll taxes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deductions required by law.</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the complete agreement between you and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w:t>
      </w:r>
      <w:r>
        <w:rPr>
          <w:rFonts w:ascii="Arial" w:cs="Arial" w:eastAsia="Arial" w:hAnsi="Arial"/>
          <w:sz w:val="17"/>
          <w:szCs w:val="17"/>
          <w:b w:val="1"/>
          <w:bCs w:val="1"/>
          <w:i w:val="1"/>
          <w:iCs w:val="1"/>
          <w:color w:val="auto"/>
        </w:rPr>
        <w:t>Disputes</w:t>
      </w:r>
      <w:r>
        <w:rPr>
          <w:rFonts w:ascii="Arial" w:cs="Arial" w:eastAsia="Arial" w:hAnsi="Arial"/>
          <w:sz w:val="17"/>
          <w:szCs w:val="17"/>
          <w:color w:val="auto"/>
        </w:rPr>
        <w:t>”) will be governed by California law, excluding laws relating to conflicts or choice of law. You and the Company submit to the exclusive personal jurisdiction of the federal and state courts located in San Francisco and Sonoma County in connection with any Dispute or any claim related to any Dispute.</w:t>
      </w:r>
    </w:p>
    <w:p>
      <w:pPr>
        <w:spacing w:after="0" w:line="172"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Employment Eligibility. </w:t>
      </w:r>
      <w:r>
        <w:rPr>
          <w:rFonts w:ascii="Arial" w:cs="Arial" w:eastAsia="Arial" w:hAnsi="Arial"/>
          <w:sz w:val="16"/>
          <w:szCs w:val="16"/>
          <w:color w:val="auto"/>
        </w:rPr>
        <w:t>In compliance with the Federal Immigration Reform and Control Act, you will be required to present us with personal identification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your first day of employment, which verifies your eligibility to work in the United States. We have included the “Lists of Acceptable Documents” for Form I-9. You must present one (1) document from “List A” </w:t>
      </w:r>
      <w:r>
        <w:rPr>
          <w:rFonts w:ascii="Arial" w:cs="Arial" w:eastAsia="Arial" w:hAnsi="Arial"/>
          <w:sz w:val="16"/>
          <w:szCs w:val="16"/>
          <w:b w:val="1"/>
          <w:bCs w:val="1"/>
          <w:color w:val="auto"/>
        </w:rPr>
        <w:t>OR</w:t>
      </w:r>
      <w:r>
        <w:rPr>
          <w:rFonts w:ascii="Arial" w:cs="Arial" w:eastAsia="Arial" w:hAnsi="Arial"/>
          <w:sz w:val="16"/>
          <w:szCs w:val="16"/>
          <w:color w:val="auto"/>
        </w:rPr>
        <w:t xml:space="preserve"> one (1) document from “List B” </w:t>
      </w:r>
      <w:r>
        <w:rPr>
          <w:rFonts w:ascii="Arial" w:cs="Arial" w:eastAsia="Arial" w:hAnsi="Arial"/>
          <w:sz w:val="16"/>
          <w:szCs w:val="16"/>
          <w:b w:val="1"/>
          <w:bCs w:val="1"/>
          <w:color w:val="auto"/>
        </w:rPr>
        <w:t>AND</w:t>
      </w:r>
      <w:r>
        <w:rPr>
          <w:rFonts w:ascii="Arial" w:cs="Arial" w:eastAsia="Arial" w:hAnsi="Arial"/>
          <w:sz w:val="16"/>
          <w:szCs w:val="16"/>
          <w:color w:val="auto"/>
        </w:rPr>
        <w:t xml:space="preserve"> one (1) document from “List C”. It is extremely important that you comply with this requirement; otherwise, you may not be allowed to work, and our offer of employment may be withdrawn.</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hope that you will accept our offer to join the Company on the terms of this letter.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May 23, 2018. This offer is contingent on successful completion of background and reference checks and starting work with the Company on June 4, 2018.</w:t>
      </w:r>
    </w:p>
    <w:p>
      <w:pPr>
        <w:spacing w:after="0" w:line="18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ENPHASE ENERGY, INC.</w:t>
      </w:r>
    </w:p>
    <w:p>
      <w:pPr>
        <w:sectPr>
          <w:pgSz w:w="11900" w:h="16838" w:orient="portrait"/>
          <w:cols w:equalWidth="0" w:num="1">
            <w:col w:w="11420"/>
          </w:cols>
          <w:pgMar w:left="240" w:top="364" w:right="239" w:bottom="1440" w:gutter="0" w:footer="0" w:header="0"/>
        </w:sectPr>
      </w:pPr>
    </w:p>
    <w:bookmarkStart w:id="60" w:name="page61"/>
    <w:bookmarkEnd w:id="60"/>
    <w:p>
      <w:pPr>
        <w:jc w:val="center"/>
        <w:ind w:right="99"/>
        <w:spacing w:after="0"/>
        <w:rPr>
          <w:sz w:val="20"/>
          <w:szCs w:val="20"/>
          <w:color w:val="auto"/>
        </w:rPr>
      </w:pPr>
      <w:r>
        <w:rPr>
          <w:rFonts w:ascii="Arial" w:cs="Arial" w:eastAsia="Arial" w:hAnsi="Arial"/>
          <w:sz w:val="18"/>
          <w:szCs w:val="18"/>
          <w:color w:val="auto"/>
        </w:rPr>
        <w:t>By: /s/ Debra Machado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4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Debra Machado</w:t>
      </w:r>
    </w:p>
    <w:p>
      <w:pPr>
        <w:spacing w:after="0" w:line="117" w:lineRule="exact"/>
        <w:rPr>
          <w:sz w:val="20"/>
          <w:szCs w:val="20"/>
          <w:color w:val="auto"/>
        </w:rPr>
      </w:pPr>
    </w:p>
    <w:p>
      <w:pPr>
        <w:jc w:val="right"/>
        <w:ind w:right="3959"/>
        <w:spacing w:after="0"/>
        <w:rPr>
          <w:sz w:val="20"/>
          <w:szCs w:val="20"/>
          <w:color w:val="auto"/>
        </w:rPr>
      </w:pPr>
      <w:r>
        <w:rPr>
          <w:rFonts w:ascii="Arial" w:cs="Arial" w:eastAsia="Arial" w:hAnsi="Arial"/>
          <w:sz w:val="18"/>
          <w:szCs w:val="18"/>
          <w:color w:val="auto"/>
        </w:rPr>
        <w:t>Title: VP, Human Resources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Eric Branderiz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June 4, 2018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Exhibit A: Employee Invention Assignment and Confidentiality Agreement</w:t>
      </w:r>
    </w:p>
    <w:p>
      <w:pPr>
        <w:sectPr>
          <w:pgSz w:w="11900" w:h="16838" w:orient="portrait"/>
          <w:cols w:equalWidth="0" w:num="1">
            <w:col w:w="10219"/>
          </w:cols>
          <w:pgMar w:left="240" w:top="368" w:right="1440"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36"/>
          <w:szCs w:val="36"/>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 INVENTION ASSIGNMENT AND CONFIDENTIALITY AGREEMENT</w:t>
      </w:r>
    </w:p>
    <w:p>
      <w:pPr>
        <w:spacing w:after="0" w:line="200" w:lineRule="exact"/>
        <w:rPr>
          <w:sz w:val="20"/>
          <w:szCs w:val="20"/>
          <w:color w:val="auto"/>
        </w:rPr>
      </w:pP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consideration of, and as a condition of my employment with Enphase Energy,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 hereby represent to, and agree with the Company as follows:</w:t>
      </w:r>
    </w:p>
    <w:p>
      <w:pPr>
        <w:spacing w:after="0" w:line="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Purpose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the Company is engaged in a continuous program of research, development, production and marketing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its business and that it is critical for the Company to preserve and protect</w:t>
      </w:r>
    </w:p>
    <w:p>
      <w:pPr>
        <w:spacing w:after="0" w:line="200" w:lineRule="exact"/>
        <w:rPr>
          <w:sz w:val="20"/>
          <w:szCs w:val="20"/>
          <w:color w:val="auto"/>
        </w:rPr>
      </w:pPr>
    </w:p>
    <w:p>
      <w:pPr>
        <w:spacing w:after="0" w:line="20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Page 5 of 5</w:t>
      </w:r>
    </w:p>
    <w:p>
      <w:pPr>
        <w:sectPr>
          <w:pgSz w:w="11900" w:h="16838" w:orient="portrait"/>
          <w:cols w:equalWidth="0" w:num="1">
            <w:col w:w="11420"/>
          </w:cols>
          <w:pgMar w:left="240" w:top="1440" w:right="239" w:bottom="1440" w:gutter="0" w:footer="0" w:header="0"/>
        </w:sectPr>
      </w:pPr>
    </w:p>
    <w:bookmarkStart w:id="62" w:name="page63"/>
    <w:bookmarkEnd w:id="62"/>
    <w:p>
      <w:pPr>
        <w:jc w:val="both"/>
        <w:spacing w:after="0" w:line="264" w:lineRule="auto"/>
        <w:rPr>
          <w:sz w:val="20"/>
          <w:szCs w:val="20"/>
          <w:color w:val="auto"/>
        </w:rPr>
      </w:pPr>
      <w:r>
        <w:rPr>
          <w:rFonts w:ascii="Arial" w:cs="Arial" w:eastAsia="Arial" w:hAnsi="Arial"/>
          <w:sz w:val="18"/>
          <w:szCs w:val="18"/>
          <w:color w:val="auto"/>
        </w:rPr>
        <w:t>its Proprietary Information (as defined in Section 7 below), its rights in Inventions (as defined in Section 2 below) and in all related intellectual property rights. Accordingly, I am entering into this Employee Invention Assignment and Confidentiality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as a condition of my employment with the Company, whether or not I am expected to create inventions of value for the Company.</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u w:val="single" w:color="auto"/>
          <w:color w:val="auto"/>
        </w:rPr>
        <w:t>Disclosure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will promptly disclose in confidence to the Company all inventions, improvements, designs, original works of authorship,</w:t>
      </w:r>
      <w:r>
        <w:rPr>
          <w:rFonts w:ascii="Arial" w:cs="Arial" w:eastAsia="Arial" w:hAnsi="Arial"/>
          <w:sz w:val="18"/>
          <w:szCs w:val="18"/>
          <w:b w:val="1"/>
          <w:bCs w:val="1"/>
          <w:color w:val="auto"/>
        </w:rPr>
        <w:t xml:space="preserve"> </w:t>
      </w:r>
      <w:r>
        <w:rPr>
          <w:rFonts w:ascii="Arial" w:cs="Arial" w:eastAsia="Arial" w:hAnsi="Arial"/>
          <w:sz w:val="18"/>
          <w:szCs w:val="18"/>
          <w:color w:val="auto"/>
        </w:rPr>
        <w:t>formulas, processes, compositions of matter, computer software programs, databases, mask works, designs and trade secrets that I make or conceive or first reduce to practice or create, either alone or jointly with others, during the period of my employment, whether or not in the course of my employment, and whether or not patentable, copyrightable or protectable as trade secrets (the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u w:val="single" w:color="auto"/>
          <w:color w:val="auto"/>
        </w:rPr>
        <w:t>Inventions Retained and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I have attached hereto,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 a list describing with particularity all inventions, original works of authorship,</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developments, improvements, and trade secrets which were made by me prior to the commencement of my employment with the Company (collectively referred to as “</w:t>
      </w:r>
      <w:r>
        <w:rPr>
          <w:rFonts w:ascii="Arial" w:cs="Arial" w:eastAsia="Arial" w:hAnsi="Arial"/>
          <w:sz w:val="17"/>
          <w:szCs w:val="17"/>
          <w:b w:val="1"/>
          <w:bCs w:val="1"/>
          <w:i w:val="1"/>
          <w:iCs w:val="1"/>
          <w:color w:val="auto"/>
        </w:rPr>
        <w:t>Prior Inventions</w:t>
      </w:r>
      <w:r>
        <w:rPr>
          <w:rFonts w:ascii="Arial" w:cs="Arial" w:eastAsia="Arial" w:hAnsi="Arial"/>
          <w:sz w:val="17"/>
          <w:szCs w:val="17"/>
          <w:color w:val="auto"/>
        </w:rPr>
        <w:t>”), which belong solely to me or belong to me jointly with another, which relate in any way to any of the Company’s proposed businesses, products or research and development, and which are not assigned to the Company hereunder; or, if no such list is attached, I represent that there are no such Prior Inventions. If, in the course of my employment with the Company, I incorporate into a Company product, process or machine a Prior Invention owned by me or in which I have an interest, the Company is hereby granted and shall have a non-exclusive, royalty-free, irrevocable, perpetual, worldwide license (with the right to sublicense) to make, have made, copy, modify, make derivative works of, use, sell and otherwise distribute such Prior Invention as part of or in connection with such product, process or machine.</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Work for Hire; Assignment of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 acknowledge and agree that any copyrightable works prepared by me within the scope of my employment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“works for hire” under the Copyright Act and that the Company will be considered the author and owner of such copyrightable works. I agree that all Inventions that (i) are developed using equipment, supplies, facilities or trade secrets of the Company, (ii) result from work performed by me for the Company, or (iii) relate to the Company’s business or current or anticipated research and development (the “</w:t>
      </w:r>
      <w:r>
        <w:rPr>
          <w:rFonts w:ascii="Arial" w:cs="Arial" w:eastAsia="Arial" w:hAnsi="Arial"/>
          <w:sz w:val="18"/>
          <w:szCs w:val="18"/>
          <w:b w:val="1"/>
          <w:bCs w:val="1"/>
          <w:i w:val="1"/>
          <w:iCs w:val="1"/>
          <w:color w:val="auto"/>
        </w:rPr>
        <w:t>Assigned Inventions</w:t>
      </w:r>
      <w:r>
        <w:rPr>
          <w:rFonts w:ascii="Arial" w:cs="Arial" w:eastAsia="Arial" w:hAnsi="Arial"/>
          <w:sz w:val="18"/>
          <w:szCs w:val="18"/>
          <w:color w:val="auto"/>
        </w:rPr>
        <w:t>”), will be the sole and exclusive property of the Company and are hereby irrevocably assigned by me to the Company</w:t>
      </w:r>
      <w:r>
        <w:rPr>
          <w:rFonts w:ascii="Arial" w:cs="Arial" w:eastAsia="Arial" w:hAnsi="Arial"/>
          <w:sz w:val="18"/>
          <w:szCs w:val="18"/>
          <w:b w:val="1"/>
          <w:b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Labor Code Section 2870 Notice</w:t>
      </w:r>
      <w:r>
        <w:rPr>
          <w:rFonts w:ascii="Arial" w:cs="Arial" w:eastAsia="Arial" w:hAnsi="Arial"/>
          <w:sz w:val="17"/>
          <w:szCs w:val="17"/>
          <w:b w:val="1"/>
          <w:bCs w:val="1"/>
          <w:color w:val="auto"/>
        </w:rPr>
        <w:t xml:space="preserve">. </w:t>
      </w:r>
      <w:r>
        <w:rPr>
          <w:rFonts w:ascii="Arial" w:cs="Arial" w:eastAsia="Arial" w:hAnsi="Arial"/>
          <w:sz w:val="17"/>
          <w:szCs w:val="17"/>
          <w:color w:val="auto"/>
        </w:rPr>
        <w:t>I have been notified and understand that the provisions of Sections 3 and 5 of this Agreement do not apply to 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Assigned Invention that qualifies fully under the provisions of Section 2870 of the California Labor Code, which states as follows:</w:t>
      </w:r>
    </w:p>
    <w:p>
      <w:pPr>
        <w:spacing w:after="0" w:line="21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CONCEPTION OR REDUCTION TO PRACTICE OF THE INVENTION TO THE EMPLOYER’S BUSINESS, OR ACTUAL OR DEMONSTRABLY ANTICIPATED RESEARCH OR DEVELOPMENT OF THE EMPLOYER; OR (2) RESULT FROM ANY WORK PERFORMED BY THE EMPLOYEE FOR THE EMPLOYER. TO THE EXTENT A PROVISION IN AN EMPLOYMENT AGREEMENT PURPORTS TO REQUIRE AN EMPLOYEE TO ASSIGN AN INVENTION OTHERWISE EXCLUDED FROM BEING REQUIRED TO BE ASSIGNED UNDER CALIFORNIA LABOR CODE SECTION 2870(a), THE PROVISION IS AGAINST THE PUBLIC POLICY OF THIS STATE AND IS UNENFORCEABLE.</w:t>
      </w:r>
    </w:p>
    <w:p>
      <w:pPr>
        <w:spacing w:after="0" w:line="3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Assignment of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foregoing assignment of Assigned Inventions to the Company, I hereby irrevocably transfer and assign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all worldwide patents, patent applications, copyrights, mask works, trade secrets and other intellectual property rights, including but not limited to rights in databases, in any Assigned Inventions, along with any registrations of or applications to register such rights; and (ii) any and all “Moral Rights” (as defined below) that I may have in or with respect to any Assigned Inventions. I also hereby forever waive and agree never to assert any and all Moral Rights I may have in or with respect to any Assigned Inventions, even after termination</w:t>
      </w:r>
    </w:p>
    <w:p>
      <w:pPr>
        <w:spacing w:after="0" w:line="200" w:lineRule="exact"/>
        <w:rPr>
          <w:sz w:val="20"/>
          <w:szCs w:val="20"/>
          <w:color w:val="auto"/>
        </w:rPr>
      </w:pPr>
    </w:p>
    <w:p>
      <w:pPr>
        <w:spacing w:after="0" w:line="231"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Page 6 of 6</w:t>
      </w:r>
    </w:p>
    <w:p>
      <w:pPr>
        <w:sectPr>
          <w:pgSz w:w="11900" w:h="16838" w:orient="portrait"/>
          <w:cols w:equalWidth="0" w:num="1">
            <w:col w:w="11420"/>
          </w:cols>
          <w:pgMar w:left="240" w:top="368" w:right="239" w:bottom="1440" w:gutter="0" w:footer="0" w:header="0"/>
        </w:sectPr>
      </w:pPr>
    </w:p>
    <w:bookmarkStart w:id="63" w:name="page64"/>
    <w:bookmarkEnd w:id="63"/>
    <w:p>
      <w:pPr>
        <w:jc w:val="both"/>
        <w:spacing w:after="0" w:line="261" w:lineRule="auto"/>
        <w:rPr>
          <w:sz w:val="20"/>
          <w:szCs w:val="20"/>
          <w:color w:val="auto"/>
        </w:rPr>
      </w:pPr>
      <w:r>
        <w:rPr>
          <w:rFonts w:ascii="Arial" w:cs="Arial" w:eastAsia="Arial" w:hAnsi="Arial"/>
          <w:sz w:val="18"/>
          <w:szCs w:val="18"/>
          <w:color w:val="auto"/>
        </w:rPr>
        <w:t xml:space="preserve">of my work on behalf of the Company.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Moral Rights</w:t>
      </w:r>
      <w:r>
        <w:rPr>
          <w:rFonts w:ascii="Arial" w:cs="Arial" w:eastAsia="Arial" w:hAnsi="Arial"/>
          <w:sz w:val="18"/>
          <w:szCs w:val="18"/>
          <w:b w:val="1"/>
          <w:bCs w:val="1"/>
          <w:color w:val="auto"/>
        </w:rPr>
        <w:t>”</w:t>
      </w:r>
      <w:r>
        <w:rPr>
          <w:rFonts w:ascii="Arial" w:cs="Arial" w:eastAsia="Arial" w:hAnsi="Arial"/>
          <w:sz w:val="18"/>
          <w:szCs w:val="18"/>
          <w:color w:val="auto"/>
        </w:rPr>
        <w:t xml:space="preserve"> mean any rights to claim authorship of or credit on an Assigned Inventions, to object to or prevent the modification or destruction of any Assigned Inventions, or to withdraw from circulation or control the publication or distribution of any Assigned Inventions, and any similar right, existing under judicial or statutory law of any country or subdivision thereof in the world, or under any treaty, regardless of whether or not such right is denominated or generally referred to as a “moral right.”</w:t>
      </w:r>
    </w:p>
    <w:p>
      <w:pPr>
        <w:spacing w:after="0" w:line="18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Assistance</w:t>
      </w:r>
      <w:r>
        <w:rPr>
          <w:rFonts w:ascii="Arial" w:cs="Arial" w:eastAsia="Arial" w:hAnsi="Arial"/>
          <w:sz w:val="17"/>
          <w:szCs w:val="17"/>
          <w:b w:val="1"/>
          <w:bCs w:val="1"/>
          <w:color w:val="auto"/>
        </w:rPr>
        <w:t xml:space="preserve">. </w:t>
      </w:r>
      <w:r>
        <w:rPr>
          <w:rFonts w:ascii="Arial" w:cs="Arial" w:eastAsia="Arial" w:hAnsi="Arial"/>
          <w:sz w:val="17"/>
          <w:szCs w:val="17"/>
          <w:color w:val="auto"/>
        </w:rPr>
        <w:t>I agree to assist the Company in every proper way to obtain for the Company and enforce patents, copyrights, mask work rights, trade secret</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other legal protections for the Company’s Assigned Inventions in any and all countries. I will execute any documents that the Company may reasonably request for use in obtaining or enforcing such patents, copyrights, mask work rights, trade secrets and other legal protections. My obligations under this paragraph will continue beyond the termination of my employment with the Company, provided that the Company will compensate me at a reasonable rate after such termination for time or expenses actually spent by me at the Company’s request on such assistance. I appoint the Secretary of the Company as my attorney-in-fact to execute documents on my behalf for this purpose.</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u w:val="single" w:color="auto"/>
          <w:color w:val="auto"/>
        </w:rPr>
        <w:t>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 understand that my employment by the Company creates a relationship of confidence and trust with respect to any information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 confidential or secret nature that may be disclosed to me by the Company or a third party that relates to the business of the Company or to the business of any parent, subsidiary, affiliate, customer or supplier of the Company or any other party with whom the Company agrees to hold information of such party in confidence (the “</w:t>
      </w:r>
      <w:r>
        <w:rPr>
          <w:rFonts w:ascii="Arial" w:cs="Arial" w:eastAsia="Arial" w:hAnsi="Arial"/>
          <w:sz w:val="16"/>
          <w:szCs w:val="16"/>
          <w:b w:val="1"/>
          <w:bCs w:val="1"/>
          <w:i w:val="1"/>
          <w:iCs w:val="1"/>
          <w:color w:val="auto"/>
        </w:rPr>
        <w:t>Proprietary Information</w:t>
      </w:r>
      <w:r>
        <w:rPr>
          <w:rFonts w:ascii="Arial" w:cs="Arial" w:eastAsia="Arial" w:hAnsi="Arial"/>
          <w:sz w:val="16"/>
          <w:szCs w:val="16"/>
          <w:color w:val="auto"/>
        </w:rPr>
        <w:t>”). Such Proprietary Information includes, but is not limited to, Assigned Inventions, marketing plans, product plans, business strategies, financial information, forecasts, personnel information, customer lists and data, and domain names.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At all times, both during my employment and after its termination, I will keep and hold all such Proprietary Information in strict confidence</w:t>
      </w:r>
      <w:r>
        <w:rPr>
          <w:rFonts w:ascii="Arial" w:cs="Arial" w:eastAsia="Arial" w:hAnsi="Arial"/>
          <w:sz w:val="18"/>
          <w:szCs w:val="18"/>
          <w:b w:val="1"/>
          <w:bCs w:val="1"/>
          <w:color w:val="auto"/>
        </w:rPr>
        <w:t xml:space="preserve"> </w:t>
      </w:r>
      <w:r>
        <w:rPr>
          <w:rFonts w:ascii="Arial" w:cs="Arial" w:eastAsia="Arial" w:hAnsi="Arial"/>
          <w:sz w:val="18"/>
          <w:szCs w:val="18"/>
          <w:color w:val="auto"/>
        </w:rPr>
        <w:t>and trust. I will not use or disclose any Proprietary Information without the prior written consent of the Company, except as may be necessary to perform my duties as an employee of the Company for the benefit of the Company. Upon termination of my employment with the Company, I will promptly deliver to the Company all documents and materials of any nature pertaining to my work with the Company and, upon Company request, will execute a document confirming my agreement to honor my responsibilities contained in this Agreement. I will not take with me or retain any documents or materials or copies thereof containing any Proprietary Information.</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u w:val="single" w:color="auto"/>
          <w:color w:val="auto"/>
        </w:rPr>
        <w:t>No Breach of Prior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 represent that my performance of all the terms of this Agreement and my duties as an employee of the Company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breach any invention assignment, proprietary information, confidentiality or similar agreement with any former employer or other party. I represent that I will not bring with me to the Company or use in the performance of my duties for the Company any documents or materials or intangibles of a former employer or third party that are not generally available to the public or have not been legally transferred to the Company.</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u w:val="single" w:color="auto"/>
          <w:color w:val="auto"/>
        </w:rPr>
        <w:t>Efforts; Duty Not to Compete</w:t>
      </w:r>
      <w:r>
        <w:rPr>
          <w:rFonts w:ascii="Arial" w:cs="Arial" w:eastAsia="Arial" w:hAnsi="Arial"/>
          <w:sz w:val="17"/>
          <w:szCs w:val="17"/>
          <w:b w:val="1"/>
          <w:bCs w:val="1"/>
          <w:color w:val="auto"/>
        </w:rPr>
        <w:t xml:space="preserve">. </w:t>
      </w:r>
      <w:r>
        <w:rPr>
          <w:rFonts w:ascii="Arial" w:cs="Arial" w:eastAsia="Arial" w:hAnsi="Arial"/>
          <w:sz w:val="17"/>
          <w:szCs w:val="17"/>
          <w:color w:val="auto"/>
        </w:rPr>
        <w:t>I understand that my employment with the Company requires my undivided attention and effort during normal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hours. While I am employed by the Company, I will not, without the Company’s express prior written consent, provide services to, or assist in any manner, any business or third party if such services or assistance would be in direct conflict with the Company’s business interests.</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Notification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 hereby authorize the Company to notify third parties, including, without limitation, customers and actual or potential employers, of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my responsibilities hereunder.</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u w:val="single" w:color="auto"/>
          <w:color w:val="auto"/>
        </w:rPr>
        <w:t>Non-Solicitation of Employees/Consultants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my employment with the Company and for a period of one (1) year thereafter, I will not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solicit away employees or consultants of the Company for my own benefit or for the benefit of any other person or entity.</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Non-Solicitation of Suppliers/Customers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my employment with the Company and after termination of my employment, I will not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solicit or take away suppliers or customers of the Company if the identity of the supplier or customer or information about the supplier or customer relationship is a trade secret or is otherwise deemed confidential information within the meaning of California law.</w:t>
      </w:r>
    </w:p>
    <w:p>
      <w:pPr>
        <w:spacing w:after="0" w:line="200" w:lineRule="exact"/>
        <w:rPr>
          <w:sz w:val="20"/>
          <w:szCs w:val="20"/>
          <w:color w:val="auto"/>
        </w:rPr>
      </w:pPr>
    </w:p>
    <w:p>
      <w:pPr>
        <w:spacing w:after="0" w:line="2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Page 7 of 7</w:t>
      </w:r>
    </w:p>
    <w:p>
      <w:pPr>
        <w:sectPr>
          <w:pgSz w:w="11900" w:h="16838" w:orient="portrait"/>
          <w:cols w:equalWidth="0" w:num="1">
            <w:col w:w="11420"/>
          </w:cols>
          <w:pgMar w:left="240" w:top="364" w:right="239" w:bottom="1440" w:gutter="0" w:footer="0" w:header="0"/>
        </w:sectPr>
      </w:pPr>
    </w:p>
    <w:bookmarkStart w:id="64" w:name="page65"/>
    <w:bookmarkEnd w:id="64"/>
    <w:p>
      <w:pPr>
        <w:jc w:val="both"/>
        <w:spacing w:after="0" w:line="281" w:lineRule="auto"/>
        <w:rPr>
          <w:sz w:val="20"/>
          <w:szCs w:val="20"/>
          <w:color w:val="auto"/>
        </w:rPr>
      </w:pPr>
      <w:r>
        <w:rPr>
          <w:rFonts w:ascii="Arial" w:cs="Arial" w:eastAsia="Arial" w:hAnsi="Arial"/>
          <w:sz w:val="17"/>
          <w:szCs w:val="17"/>
          <w:b w:val="1"/>
          <w:bCs w:val="1"/>
          <w:u w:val="single" w:color="auto"/>
          <w:color w:val="auto"/>
        </w:rPr>
        <w:t>Name and Likeness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 hereby authorize the Company to use, reuse, and to grant others the right to use and reuse, my name, photograph, likeness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caricature), voice, and biographical information, and any reproduction or simulation thereof, in any form of media or technology now known or hereafter developed (including, but not limited to, film, video and digital or other electronic media), both during and after my employment, for any purposes related to the Company’s business, such as marketing, advertising, credits, and presentations.</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in the event of a breach or threatened breach of this Agreement by me the Company may suffer irreparable harm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be entitled to injunctive relief to enforce this Agreement.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u w:val="single" w:color="auto"/>
          <w:color w:val="auto"/>
        </w:rPr>
        <w:t>Governing Law; 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will be governed by and construed in accordance with the laws of the State of California, without giving</w:t>
      </w:r>
      <w:r>
        <w:rPr>
          <w:rFonts w:ascii="Arial" w:cs="Arial" w:eastAsia="Arial" w:hAnsi="Arial"/>
          <w:sz w:val="17"/>
          <w:szCs w:val="17"/>
          <w:b w:val="1"/>
          <w:bCs w:val="1"/>
          <w:color w:val="auto"/>
        </w:rPr>
        <w:t xml:space="preserve"> </w:t>
      </w:r>
      <w:r>
        <w:rPr>
          <w:rFonts w:ascii="Arial" w:cs="Arial" w:eastAsia="Arial" w:hAnsi="Arial"/>
          <w:sz w:val="17"/>
          <w:szCs w:val="17"/>
          <w:color w:val="auto"/>
        </w:rPr>
        <w:t>effect to its laws pertaining to conflict of laws.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will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which together shall constitute one and the same agreement.</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documents referred to herein constitute the entire agreement and understanding of the parties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of this Agreement, and supersede all prior understandings and agreements, whether oral or written, between or among the parties hereto with respect to the specific subject matter hereof.</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u w:val="single" w:color="auto"/>
          <w:color w:val="auto"/>
        </w:rPr>
        <w:t>Amendment and Waivers.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be amended only by a written agreement executed by each of the parties hereto. No amendment of or</w:t>
      </w:r>
      <w:r>
        <w:rPr>
          <w:rFonts w:ascii="Arial" w:cs="Arial" w:eastAsia="Arial" w:hAnsi="Arial"/>
          <w:sz w:val="17"/>
          <w:szCs w:val="17"/>
          <w:b w:val="1"/>
          <w:bCs w:val="1"/>
          <w:color w:val="auto"/>
        </w:rPr>
        <w:t xml:space="preserve"> </w:t>
      </w:r>
      <w:r>
        <w:rPr>
          <w:rFonts w:ascii="Arial" w:cs="Arial" w:eastAsia="Arial" w:hAnsi="Arial"/>
          <w:sz w:val="17"/>
          <w:szCs w:val="17"/>
          <w:color w:val="auto"/>
        </w:rPr>
        <w:t>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u w:val="single" w:color="auto"/>
          <w:color w:val="auto"/>
        </w:rPr>
        <w:t>Successors and Assigns; Assignment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this Agreement, and the rights and obligations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to execute such further documents and instruments and to take such further actions as may be reasonably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carry out the purposes and intent of this Agreement.</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this Agreement does not constitute a contract of employment or obligate the Company to employ me for any stated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time. I understand that I am an “at will” employee of the Company and that my employment can be terminated at any time, with or without notice and with or without cause, for any reason or for no reason, by either the Company or myself. I acknowledge that any statements or representations to the contrary are ineffective, unless put into a writing signed by the Company. I further acknowledge that my participation in any stock option or benefit program is not to be construed as any assurance of continuing employment for any particular period of time. This Agreement shall be effective as of the first day of my employment by the Company, which is June 4, 2018.</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36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Page 8 of 8</w:t>
      </w:r>
    </w:p>
    <w:p>
      <w:pPr>
        <w:sectPr>
          <w:pgSz w:w="11900" w:h="16838" w:orient="portrait"/>
          <w:cols w:equalWidth="0" w:num="1">
            <w:col w:w="11420"/>
          </w:cols>
          <w:pgMar w:left="240" w:top="364" w:right="2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LIST OF PRIOR INVENTIONS</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AND ORIGINAL WORKS OF AUTHORSHIP</w:t>
      </w:r>
    </w:p>
    <w:p>
      <w:pPr>
        <w:spacing w:after="0" w:line="373"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40" w:type="dxa"/>
            <w:vAlign w:val="bottom"/>
            <w:gridSpan w:val="2"/>
          </w:tcPr>
          <w:p>
            <w:pPr>
              <w:ind w:left="2780"/>
              <w:spacing w:after="0"/>
              <w:rPr>
                <w:sz w:val="20"/>
                <w:szCs w:val="20"/>
                <w:color w:val="auto"/>
              </w:rPr>
            </w:pPr>
            <w:r>
              <w:rPr>
                <w:rFonts w:ascii="Arial" w:cs="Arial" w:eastAsia="Arial" w:hAnsi="Arial"/>
                <w:sz w:val="18"/>
                <w:szCs w:val="18"/>
                <w:color w:val="auto"/>
                <w:w w:val="95"/>
              </w:rPr>
              <w:t>Identifying Number</w:t>
            </w:r>
          </w:p>
        </w:tc>
      </w:tr>
      <w:tr>
        <w:trPr>
          <w:trHeight w:val="190"/>
        </w:trPr>
        <w:tc>
          <w:tcPr>
            <w:tcW w:w="1060" w:type="dxa"/>
            <w:vAlign w:val="bottom"/>
            <w:tcBorders>
              <w:bottom w:val="single" w:sz="8" w:color="auto"/>
            </w:tcBorders>
          </w:tcPr>
          <w:p>
            <w:pPr>
              <w:ind w:left="360"/>
              <w:spacing w:after="0" w:line="190" w:lineRule="exact"/>
              <w:rPr>
                <w:sz w:val="20"/>
                <w:szCs w:val="20"/>
                <w:color w:val="auto"/>
              </w:rPr>
            </w:pPr>
            <w:r>
              <w:rPr>
                <w:rFonts w:ascii="Arial" w:cs="Arial" w:eastAsia="Arial" w:hAnsi="Arial"/>
                <w:sz w:val="18"/>
                <w:szCs w:val="18"/>
                <w:color w:val="auto"/>
              </w:rPr>
              <w:t>Title</w:t>
            </w:r>
          </w:p>
        </w:tc>
        <w:tc>
          <w:tcPr>
            <w:tcW w:w="3040" w:type="dxa"/>
            <w:vAlign w:val="bottom"/>
          </w:tcPr>
          <w:p>
            <w:pPr>
              <w:spacing w:after="0"/>
              <w:rPr>
                <w:sz w:val="16"/>
                <w:szCs w:val="16"/>
                <w:color w:val="auto"/>
              </w:rPr>
            </w:pPr>
          </w:p>
        </w:tc>
        <w:tc>
          <w:tcPr>
            <w:tcW w:w="620" w:type="dxa"/>
            <w:vAlign w:val="bottom"/>
            <w:tcBorders>
              <w:bottom w:val="single" w:sz="8" w:color="auto"/>
            </w:tcBorders>
          </w:tcPr>
          <w:p>
            <w:pPr>
              <w:ind w:left="140"/>
              <w:spacing w:after="0" w:line="190" w:lineRule="exact"/>
              <w:rPr>
                <w:sz w:val="20"/>
                <w:szCs w:val="20"/>
                <w:color w:val="auto"/>
              </w:rPr>
            </w:pPr>
            <w:r>
              <w:rPr>
                <w:rFonts w:ascii="Arial" w:cs="Arial" w:eastAsia="Arial" w:hAnsi="Arial"/>
                <w:sz w:val="18"/>
                <w:szCs w:val="18"/>
                <w:color w:val="auto"/>
              </w:rPr>
              <w:t>Date</w:t>
            </w:r>
          </w:p>
        </w:tc>
        <w:tc>
          <w:tcPr>
            <w:tcW w:w="2800" w:type="dxa"/>
            <w:vAlign w:val="bottom"/>
          </w:tcPr>
          <w:p>
            <w:pPr>
              <w:spacing w:after="0"/>
              <w:rPr>
                <w:sz w:val="16"/>
                <w:szCs w:val="16"/>
                <w:color w:val="auto"/>
              </w:rPr>
            </w:pPr>
          </w:p>
        </w:tc>
        <w:tc>
          <w:tcPr>
            <w:tcW w:w="14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2"/>
              </w:rPr>
              <w:t>or Brief Description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__X No inventions or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 Additional Sheets Attached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00" w:lineRule="exact"/>
        <w:rPr>
          <w:sz w:val="20"/>
          <w:szCs w:val="20"/>
          <w:color w:val="auto"/>
        </w:rPr>
      </w:pPr>
    </w:p>
    <w:p>
      <w:pPr>
        <w:spacing w:after="0" w:line="268" w:lineRule="exact"/>
        <w:rPr>
          <w:sz w:val="20"/>
          <w:szCs w:val="20"/>
          <w:color w:val="auto"/>
        </w:rPr>
      </w:pPr>
    </w:p>
    <w:p>
      <w:pPr>
        <w:jc w:val="right"/>
        <w:ind w:right="2360"/>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0320"/>
          </w:cols>
          <w:pgMar w:left="240" w:top="1440" w:right="1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Name of Employee: </w:t>
      </w:r>
      <w:r>
        <w:rPr>
          <w:rFonts w:ascii="Arial" w:cs="Arial" w:eastAsia="Arial" w:hAnsi="Arial"/>
          <w:sz w:val="18"/>
          <w:szCs w:val="18"/>
          <w:u w:val="single" w:color="auto"/>
          <w:color w:val="auto"/>
        </w:rPr>
        <w:t>Eric Branderiz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Employee Invention Assignment and Confidentiality Agreement</w:t>
      </w:r>
    </w:p>
    <w:p>
      <w:pPr>
        <w:spacing w:after="0" w:line="200" w:lineRule="exact"/>
        <w:rPr>
          <w:sz w:val="20"/>
          <w:szCs w:val="20"/>
          <w:color w:val="auto"/>
        </w:rPr>
      </w:pPr>
    </w:p>
    <w:p>
      <w:pPr>
        <w:spacing w:after="0" w:line="399"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Enphase Energy, Inc.:</w:t>
            </w:r>
          </w:p>
        </w:tc>
        <w:tc>
          <w:tcPr>
            <w:tcW w:w="4680" w:type="dxa"/>
            <w:vAlign w:val="bottom"/>
          </w:tcPr>
          <w:p>
            <w:pPr>
              <w:ind w:left="40"/>
              <w:spacing w:after="0"/>
              <w:rPr>
                <w:sz w:val="20"/>
                <w:szCs w:val="20"/>
                <w:color w:val="auto"/>
              </w:rPr>
            </w:pPr>
            <w:r>
              <w:rPr>
                <w:rFonts w:ascii="Arial" w:cs="Arial" w:eastAsia="Arial" w:hAnsi="Arial"/>
                <w:sz w:val="18"/>
                <w:szCs w:val="18"/>
                <w:b w:val="1"/>
                <w:bCs w:val="1"/>
                <w:color w:val="auto"/>
              </w:rPr>
              <w:t>Employee:</w:t>
            </w:r>
          </w:p>
        </w:tc>
        <w:tc>
          <w:tcPr>
            <w:tcW w:w="0" w:type="dxa"/>
            <w:vAlign w:val="bottom"/>
          </w:tcPr>
          <w:p>
            <w:pPr>
              <w:spacing w:after="0"/>
              <w:rPr>
                <w:sz w:val="1"/>
                <w:szCs w:val="1"/>
                <w:color w:val="auto"/>
              </w:rPr>
            </w:pPr>
          </w:p>
        </w:tc>
      </w:tr>
      <w:tr>
        <w:trPr>
          <w:trHeight w:val="891"/>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ind w:left="20"/>
              <w:spacing w:after="0"/>
              <w:rPr>
                <w:sz w:val="20"/>
                <w:szCs w:val="20"/>
                <w:color w:val="auto"/>
              </w:rPr>
            </w:pPr>
            <w:r>
              <w:rPr>
                <w:rFonts w:ascii="Arial" w:cs="Arial" w:eastAsia="Arial" w:hAnsi="Arial"/>
                <w:sz w:val="18"/>
                <w:szCs w:val="18"/>
                <w:color w:val="auto"/>
              </w:rPr>
              <w:t>/s/ Debra Machado</w:t>
            </w:r>
          </w:p>
        </w:tc>
        <w:tc>
          <w:tcPr>
            <w:tcW w:w="4680" w:type="dxa"/>
            <w:vAlign w:val="bottom"/>
          </w:tcPr>
          <w:p>
            <w:pPr>
              <w:ind w:left="40"/>
              <w:spacing w:after="0"/>
              <w:rPr>
                <w:sz w:val="20"/>
                <w:szCs w:val="20"/>
                <w:color w:val="auto"/>
              </w:rPr>
            </w:pPr>
            <w:r>
              <w:rPr>
                <w:rFonts w:ascii="Arial" w:cs="Arial" w:eastAsia="Arial" w:hAnsi="Arial"/>
                <w:sz w:val="18"/>
                <w:szCs w:val="18"/>
                <w:color w:val="auto"/>
              </w:rPr>
              <w:t>/s/ Eric Branderiz</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20"/>
              <w:spacing w:after="0"/>
              <w:rPr>
                <w:sz w:val="20"/>
                <w:szCs w:val="20"/>
                <w:color w:val="auto"/>
              </w:rPr>
            </w:pPr>
            <w:r>
              <w:rPr>
                <w:rFonts w:ascii="Arial" w:cs="Arial" w:eastAsia="Arial" w:hAnsi="Arial"/>
                <w:sz w:val="18"/>
                <w:szCs w:val="18"/>
                <w:color w:val="auto"/>
              </w:rPr>
              <w:t>Debra Machado</w:t>
            </w:r>
          </w:p>
        </w:tc>
        <w:tc>
          <w:tcPr>
            <w:tcW w:w="4680" w:type="dxa"/>
            <w:vAlign w:val="bottom"/>
          </w:tcPr>
          <w:p>
            <w:pPr>
              <w:ind w:left="40"/>
              <w:spacing w:after="0"/>
              <w:rPr>
                <w:sz w:val="20"/>
                <w:szCs w:val="20"/>
                <w:color w:val="auto"/>
              </w:rPr>
            </w:pPr>
            <w:r>
              <w:rPr>
                <w:rFonts w:ascii="Arial" w:cs="Arial" w:eastAsia="Arial" w:hAnsi="Arial"/>
                <w:sz w:val="18"/>
                <w:szCs w:val="18"/>
                <w:color w:val="auto"/>
              </w:rPr>
              <w:t>Eric Branderiz</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4"/>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20"/>
              <w:spacing w:after="0"/>
              <w:rPr>
                <w:sz w:val="20"/>
                <w:szCs w:val="20"/>
                <w:color w:val="auto"/>
              </w:rPr>
            </w:pPr>
            <w:r>
              <w:rPr>
                <w:rFonts w:ascii="Arial" w:cs="Arial" w:eastAsia="Arial" w:hAnsi="Arial"/>
                <w:sz w:val="18"/>
                <w:szCs w:val="18"/>
                <w:color w:val="auto"/>
              </w:rPr>
              <w:t>VP, Human Resources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680" w:type="dxa"/>
            <w:vAlign w:val="bottom"/>
            <w:vMerge w:val="restart"/>
          </w:tcPr>
          <w:p>
            <w:pPr>
              <w:ind w:left="400"/>
              <w:spacing w:after="0"/>
              <w:rPr>
                <w:sz w:val="20"/>
                <w:szCs w:val="20"/>
                <w:color w:val="auto"/>
              </w:rPr>
            </w:pPr>
            <w:r>
              <w:rPr>
                <w:rFonts w:ascii="Arial" w:cs="Arial" w:eastAsia="Arial" w:hAnsi="Arial"/>
                <w:sz w:val="18"/>
                <w:szCs w:val="18"/>
                <w:color w:val="auto"/>
              </w:rPr>
              <w:t>Page 10 of 10</w:t>
            </w:r>
          </w:p>
        </w:tc>
        <w:tc>
          <w:tcPr>
            <w:tcW w:w="0" w:type="dxa"/>
            <w:vAlign w:val="bottom"/>
          </w:tcPr>
          <w:p>
            <w:pPr>
              <w:spacing w:after="0"/>
              <w:rPr>
                <w:sz w:val="1"/>
                <w:szCs w:val="1"/>
                <w:color w:val="auto"/>
              </w:rPr>
            </w:pPr>
          </w:p>
        </w:tc>
      </w:tr>
      <w:tr>
        <w:trPr>
          <w:trHeight w:val="1182"/>
        </w:trPr>
        <w:tc>
          <w:tcPr>
            <w:tcW w:w="1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Badrinarayanan Kothandaraman, certify that:</w:t>
      </w:r>
    </w:p>
    <w:p>
      <w:pPr>
        <w:spacing w:after="0" w:line="19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67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Badrinarayanan Kothandaraman</w:t>
      </w:r>
    </w:p>
    <w:p>
      <w:pPr>
        <w:spacing w:after="0" w:line="7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2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Eric Branderiz, certify that:</w:t>
      </w:r>
    </w:p>
    <w:p>
      <w:pPr>
        <w:spacing w:after="0" w:line="19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00" w:lineRule="exact"/>
        <w:rPr>
          <w:sz w:val="20"/>
          <w:szCs w:val="20"/>
          <w:color w:val="auto"/>
        </w:rPr>
      </w:pPr>
    </w:p>
    <w:p>
      <w:pPr>
        <w:spacing w:after="0" w:line="22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67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Eric Branderiz</w:t>
      </w:r>
    </w:p>
    <w:p>
      <w:pPr>
        <w:spacing w:after="0" w:line="7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2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Humberto Garcia, Vice President and Chief Financial Officer of the Company, each hereby certifies that, to the best of his or her knowledge:</w:t>
      </w:r>
    </w:p>
    <w:p>
      <w:pPr>
        <w:spacing w:after="0" w:line="177" w:lineRule="exact"/>
        <w:rPr>
          <w:sz w:val="20"/>
          <w:szCs w:val="20"/>
          <w:color w:val="auto"/>
        </w:rPr>
      </w:pPr>
    </w:p>
    <w:p>
      <w:pPr>
        <w:ind w:right="300" w:firstLine="8"/>
        <w:spacing w:after="0" w:line="262" w:lineRule="auto"/>
        <w:tabs>
          <w:tab w:leader="none" w:pos="2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June 30, 2018,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8"/>
          <w:szCs w:val="18"/>
          <w:b w:val="1"/>
          <w:bCs w:val="1"/>
          <w:color w:val="auto"/>
        </w:rPr>
      </w:pPr>
    </w:p>
    <w:p>
      <w:pPr>
        <w:ind w:right="240" w:firstLine="8"/>
        <w:spacing w:after="0" w:line="262" w:lineRule="auto"/>
        <w:tabs>
          <w:tab w:leader="none" w:pos="20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6th day of August,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/s/ 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/s/ Eric Branderiz</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Eric Branderiz</w:t>
            </w:r>
          </w:p>
        </w:tc>
      </w:tr>
      <w:tr>
        <w:trPr>
          <w:trHeight w:val="284"/>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68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22" Type="http://schemas.openxmlformats.org/officeDocument/2006/relationships/hyperlink" Target="http://www.sec.gov/Archives/edgar/data/1463101/000146310118000069/enph-assetpurchaseagreemen.htm" TargetMode="External"/><Relationship Id="rId23" Type="http://schemas.openxmlformats.org/officeDocument/2006/relationships/hyperlink" Target="http://www.sec.gov/Archives/edgar/data/1463101/000119312512153425/d330683dex31.htm" TargetMode="External"/><Relationship Id="rId24" Type="http://schemas.openxmlformats.org/officeDocument/2006/relationships/hyperlink" Target="http://www.sec.gov/Archives/edgar/data/1463101/000146310117000091/a2017q210-qexx31certificat.htm" TargetMode="External"/><Relationship Id="rId25" Type="http://schemas.openxmlformats.org/officeDocument/2006/relationships/hyperlink" Target="http://www.sec.gov/Archives/edgar/data/1463101/000119312512110086/d195596dex35.htm" TargetMode="External"/><Relationship Id="rId26" Type="http://schemas.openxmlformats.org/officeDocument/2006/relationships/hyperlink" Target="http://www.sec.gov/Archives/edgar/data/1463101/000119312512110086/d19559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2019-12-28T20:23:15Z</dcterms:created>
  <dcterms:modified xsi:type="dcterms:W3CDTF">2019-12-28T20:23:15Z</dcterms:modified>
</cp:coreProperties>
</file>