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SCHEDULE 14A</w:t>
      </w:r>
    </w:p>
    <w:p>
      <w:pPr>
        <w:spacing w:after="0" w:line="126"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3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(Amendment No. __ )</w:t>
      </w:r>
    </w:p>
    <w:p>
      <w:pPr>
        <w:sectPr>
          <w:pgSz w:w="11900" w:h="16838" w:orient="portrait"/>
          <w:cols w:equalWidth="0" w:num="1">
            <w:col w:w="9119"/>
          </w:cols>
          <w:pgMar w:left="1340" w:top="120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1" w:lineRule="exact"/>
        <w:rPr>
          <w:sz w:val="24"/>
          <w:szCs w:val="24"/>
          <w:color w:val="auto"/>
        </w:rPr>
      </w:pPr>
    </w:p>
    <w:p>
      <w:pPr>
        <w:sectPr>
          <w:pgSz w:w="11900" w:h="16838" w:orient="portrait"/>
          <w:cols w:equalWidth="0" w:num="2">
            <w:col w:w="3840" w:space="720"/>
            <w:col w:w="4559"/>
          </w:cols>
          <w:pgMar w:left="1340" w:top="1209" w:right="1440" w:bottom="1440" w:gutter="0" w:footer="0" w:header="0"/>
          <w:type w:val="continuous"/>
        </w:sectPr>
      </w:pP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7" w:lineRule="exact"/>
        <w:rPr>
          <w:sz w:val="24"/>
          <w:szCs w:val="24"/>
          <w:color w:val="auto"/>
        </w:rPr>
      </w:pPr>
    </w:p>
    <w:p>
      <w:pPr>
        <w:sectPr>
          <w:pgSz w:w="11900" w:h="16838" w:orient="portrait"/>
          <w:cols w:equalWidth="0" w:num="2">
            <w:col w:w="3840" w:space="720"/>
            <w:col w:w="4559"/>
          </w:cols>
          <w:pgMar w:left="1340" w:top="1209" w:right="1440" w:bottom="1440" w:gutter="0" w:footer="0" w:header="0"/>
          <w:type w:val="continuous"/>
        </w:sectPr>
      </w:pPr>
    </w:p>
    <w:p>
      <w:pPr>
        <w:spacing w:after="0" w:line="25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Check the appropriate box:</w:t>
      </w:r>
    </w:p>
    <w:p>
      <w:pPr>
        <w:spacing w:after="0" w:line="194" w:lineRule="exact"/>
        <w:rPr>
          <w:sz w:val="24"/>
          <w:szCs w:val="24"/>
          <w:color w:val="auto"/>
        </w:rPr>
      </w:pPr>
    </w:p>
    <w:p>
      <w:pPr>
        <w:ind w:left="660" w:hanging="642"/>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9" w:lineRule="exact"/>
        <w:rPr>
          <w:rFonts w:ascii="MS PGothic" w:cs="MS PGothic" w:eastAsia="MS PGothic" w:hAnsi="MS PGothic"/>
          <w:sz w:val="14"/>
          <w:szCs w:val="14"/>
          <w:color w:val="auto"/>
        </w:rPr>
      </w:pPr>
    </w:p>
    <w:p>
      <w:pPr>
        <w:ind w:left="660" w:hanging="642"/>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09" w:lineRule="exact"/>
        <w:rPr>
          <w:sz w:val="24"/>
          <w:szCs w:val="24"/>
          <w:color w:val="auto"/>
        </w:rPr>
      </w:pPr>
    </w:p>
    <w:p>
      <w:pPr>
        <w:ind w:left="660" w:hanging="642"/>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09" w:lineRule="exact"/>
        <w:rPr>
          <w:sz w:val="24"/>
          <w:szCs w:val="24"/>
          <w:color w:val="auto"/>
        </w:rPr>
      </w:pPr>
    </w:p>
    <w:p>
      <w:pPr>
        <w:ind w:left="660" w:hanging="642"/>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09" w:lineRule="exact"/>
        <w:rPr>
          <w:rFonts w:ascii="MS PGothic" w:cs="MS PGothic" w:eastAsia="MS PGothic" w:hAnsi="MS PGothic"/>
          <w:sz w:val="14"/>
          <w:szCs w:val="14"/>
          <w:color w:val="auto"/>
        </w:rPr>
      </w:pPr>
    </w:p>
    <w:p>
      <w:pPr>
        <w:ind w:left="660" w:hanging="642"/>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1809115</wp:posOffset>
            </wp:positionH>
            <wp:positionV relativeFrom="paragraph">
              <wp:posOffset>263525</wp:posOffset>
            </wp:positionV>
            <wp:extent cx="22288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3340"/>
        <w:spacing w:after="0"/>
        <w:rPr>
          <w:sz w:val="20"/>
          <w:szCs w:val="20"/>
          <w:color w:val="auto"/>
        </w:rPr>
      </w:pPr>
      <w:r>
        <w:rPr>
          <w:rFonts w:ascii="Arial" w:cs="Arial" w:eastAsia="Arial" w:hAnsi="Arial"/>
          <w:sz w:val="25"/>
          <w:szCs w:val="25"/>
          <w:b w:val="1"/>
          <w:bCs w:val="1"/>
          <w:color w:val="auto"/>
        </w:rPr>
        <w:t>Enphase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934720</wp:posOffset>
            </wp:positionH>
            <wp:positionV relativeFrom="paragraph">
              <wp:posOffset>30480</wp:posOffset>
            </wp:positionV>
            <wp:extent cx="3977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41" w:lineRule="exact"/>
        <w:rPr>
          <w:sz w:val="24"/>
          <w:szCs w:val="24"/>
          <w:color w:val="auto"/>
        </w:rPr>
      </w:pPr>
    </w:p>
    <w:p>
      <w:pPr>
        <w:ind w:left="1500"/>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934720</wp:posOffset>
            </wp:positionH>
            <wp:positionV relativeFrom="paragraph">
              <wp:posOffset>154305</wp:posOffset>
            </wp:positionV>
            <wp:extent cx="3977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361"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Payment of Filing Fee (Check the appropriate box):</w:t>
      </w:r>
    </w:p>
    <w:p>
      <w:pPr>
        <w:spacing w:after="0" w:line="170" w:lineRule="exact"/>
        <w:rPr>
          <w:sz w:val="24"/>
          <w:szCs w:val="24"/>
          <w:color w:val="auto"/>
        </w:rPr>
      </w:pPr>
    </w:p>
    <w:p>
      <w:pPr>
        <w:ind w:left="360" w:hanging="355"/>
        <w:spacing w:after="0"/>
        <w:tabs>
          <w:tab w:leader="none" w:pos="36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20" w:lineRule="exact"/>
        <w:rPr>
          <w:rFonts w:ascii="MS PGothic" w:cs="MS PGothic" w:eastAsia="MS PGothic" w:hAnsi="MS PGothic"/>
          <w:sz w:val="13"/>
          <w:szCs w:val="13"/>
          <w:color w:val="auto"/>
        </w:rPr>
      </w:pPr>
    </w:p>
    <w:p>
      <w:pPr>
        <w:ind w:left="360" w:hanging="312"/>
        <w:spacing w:after="0"/>
        <w:tabs>
          <w:tab w:leader="none" w:pos="360" w:val="left"/>
        </w:tabs>
        <w:numPr>
          <w:ilvl w:val="1"/>
          <w:numId w:val="4"/>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20" w:lineRule="exact"/>
        <w:rPr>
          <w:rFonts w:ascii="MS PGothic" w:cs="MS PGothic" w:eastAsia="MS PGothic" w:hAnsi="MS PGothic"/>
          <w:sz w:val="13"/>
          <w:szCs w:val="13"/>
          <w:color w:val="auto"/>
        </w:rPr>
      </w:pPr>
    </w:p>
    <w:p>
      <w:pPr>
        <w:ind w:left="360" w:hanging="312"/>
        <w:spacing w:after="0"/>
        <w:tabs>
          <w:tab w:leader="none" w:pos="360" w:val="left"/>
        </w:tabs>
        <w:numPr>
          <w:ilvl w:val="1"/>
          <w:numId w:val="4"/>
        </w:numPr>
        <w:rPr>
          <w:rFonts w:ascii="MS PGothic" w:cs="MS PGothic" w:eastAsia="MS PGothic" w:hAnsi="MS PGothic"/>
          <w:sz w:val="13"/>
          <w:szCs w:val="13"/>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821055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-443230</wp:posOffset>
            </wp:positionV>
            <wp:extent cx="586359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514350"/>
                    </a:xfrm>
                    <a:prstGeom prst="rect">
                      <a:avLst/>
                    </a:prstGeom>
                    <a:noFill/>
                  </pic:spPr>
                </pic:pic>
              </a:graphicData>
            </a:graphic>
          </wp:anchor>
        </w:drawing>
      </w:r>
    </w:p>
    <w:p>
      <w:pPr>
        <w:sectPr>
          <w:pgSz w:w="11900" w:h="16838" w:orient="portrait"/>
          <w:cols w:equalWidth="0" w:num="1">
            <w:col w:w="9119"/>
          </w:cols>
          <w:pgMar w:left="1340" w:top="1209"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448945</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E86100"/>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315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t>Our Core Values</w:t>
      </w:r>
    </w:p>
    <w:p>
      <w:pPr>
        <w:spacing w:after="0" w:line="382" w:lineRule="exact"/>
        <w:rPr>
          <w:sz w:val="20"/>
          <w:szCs w:val="20"/>
          <w:color w:val="auto"/>
        </w:rPr>
      </w:pPr>
    </w:p>
    <w:p>
      <w:pPr>
        <w:jc w:val="both"/>
        <w:spacing w:after="0" w:line="312" w:lineRule="auto"/>
        <w:rPr>
          <w:sz w:val="20"/>
          <w:szCs w:val="20"/>
          <w:color w:val="auto"/>
        </w:rPr>
      </w:pPr>
      <w:r>
        <w:rPr>
          <w:rFonts w:ascii="Arial" w:cs="Arial" w:eastAsia="Arial" w:hAnsi="Arial"/>
          <w:sz w:val="43"/>
          <w:szCs w:val="43"/>
          <w:color w:val="auto"/>
        </w:rPr>
        <w:t>Our company values are reflected in the way we work together, our performance, and how we are rewarded.</w:t>
      </w:r>
    </w:p>
    <w:p>
      <w:pPr>
        <w:spacing w:after="0" w:line="158"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E86100"/>
        </w:rPr>
        <w:t>Customer first</w:t>
      </w:r>
    </w:p>
    <w:p>
      <w:pPr>
        <w:spacing w:after="0" w:line="12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We exist for our customers.</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We listen to our customers and measure our</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success based on their feedback.</w:t>
      </w:r>
    </w:p>
    <w:p>
      <w:pPr>
        <w:spacing w:after="0" w:line="111"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We take action to deliver the best customer experience.</w:t>
      </w:r>
    </w:p>
    <w:p>
      <w:pPr>
        <w:sectPr>
          <w:pgSz w:w="11900" w:h="16838" w:orient="portrait"/>
          <w:cols w:equalWidth="0" w:num="1">
            <w:col w:w="10300"/>
          </w:cols>
          <w:pgMar w:left="320" w:top="125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E86100"/>
        </w:rPr>
        <w:t>Quality</w:t>
      </w:r>
    </w:p>
    <w:p>
      <w:pPr>
        <w:spacing w:after="0" w:line="126" w:lineRule="exact"/>
        <w:rPr>
          <w:sz w:val="20"/>
          <w:szCs w:val="20"/>
          <w:color w:val="auto"/>
        </w:rPr>
      </w:pPr>
    </w:p>
    <w:p>
      <w:pPr>
        <w:ind w:left="940" w:right="2820"/>
        <w:spacing w:after="0" w:line="266" w:lineRule="auto"/>
        <w:rPr>
          <w:sz w:val="20"/>
          <w:szCs w:val="20"/>
          <w:color w:val="auto"/>
        </w:rPr>
      </w:pPr>
      <w:r>
        <w:rPr>
          <w:rFonts w:ascii="Arial" w:cs="Arial" w:eastAsia="Arial" w:hAnsi="Arial"/>
          <w:sz w:val="16"/>
          <w:szCs w:val="16"/>
          <w:color w:val="auto"/>
        </w:rPr>
        <w:t>We place safety and quality above everything else.</w:t>
      </w:r>
    </w:p>
    <w:p>
      <w:pPr>
        <w:spacing w:after="0" w:line="77" w:lineRule="exact"/>
        <w:rPr>
          <w:sz w:val="20"/>
          <w:szCs w:val="20"/>
          <w:color w:val="auto"/>
        </w:rPr>
      </w:pPr>
    </w:p>
    <w:p>
      <w:pPr>
        <w:ind w:left="940" w:right="2760"/>
        <w:spacing w:after="0" w:line="275" w:lineRule="auto"/>
        <w:rPr>
          <w:sz w:val="20"/>
          <w:szCs w:val="20"/>
          <w:color w:val="auto"/>
        </w:rPr>
      </w:pPr>
      <w:r>
        <w:rPr>
          <w:rFonts w:ascii="Arial" w:cs="Arial" w:eastAsia="Arial" w:hAnsi="Arial"/>
          <w:sz w:val="16"/>
          <w:szCs w:val="16"/>
          <w:color w:val="auto"/>
        </w:rPr>
        <w:t>We measure everything that matters and drive continuous improvement.</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We make the highest</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quality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E86100"/>
        </w:rPr>
        <w:t>Teamwork</w:t>
      </w:r>
    </w:p>
    <w:p>
      <w:pPr>
        <w:spacing w:after="0" w:line="126"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We appreciate and respect</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different behavioral styles and</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perspectives.</w:t>
      </w:r>
    </w:p>
    <w:p>
      <w:pPr>
        <w:spacing w:after="0" w:line="11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We collaborate globally to</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achieve more together than we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can on our own.</w:t>
      </w:r>
    </w:p>
    <w:p>
      <w:pPr>
        <w:spacing w:after="0" w:line="10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We actively work to break down</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silos.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E86100"/>
        </w:rPr>
        <w:t>Integrity</w:t>
      </w:r>
    </w:p>
    <w:p>
      <w:pPr>
        <w:spacing w:after="0" w:line="126" w:lineRule="exact"/>
        <w:rPr>
          <w:sz w:val="20"/>
          <w:szCs w:val="20"/>
          <w:color w:val="auto"/>
        </w:rPr>
      </w:pPr>
    </w:p>
    <w:p>
      <w:pPr>
        <w:ind w:left="1980" w:right="80"/>
        <w:spacing w:after="0" w:line="286" w:lineRule="auto"/>
        <w:rPr>
          <w:sz w:val="20"/>
          <w:szCs w:val="20"/>
          <w:color w:val="auto"/>
        </w:rPr>
      </w:pPr>
      <w:r>
        <w:rPr>
          <w:rFonts w:ascii="Arial" w:cs="Arial" w:eastAsia="Arial" w:hAnsi="Arial"/>
          <w:sz w:val="16"/>
          <w:szCs w:val="16"/>
          <w:color w:val="auto"/>
        </w:rPr>
        <w:t>We tell the truth at all times, without making excuses.</w:t>
      </w:r>
    </w:p>
    <w:p>
      <w:pPr>
        <w:spacing w:after="0" w:line="48" w:lineRule="exact"/>
        <w:rPr>
          <w:sz w:val="20"/>
          <w:szCs w:val="20"/>
          <w:color w:val="auto"/>
        </w:rPr>
      </w:pPr>
    </w:p>
    <w:p>
      <w:pPr>
        <w:ind w:left="1980" w:right="200"/>
        <w:spacing w:after="0" w:line="304" w:lineRule="auto"/>
        <w:rPr>
          <w:sz w:val="20"/>
          <w:szCs w:val="20"/>
          <w:color w:val="auto"/>
        </w:rPr>
      </w:pPr>
      <w:r>
        <w:rPr>
          <w:rFonts w:ascii="Arial" w:cs="Arial" w:eastAsia="Arial" w:hAnsi="Arial"/>
          <w:sz w:val="16"/>
          <w:szCs w:val="16"/>
          <w:color w:val="auto"/>
        </w:rPr>
        <w:t>We do what is best for the company.</w:t>
      </w:r>
    </w:p>
    <w:p>
      <w:pPr>
        <w:spacing w:after="0" w:line="33" w:lineRule="exact"/>
        <w:rPr>
          <w:sz w:val="20"/>
          <w:szCs w:val="20"/>
          <w:color w:val="auto"/>
        </w:rPr>
      </w:pPr>
    </w:p>
    <w:p>
      <w:pPr>
        <w:ind w:left="1980" w:right="240"/>
        <w:spacing w:after="0" w:line="304" w:lineRule="auto"/>
        <w:rPr>
          <w:sz w:val="20"/>
          <w:szCs w:val="20"/>
          <w:color w:val="auto"/>
        </w:rPr>
      </w:pPr>
      <w:r>
        <w:rPr>
          <w:rFonts w:ascii="Arial" w:cs="Arial" w:eastAsia="Arial" w:hAnsi="Arial"/>
          <w:sz w:val="16"/>
          <w:szCs w:val="16"/>
          <w:color w:val="auto"/>
        </w:rPr>
        <w:t>We take ownership of our behaviors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E86100"/>
        </w:rPr>
        <w:t>Innovation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value innovation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 that it is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cornerstone of our existence.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We encourage appropriate risk-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taking and challenge the status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quo to find solutions.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We actively promote innovation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 curiosity and continuous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617855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520" w:space="720"/>
            <w:col w:w="4060"/>
          </w:cols>
          <w:pgMar w:left="320" w:top="1259" w:right="1279" w:bottom="1440" w:gutter="0" w:footer="0" w:header="0"/>
          <w:type w:val="continuous"/>
        </w:sectPr>
      </w:pPr>
    </w:p>
    <w:bookmarkStart w:id="3" w:name="page4"/>
    <w:bookmarkEnd w:id="3"/>
    <w:p>
      <w:pPr>
        <w:ind w:left="20" w:right="5500"/>
        <w:spacing w:after="0" w:line="324" w:lineRule="auto"/>
        <w:rPr>
          <w:sz w:val="20"/>
          <w:szCs w:val="20"/>
          <w:color w:val="auto"/>
        </w:rPr>
      </w:pPr>
      <w:r>
        <w:rPr>
          <w:rFonts w:ascii="Arial" w:cs="Arial" w:eastAsia="Arial" w:hAnsi="Arial"/>
          <w:sz w:val="43"/>
          <w:szCs w:val="43"/>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-639445</wp:posOffset>
            </wp:positionV>
            <wp:extent cx="148272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2725" cy="25717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0" w:type="dxa"/>
            <w:vAlign w:val="bottom"/>
            <w:shd w:val="clear" w:color="auto" w:fill="FAF6EF"/>
          </w:tcPr>
          <w:p>
            <w:pPr>
              <w:spacing w:after="0"/>
              <w:rPr>
                <w:sz w:val="23"/>
                <w:szCs w:val="23"/>
                <w:color w:val="auto"/>
              </w:rPr>
            </w:pPr>
          </w:p>
        </w:tc>
        <w:tc>
          <w:tcPr>
            <w:tcW w:w="3020" w:type="dxa"/>
            <w:vAlign w:val="bottom"/>
            <w:vMerge w:val="restart"/>
            <w:shd w:val="clear" w:color="auto" w:fill="FAF6EF"/>
          </w:tcPr>
          <w:p>
            <w:pPr>
              <w:ind w:left="20"/>
              <w:spacing w:after="0"/>
              <w:rPr>
                <w:sz w:val="20"/>
                <w:szCs w:val="20"/>
                <w:color w:val="auto"/>
              </w:rPr>
            </w:pPr>
            <w:r>
              <w:rPr>
                <w:rFonts w:ascii="Arial" w:cs="Arial" w:eastAsia="Arial" w:hAnsi="Arial"/>
                <w:sz w:val="22"/>
                <w:szCs w:val="22"/>
                <w:b w:val="1"/>
                <w:bCs w:val="1"/>
                <w:color w:val="E86100"/>
              </w:rPr>
              <w:t>When</w:t>
            </w:r>
          </w:p>
        </w:tc>
        <w:tc>
          <w:tcPr>
            <w:tcW w:w="380" w:type="dxa"/>
            <w:vAlign w:val="bottom"/>
            <w:tcBorders>
              <w:right w:val="single" w:sz="8" w:color="FAF6EF"/>
            </w:tcBorders>
            <w:shd w:val="clear" w:color="auto" w:fill="FAF6EF"/>
          </w:tcPr>
          <w:p>
            <w:pPr>
              <w:spacing w:after="0"/>
              <w:rPr>
                <w:sz w:val="23"/>
                <w:szCs w:val="23"/>
                <w:color w:val="auto"/>
              </w:rPr>
            </w:pPr>
          </w:p>
        </w:tc>
        <w:tc>
          <w:tcPr>
            <w:tcW w:w="3660" w:type="dxa"/>
            <w:vAlign w:val="bottom"/>
            <w:vMerge w:val="restart"/>
            <w:shd w:val="clear" w:color="auto" w:fill="FAF6EF"/>
          </w:tcPr>
          <w:p>
            <w:pPr>
              <w:ind w:left="340"/>
              <w:spacing w:after="0"/>
              <w:rPr>
                <w:sz w:val="20"/>
                <w:szCs w:val="20"/>
                <w:color w:val="auto"/>
              </w:rPr>
            </w:pPr>
            <w:r>
              <w:rPr>
                <w:rFonts w:ascii="Arial" w:cs="Arial" w:eastAsia="Arial" w:hAnsi="Arial"/>
                <w:sz w:val="22"/>
                <w:szCs w:val="22"/>
                <w:b w:val="1"/>
                <w:bCs w:val="1"/>
                <w:color w:val="E86100"/>
              </w:rPr>
              <w:t>Where</w:t>
            </w:r>
          </w:p>
        </w:tc>
        <w:tc>
          <w:tcPr>
            <w:tcW w:w="20" w:type="dxa"/>
            <w:vAlign w:val="bottom"/>
            <w:shd w:val="clear" w:color="auto" w:fill="FAF6EF"/>
          </w:tcPr>
          <w:p>
            <w:pPr>
              <w:spacing w:after="0"/>
              <w:rPr>
                <w:sz w:val="23"/>
                <w:szCs w:val="23"/>
                <w:color w:val="auto"/>
              </w:rPr>
            </w:pPr>
          </w:p>
        </w:tc>
        <w:tc>
          <w:tcPr>
            <w:tcW w:w="3740" w:type="dxa"/>
            <w:vAlign w:val="bottom"/>
            <w:vMerge w:val="restart"/>
            <w:shd w:val="clear" w:color="auto" w:fill="FAF6EF"/>
          </w:tcPr>
          <w:p>
            <w:pPr>
              <w:ind w:left="340"/>
              <w:spacing w:after="0"/>
              <w:rPr>
                <w:sz w:val="20"/>
                <w:szCs w:val="20"/>
                <w:color w:val="auto"/>
              </w:rPr>
            </w:pPr>
            <w:r>
              <w:rPr>
                <w:rFonts w:ascii="Arial" w:cs="Arial" w:eastAsia="Arial" w:hAnsi="Arial"/>
                <w:sz w:val="22"/>
                <w:szCs w:val="22"/>
                <w:b w:val="1"/>
                <w:bCs w:val="1"/>
                <w:color w:val="E86100"/>
              </w:rPr>
              <w:t>Record date</w:t>
            </w:r>
          </w:p>
        </w:tc>
        <w:tc>
          <w:tcPr>
            <w:tcW w:w="0" w:type="dxa"/>
            <w:vAlign w:val="bottom"/>
          </w:tcPr>
          <w:p>
            <w:pPr>
              <w:spacing w:after="0"/>
              <w:rPr>
                <w:sz w:val="1"/>
                <w:szCs w:val="1"/>
                <w:color w:val="auto"/>
              </w:rPr>
            </w:pPr>
          </w:p>
        </w:tc>
      </w:tr>
      <w:tr>
        <w:trPr>
          <w:trHeight w:val="310"/>
        </w:trPr>
        <w:tc>
          <w:tcPr>
            <w:tcW w:w="340" w:type="dxa"/>
            <w:vAlign w:val="bottom"/>
            <w:shd w:val="clear" w:color="auto" w:fill="FAF6EF"/>
          </w:tcPr>
          <w:p>
            <w:pPr>
              <w:spacing w:after="0"/>
              <w:rPr>
                <w:sz w:val="24"/>
                <w:szCs w:val="24"/>
                <w:color w:val="auto"/>
              </w:rPr>
            </w:pPr>
          </w:p>
        </w:tc>
        <w:tc>
          <w:tcPr>
            <w:tcW w:w="3020" w:type="dxa"/>
            <w:vAlign w:val="bottom"/>
            <w:vMerge w:val="continue"/>
            <w:shd w:val="clear" w:color="auto" w:fill="FAF6EF"/>
          </w:tcPr>
          <w:p>
            <w:pPr>
              <w:spacing w:after="0"/>
              <w:rPr>
                <w:sz w:val="24"/>
                <w:szCs w:val="24"/>
                <w:color w:val="auto"/>
              </w:rPr>
            </w:pPr>
          </w:p>
        </w:tc>
        <w:tc>
          <w:tcPr>
            <w:tcW w:w="380" w:type="dxa"/>
            <w:vAlign w:val="bottom"/>
            <w:tcBorders>
              <w:right w:val="single" w:sz="8" w:color="auto"/>
            </w:tcBorders>
            <w:shd w:val="clear" w:color="auto" w:fill="FAF6EF"/>
          </w:tcPr>
          <w:p>
            <w:pPr>
              <w:spacing w:after="0"/>
              <w:rPr>
                <w:sz w:val="24"/>
                <w:szCs w:val="24"/>
                <w:color w:val="auto"/>
              </w:rPr>
            </w:pPr>
          </w:p>
        </w:tc>
        <w:tc>
          <w:tcPr>
            <w:tcW w:w="3660" w:type="dxa"/>
            <w:vAlign w:val="bottom"/>
            <w:vMerge w:val="continue"/>
            <w:shd w:val="clear" w:color="auto" w:fill="FAF6E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740" w:type="dxa"/>
            <w:vAlign w:val="bottom"/>
            <w:vMerge w:val="continue"/>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40" w:type="dxa"/>
            <w:vAlign w:val="bottom"/>
            <w:shd w:val="clear" w:color="auto" w:fill="FAF6EF"/>
          </w:tcPr>
          <w:p>
            <w:pPr>
              <w:spacing w:after="0"/>
              <w:rPr>
                <w:sz w:val="24"/>
                <w:szCs w:val="24"/>
                <w:color w:val="auto"/>
              </w:rPr>
            </w:pPr>
          </w:p>
        </w:tc>
        <w:tc>
          <w:tcPr>
            <w:tcW w:w="3020" w:type="dxa"/>
            <w:vAlign w:val="bottom"/>
            <w:shd w:val="clear" w:color="auto" w:fill="FAF6EF"/>
          </w:tcPr>
          <w:p>
            <w:pPr>
              <w:ind w:left="20"/>
              <w:spacing w:after="0"/>
              <w:rPr>
                <w:sz w:val="20"/>
                <w:szCs w:val="20"/>
                <w:color w:val="auto"/>
              </w:rPr>
            </w:pPr>
            <w:r>
              <w:rPr>
                <w:rFonts w:ascii="Arial" w:cs="Arial" w:eastAsia="Arial" w:hAnsi="Arial"/>
                <w:sz w:val="16"/>
                <w:szCs w:val="16"/>
                <w:color w:val="auto"/>
              </w:rPr>
              <w:t>May 14, 2025, Wednesday, at 9:00 a.m.</w:t>
            </w:r>
          </w:p>
        </w:tc>
        <w:tc>
          <w:tcPr>
            <w:tcW w:w="380" w:type="dxa"/>
            <w:vAlign w:val="bottom"/>
            <w:tcBorders>
              <w:right w:val="single" w:sz="8" w:color="auto"/>
            </w:tcBorders>
            <w:shd w:val="clear" w:color="auto" w:fill="FAF6EF"/>
          </w:tcPr>
          <w:p>
            <w:pPr>
              <w:spacing w:after="0"/>
              <w:rPr>
                <w:sz w:val="24"/>
                <w:szCs w:val="24"/>
                <w:color w:val="auto"/>
              </w:rPr>
            </w:pPr>
          </w:p>
        </w:tc>
        <w:tc>
          <w:tcPr>
            <w:tcW w:w="3660" w:type="dxa"/>
            <w:vAlign w:val="bottom"/>
            <w:shd w:val="clear" w:color="auto" w:fill="FAF6EF"/>
          </w:tcPr>
          <w:p>
            <w:pPr>
              <w:ind w:left="340"/>
              <w:spacing w:after="0"/>
              <w:rPr>
                <w:sz w:val="20"/>
                <w:szCs w:val="20"/>
                <w:color w:val="auto"/>
              </w:rPr>
            </w:pPr>
            <w:r>
              <w:rPr>
                <w:rFonts w:ascii="Arial" w:cs="Arial" w:eastAsia="Arial" w:hAnsi="Arial"/>
                <w:sz w:val="16"/>
                <w:szCs w:val="16"/>
                <w:color w:val="auto"/>
              </w:rPr>
              <w:t>Enphase Energy, Inc.</w:t>
            </w:r>
          </w:p>
        </w:tc>
        <w:tc>
          <w:tcPr>
            <w:tcW w:w="20" w:type="dxa"/>
            <w:vAlign w:val="bottom"/>
            <w:shd w:val="clear" w:color="auto" w:fill="000000"/>
          </w:tcPr>
          <w:p>
            <w:pPr>
              <w:spacing w:after="0"/>
              <w:rPr>
                <w:sz w:val="24"/>
                <w:szCs w:val="24"/>
                <w:color w:val="auto"/>
              </w:rPr>
            </w:pPr>
          </w:p>
        </w:tc>
        <w:tc>
          <w:tcPr>
            <w:tcW w:w="3740" w:type="dxa"/>
            <w:vAlign w:val="bottom"/>
            <w:shd w:val="clear" w:color="auto" w:fill="FAF6EF"/>
          </w:tcPr>
          <w:p>
            <w:pPr>
              <w:ind w:left="340"/>
              <w:spacing w:after="0"/>
              <w:rPr>
                <w:sz w:val="20"/>
                <w:szCs w:val="20"/>
                <w:color w:val="auto"/>
              </w:rPr>
            </w:pPr>
            <w:r>
              <w:rPr>
                <w:rFonts w:ascii="Arial" w:cs="Arial" w:eastAsia="Arial" w:hAnsi="Arial"/>
                <w:sz w:val="16"/>
                <w:szCs w:val="16"/>
                <w:color w:val="auto"/>
              </w:rPr>
              <w:t>Stockholders as of March 20, 2025, are</w:t>
            </w:r>
          </w:p>
        </w:tc>
        <w:tc>
          <w:tcPr>
            <w:tcW w:w="0" w:type="dxa"/>
            <w:vAlign w:val="bottom"/>
          </w:tcPr>
          <w:p>
            <w:pPr>
              <w:spacing w:after="0"/>
              <w:rPr>
                <w:sz w:val="1"/>
                <w:szCs w:val="1"/>
                <w:color w:val="auto"/>
              </w:rPr>
            </w:pPr>
          </w:p>
        </w:tc>
      </w:tr>
      <w:tr>
        <w:trPr>
          <w:trHeight w:val="229"/>
        </w:trPr>
        <w:tc>
          <w:tcPr>
            <w:tcW w:w="340" w:type="dxa"/>
            <w:vAlign w:val="bottom"/>
            <w:shd w:val="clear" w:color="auto" w:fill="FAF6EF"/>
          </w:tcPr>
          <w:p>
            <w:pPr>
              <w:spacing w:after="0"/>
              <w:rPr>
                <w:sz w:val="19"/>
                <w:szCs w:val="19"/>
                <w:color w:val="auto"/>
              </w:rPr>
            </w:pPr>
          </w:p>
        </w:tc>
        <w:tc>
          <w:tcPr>
            <w:tcW w:w="3020" w:type="dxa"/>
            <w:vAlign w:val="bottom"/>
            <w:shd w:val="clear" w:color="auto" w:fill="FAF6EF"/>
          </w:tcPr>
          <w:p>
            <w:pPr>
              <w:ind w:left="20"/>
              <w:spacing w:after="0"/>
              <w:rPr>
                <w:sz w:val="20"/>
                <w:szCs w:val="20"/>
                <w:color w:val="auto"/>
              </w:rPr>
            </w:pPr>
            <w:r>
              <w:rPr>
                <w:rFonts w:ascii="Arial" w:cs="Arial" w:eastAsia="Arial" w:hAnsi="Arial"/>
                <w:sz w:val="16"/>
                <w:szCs w:val="16"/>
                <w:color w:val="auto"/>
              </w:rPr>
              <w:t>Pacific Time</w:t>
            </w:r>
          </w:p>
        </w:tc>
        <w:tc>
          <w:tcPr>
            <w:tcW w:w="380" w:type="dxa"/>
            <w:vAlign w:val="bottom"/>
            <w:tcBorders>
              <w:right w:val="single" w:sz="8" w:color="auto"/>
            </w:tcBorders>
            <w:shd w:val="clear" w:color="auto" w:fill="FAF6EF"/>
          </w:tcPr>
          <w:p>
            <w:pPr>
              <w:spacing w:after="0"/>
              <w:rPr>
                <w:sz w:val="19"/>
                <w:szCs w:val="19"/>
                <w:color w:val="auto"/>
              </w:rPr>
            </w:pPr>
          </w:p>
        </w:tc>
        <w:tc>
          <w:tcPr>
            <w:tcW w:w="3660" w:type="dxa"/>
            <w:vAlign w:val="bottom"/>
            <w:shd w:val="clear" w:color="auto" w:fill="FAF6EF"/>
          </w:tcPr>
          <w:p>
            <w:pPr>
              <w:ind w:left="340"/>
              <w:spacing w:after="0"/>
              <w:rPr>
                <w:sz w:val="20"/>
                <w:szCs w:val="20"/>
                <w:color w:val="auto"/>
              </w:rPr>
            </w:pPr>
            <w:r>
              <w:rPr>
                <w:rFonts w:ascii="Arial" w:cs="Arial" w:eastAsia="Arial" w:hAnsi="Arial"/>
                <w:sz w:val="16"/>
                <w:szCs w:val="16"/>
                <w:color w:val="auto"/>
              </w:rPr>
              <w:t>47281 Bayside Parkway, Fremont, CA</w:t>
            </w:r>
          </w:p>
        </w:tc>
        <w:tc>
          <w:tcPr>
            <w:tcW w:w="20" w:type="dxa"/>
            <w:vAlign w:val="bottom"/>
            <w:shd w:val="clear" w:color="auto" w:fill="000000"/>
          </w:tcPr>
          <w:p>
            <w:pPr>
              <w:spacing w:after="0"/>
              <w:rPr>
                <w:sz w:val="19"/>
                <w:szCs w:val="19"/>
                <w:color w:val="auto"/>
              </w:rPr>
            </w:pPr>
          </w:p>
        </w:tc>
        <w:tc>
          <w:tcPr>
            <w:tcW w:w="3740" w:type="dxa"/>
            <w:vAlign w:val="bottom"/>
            <w:shd w:val="clear" w:color="auto" w:fill="FAF6EF"/>
          </w:tcPr>
          <w:p>
            <w:pPr>
              <w:ind w:left="340"/>
              <w:spacing w:after="0"/>
              <w:rPr>
                <w:sz w:val="20"/>
                <w:szCs w:val="20"/>
                <w:color w:val="auto"/>
              </w:rPr>
            </w:pPr>
            <w:r>
              <w:rPr>
                <w:rFonts w:ascii="Arial" w:cs="Arial" w:eastAsia="Arial" w:hAnsi="Arial"/>
                <w:sz w:val="16"/>
                <w:szCs w:val="16"/>
                <w:color w:val="auto"/>
              </w:rPr>
              <w:t>entitled to vote at the meeting</w:t>
            </w:r>
          </w:p>
        </w:tc>
        <w:tc>
          <w:tcPr>
            <w:tcW w:w="0" w:type="dxa"/>
            <w:vAlign w:val="bottom"/>
          </w:tcPr>
          <w:p>
            <w:pPr>
              <w:spacing w:after="0"/>
              <w:rPr>
                <w:sz w:val="1"/>
                <w:szCs w:val="1"/>
                <w:color w:val="auto"/>
              </w:rPr>
            </w:pPr>
          </w:p>
        </w:tc>
      </w:tr>
      <w:tr>
        <w:trPr>
          <w:trHeight w:val="216"/>
        </w:trPr>
        <w:tc>
          <w:tcPr>
            <w:tcW w:w="340" w:type="dxa"/>
            <w:vAlign w:val="bottom"/>
            <w:shd w:val="clear" w:color="auto" w:fill="FAF6EF"/>
          </w:tcPr>
          <w:p>
            <w:pPr>
              <w:spacing w:after="0"/>
              <w:rPr>
                <w:sz w:val="18"/>
                <w:szCs w:val="18"/>
                <w:color w:val="auto"/>
              </w:rPr>
            </w:pPr>
          </w:p>
        </w:tc>
        <w:tc>
          <w:tcPr>
            <w:tcW w:w="3020" w:type="dxa"/>
            <w:vAlign w:val="bottom"/>
            <w:shd w:val="clear" w:color="auto" w:fill="FAF6EF"/>
          </w:tcPr>
          <w:p>
            <w:pPr>
              <w:spacing w:after="0"/>
              <w:rPr>
                <w:sz w:val="18"/>
                <w:szCs w:val="18"/>
                <w:color w:val="auto"/>
              </w:rPr>
            </w:pPr>
          </w:p>
        </w:tc>
        <w:tc>
          <w:tcPr>
            <w:tcW w:w="380" w:type="dxa"/>
            <w:vAlign w:val="bottom"/>
            <w:tcBorders>
              <w:right w:val="single" w:sz="8" w:color="auto"/>
            </w:tcBorders>
            <w:shd w:val="clear" w:color="auto" w:fill="FAF6EF"/>
          </w:tcPr>
          <w:p>
            <w:pPr>
              <w:spacing w:after="0"/>
              <w:rPr>
                <w:sz w:val="18"/>
                <w:szCs w:val="18"/>
                <w:color w:val="auto"/>
              </w:rPr>
            </w:pPr>
          </w:p>
        </w:tc>
        <w:tc>
          <w:tcPr>
            <w:tcW w:w="3660" w:type="dxa"/>
            <w:vAlign w:val="bottom"/>
            <w:shd w:val="clear" w:color="auto" w:fill="FAF6EF"/>
          </w:tcPr>
          <w:p>
            <w:pPr>
              <w:ind w:left="340"/>
              <w:spacing w:after="0"/>
              <w:rPr>
                <w:sz w:val="20"/>
                <w:szCs w:val="20"/>
                <w:color w:val="auto"/>
              </w:rPr>
            </w:pPr>
            <w:r>
              <w:rPr>
                <w:rFonts w:ascii="Arial" w:cs="Arial" w:eastAsia="Arial" w:hAnsi="Arial"/>
                <w:sz w:val="16"/>
                <w:szCs w:val="16"/>
                <w:color w:val="auto"/>
              </w:rPr>
              <w:t>94538</w:t>
            </w:r>
          </w:p>
        </w:tc>
        <w:tc>
          <w:tcPr>
            <w:tcW w:w="20" w:type="dxa"/>
            <w:vAlign w:val="bottom"/>
            <w:shd w:val="clear" w:color="auto" w:fill="000000"/>
          </w:tcPr>
          <w:p>
            <w:pPr>
              <w:spacing w:after="0"/>
              <w:rPr>
                <w:sz w:val="18"/>
                <w:szCs w:val="18"/>
                <w:color w:val="auto"/>
              </w:rPr>
            </w:pPr>
          </w:p>
        </w:tc>
        <w:tc>
          <w:tcPr>
            <w:tcW w:w="3740" w:type="dxa"/>
            <w:vAlign w:val="bottom"/>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shd w:val="clear" w:color="auto" w:fill="FAF6EF"/>
          </w:tcPr>
          <w:p>
            <w:pPr>
              <w:spacing w:after="0"/>
              <w:rPr>
                <w:sz w:val="18"/>
                <w:szCs w:val="18"/>
                <w:color w:val="auto"/>
              </w:rPr>
            </w:pPr>
          </w:p>
        </w:tc>
        <w:tc>
          <w:tcPr>
            <w:tcW w:w="3020" w:type="dxa"/>
            <w:vAlign w:val="bottom"/>
            <w:shd w:val="clear" w:color="auto" w:fill="FAF6EF"/>
          </w:tcPr>
          <w:p>
            <w:pPr>
              <w:spacing w:after="0"/>
              <w:rPr>
                <w:sz w:val="18"/>
                <w:szCs w:val="18"/>
                <w:color w:val="auto"/>
              </w:rPr>
            </w:pPr>
          </w:p>
        </w:tc>
        <w:tc>
          <w:tcPr>
            <w:tcW w:w="380" w:type="dxa"/>
            <w:vAlign w:val="bottom"/>
            <w:tcBorders>
              <w:right w:val="single" w:sz="8" w:color="auto"/>
            </w:tcBorders>
            <w:shd w:val="clear" w:color="auto" w:fill="FAF6EF"/>
          </w:tcPr>
          <w:p>
            <w:pPr>
              <w:spacing w:after="0"/>
              <w:rPr>
                <w:sz w:val="18"/>
                <w:szCs w:val="18"/>
                <w:color w:val="auto"/>
              </w:rPr>
            </w:pPr>
          </w:p>
        </w:tc>
        <w:tc>
          <w:tcPr>
            <w:tcW w:w="3660" w:type="dxa"/>
            <w:vAlign w:val="bottom"/>
            <w:shd w:val="clear" w:color="auto" w:fill="FAF6E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740" w:type="dxa"/>
            <w:vAlign w:val="bottom"/>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0" w:type="dxa"/>
            <w:vAlign w:val="bottom"/>
            <w:shd w:val="clear" w:color="auto" w:fill="FAF6EF"/>
          </w:tcPr>
          <w:p>
            <w:pPr>
              <w:spacing w:after="0"/>
              <w:rPr>
                <w:sz w:val="23"/>
                <w:szCs w:val="23"/>
                <w:color w:val="auto"/>
              </w:rPr>
            </w:pPr>
          </w:p>
        </w:tc>
        <w:tc>
          <w:tcPr>
            <w:tcW w:w="3020" w:type="dxa"/>
            <w:vAlign w:val="bottom"/>
            <w:shd w:val="clear" w:color="auto" w:fill="FAF6EF"/>
          </w:tcPr>
          <w:p>
            <w:pPr>
              <w:spacing w:after="0"/>
              <w:rPr>
                <w:sz w:val="23"/>
                <w:szCs w:val="23"/>
                <w:color w:val="auto"/>
              </w:rPr>
            </w:pPr>
          </w:p>
        </w:tc>
        <w:tc>
          <w:tcPr>
            <w:tcW w:w="380" w:type="dxa"/>
            <w:vAlign w:val="bottom"/>
            <w:tcBorders>
              <w:right w:val="single" w:sz="8" w:color="FAF6EF"/>
            </w:tcBorders>
            <w:shd w:val="clear" w:color="auto" w:fill="FAF6EF"/>
          </w:tcPr>
          <w:p>
            <w:pPr>
              <w:spacing w:after="0"/>
              <w:rPr>
                <w:sz w:val="23"/>
                <w:szCs w:val="23"/>
                <w:color w:val="auto"/>
              </w:rPr>
            </w:pPr>
          </w:p>
        </w:tc>
        <w:tc>
          <w:tcPr>
            <w:tcW w:w="3660" w:type="dxa"/>
            <w:vAlign w:val="bottom"/>
            <w:shd w:val="clear" w:color="auto" w:fill="FAF6EF"/>
          </w:tcPr>
          <w:p>
            <w:pPr>
              <w:spacing w:after="0"/>
              <w:rPr>
                <w:sz w:val="23"/>
                <w:szCs w:val="23"/>
                <w:color w:val="auto"/>
              </w:rPr>
            </w:pPr>
          </w:p>
        </w:tc>
        <w:tc>
          <w:tcPr>
            <w:tcW w:w="20" w:type="dxa"/>
            <w:vAlign w:val="bottom"/>
            <w:shd w:val="clear" w:color="auto" w:fill="FAF6EF"/>
          </w:tcPr>
          <w:p>
            <w:pPr>
              <w:spacing w:after="0"/>
              <w:rPr>
                <w:sz w:val="23"/>
                <w:szCs w:val="23"/>
                <w:color w:val="auto"/>
              </w:rPr>
            </w:pPr>
          </w:p>
        </w:tc>
        <w:tc>
          <w:tcPr>
            <w:tcW w:w="3740" w:type="dxa"/>
            <w:vAlign w:val="bottom"/>
            <w:shd w:val="clear" w:color="auto" w:fill="FAF6E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5"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Items of Business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Proposal</w:t>
      </w:r>
    </w:p>
    <w:p>
      <w:pPr>
        <w:spacing w:after="0" w:line="390" w:lineRule="exact"/>
        <w:rPr>
          <w:sz w:val="20"/>
          <w:szCs w:val="20"/>
          <w:color w:val="auto"/>
        </w:rPr>
      </w:pPr>
    </w:p>
    <w:p>
      <w:pPr>
        <w:ind w:left="20" w:right="260"/>
        <w:spacing w:after="0" w:line="339" w:lineRule="auto"/>
        <w:rPr>
          <w:sz w:val="20"/>
          <w:szCs w:val="20"/>
          <w:color w:val="auto"/>
        </w:rPr>
      </w:pPr>
      <w:r>
        <w:rPr>
          <w:rFonts w:ascii="Arial" w:cs="Arial" w:eastAsia="Arial" w:hAnsi="Arial"/>
          <w:sz w:val="16"/>
          <w:szCs w:val="16"/>
          <w:color w:val="auto"/>
        </w:rPr>
        <w:t>The 2025 Annual Meeting of Stockholders (the “Annual Meeting”) is being convened for the following purposes:</w:t>
      </w:r>
    </w:p>
    <w:p>
      <w:pPr>
        <w:spacing w:after="0" w:line="250" w:lineRule="exact"/>
        <w:rPr>
          <w:sz w:val="20"/>
          <w:szCs w:val="20"/>
          <w:color w:val="auto"/>
        </w:rPr>
      </w:pPr>
    </w:p>
    <w:p>
      <w:pPr>
        <w:ind w:left="360" w:right="20" w:hanging="334"/>
        <w:spacing w:after="0" w:line="319"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our two nominees for director named in the accompanying proxy statement to the Board of Directors, to hold office until the 2028 Annual Meeting of Stockholders.</w:t>
      </w:r>
    </w:p>
    <w:p>
      <w:pPr>
        <w:spacing w:after="0" w:line="251" w:lineRule="exact"/>
        <w:rPr>
          <w:rFonts w:ascii="Arial" w:cs="Arial" w:eastAsia="Arial" w:hAnsi="Arial"/>
          <w:sz w:val="16"/>
          <w:szCs w:val="16"/>
          <w:color w:val="auto"/>
        </w:rPr>
      </w:pPr>
    </w:p>
    <w:p>
      <w:pPr>
        <w:ind w:left="360" w:right="280" w:hanging="334"/>
        <w:spacing w:after="0" w:line="339"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on advisory basis, the compensation of our named executive officers, as disclosed in this proxy statement.</w:t>
      </w:r>
    </w:p>
    <w:p>
      <w:pPr>
        <w:spacing w:after="0" w:line="249" w:lineRule="exact"/>
        <w:rPr>
          <w:rFonts w:ascii="Arial" w:cs="Arial" w:eastAsia="Arial" w:hAnsi="Arial"/>
          <w:sz w:val="16"/>
          <w:szCs w:val="16"/>
          <w:color w:val="auto"/>
        </w:rPr>
      </w:pPr>
    </w:p>
    <w:p>
      <w:pPr>
        <w:ind w:left="360" w:right="80" w:hanging="334"/>
        <w:spacing w:after="0" w:line="312"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and restatement of the Enphase Energy, Inc. 2021 Equity Incentive Plan to increase the number of shares of common stock authorized for issuance thereunder by 4,000,000 shares.</w:t>
      </w:r>
    </w:p>
    <w:p>
      <w:pPr>
        <w:spacing w:after="0" w:line="258" w:lineRule="exact"/>
        <w:rPr>
          <w:rFonts w:ascii="Arial" w:cs="Arial" w:eastAsia="Arial" w:hAnsi="Arial"/>
          <w:sz w:val="16"/>
          <w:szCs w:val="16"/>
          <w:color w:val="auto"/>
        </w:rPr>
      </w:pPr>
    </w:p>
    <w:p>
      <w:pPr>
        <w:ind w:left="360" w:hanging="334"/>
        <w:spacing w:after="0" w:line="319" w:lineRule="auto"/>
        <w:tabs>
          <w:tab w:leader="none" w:pos="34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Deloitte &amp; Touche LLP as our independent registered public accounting firm for the fiscal year ending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Board voting recommendation</w:t>
            </w:r>
          </w:p>
        </w:tc>
        <w:tc>
          <w:tcPr>
            <w:tcW w:w="240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9"/>
              </w:rPr>
              <w:t>Page reference (for more</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24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details)</w:t>
            </w:r>
          </w:p>
        </w:tc>
        <w:tc>
          <w:tcPr>
            <w:tcW w:w="0" w:type="dxa"/>
            <w:vAlign w:val="bottom"/>
          </w:tcPr>
          <w:p>
            <w:pPr>
              <w:spacing w:after="0"/>
              <w:rPr>
                <w:sz w:val="1"/>
                <w:szCs w:val="1"/>
                <w:color w:val="auto"/>
              </w:rPr>
            </w:pPr>
          </w:p>
        </w:tc>
      </w:tr>
      <w:tr>
        <w:trPr>
          <w:trHeight w:val="1317"/>
        </w:trPr>
        <w:tc>
          <w:tcPr>
            <w:tcW w:w="2880" w:type="dxa"/>
            <w:vAlign w:val="bottom"/>
          </w:tcPr>
          <w:p>
            <w:pPr>
              <w:ind w:left="780"/>
              <w:spacing w:after="0"/>
              <w:rPr>
                <w:sz w:val="20"/>
                <w:szCs w:val="20"/>
                <w:color w:val="auto"/>
              </w:rPr>
            </w:pPr>
            <w:r>
              <w:rPr>
                <w:rFonts w:ascii="Arial" w:cs="Arial" w:eastAsia="Arial" w:hAnsi="Arial"/>
                <w:sz w:val="16"/>
                <w:szCs w:val="16"/>
                <w:b w:val="1"/>
                <w:bCs w:val="1"/>
                <w:color w:val="E86100"/>
              </w:rPr>
              <w:t>FOR each director</w:t>
            </w:r>
          </w:p>
        </w:tc>
        <w:tc>
          <w:tcPr>
            <w:tcW w:w="2400" w:type="dxa"/>
            <w:vAlign w:val="bottom"/>
            <w:vMerge w:val="restart"/>
          </w:tcPr>
          <w:p>
            <w:pPr>
              <w:jc w:val="center"/>
              <w:ind w:left="396"/>
              <w:spacing w:after="0"/>
              <w:rPr>
                <w:sz w:val="20"/>
                <w:szCs w:val="20"/>
                <w:color w:val="auto"/>
              </w:rPr>
            </w:pPr>
            <w:r>
              <w:rPr>
                <w:rFonts w:ascii="Arial" w:cs="Arial" w:eastAsia="Arial" w:hAnsi="Arial"/>
                <w:sz w:val="16"/>
                <w:szCs w:val="16"/>
                <w:b w:val="1"/>
                <w:bCs w:val="1"/>
                <w:color w:val="auto"/>
              </w:rPr>
              <w:t>Page 8</w:t>
            </w:r>
          </w:p>
        </w:tc>
        <w:tc>
          <w:tcPr>
            <w:tcW w:w="0" w:type="dxa"/>
            <w:vAlign w:val="bottom"/>
          </w:tcPr>
          <w:p>
            <w:pPr>
              <w:spacing w:after="0"/>
              <w:rPr>
                <w:sz w:val="1"/>
                <w:szCs w:val="1"/>
                <w:color w:val="auto"/>
              </w:rPr>
            </w:pPr>
          </w:p>
        </w:tc>
      </w:tr>
      <w:tr>
        <w:trPr>
          <w:trHeight w:val="108"/>
        </w:trPr>
        <w:tc>
          <w:tcPr>
            <w:tcW w:w="2880" w:type="dxa"/>
            <w:vAlign w:val="bottom"/>
            <w:vMerge w:val="restart"/>
          </w:tcPr>
          <w:p>
            <w:pPr>
              <w:ind w:left="780"/>
              <w:spacing w:after="0"/>
              <w:rPr>
                <w:sz w:val="20"/>
                <w:szCs w:val="20"/>
                <w:color w:val="auto"/>
              </w:rPr>
            </w:pPr>
            <w:r>
              <w:rPr>
                <w:rFonts w:ascii="Arial" w:cs="Arial" w:eastAsia="Arial" w:hAnsi="Arial"/>
                <w:sz w:val="16"/>
                <w:szCs w:val="16"/>
                <w:b w:val="1"/>
                <w:bCs w:val="1"/>
                <w:color w:val="E86100"/>
              </w:rPr>
              <w:t>nominee</w:t>
            </w: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6"/>
        </w:trPr>
        <w:tc>
          <w:tcPr>
            <w:tcW w:w="2880" w:type="dxa"/>
            <w:vAlign w:val="bottom"/>
          </w:tcPr>
          <w:p>
            <w:pPr>
              <w:ind w:left="780"/>
              <w:spacing w:after="0"/>
              <w:rPr>
                <w:sz w:val="20"/>
                <w:szCs w:val="20"/>
                <w:color w:val="auto"/>
              </w:rPr>
            </w:pPr>
            <w:r>
              <w:rPr>
                <w:rFonts w:ascii="Arial" w:cs="Arial" w:eastAsia="Arial" w:hAnsi="Arial"/>
                <w:sz w:val="16"/>
                <w:szCs w:val="16"/>
                <w:b w:val="1"/>
                <w:bCs w:val="1"/>
                <w:color w:val="E86100"/>
              </w:rPr>
              <w:t>FOR</w:t>
            </w:r>
          </w:p>
        </w:tc>
        <w:tc>
          <w:tcPr>
            <w:tcW w:w="2400" w:type="dxa"/>
            <w:vAlign w:val="bottom"/>
          </w:tcPr>
          <w:p>
            <w:pPr>
              <w:jc w:val="center"/>
              <w:ind w:left="396"/>
              <w:spacing w:after="0"/>
              <w:rPr>
                <w:sz w:val="20"/>
                <w:szCs w:val="20"/>
                <w:color w:val="auto"/>
              </w:rPr>
            </w:pPr>
            <w:r>
              <w:rPr>
                <w:rFonts w:ascii="Arial" w:cs="Arial" w:eastAsia="Arial" w:hAnsi="Arial"/>
                <w:sz w:val="16"/>
                <w:szCs w:val="16"/>
                <w:b w:val="1"/>
                <w:bCs w:val="1"/>
                <w:color w:val="auto"/>
                <w:w w:val="99"/>
              </w:rPr>
              <w:t>Page 58</w:t>
            </w:r>
          </w:p>
        </w:tc>
        <w:tc>
          <w:tcPr>
            <w:tcW w:w="0" w:type="dxa"/>
            <w:vAlign w:val="bottom"/>
          </w:tcPr>
          <w:p>
            <w:pPr>
              <w:spacing w:after="0"/>
              <w:rPr>
                <w:sz w:val="1"/>
                <w:szCs w:val="1"/>
                <w:color w:val="auto"/>
              </w:rPr>
            </w:pPr>
          </w:p>
        </w:tc>
      </w:tr>
      <w:tr>
        <w:trPr>
          <w:trHeight w:val="999"/>
        </w:trPr>
        <w:tc>
          <w:tcPr>
            <w:tcW w:w="2880" w:type="dxa"/>
            <w:vAlign w:val="bottom"/>
          </w:tcPr>
          <w:p>
            <w:pPr>
              <w:ind w:left="780"/>
              <w:spacing w:after="0"/>
              <w:rPr>
                <w:sz w:val="20"/>
                <w:szCs w:val="20"/>
                <w:color w:val="auto"/>
              </w:rPr>
            </w:pPr>
            <w:r>
              <w:rPr>
                <w:rFonts w:ascii="Arial" w:cs="Arial" w:eastAsia="Arial" w:hAnsi="Arial"/>
                <w:sz w:val="16"/>
                <w:szCs w:val="16"/>
                <w:b w:val="1"/>
                <w:bCs w:val="1"/>
                <w:color w:val="E86100"/>
              </w:rPr>
              <w:t>FOR</w:t>
            </w:r>
          </w:p>
        </w:tc>
        <w:tc>
          <w:tcPr>
            <w:tcW w:w="2400" w:type="dxa"/>
            <w:vAlign w:val="bottom"/>
          </w:tcPr>
          <w:p>
            <w:pPr>
              <w:jc w:val="center"/>
              <w:ind w:left="396"/>
              <w:spacing w:after="0"/>
              <w:rPr>
                <w:sz w:val="20"/>
                <w:szCs w:val="20"/>
                <w:color w:val="auto"/>
              </w:rPr>
            </w:pPr>
            <w:r>
              <w:rPr>
                <w:rFonts w:ascii="Arial" w:cs="Arial" w:eastAsia="Arial" w:hAnsi="Arial"/>
                <w:sz w:val="16"/>
                <w:szCs w:val="16"/>
                <w:b w:val="1"/>
                <w:bCs w:val="1"/>
                <w:color w:val="auto"/>
                <w:w w:val="99"/>
              </w:rPr>
              <w:t>Page 59</w:t>
            </w:r>
          </w:p>
        </w:tc>
        <w:tc>
          <w:tcPr>
            <w:tcW w:w="0" w:type="dxa"/>
            <w:vAlign w:val="bottom"/>
          </w:tcPr>
          <w:p>
            <w:pPr>
              <w:spacing w:after="0"/>
              <w:rPr>
                <w:sz w:val="1"/>
                <w:szCs w:val="1"/>
                <w:color w:val="auto"/>
              </w:rPr>
            </w:pPr>
          </w:p>
        </w:tc>
      </w:tr>
      <w:tr>
        <w:trPr>
          <w:trHeight w:val="1093"/>
        </w:trPr>
        <w:tc>
          <w:tcPr>
            <w:tcW w:w="2880" w:type="dxa"/>
            <w:vAlign w:val="bottom"/>
          </w:tcPr>
          <w:p>
            <w:pPr>
              <w:ind w:left="780"/>
              <w:spacing w:after="0"/>
              <w:rPr>
                <w:sz w:val="20"/>
                <w:szCs w:val="20"/>
                <w:color w:val="auto"/>
              </w:rPr>
            </w:pPr>
            <w:r>
              <w:rPr>
                <w:rFonts w:ascii="Arial" w:cs="Arial" w:eastAsia="Arial" w:hAnsi="Arial"/>
                <w:sz w:val="16"/>
                <w:szCs w:val="16"/>
                <w:b w:val="1"/>
                <w:bCs w:val="1"/>
                <w:color w:val="E86100"/>
              </w:rPr>
              <w:t>FOR</w:t>
            </w:r>
          </w:p>
        </w:tc>
        <w:tc>
          <w:tcPr>
            <w:tcW w:w="2400" w:type="dxa"/>
            <w:vAlign w:val="bottom"/>
          </w:tcPr>
          <w:p>
            <w:pPr>
              <w:jc w:val="center"/>
              <w:ind w:left="396"/>
              <w:spacing w:after="0"/>
              <w:rPr>
                <w:sz w:val="20"/>
                <w:szCs w:val="20"/>
                <w:color w:val="auto"/>
              </w:rPr>
            </w:pPr>
            <w:r>
              <w:rPr>
                <w:rFonts w:ascii="Arial" w:cs="Arial" w:eastAsia="Arial" w:hAnsi="Arial"/>
                <w:sz w:val="16"/>
                <w:szCs w:val="16"/>
                <w:b w:val="1"/>
                <w:bCs w:val="1"/>
                <w:color w:val="auto"/>
                <w:w w:val="99"/>
              </w:rPr>
              <w:t>Page 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-2129155</wp:posOffset>
            </wp:positionV>
            <wp:extent cx="30035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-1572260</wp:posOffset>
            </wp:positionV>
            <wp:extent cx="300355" cy="299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355" cy="29972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-946150</wp:posOffset>
            </wp:positionV>
            <wp:extent cx="30035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-243205</wp:posOffset>
            </wp:positionV>
            <wp:extent cx="300355" cy="299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355" cy="29972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5120" w:space="480"/>
            <w:col w:w="5640"/>
          </w:cols>
          <w:pgMar w:left="320" w:top="825" w:right="339" w:bottom="1440" w:gutter="0" w:footer="0" w:header="0"/>
          <w:type w:val="continuous"/>
        </w:sectPr>
      </w:pPr>
    </w:p>
    <w:p>
      <w:pPr>
        <w:spacing w:after="0" w:line="335"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Stockholders will also transact such other business as may properly come before the Annual Meeting to be held on May 14, 2025,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Voting</w:t>
            </w:r>
          </w:p>
        </w:tc>
        <w:tc>
          <w:tcPr>
            <w:tcW w:w="578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Attending the Annual Meeting</w:t>
            </w:r>
          </w:p>
        </w:tc>
      </w:tr>
      <w:tr>
        <w:trPr>
          <w:trHeight w:val="256"/>
        </w:trPr>
        <w:tc>
          <w:tcPr>
            <w:tcW w:w="5460" w:type="dxa"/>
            <w:vAlign w:val="bottom"/>
          </w:tcPr>
          <w:p>
            <w:pPr>
              <w:ind w:left="20"/>
              <w:spacing w:after="0"/>
              <w:rPr>
                <w:sz w:val="20"/>
                <w:szCs w:val="20"/>
                <w:color w:val="auto"/>
              </w:rPr>
            </w:pPr>
            <w:r>
              <w:rPr>
                <w:rFonts w:ascii="Arial" w:cs="Arial" w:eastAsia="Arial" w:hAnsi="Arial"/>
                <w:sz w:val="16"/>
                <w:szCs w:val="16"/>
                <w:color w:val="auto"/>
              </w:rPr>
              <w:t>Your broker will not be able to vote your shares with respect to any of</w:t>
            </w:r>
          </w:p>
        </w:tc>
        <w:tc>
          <w:tcPr>
            <w:tcW w:w="5780" w:type="dxa"/>
            <w:vAlign w:val="bottom"/>
          </w:tcPr>
          <w:p>
            <w:pPr>
              <w:ind w:left="1220"/>
              <w:spacing w:after="0"/>
              <w:rPr>
                <w:sz w:val="20"/>
                <w:szCs w:val="20"/>
                <w:color w:val="auto"/>
              </w:rPr>
            </w:pPr>
            <w:r>
              <w:rPr>
                <w:rFonts w:ascii="Arial" w:cs="Arial" w:eastAsia="Arial" w:hAnsi="Arial"/>
                <w:sz w:val="16"/>
                <w:szCs w:val="16"/>
                <w:color w:val="auto"/>
              </w:rPr>
              <w:t>Enphase Energy, Inc.</w:t>
            </w:r>
          </w:p>
        </w:tc>
      </w:tr>
      <w:tr>
        <w:trPr>
          <w:trHeight w:val="229"/>
        </w:trPr>
        <w:tc>
          <w:tcPr>
            <w:tcW w:w="5460" w:type="dxa"/>
            <w:vAlign w:val="bottom"/>
          </w:tcPr>
          <w:p>
            <w:pPr>
              <w:ind w:left="20"/>
              <w:spacing w:after="0"/>
              <w:rPr>
                <w:sz w:val="20"/>
                <w:szCs w:val="20"/>
                <w:color w:val="auto"/>
              </w:rPr>
            </w:pPr>
            <w:r>
              <w:rPr>
                <w:rFonts w:ascii="Arial" w:cs="Arial" w:eastAsia="Arial" w:hAnsi="Arial"/>
                <w:sz w:val="16"/>
                <w:szCs w:val="16"/>
                <w:color w:val="auto"/>
              </w:rPr>
              <w:t>the matters presented at the meeting, other than the ratification of the</w:t>
            </w:r>
          </w:p>
        </w:tc>
        <w:tc>
          <w:tcPr>
            <w:tcW w:w="5780" w:type="dxa"/>
            <w:vAlign w:val="bottom"/>
          </w:tcPr>
          <w:p>
            <w:pPr>
              <w:ind w:left="1220"/>
              <w:spacing w:after="0"/>
              <w:rPr>
                <w:sz w:val="20"/>
                <w:szCs w:val="20"/>
                <w:color w:val="auto"/>
              </w:rPr>
            </w:pPr>
            <w:r>
              <w:rPr>
                <w:rFonts w:ascii="Arial" w:cs="Arial" w:eastAsia="Arial" w:hAnsi="Arial"/>
                <w:sz w:val="16"/>
                <w:szCs w:val="16"/>
                <w:color w:val="auto"/>
              </w:rPr>
              <w:t>47281 Bayside Parkway</w:t>
            </w:r>
          </w:p>
        </w:tc>
      </w:tr>
      <w:tr>
        <w:trPr>
          <w:trHeight w:val="230"/>
        </w:trPr>
        <w:tc>
          <w:tcPr>
            <w:tcW w:w="5460" w:type="dxa"/>
            <w:vAlign w:val="bottom"/>
          </w:tcPr>
          <w:p>
            <w:pPr>
              <w:ind w:left="20"/>
              <w:spacing w:after="0"/>
              <w:rPr>
                <w:sz w:val="20"/>
                <w:szCs w:val="20"/>
                <w:color w:val="auto"/>
              </w:rPr>
            </w:pPr>
            <w:r>
              <w:rPr>
                <w:rFonts w:ascii="Arial" w:cs="Arial" w:eastAsia="Arial" w:hAnsi="Arial"/>
                <w:sz w:val="16"/>
                <w:szCs w:val="16"/>
                <w:color w:val="auto"/>
              </w:rPr>
              <w:t>selection of our independent registered public accounting firm, unless</w:t>
            </w:r>
          </w:p>
        </w:tc>
        <w:tc>
          <w:tcPr>
            <w:tcW w:w="5780" w:type="dxa"/>
            <w:vAlign w:val="bottom"/>
          </w:tcPr>
          <w:p>
            <w:pPr>
              <w:ind w:left="1220"/>
              <w:spacing w:after="0"/>
              <w:rPr>
                <w:sz w:val="20"/>
                <w:szCs w:val="20"/>
                <w:color w:val="auto"/>
              </w:rPr>
            </w:pPr>
            <w:r>
              <w:rPr>
                <w:rFonts w:ascii="Arial" w:cs="Arial" w:eastAsia="Arial" w:hAnsi="Arial"/>
                <w:sz w:val="16"/>
                <w:szCs w:val="16"/>
                <w:color w:val="auto"/>
              </w:rPr>
              <w:t>Fremont, CA 94538</w:t>
            </w: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you give your broker specific voting instructions.</w:t>
            </w:r>
          </w:p>
        </w:tc>
        <w:tc>
          <w:tcPr>
            <w:tcW w:w="5780" w:type="dxa"/>
            <w:vAlign w:val="bottom"/>
          </w:tcPr>
          <w:p>
            <w:pPr>
              <w:ind w:left="1220"/>
              <w:spacing w:after="0"/>
              <w:rPr>
                <w:sz w:val="20"/>
                <w:szCs w:val="20"/>
                <w:color w:val="auto"/>
              </w:rPr>
            </w:pPr>
            <w:r>
              <w:rPr>
                <w:rFonts w:ascii="Arial" w:cs="Arial" w:eastAsia="Arial" w:hAnsi="Arial"/>
                <w:sz w:val="16"/>
                <w:szCs w:val="16"/>
                <w:color w:val="auto"/>
              </w:rPr>
              <w:t>You do not need to attend the Annual Meeting to vote if you</w:t>
            </w:r>
          </w:p>
        </w:tc>
      </w:tr>
      <w:tr>
        <w:trPr>
          <w:trHeight w:val="230"/>
        </w:trPr>
        <w:tc>
          <w:tcPr>
            <w:tcW w:w="5460" w:type="dxa"/>
            <w:vAlign w:val="bottom"/>
          </w:tcPr>
          <w:p>
            <w:pPr>
              <w:spacing w:after="0"/>
              <w:rPr>
                <w:sz w:val="19"/>
                <w:szCs w:val="19"/>
                <w:color w:val="auto"/>
              </w:rPr>
            </w:pPr>
          </w:p>
        </w:tc>
        <w:tc>
          <w:tcPr>
            <w:tcW w:w="5780" w:type="dxa"/>
            <w:vAlign w:val="bottom"/>
          </w:tcPr>
          <w:p>
            <w:pPr>
              <w:ind w:left="1220"/>
              <w:spacing w:after="0"/>
              <w:rPr>
                <w:sz w:val="20"/>
                <w:szCs w:val="20"/>
                <w:color w:val="auto"/>
              </w:rPr>
            </w:pPr>
            <w:r>
              <w:rPr>
                <w:rFonts w:ascii="Arial" w:cs="Arial" w:eastAsia="Arial" w:hAnsi="Arial"/>
                <w:sz w:val="16"/>
                <w:szCs w:val="16"/>
                <w:color w:val="auto"/>
              </w:rPr>
              <w:t>submit your proxy in advance of the meeting.</w:t>
            </w:r>
          </w:p>
        </w:tc>
      </w:tr>
      <w:tr>
        <w:trPr>
          <w:trHeight w:val="1534"/>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-1713865</wp:posOffset>
            </wp:positionV>
            <wp:extent cx="30861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type w:val="continuous"/>
        </w:sectPr>
      </w:pPr>
    </w:p>
    <w:bookmarkStart w:id="4" w:name="page5"/>
    <w:bookmarkEnd w:id="4"/>
    <w:p>
      <w:pPr>
        <w:jc w:val="both"/>
        <w:spacing w:after="0" w:line="303" w:lineRule="auto"/>
        <w:rPr>
          <w:sz w:val="20"/>
          <w:szCs w:val="20"/>
          <w:color w:val="auto"/>
        </w:rPr>
      </w:pPr>
      <w:r>
        <w:rPr>
          <w:rFonts w:ascii="Arial" w:cs="Arial" w:eastAsia="Arial" w:hAnsi="Arial"/>
          <w:sz w:val="16"/>
          <w:szCs w:val="16"/>
          <w:color w:val="auto"/>
        </w:rPr>
        <w:t>If you are a registered stockholder and prefer to vote your shares at the Annual Meeting, please bring the enclosed proxy card and proof of identification. Shares held beneficially in street name may be voted in person at the Annual Meeting only if you obtain a legal proxy issued in your name from the bank, broker or other nominee that holds your shares, giving you the right to vote the shares at the Annual Meeting. We encourage you to vote in advance by telephone, over the internet or by mail so that your vote will be counted if you later decide not to attend the meeting. If you are a registered stockholder who wishes to vote in person at the Annual Meeting and have previously submitted a proxy, you must deliver to the Corporate Secretary a written notice of termination of the proxy's authority before the vote. Attendance at the annual meeting will not itself revoke a previously granted proxy.</w:t>
      </w:r>
    </w:p>
    <w:p>
      <w:pPr>
        <w:spacing w:after="0" w:line="132"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After the conclusion of the formal portion of the Annual Meeting there will be a brief recess. The CEO will then give a presentation beginning at approximately 9:30 am Pacific Time that can be accessed:</w:t>
      </w:r>
    </w:p>
    <w:p>
      <w:pPr>
        <w:spacing w:after="0" w:line="88" w:lineRule="exact"/>
        <w:rPr>
          <w:sz w:val="20"/>
          <w:szCs w:val="20"/>
          <w:color w:val="auto"/>
        </w:rPr>
      </w:pPr>
    </w:p>
    <w:p>
      <w:pPr>
        <w:ind w:left="300" w:hanging="130"/>
        <w:spacing w:after="0"/>
        <w:tabs>
          <w:tab w:leader="none" w:pos="300" w:val="left"/>
        </w:tabs>
        <w:numPr>
          <w:ilvl w:val="0"/>
          <w:numId w:val="6"/>
        </w:numPr>
        <w:rPr>
          <w:rFonts w:ascii="Arial" w:cs="Arial" w:eastAsia="Arial" w:hAnsi="Arial"/>
          <w:sz w:val="13"/>
          <w:szCs w:val="13"/>
          <w:i w:val="1"/>
          <w:iCs w:val="1"/>
          <w:color w:val="auto"/>
        </w:rPr>
      </w:pPr>
      <w:r>
        <w:rPr>
          <w:rFonts w:ascii="Arial" w:cs="Arial" w:eastAsia="Arial" w:hAnsi="Arial"/>
          <w:sz w:val="16"/>
          <w:szCs w:val="16"/>
          <w:color w:val="auto"/>
        </w:rPr>
        <w:t xml:space="preserve">by internet at </w:t>
      </w:r>
      <w:r>
        <w:rPr>
          <w:rFonts w:ascii="Arial" w:cs="Arial" w:eastAsia="Arial" w:hAnsi="Arial"/>
          <w:sz w:val="16"/>
          <w:szCs w:val="16"/>
          <w:i w:val="1"/>
          <w:iCs w:val="1"/>
          <w:color w:val="auto"/>
        </w:rPr>
        <w:t>https://link.enphase.com/ENPHMeeting2025</w:t>
      </w:r>
      <w:r>
        <w:rPr>
          <w:rFonts w:ascii="Arial" w:cs="Arial" w:eastAsia="Arial" w:hAnsi="Arial"/>
          <w:sz w:val="16"/>
          <w:szCs w:val="16"/>
          <w:color w:val="auto"/>
        </w:rPr>
        <w:t xml:space="preserve"> (please register in advance); or</w:t>
      </w:r>
    </w:p>
    <w:p>
      <w:pPr>
        <w:spacing w:after="0" w:line="126" w:lineRule="exact"/>
        <w:rPr>
          <w:rFonts w:ascii="Arial" w:cs="Arial" w:eastAsia="Arial" w:hAnsi="Arial"/>
          <w:sz w:val="13"/>
          <w:szCs w:val="13"/>
          <w:i w:val="1"/>
          <w:iCs w:val="1"/>
          <w:color w:val="auto"/>
        </w:rPr>
      </w:pPr>
    </w:p>
    <w:p>
      <w:pPr>
        <w:ind w:left="300" w:hanging="130"/>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6"/>
          <w:szCs w:val="16"/>
          <w:color w:val="auto"/>
        </w:rPr>
        <w:t>by telephone at 1 (209) 425-4021 with meeting ID: 945 017 458#. For international numbers, please visit the following web address for local numbers at</w:t>
      </w:r>
    </w:p>
    <w:p>
      <w:pPr>
        <w:spacing w:after="0" w:line="2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6"/>
          <w:szCs w:val="16"/>
          <w:i w:val="1"/>
          <w:iCs w:val="1"/>
          <w:color w:val="auto"/>
        </w:rPr>
        <w:t xml:space="preserve">https://link.enphase.com/IntlNumbersENPH </w:t>
      </w:r>
      <w:r>
        <w:rPr>
          <w:rFonts w:ascii="Arial" w:cs="Arial" w:eastAsia="Arial" w:hAnsi="Arial"/>
          <w:sz w:val="16"/>
          <w:szCs w:val="16"/>
          <w:color w:val="auto"/>
        </w:rPr>
        <w:t>with the same meeting ID: 945 017 458#.</w:t>
      </w:r>
    </w:p>
    <w:p>
      <w:pPr>
        <w:spacing w:after="0" w:line="16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YOUR VOTE IS VERY IMPORTANT</w:t>
      </w:r>
      <w:r>
        <w:rPr>
          <w:rFonts w:ascii="Arial" w:cs="Arial" w:eastAsia="Arial" w:hAnsi="Arial"/>
          <w:sz w:val="16"/>
          <w:szCs w:val="16"/>
          <w:color w:val="auto"/>
        </w:rPr>
        <w:t>. Even if you plan to attend the Annual Meeting, please cast your vote as soon as possible. Make sure to have your</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or voting instruction form in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81915</wp:posOffset>
            </wp:positionV>
            <wp:extent cx="8890" cy="1011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0115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p>
      <w:pPr>
        <w:spacing w:after="0" w:line="129" w:lineRule="exact"/>
        <w:rPr>
          <w:sz w:val="20"/>
          <w:szCs w:val="20"/>
          <w:color w:val="auto"/>
        </w:rPr>
      </w:pPr>
    </w:p>
    <w:tbl>
      <w:tblPr>
        <w:tblLayout w:type="fixed"/>
        <w:tblInd w:w="360" w:type="dxa"/>
        <w:tblCellMar>
          <w:top w:w="0" w:type="dxa"/>
          <w:left w:w="0" w:type="dxa"/>
          <w:bottom w:w="0" w:type="dxa"/>
          <w:right w:w="0" w:type="dxa"/>
        </w:tblCellMar>
      </w:tblPr>
      <w:tr>
        <w:trPr>
          <w:trHeight w:val="875"/>
        </w:trPr>
        <w:tc>
          <w:tcPr>
            <w:tcW w:w="34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By internet go to </w:t>
            </w:r>
            <w:r>
              <w:rPr>
                <w:rFonts w:ascii="Arial" w:cs="Arial" w:eastAsia="Arial" w:hAnsi="Arial"/>
                <w:sz w:val="16"/>
                <w:szCs w:val="16"/>
                <w:i w:val="1"/>
                <w:iCs w:val="1"/>
                <w:color w:val="auto"/>
              </w:rPr>
              <w:t>www.proxyvote.com</w:t>
            </w:r>
          </w:p>
        </w:tc>
        <w:tc>
          <w:tcPr>
            <w:tcW w:w="3180" w:type="dxa"/>
            <w:vAlign w:val="bottom"/>
          </w:tcPr>
          <w:p>
            <w:pPr>
              <w:ind w:left="340"/>
              <w:spacing w:after="0"/>
              <w:rPr>
                <w:sz w:val="20"/>
                <w:szCs w:val="20"/>
                <w:color w:val="auto"/>
              </w:rPr>
            </w:pPr>
            <w:r>
              <w:rPr>
                <w:rFonts w:ascii="Arial" w:cs="Arial" w:eastAsia="Arial" w:hAnsi="Arial"/>
                <w:sz w:val="16"/>
                <w:szCs w:val="16"/>
                <w:color w:val="auto"/>
              </w:rPr>
              <w:t>By toll-free telephone from the United</w:t>
            </w:r>
          </w:p>
        </w:tc>
      </w:tr>
      <w:tr>
        <w:trPr>
          <w:trHeight w:val="216"/>
        </w:trPr>
        <w:tc>
          <w:tcPr>
            <w:tcW w:w="3400" w:type="dxa"/>
            <w:vAlign w:val="bottom"/>
            <w:tcBorders>
              <w:right w:val="single" w:sz="8" w:color="auto"/>
            </w:tcBorders>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6"/>
                <w:szCs w:val="16"/>
                <w:color w:val="auto"/>
              </w:rPr>
              <w:t>States, U.S. territories and Canada: call</w:t>
            </w:r>
          </w:p>
        </w:tc>
      </w:tr>
      <w:tr>
        <w:trPr>
          <w:trHeight w:val="229"/>
        </w:trPr>
        <w:tc>
          <w:tcPr>
            <w:tcW w:w="3400" w:type="dxa"/>
            <w:vAlign w:val="bottom"/>
            <w:tcBorders>
              <w:right w:val="single" w:sz="8" w:color="auto"/>
            </w:tcBorders>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6"/>
                <w:szCs w:val="16"/>
                <w:color w:val="auto"/>
              </w:rPr>
              <w:t>1-800-690-6903</w:t>
            </w:r>
          </w:p>
        </w:tc>
      </w:tr>
      <w:tr>
        <w:trPr>
          <w:trHeight w:val="272"/>
        </w:trPr>
        <w:tc>
          <w:tcPr>
            <w:tcW w:w="3400" w:type="dxa"/>
            <w:vAlign w:val="bottom"/>
            <w:tcBorders>
              <w:right w:val="single" w:sz="8" w:color="auto"/>
            </w:tcBorders>
          </w:tcPr>
          <w:p>
            <w:pPr>
              <w:spacing w:after="0"/>
              <w:rPr>
                <w:sz w:val="23"/>
                <w:szCs w:val="23"/>
                <w:color w:val="auto"/>
              </w:rPr>
            </w:pPr>
          </w:p>
        </w:tc>
        <w:tc>
          <w:tcPr>
            <w:tcW w:w="3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-993775</wp:posOffset>
            </wp:positionV>
            <wp:extent cx="30861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-993775</wp:posOffset>
            </wp:positionV>
            <wp:extent cx="30861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By mail (if you received a paper copy of the proxy materials by mail): mark, sign, date and promptly mail the enclosed proxy card in the postage 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-997585</wp:posOffset>
            </wp:positionV>
            <wp:extent cx="30861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787" w:right="339" w:bottom="1440" w:gutter="0" w:footer="0" w:header="0"/>
          <w:type w:val="continuous"/>
        </w:sectPr>
      </w:pPr>
    </w:p>
    <w:p>
      <w:pPr>
        <w:spacing w:after="0" w:line="14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Submitting your proxy now will not prevent you from voting your shares at the Annual Meeting as your proxy is revocable at your option prior to the voting close. Whether or not you participate in the Annual Meeting, it is important that your shares be part of the voting process. You may log on to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enter your Control Number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331470</wp:posOffset>
            </wp:positionV>
            <wp:extent cx="4766310" cy="2503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631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4080" w:val="left"/>
        </w:tabs>
        <w:rPr>
          <w:sz w:val="20"/>
          <w:szCs w:val="20"/>
          <w:color w:val="auto"/>
        </w:rPr>
      </w:pPr>
      <w:r>
        <w:rPr>
          <w:rFonts w:ascii="Arial" w:cs="Arial" w:eastAsia="Arial" w:hAnsi="Arial"/>
          <w:sz w:val="16"/>
          <w:szCs w:val="16"/>
          <w:color w:val="auto"/>
        </w:rPr>
        <w:t>By Order of the Board of Directors</w:t>
      </w:r>
      <w:r>
        <w:rPr>
          <w:sz w:val="20"/>
          <w:szCs w:val="20"/>
          <w:color w:val="auto"/>
        </w:rPr>
        <w:tab/>
      </w:r>
      <w:r>
        <w:rPr>
          <w:rFonts w:ascii="Arial" w:cs="Arial" w:eastAsia="Arial" w:hAnsi="Arial"/>
          <w:sz w:val="16"/>
          <w:szCs w:val="16"/>
          <w:color w:val="auto"/>
        </w:rPr>
        <w:t>Important Notice Regarding the Availability of Proxy Materials for the Annual Meeting of</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Stockholders to be held on May 14, 2025.</w:t>
      </w:r>
    </w:p>
    <w:p>
      <w:pPr>
        <w:spacing w:after="0" w:line="20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The Proxy Statement and our Annual Report on Form 10-K for the fiscal year ended</w:t>
      </w:r>
    </w:p>
    <w:p>
      <w:pPr>
        <w:spacing w:after="0" w:line="46"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December 31, 2024, as filed with the Securities and Exchange Commission on February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1200150" cy="505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505460"/>
                    </a:xfrm>
                    <a:prstGeom prst="rect">
                      <a:avLst/>
                    </a:prstGeom>
                    <a:noFill/>
                  </pic:spPr>
                </pic:pic>
              </a:graphicData>
            </a:graphic>
          </wp:anchor>
        </w:drawing>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2025 are available at</w:t>
      </w:r>
    </w:p>
    <w:p>
      <w:pPr>
        <w:spacing w:after="0" w:line="48"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https://investor.enphase.com/shareholder-services/annual-meeting.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Badrinarayanan Kothandaraman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and Chief Executive Officer</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Fremont, California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b w:val="1"/>
          <w:bCs w:val="1"/>
          <w:color w:val="auto"/>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Enphase at a Glance</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1</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Proxy Summary</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2</w:t>
            </w:r>
          </w:p>
        </w:tc>
      </w:tr>
      <w:tr>
        <w:trPr>
          <w:trHeight w:val="242"/>
        </w:trPr>
        <w:tc>
          <w:tcPr>
            <w:tcW w:w="8940" w:type="dxa"/>
            <w:vAlign w:val="bottom"/>
          </w:tcPr>
          <w:p>
            <w:pPr>
              <w:ind w:left="20"/>
              <w:spacing w:after="0"/>
              <w:rPr>
                <w:sz w:val="20"/>
                <w:szCs w:val="20"/>
                <w:color w:val="auto"/>
              </w:rPr>
            </w:pPr>
            <w:r>
              <w:rPr>
                <w:rFonts w:ascii="Arial" w:cs="Arial" w:eastAsia="Arial" w:hAnsi="Arial"/>
                <w:sz w:val="16"/>
                <w:szCs w:val="16"/>
                <w:color w:val="auto"/>
              </w:rPr>
              <w:t>Board of Directors</w:t>
            </w:r>
          </w:p>
        </w:tc>
        <w:tc>
          <w:tcPr>
            <w:tcW w:w="2300" w:type="dxa"/>
            <w:vAlign w:val="bottom"/>
          </w:tcPr>
          <w:p>
            <w:pPr>
              <w:ind w:left="1460"/>
              <w:spacing w:after="0"/>
              <w:rPr>
                <w:sz w:val="20"/>
                <w:szCs w:val="20"/>
                <w:color w:val="auto"/>
              </w:rPr>
            </w:pPr>
            <w:r>
              <w:rPr>
                <w:rFonts w:ascii="Arial" w:cs="Arial" w:eastAsia="Arial" w:hAnsi="Arial"/>
                <w:sz w:val="16"/>
                <w:szCs w:val="16"/>
                <w:color w:val="auto"/>
              </w:rPr>
              <w:t>2</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Stockholder Outreach</w:t>
            </w:r>
          </w:p>
        </w:tc>
        <w:tc>
          <w:tcPr>
            <w:tcW w:w="2300" w:type="dxa"/>
            <w:vAlign w:val="bottom"/>
          </w:tcPr>
          <w:p>
            <w:pPr>
              <w:ind w:left="1460"/>
              <w:spacing w:after="0"/>
              <w:rPr>
                <w:sz w:val="20"/>
                <w:szCs w:val="20"/>
                <w:color w:val="auto"/>
              </w:rPr>
            </w:pPr>
            <w:r>
              <w:rPr>
                <w:rFonts w:ascii="Arial" w:cs="Arial" w:eastAsia="Arial" w:hAnsi="Arial"/>
                <w:sz w:val="16"/>
                <w:szCs w:val="16"/>
                <w:color w:val="auto"/>
              </w:rPr>
              <w:t>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Fiscal 2024 Compensation Highlights</w:t>
            </w:r>
          </w:p>
        </w:tc>
        <w:tc>
          <w:tcPr>
            <w:tcW w:w="2300" w:type="dxa"/>
            <w:vAlign w:val="bottom"/>
          </w:tcPr>
          <w:p>
            <w:pPr>
              <w:ind w:left="1460"/>
              <w:spacing w:after="0"/>
              <w:rPr>
                <w:sz w:val="20"/>
                <w:szCs w:val="20"/>
                <w:color w:val="auto"/>
              </w:rPr>
            </w:pPr>
            <w:r>
              <w:rPr>
                <w:rFonts w:ascii="Arial" w:cs="Arial" w:eastAsia="Arial" w:hAnsi="Arial"/>
                <w:sz w:val="16"/>
                <w:szCs w:val="16"/>
                <w:color w:val="auto"/>
              </w:rPr>
              <w:t>5</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Voting Roadmap and Vote Recommendations</w:t>
            </w:r>
          </w:p>
        </w:tc>
        <w:tc>
          <w:tcPr>
            <w:tcW w:w="2300" w:type="dxa"/>
            <w:vAlign w:val="bottom"/>
          </w:tcPr>
          <w:p>
            <w:pPr>
              <w:ind w:left="1460"/>
              <w:spacing w:after="0"/>
              <w:rPr>
                <w:sz w:val="20"/>
                <w:szCs w:val="20"/>
                <w:color w:val="auto"/>
              </w:rPr>
            </w:pPr>
            <w:r>
              <w:rPr>
                <w:rFonts w:ascii="Arial" w:cs="Arial" w:eastAsia="Arial" w:hAnsi="Arial"/>
                <w:sz w:val="16"/>
                <w:szCs w:val="16"/>
                <w:color w:val="auto"/>
              </w:rPr>
              <w:t>7</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Proposal 1: Election of Directors</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8</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Information Regarding Nominees and Continuing Directors</w:t>
            </w:r>
          </w:p>
        </w:tc>
        <w:tc>
          <w:tcPr>
            <w:tcW w:w="2300" w:type="dxa"/>
            <w:vAlign w:val="bottom"/>
          </w:tcPr>
          <w:p>
            <w:pPr>
              <w:ind w:left="1460"/>
              <w:spacing w:after="0"/>
              <w:rPr>
                <w:sz w:val="20"/>
                <w:szCs w:val="20"/>
                <w:color w:val="auto"/>
              </w:rPr>
            </w:pPr>
            <w:r>
              <w:rPr>
                <w:rFonts w:ascii="Arial" w:cs="Arial" w:eastAsia="Arial" w:hAnsi="Arial"/>
                <w:sz w:val="16"/>
                <w:szCs w:val="16"/>
                <w:color w:val="auto"/>
              </w:rPr>
              <w:t>9</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13</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Identifying and Evaluating Nominees for Directors</w:t>
            </w:r>
          </w:p>
        </w:tc>
        <w:tc>
          <w:tcPr>
            <w:tcW w:w="2300" w:type="dxa"/>
            <w:vAlign w:val="bottom"/>
          </w:tcPr>
          <w:p>
            <w:pPr>
              <w:ind w:left="1460"/>
              <w:spacing w:after="0"/>
              <w:rPr>
                <w:sz w:val="20"/>
                <w:szCs w:val="20"/>
                <w:color w:val="auto"/>
              </w:rPr>
            </w:pPr>
            <w:r>
              <w:rPr>
                <w:rFonts w:ascii="Arial" w:cs="Arial" w:eastAsia="Arial" w:hAnsi="Arial"/>
                <w:sz w:val="16"/>
                <w:szCs w:val="16"/>
                <w:color w:val="auto"/>
              </w:rPr>
              <w:t>13</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Director Independence</w:t>
            </w:r>
          </w:p>
        </w:tc>
        <w:tc>
          <w:tcPr>
            <w:tcW w:w="2300" w:type="dxa"/>
            <w:vAlign w:val="bottom"/>
          </w:tcPr>
          <w:p>
            <w:pPr>
              <w:ind w:left="1460"/>
              <w:spacing w:after="0"/>
              <w:rPr>
                <w:sz w:val="20"/>
                <w:szCs w:val="20"/>
                <w:color w:val="auto"/>
              </w:rPr>
            </w:pPr>
            <w:r>
              <w:rPr>
                <w:rFonts w:ascii="Arial" w:cs="Arial" w:eastAsia="Arial" w:hAnsi="Arial"/>
                <w:sz w:val="16"/>
                <w:szCs w:val="16"/>
                <w:color w:val="auto"/>
              </w:rPr>
              <w:t>13</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Board Composition and Refreshment; Director Tenure</w:t>
            </w:r>
          </w:p>
        </w:tc>
        <w:tc>
          <w:tcPr>
            <w:tcW w:w="2300" w:type="dxa"/>
            <w:vAlign w:val="bottom"/>
          </w:tcPr>
          <w:p>
            <w:pPr>
              <w:ind w:left="1460"/>
              <w:spacing w:after="0"/>
              <w:rPr>
                <w:sz w:val="20"/>
                <w:szCs w:val="20"/>
                <w:color w:val="auto"/>
              </w:rPr>
            </w:pPr>
            <w:r>
              <w:rPr>
                <w:rFonts w:ascii="Arial" w:cs="Arial" w:eastAsia="Arial" w:hAnsi="Arial"/>
                <w:sz w:val="16"/>
                <w:szCs w:val="16"/>
                <w:color w:val="auto"/>
              </w:rPr>
              <w:t>14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Board Leadership Structure</w:t>
            </w:r>
          </w:p>
        </w:tc>
        <w:tc>
          <w:tcPr>
            <w:tcW w:w="2300" w:type="dxa"/>
            <w:vAlign w:val="bottom"/>
          </w:tcPr>
          <w:p>
            <w:pPr>
              <w:ind w:left="1460"/>
              <w:spacing w:after="0"/>
              <w:rPr>
                <w:sz w:val="20"/>
                <w:szCs w:val="20"/>
                <w:color w:val="auto"/>
              </w:rPr>
            </w:pPr>
            <w:r>
              <w:rPr>
                <w:rFonts w:ascii="Arial" w:cs="Arial" w:eastAsia="Arial" w:hAnsi="Arial"/>
                <w:sz w:val="16"/>
                <w:szCs w:val="16"/>
                <w:color w:val="auto"/>
              </w:rPr>
              <w:t>14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Role of the Board in Risk Oversight</w:t>
            </w:r>
          </w:p>
        </w:tc>
        <w:tc>
          <w:tcPr>
            <w:tcW w:w="2300" w:type="dxa"/>
            <w:vAlign w:val="bottom"/>
          </w:tcPr>
          <w:p>
            <w:pPr>
              <w:ind w:left="1460"/>
              <w:spacing w:after="0"/>
              <w:rPr>
                <w:sz w:val="20"/>
                <w:szCs w:val="20"/>
                <w:color w:val="auto"/>
              </w:rPr>
            </w:pPr>
            <w:r>
              <w:rPr>
                <w:rFonts w:ascii="Arial" w:cs="Arial" w:eastAsia="Arial" w:hAnsi="Arial"/>
                <w:sz w:val="16"/>
                <w:szCs w:val="16"/>
                <w:color w:val="auto"/>
              </w:rPr>
              <w:t>14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Corporate Governance Guidelines</w:t>
            </w:r>
          </w:p>
        </w:tc>
        <w:tc>
          <w:tcPr>
            <w:tcW w:w="2300" w:type="dxa"/>
            <w:vAlign w:val="bottom"/>
          </w:tcPr>
          <w:p>
            <w:pPr>
              <w:ind w:left="1460"/>
              <w:spacing w:after="0"/>
              <w:rPr>
                <w:sz w:val="20"/>
                <w:szCs w:val="20"/>
                <w:color w:val="auto"/>
              </w:rPr>
            </w:pPr>
            <w:r>
              <w:rPr>
                <w:rFonts w:ascii="Arial" w:cs="Arial" w:eastAsia="Arial" w:hAnsi="Arial"/>
                <w:sz w:val="16"/>
                <w:szCs w:val="16"/>
                <w:color w:val="auto"/>
              </w:rPr>
              <w:t>15</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Code of Conduct</w:t>
            </w:r>
          </w:p>
        </w:tc>
        <w:tc>
          <w:tcPr>
            <w:tcW w:w="2300" w:type="dxa"/>
            <w:vAlign w:val="bottom"/>
          </w:tcPr>
          <w:p>
            <w:pPr>
              <w:ind w:left="1460"/>
              <w:spacing w:after="0"/>
              <w:rPr>
                <w:sz w:val="20"/>
                <w:szCs w:val="20"/>
                <w:color w:val="auto"/>
              </w:rPr>
            </w:pPr>
            <w:r>
              <w:rPr>
                <w:rFonts w:ascii="Arial" w:cs="Arial" w:eastAsia="Arial" w:hAnsi="Arial"/>
                <w:sz w:val="16"/>
                <w:szCs w:val="16"/>
                <w:color w:val="auto"/>
              </w:rPr>
              <w:t>15</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Insider Trading Policy</w:t>
            </w:r>
          </w:p>
        </w:tc>
        <w:tc>
          <w:tcPr>
            <w:tcW w:w="2300" w:type="dxa"/>
            <w:vAlign w:val="bottom"/>
          </w:tcPr>
          <w:p>
            <w:pPr>
              <w:ind w:left="1460"/>
              <w:spacing w:after="0"/>
              <w:rPr>
                <w:sz w:val="20"/>
                <w:szCs w:val="20"/>
                <w:color w:val="auto"/>
              </w:rPr>
            </w:pPr>
            <w:r>
              <w:rPr>
                <w:rFonts w:ascii="Arial" w:cs="Arial" w:eastAsia="Arial" w:hAnsi="Arial"/>
                <w:sz w:val="16"/>
                <w:szCs w:val="16"/>
                <w:color w:val="auto"/>
              </w:rPr>
              <w:t>15</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Sustainability</w:t>
            </w:r>
          </w:p>
        </w:tc>
        <w:tc>
          <w:tcPr>
            <w:tcW w:w="2300" w:type="dxa"/>
            <w:vAlign w:val="bottom"/>
          </w:tcPr>
          <w:p>
            <w:pPr>
              <w:ind w:left="1460"/>
              <w:spacing w:after="0"/>
              <w:rPr>
                <w:sz w:val="20"/>
                <w:szCs w:val="20"/>
                <w:color w:val="auto"/>
              </w:rPr>
            </w:pPr>
            <w:r>
              <w:rPr>
                <w:rFonts w:ascii="Arial" w:cs="Arial" w:eastAsia="Arial" w:hAnsi="Arial"/>
                <w:sz w:val="16"/>
                <w:szCs w:val="16"/>
                <w:color w:val="auto"/>
              </w:rPr>
              <w:t>16</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Meetings of the Board and Committees</w:t>
            </w:r>
          </w:p>
        </w:tc>
        <w:tc>
          <w:tcPr>
            <w:tcW w:w="2300" w:type="dxa"/>
            <w:vAlign w:val="bottom"/>
          </w:tcPr>
          <w:p>
            <w:pPr>
              <w:ind w:left="1460"/>
              <w:spacing w:after="0"/>
              <w:rPr>
                <w:sz w:val="20"/>
                <w:szCs w:val="20"/>
                <w:color w:val="auto"/>
              </w:rPr>
            </w:pPr>
            <w:r>
              <w:rPr>
                <w:rFonts w:ascii="Arial" w:cs="Arial" w:eastAsia="Arial" w:hAnsi="Arial"/>
                <w:sz w:val="16"/>
                <w:szCs w:val="16"/>
                <w:color w:val="auto"/>
              </w:rPr>
              <w:t>16</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Information Regarding Committees of the Board</w:t>
            </w:r>
          </w:p>
        </w:tc>
        <w:tc>
          <w:tcPr>
            <w:tcW w:w="2300" w:type="dxa"/>
            <w:vAlign w:val="bottom"/>
          </w:tcPr>
          <w:p>
            <w:pPr>
              <w:ind w:left="1460"/>
              <w:spacing w:after="0"/>
              <w:rPr>
                <w:sz w:val="20"/>
                <w:szCs w:val="20"/>
                <w:color w:val="auto"/>
              </w:rPr>
            </w:pPr>
            <w:r>
              <w:rPr>
                <w:rFonts w:ascii="Arial" w:cs="Arial" w:eastAsia="Arial" w:hAnsi="Arial"/>
                <w:sz w:val="16"/>
                <w:szCs w:val="16"/>
                <w:color w:val="auto"/>
              </w:rPr>
              <w:t>16</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Board and Committee Evaluations</w:t>
            </w:r>
          </w:p>
        </w:tc>
        <w:tc>
          <w:tcPr>
            <w:tcW w:w="2300" w:type="dxa"/>
            <w:vAlign w:val="bottom"/>
          </w:tcPr>
          <w:p>
            <w:pPr>
              <w:ind w:left="1460"/>
              <w:spacing w:after="0"/>
              <w:rPr>
                <w:sz w:val="20"/>
                <w:szCs w:val="20"/>
                <w:color w:val="auto"/>
              </w:rPr>
            </w:pPr>
            <w:r>
              <w:rPr>
                <w:rFonts w:ascii="Arial" w:cs="Arial" w:eastAsia="Arial" w:hAnsi="Arial"/>
                <w:sz w:val="16"/>
                <w:szCs w:val="16"/>
                <w:color w:val="auto"/>
              </w:rPr>
              <w:t>19</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Communications with the Board</w:t>
            </w:r>
          </w:p>
        </w:tc>
        <w:tc>
          <w:tcPr>
            <w:tcW w:w="2300" w:type="dxa"/>
            <w:vAlign w:val="bottom"/>
          </w:tcPr>
          <w:p>
            <w:pPr>
              <w:ind w:left="1460"/>
              <w:spacing w:after="0"/>
              <w:rPr>
                <w:sz w:val="20"/>
                <w:szCs w:val="20"/>
                <w:color w:val="auto"/>
              </w:rPr>
            </w:pPr>
            <w:r>
              <w:rPr>
                <w:rFonts w:ascii="Arial" w:cs="Arial" w:eastAsia="Arial" w:hAnsi="Arial"/>
                <w:sz w:val="16"/>
                <w:szCs w:val="16"/>
                <w:color w:val="auto"/>
              </w:rPr>
              <w:t>19</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Director Compensation</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20</w:t>
            </w:r>
          </w:p>
        </w:tc>
      </w:tr>
      <w:tr>
        <w:trPr>
          <w:trHeight w:val="418"/>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Management</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23</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24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Compensation Discussion and Analysis</w:t>
            </w:r>
          </w:p>
        </w:tc>
        <w:tc>
          <w:tcPr>
            <w:tcW w:w="2300" w:type="dxa"/>
            <w:vAlign w:val="bottom"/>
          </w:tcPr>
          <w:p>
            <w:pPr>
              <w:ind w:left="1460"/>
              <w:spacing w:after="0"/>
              <w:rPr>
                <w:sz w:val="20"/>
                <w:szCs w:val="20"/>
                <w:color w:val="auto"/>
              </w:rPr>
            </w:pPr>
            <w:r>
              <w:rPr>
                <w:rFonts w:ascii="Arial" w:cs="Arial" w:eastAsia="Arial" w:hAnsi="Arial"/>
                <w:sz w:val="16"/>
                <w:szCs w:val="16"/>
                <w:color w:val="auto"/>
              </w:rPr>
              <w:t>24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Compensation Committee Report</w:t>
            </w:r>
          </w:p>
        </w:tc>
        <w:tc>
          <w:tcPr>
            <w:tcW w:w="2300" w:type="dxa"/>
            <w:vAlign w:val="bottom"/>
          </w:tcPr>
          <w:p>
            <w:pPr>
              <w:ind w:left="1460"/>
              <w:spacing w:after="0"/>
              <w:rPr>
                <w:sz w:val="20"/>
                <w:szCs w:val="20"/>
                <w:color w:val="auto"/>
              </w:rPr>
            </w:pPr>
            <w:r>
              <w:rPr>
                <w:rFonts w:ascii="Arial" w:cs="Arial" w:eastAsia="Arial" w:hAnsi="Arial"/>
                <w:sz w:val="16"/>
                <w:szCs w:val="16"/>
                <w:color w:val="auto"/>
              </w:rPr>
              <w:t>45</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Executive Compensation Tables</w:t>
            </w:r>
          </w:p>
        </w:tc>
        <w:tc>
          <w:tcPr>
            <w:tcW w:w="2300" w:type="dxa"/>
            <w:vAlign w:val="bottom"/>
          </w:tcPr>
          <w:p>
            <w:pPr>
              <w:ind w:left="1460"/>
              <w:spacing w:after="0"/>
              <w:rPr>
                <w:sz w:val="20"/>
                <w:szCs w:val="20"/>
                <w:color w:val="auto"/>
              </w:rPr>
            </w:pPr>
            <w:r>
              <w:rPr>
                <w:rFonts w:ascii="Arial" w:cs="Arial" w:eastAsia="Arial" w:hAnsi="Arial"/>
                <w:sz w:val="16"/>
                <w:szCs w:val="16"/>
                <w:color w:val="auto"/>
              </w:rPr>
              <w:t>46</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Employment Contracts and Termination of Employment and Change of Control Arrangements</w:t>
            </w:r>
          </w:p>
        </w:tc>
        <w:tc>
          <w:tcPr>
            <w:tcW w:w="2300" w:type="dxa"/>
            <w:vAlign w:val="bottom"/>
          </w:tcPr>
          <w:p>
            <w:pPr>
              <w:ind w:left="1460"/>
              <w:spacing w:after="0"/>
              <w:rPr>
                <w:sz w:val="20"/>
                <w:szCs w:val="20"/>
                <w:color w:val="auto"/>
              </w:rPr>
            </w:pPr>
            <w:r>
              <w:rPr>
                <w:rFonts w:ascii="Arial" w:cs="Arial" w:eastAsia="Arial" w:hAnsi="Arial"/>
                <w:sz w:val="16"/>
                <w:szCs w:val="16"/>
                <w:color w:val="auto"/>
              </w:rPr>
              <w:t>50</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CEO Pay Ratio</w:t>
            </w:r>
          </w:p>
        </w:tc>
        <w:tc>
          <w:tcPr>
            <w:tcW w:w="2300" w:type="dxa"/>
            <w:vAlign w:val="bottom"/>
          </w:tcPr>
          <w:p>
            <w:pPr>
              <w:ind w:left="1460"/>
              <w:spacing w:after="0"/>
              <w:rPr>
                <w:sz w:val="20"/>
                <w:szCs w:val="20"/>
                <w:color w:val="auto"/>
              </w:rPr>
            </w:pPr>
            <w:r>
              <w:rPr>
                <w:rFonts w:ascii="Arial" w:cs="Arial" w:eastAsia="Arial" w:hAnsi="Arial"/>
                <w:sz w:val="16"/>
                <w:szCs w:val="16"/>
                <w:color w:val="auto"/>
              </w:rPr>
              <w:t>54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Policies and Practices Related to the Grant of Certain Equity Awards</w:t>
            </w:r>
          </w:p>
        </w:tc>
        <w:tc>
          <w:tcPr>
            <w:tcW w:w="2300" w:type="dxa"/>
            <w:vAlign w:val="bottom"/>
          </w:tcPr>
          <w:p>
            <w:pPr>
              <w:ind w:left="1460"/>
              <w:spacing w:after="0"/>
              <w:rPr>
                <w:sz w:val="20"/>
                <w:szCs w:val="20"/>
                <w:color w:val="auto"/>
              </w:rPr>
            </w:pPr>
            <w:r>
              <w:rPr>
                <w:rFonts w:ascii="Arial" w:cs="Arial" w:eastAsia="Arial" w:hAnsi="Arial"/>
                <w:sz w:val="16"/>
                <w:szCs w:val="16"/>
                <w:color w:val="auto"/>
              </w:rPr>
              <w:t>54</w:t>
            </w:r>
          </w:p>
        </w:tc>
      </w:tr>
      <w:tr>
        <w:trPr>
          <w:trHeight w:val="243"/>
        </w:trPr>
        <w:tc>
          <w:tcPr>
            <w:tcW w:w="8940" w:type="dxa"/>
            <w:vAlign w:val="bottom"/>
          </w:tcPr>
          <w:p>
            <w:pPr>
              <w:ind w:left="20"/>
              <w:spacing w:after="0"/>
              <w:rPr>
                <w:sz w:val="20"/>
                <w:szCs w:val="20"/>
                <w:color w:val="auto"/>
              </w:rPr>
            </w:pPr>
            <w:r>
              <w:rPr>
                <w:rFonts w:ascii="Arial" w:cs="Arial" w:eastAsia="Arial" w:hAnsi="Arial"/>
                <w:sz w:val="16"/>
                <w:szCs w:val="16"/>
                <w:color w:val="auto"/>
              </w:rPr>
              <w:t>Pay Versus Performance</w:t>
            </w:r>
          </w:p>
        </w:tc>
        <w:tc>
          <w:tcPr>
            <w:tcW w:w="2300" w:type="dxa"/>
            <w:vAlign w:val="bottom"/>
          </w:tcPr>
          <w:p>
            <w:pPr>
              <w:ind w:left="1460"/>
              <w:spacing w:after="0"/>
              <w:rPr>
                <w:sz w:val="20"/>
                <w:szCs w:val="20"/>
                <w:color w:val="auto"/>
              </w:rPr>
            </w:pPr>
            <w:r>
              <w:rPr>
                <w:rFonts w:ascii="Arial" w:cs="Arial" w:eastAsia="Arial" w:hAnsi="Arial"/>
                <w:sz w:val="16"/>
                <w:szCs w:val="16"/>
                <w:color w:val="auto"/>
              </w:rPr>
              <w:t>55</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Proposal 2: Advisory Vote to Approve Executive Compensation</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58</w:t>
            </w:r>
          </w:p>
        </w:tc>
      </w:tr>
      <w:tr>
        <w:trPr>
          <w:trHeight w:val="418"/>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Proposal 3: Approval of Amendment and Restatement of 2021 Equity Incentive Plan</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59</w:t>
            </w:r>
          </w:p>
        </w:tc>
      </w:tr>
      <w:tr>
        <w:trPr>
          <w:trHeight w:val="41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Proposal 4: Ratification of Selection of Independent Registered Public Accounting Firm</w:t>
            </w:r>
          </w:p>
        </w:tc>
        <w:tc>
          <w:tcPr>
            <w:tcW w:w="2300" w:type="dxa"/>
            <w:vAlign w:val="bottom"/>
          </w:tcPr>
          <w:p>
            <w:pPr>
              <w:ind w:left="1460"/>
              <w:spacing w:after="0"/>
              <w:rPr>
                <w:sz w:val="20"/>
                <w:szCs w:val="20"/>
                <w:color w:val="auto"/>
              </w:rPr>
            </w:pPr>
            <w:r>
              <w:rPr>
                <w:rFonts w:ascii="Arial" w:cs="Arial" w:eastAsia="Arial" w:hAnsi="Arial"/>
                <w:sz w:val="18"/>
                <w:szCs w:val="18"/>
                <w:b w:val="1"/>
                <w:bCs w:val="1"/>
                <w:color w:val="auto"/>
              </w:rPr>
              <w:t>71</w:t>
            </w:r>
          </w:p>
        </w:tc>
      </w:tr>
      <w:tr>
        <w:trPr>
          <w:trHeight w:val="1007"/>
        </w:trPr>
        <w:tc>
          <w:tcPr>
            <w:tcW w:w="8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Report of the Audit Committee of the Board</w:t>
            </w:r>
          </w:p>
        </w:tc>
        <w:tc>
          <w:tcPr>
            <w:tcW w:w="2180" w:type="dxa"/>
            <w:vAlign w:val="bottom"/>
          </w:tcPr>
          <w:p>
            <w:pPr>
              <w:ind w:left="1340"/>
              <w:spacing w:after="0"/>
              <w:rPr>
                <w:sz w:val="20"/>
                <w:szCs w:val="20"/>
                <w:color w:val="auto"/>
              </w:rPr>
            </w:pPr>
            <w:r>
              <w:rPr>
                <w:rFonts w:ascii="Arial" w:cs="Arial" w:eastAsia="Arial" w:hAnsi="Arial"/>
                <w:sz w:val="18"/>
                <w:szCs w:val="18"/>
                <w:b w:val="1"/>
                <w:bCs w:val="1"/>
                <w:color w:val="auto"/>
              </w:rPr>
              <w:t>73</w:t>
            </w:r>
          </w:p>
        </w:tc>
      </w:tr>
      <w:tr>
        <w:trPr>
          <w:trHeight w:val="418"/>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2180" w:type="dxa"/>
            <w:vAlign w:val="bottom"/>
          </w:tcPr>
          <w:p>
            <w:pPr>
              <w:ind w:left="1340"/>
              <w:spacing w:after="0"/>
              <w:rPr>
                <w:sz w:val="20"/>
                <w:szCs w:val="20"/>
                <w:color w:val="auto"/>
              </w:rPr>
            </w:pPr>
            <w:r>
              <w:rPr>
                <w:rFonts w:ascii="Arial" w:cs="Arial" w:eastAsia="Arial" w:hAnsi="Arial"/>
                <w:sz w:val="18"/>
                <w:szCs w:val="18"/>
                <w:b w:val="1"/>
                <w:bCs w:val="1"/>
                <w:color w:val="auto"/>
              </w:rPr>
              <w:t>74</w:t>
            </w:r>
          </w:p>
        </w:tc>
      </w:tr>
      <w:tr>
        <w:trPr>
          <w:trHeight w:val="243"/>
        </w:trPr>
        <w:tc>
          <w:tcPr>
            <w:tcW w:w="9060" w:type="dxa"/>
            <w:vAlign w:val="bottom"/>
          </w:tcPr>
          <w:p>
            <w:pPr>
              <w:ind w:left="20"/>
              <w:spacing w:after="0"/>
              <w:rPr>
                <w:sz w:val="20"/>
                <w:szCs w:val="20"/>
                <w:color w:val="auto"/>
              </w:rPr>
            </w:pPr>
            <w:r>
              <w:rPr>
                <w:rFonts w:ascii="Arial" w:cs="Arial" w:eastAsia="Arial" w:hAnsi="Arial"/>
                <w:sz w:val="16"/>
                <w:szCs w:val="16"/>
                <w:color w:val="auto"/>
              </w:rPr>
              <w:t>Security Ownership of Certain Beneficial Owners and Management</w:t>
            </w:r>
          </w:p>
        </w:tc>
        <w:tc>
          <w:tcPr>
            <w:tcW w:w="2180" w:type="dxa"/>
            <w:vAlign w:val="bottom"/>
          </w:tcPr>
          <w:p>
            <w:pPr>
              <w:ind w:left="1340"/>
              <w:spacing w:after="0"/>
              <w:rPr>
                <w:sz w:val="20"/>
                <w:szCs w:val="20"/>
                <w:color w:val="auto"/>
              </w:rPr>
            </w:pPr>
            <w:r>
              <w:rPr>
                <w:rFonts w:ascii="Arial" w:cs="Arial" w:eastAsia="Arial" w:hAnsi="Arial"/>
                <w:sz w:val="16"/>
                <w:szCs w:val="16"/>
                <w:color w:val="auto"/>
              </w:rPr>
              <w:t>74</w:t>
            </w:r>
          </w:p>
        </w:tc>
      </w:tr>
      <w:tr>
        <w:trPr>
          <w:trHeight w:val="243"/>
        </w:trPr>
        <w:tc>
          <w:tcPr>
            <w:tcW w:w="9060" w:type="dxa"/>
            <w:vAlign w:val="bottom"/>
          </w:tcPr>
          <w:p>
            <w:pPr>
              <w:ind w:left="20"/>
              <w:spacing w:after="0"/>
              <w:rPr>
                <w:sz w:val="20"/>
                <w:szCs w:val="20"/>
                <w:color w:val="auto"/>
              </w:rPr>
            </w:pPr>
            <w:r>
              <w:rPr>
                <w:rFonts w:ascii="Arial" w:cs="Arial" w:eastAsia="Arial" w:hAnsi="Arial"/>
                <w:sz w:val="16"/>
                <w:szCs w:val="16"/>
                <w:color w:val="auto"/>
              </w:rPr>
              <w:t>Equity Compensation Plan Information</w:t>
            </w:r>
          </w:p>
        </w:tc>
        <w:tc>
          <w:tcPr>
            <w:tcW w:w="2180" w:type="dxa"/>
            <w:vAlign w:val="bottom"/>
          </w:tcPr>
          <w:p>
            <w:pPr>
              <w:ind w:left="1340"/>
              <w:spacing w:after="0"/>
              <w:rPr>
                <w:sz w:val="20"/>
                <w:szCs w:val="20"/>
                <w:color w:val="auto"/>
              </w:rPr>
            </w:pPr>
            <w:r>
              <w:rPr>
                <w:rFonts w:ascii="Arial" w:cs="Arial" w:eastAsia="Arial" w:hAnsi="Arial"/>
                <w:sz w:val="16"/>
                <w:szCs w:val="16"/>
                <w:color w:val="auto"/>
              </w:rPr>
              <w:t>76</w:t>
            </w:r>
          </w:p>
        </w:tc>
      </w:tr>
      <w:tr>
        <w:trPr>
          <w:trHeight w:val="243"/>
        </w:trPr>
        <w:tc>
          <w:tcPr>
            <w:tcW w:w="9060" w:type="dxa"/>
            <w:vAlign w:val="bottom"/>
          </w:tcPr>
          <w:p>
            <w:pPr>
              <w:ind w:left="20"/>
              <w:spacing w:after="0"/>
              <w:rPr>
                <w:sz w:val="20"/>
                <w:szCs w:val="20"/>
                <w:color w:val="auto"/>
              </w:rPr>
            </w:pPr>
            <w:r>
              <w:rPr>
                <w:rFonts w:ascii="Arial" w:cs="Arial" w:eastAsia="Arial" w:hAnsi="Arial"/>
                <w:sz w:val="16"/>
                <w:szCs w:val="16"/>
                <w:color w:val="auto"/>
              </w:rPr>
              <w:t>Transactions with Related Persons</w:t>
            </w:r>
          </w:p>
        </w:tc>
        <w:tc>
          <w:tcPr>
            <w:tcW w:w="2180" w:type="dxa"/>
            <w:vAlign w:val="bottom"/>
          </w:tcPr>
          <w:p>
            <w:pPr>
              <w:ind w:left="1340"/>
              <w:spacing w:after="0"/>
              <w:rPr>
                <w:sz w:val="20"/>
                <w:szCs w:val="20"/>
                <w:color w:val="auto"/>
              </w:rPr>
            </w:pPr>
            <w:r>
              <w:rPr>
                <w:rFonts w:ascii="Arial" w:cs="Arial" w:eastAsia="Arial" w:hAnsi="Arial"/>
                <w:sz w:val="16"/>
                <w:szCs w:val="16"/>
                <w:color w:val="auto"/>
              </w:rPr>
              <w:t>77</w:t>
            </w:r>
          </w:p>
        </w:tc>
      </w:tr>
      <w:tr>
        <w:trPr>
          <w:trHeight w:val="243"/>
        </w:trPr>
        <w:tc>
          <w:tcPr>
            <w:tcW w:w="9060" w:type="dxa"/>
            <w:vAlign w:val="bottom"/>
          </w:tcPr>
          <w:p>
            <w:pPr>
              <w:ind w:left="20"/>
              <w:spacing w:after="0"/>
              <w:rPr>
                <w:sz w:val="20"/>
                <w:szCs w:val="20"/>
                <w:color w:val="auto"/>
              </w:rPr>
            </w:pPr>
            <w:r>
              <w:rPr>
                <w:rFonts w:ascii="Arial" w:cs="Arial" w:eastAsia="Arial" w:hAnsi="Arial"/>
                <w:sz w:val="16"/>
                <w:szCs w:val="16"/>
                <w:color w:val="auto"/>
              </w:rPr>
              <w:t>Delinquent Section 16(a) Reports</w:t>
            </w:r>
          </w:p>
        </w:tc>
        <w:tc>
          <w:tcPr>
            <w:tcW w:w="2180" w:type="dxa"/>
            <w:vAlign w:val="bottom"/>
          </w:tcPr>
          <w:p>
            <w:pPr>
              <w:ind w:left="1340"/>
              <w:spacing w:after="0"/>
              <w:rPr>
                <w:sz w:val="20"/>
                <w:szCs w:val="20"/>
                <w:color w:val="auto"/>
              </w:rPr>
            </w:pPr>
            <w:r>
              <w:rPr>
                <w:rFonts w:ascii="Arial" w:cs="Arial" w:eastAsia="Arial" w:hAnsi="Arial"/>
                <w:sz w:val="16"/>
                <w:szCs w:val="16"/>
                <w:color w:val="auto"/>
              </w:rPr>
              <w:t>77</w:t>
            </w:r>
          </w:p>
        </w:tc>
      </w:tr>
      <w:tr>
        <w:trPr>
          <w:trHeight w:val="243"/>
        </w:trPr>
        <w:tc>
          <w:tcPr>
            <w:tcW w:w="9060" w:type="dxa"/>
            <w:vAlign w:val="bottom"/>
          </w:tcPr>
          <w:p>
            <w:pPr>
              <w:ind w:left="20"/>
              <w:spacing w:after="0"/>
              <w:rPr>
                <w:sz w:val="20"/>
                <w:szCs w:val="20"/>
                <w:color w:val="auto"/>
              </w:rPr>
            </w:pPr>
            <w:r>
              <w:rPr>
                <w:rFonts w:ascii="Arial" w:cs="Arial" w:eastAsia="Arial" w:hAnsi="Arial"/>
                <w:sz w:val="16"/>
                <w:szCs w:val="16"/>
                <w:color w:val="auto"/>
              </w:rPr>
              <w:t>Householding of Proxy Materials</w:t>
            </w:r>
          </w:p>
        </w:tc>
        <w:tc>
          <w:tcPr>
            <w:tcW w:w="2180" w:type="dxa"/>
            <w:vAlign w:val="bottom"/>
          </w:tcPr>
          <w:p>
            <w:pPr>
              <w:ind w:left="1340"/>
              <w:spacing w:after="0"/>
              <w:rPr>
                <w:sz w:val="20"/>
                <w:szCs w:val="20"/>
                <w:color w:val="auto"/>
              </w:rPr>
            </w:pPr>
            <w:r>
              <w:rPr>
                <w:rFonts w:ascii="Arial" w:cs="Arial" w:eastAsia="Arial" w:hAnsi="Arial"/>
                <w:sz w:val="16"/>
                <w:szCs w:val="16"/>
                <w:color w:val="auto"/>
              </w:rPr>
              <w:t>77</w:t>
            </w:r>
          </w:p>
        </w:tc>
      </w:tr>
      <w:tr>
        <w:trPr>
          <w:trHeight w:val="243"/>
        </w:trPr>
        <w:tc>
          <w:tcPr>
            <w:tcW w:w="9060" w:type="dxa"/>
            <w:vAlign w:val="bottom"/>
          </w:tcPr>
          <w:p>
            <w:pPr>
              <w:ind w:left="20"/>
              <w:spacing w:after="0"/>
              <w:rPr>
                <w:sz w:val="20"/>
                <w:szCs w:val="20"/>
                <w:color w:val="auto"/>
              </w:rPr>
            </w:pPr>
            <w:r>
              <w:rPr>
                <w:rFonts w:ascii="Arial" w:cs="Arial" w:eastAsia="Arial" w:hAnsi="Arial"/>
                <w:sz w:val="16"/>
                <w:szCs w:val="16"/>
                <w:color w:val="auto"/>
              </w:rPr>
              <w:t>Other Matters</w:t>
            </w:r>
          </w:p>
        </w:tc>
        <w:tc>
          <w:tcPr>
            <w:tcW w:w="2180" w:type="dxa"/>
            <w:vAlign w:val="bottom"/>
          </w:tcPr>
          <w:p>
            <w:pPr>
              <w:ind w:left="1340"/>
              <w:spacing w:after="0"/>
              <w:rPr>
                <w:sz w:val="20"/>
                <w:szCs w:val="20"/>
                <w:color w:val="auto"/>
              </w:rPr>
            </w:pPr>
            <w:r>
              <w:rPr>
                <w:rFonts w:ascii="Arial" w:cs="Arial" w:eastAsia="Arial" w:hAnsi="Arial"/>
                <w:sz w:val="16"/>
                <w:szCs w:val="16"/>
                <w:color w:val="auto"/>
              </w:rPr>
              <w:t>78</w:t>
            </w:r>
          </w:p>
        </w:tc>
      </w:tr>
      <w:tr>
        <w:trPr>
          <w:trHeight w:val="419"/>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Questions and Answers about these Proxy Materials and Voting</w:t>
            </w:r>
          </w:p>
        </w:tc>
        <w:tc>
          <w:tcPr>
            <w:tcW w:w="2180" w:type="dxa"/>
            <w:vAlign w:val="bottom"/>
          </w:tcPr>
          <w:p>
            <w:pPr>
              <w:ind w:left="1340"/>
              <w:spacing w:after="0"/>
              <w:rPr>
                <w:sz w:val="20"/>
                <w:szCs w:val="20"/>
                <w:color w:val="auto"/>
              </w:rPr>
            </w:pPr>
            <w:r>
              <w:rPr>
                <w:rFonts w:ascii="Arial" w:cs="Arial" w:eastAsia="Arial" w:hAnsi="Arial"/>
                <w:sz w:val="18"/>
                <w:szCs w:val="18"/>
                <w:b w:val="1"/>
                <w:bCs w:val="1"/>
                <w:color w:val="auto"/>
              </w:rPr>
              <w:t>79</w:t>
            </w:r>
          </w:p>
        </w:tc>
      </w:tr>
      <w:tr>
        <w:trPr>
          <w:trHeight w:val="418"/>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Appendix A-Reconciliation of GAAP Financial Measures to Non-GAAP Financial Measures</w:t>
            </w:r>
          </w:p>
        </w:tc>
        <w:tc>
          <w:tcPr>
            <w:tcW w:w="2180" w:type="dxa"/>
            <w:vAlign w:val="bottom"/>
          </w:tcPr>
          <w:p>
            <w:pPr>
              <w:ind w:left="1340"/>
              <w:spacing w:after="0"/>
              <w:rPr>
                <w:sz w:val="20"/>
                <w:szCs w:val="20"/>
                <w:color w:val="auto"/>
              </w:rPr>
            </w:pPr>
            <w:r>
              <w:rPr>
                <w:rFonts w:ascii="Arial" w:cs="Arial" w:eastAsia="Arial" w:hAnsi="Arial"/>
                <w:sz w:val="18"/>
                <w:szCs w:val="18"/>
                <w:b w:val="1"/>
                <w:bCs w:val="1"/>
                <w:color w:val="auto"/>
              </w:rPr>
              <w:t>A-1</w:t>
            </w:r>
          </w:p>
        </w:tc>
      </w:tr>
      <w:tr>
        <w:trPr>
          <w:trHeight w:val="418"/>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Appendix B-Enphase Energy, Inc. Amended and Restated 2021 Equity Incentive Plan</w:t>
            </w:r>
          </w:p>
        </w:tc>
        <w:tc>
          <w:tcPr>
            <w:tcW w:w="2180" w:type="dxa"/>
            <w:vAlign w:val="bottom"/>
          </w:tcPr>
          <w:p>
            <w:pPr>
              <w:ind w:left="1340"/>
              <w:spacing w:after="0"/>
              <w:rPr>
                <w:sz w:val="20"/>
                <w:szCs w:val="20"/>
                <w:color w:val="auto"/>
              </w:rPr>
            </w:pPr>
            <w:r>
              <w:rPr>
                <w:rFonts w:ascii="Arial" w:cs="Arial" w:eastAsia="Arial" w:hAnsi="Arial"/>
                <w:sz w:val="18"/>
                <w:szCs w:val="18"/>
                <w:b w:val="1"/>
                <w:bCs w:val="1"/>
                <w:color w:val="auto"/>
              </w:rPr>
              <w:t>B-1</w:t>
            </w:r>
          </w:p>
        </w:tc>
      </w:tr>
      <w:tr>
        <w:trPr>
          <w:trHeight w:val="873"/>
        </w:trPr>
        <w:tc>
          <w:tcPr>
            <w:tcW w:w="90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623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623935"/>
                    </a:xfrm>
                    <a:prstGeom prst="rect">
                      <a:avLst/>
                    </a:prstGeom>
                    <a:noFill/>
                  </pic:spPr>
                </pic:pic>
              </a:graphicData>
            </a:graphic>
          </wp:anchor>
        </w:drawing>
        <w:t>Enphase at a Glance</w:t>
      </w:r>
    </w:p>
    <w:p>
      <w:pPr>
        <w:spacing w:after="0" w:line="358"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build best-in-class home energy systems and deliver them to homeowners through our installer and distribution partners, enabled by a comprehensive digital platform. In 2024, we continued to innovate, focus on installers and homeowners, and maintained a solid balance sheet.</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1740" w:right="240"/>
        <w:spacing w:after="0" w:line="329" w:lineRule="auto"/>
        <w:rPr>
          <w:sz w:val="20"/>
          <w:szCs w:val="20"/>
          <w:color w:val="auto"/>
        </w:rPr>
      </w:pPr>
      <w:r>
        <w:rPr>
          <w:rFonts w:ascii="Arial" w:cs="Arial" w:eastAsia="Arial" w:hAnsi="Arial"/>
          <w:sz w:val="16"/>
          <w:szCs w:val="16"/>
          <w:color w:val="auto"/>
        </w:rPr>
        <w:t>Founded in 2006, with 2,781 employees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37" w:lineRule="exact"/>
        <w:rPr>
          <w:sz w:val="20"/>
          <w:szCs w:val="20"/>
          <w:color w:val="auto"/>
        </w:rPr>
      </w:pPr>
    </w:p>
    <w:p>
      <w:pPr>
        <w:ind w:left="1740" w:right="420"/>
        <w:spacing w:after="0" w:line="316" w:lineRule="auto"/>
        <w:rPr>
          <w:sz w:val="20"/>
          <w:szCs w:val="20"/>
          <w:color w:val="auto"/>
        </w:rPr>
      </w:pPr>
      <w:r>
        <w:rPr>
          <w:rFonts w:ascii="Arial" w:cs="Arial" w:eastAsia="Arial" w:hAnsi="Arial"/>
          <w:sz w:val="16"/>
          <w:szCs w:val="16"/>
          <w:color w:val="auto"/>
        </w:rPr>
        <w:t>More than 1,900 installers in the Enphase Installer Network</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740" w:right="340"/>
        <w:spacing w:after="0" w:line="316" w:lineRule="auto"/>
        <w:rPr>
          <w:sz w:val="20"/>
          <w:szCs w:val="20"/>
          <w:color w:val="auto"/>
        </w:rPr>
      </w:pPr>
      <w:r>
        <w:rPr>
          <w:rFonts w:ascii="Arial" w:cs="Arial" w:eastAsia="Arial" w:hAnsi="Arial"/>
          <w:sz w:val="16"/>
          <w:szCs w:val="16"/>
          <w:color w:val="auto"/>
        </w:rPr>
        <w:t>More than 10,300 installers worldwide certified on IQ® Batteries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53" w:lineRule="exact"/>
        <w:rPr>
          <w:sz w:val="20"/>
          <w:szCs w:val="20"/>
          <w:color w:val="auto"/>
        </w:rPr>
      </w:pPr>
    </w:p>
    <w:p>
      <w:pPr>
        <w:ind w:left="1740" w:right="140"/>
        <w:spacing w:after="0" w:line="339" w:lineRule="auto"/>
        <w:rPr>
          <w:sz w:val="20"/>
          <w:szCs w:val="20"/>
          <w:color w:val="auto"/>
        </w:rPr>
      </w:pPr>
      <w:r>
        <w:rPr>
          <w:rFonts w:ascii="Arial" w:cs="Arial" w:eastAsia="Arial" w:hAnsi="Arial"/>
          <w:sz w:val="16"/>
          <w:szCs w:val="16"/>
          <w:color w:val="auto"/>
        </w:rPr>
        <w:t>2024 net revenues were $1.3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Headquartered in Fremont, California with offices globally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More than 80 million microinverters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shipped since inception, representing approx. 28.1 GW</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96" w:lineRule="exact"/>
        <w:rPr>
          <w:sz w:val="20"/>
          <w:szCs w:val="20"/>
          <w:color w:val="auto"/>
        </w:rPr>
      </w:pPr>
    </w:p>
    <w:p>
      <w:pPr>
        <w:ind w:right="300"/>
        <w:spacing w:after="0" w:line="329" w:lineRule="auto"/>
        <w:rPr>
          <w:sz w:val="20"/>
          <w:szCs w:val="20"/>
          <w:color w:val="auto"/>
        </w:rPr>
      </w:pPr>
      <w:r>
        <w:rPr>
          <w:rFonts w:ascii="Arial" w:cs="Arial" w:eastAsia="Arial" w:hAnsi="Arial"/>
          <w:sz w:val="16"/>
          <w:szCs w:val="16"/>
          <w:color w:val="auto"/>
        </w:rPr>
        <w:t>1.69 GWh of energy storage systems shipped</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2024 GAAP gross margin was 47.3%; 2024 Non-GAAP gross margin was 48.9%</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1600"/>
        <w:spacing w:after="0" w:line="319" w:lineRule="auto"/>
        <w:rPr>
          <w:sz w:val="20"/>
          <w:szCs w:val="20"/>
          <w:color w:val="auto"/>
        </w:rPr>
      </w:pPr>
      <w:r>
        <w:rPr>
          <w:rFonts w:ascii="Arial" w:cs="Arial" w:eastAsia="Arial" w:hAnsi="Arial"/>
          <w:sz w:val="16"/>
          <w:szCs w:val="16"/>
          <w:color w:val="auto"/>
        </w:rPr>
        <w:t>Our customers are distributors, installers and homeowners</w:t>
      </w:r>
    </w:p>
    <w:p>
      <w:pPr>
        <w:spacing w:after="0" w:line="387" w:lineRule="exact"/>
        <w:rPr>
          <w:sz w:val="20"/>
          <w:szCs w:val="20"/>
          <w:color w:val="auto"/>
        </w:rPr>
      </w:pPr>
    </w:p>
    <w:p>
      <w:pPr>
        <w:ind w:right="1400"/>
        <w:spacing w:after="0" w:line="316" w:lineRule="auto"/>
        <w:rPr>
          <w:sz w:val="20"/>
          <w:szCs w:val="20"/>
          <w:color w:val="auto"/>
        </w:rPr>
      </w:pPr>
      <w:r>
        <w:rPr>
          <w:rFonts w:ascii="Arial" w:cs="Arial" w:eastAsia="Arial" w:hAnsi="Arial"/>
          <w:sz w:val="16"/>
          <w:szCs w:val="16"/>
          <w:color w:val="auto"/>
        </w:rPr>
        <w:t>More than 4.7 million cumulative systems installed in over 160 countries</w:t>
      </w:r>
      <w:r>
        <w:rPr>
          <w:rFonts w:ascii="Arial" w:cs="Arial" w:eastAsia="Arial" w:hAnsi="Arial"/>
          <w:sz w:val="21"/>
          <w:szCs w:val="21"/>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More than 400 patents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globally</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2024 GAAP net income</w:t>
      </w:r>
    </w:p>
    <w:p>
      <w:pPr>
        <w:spacing w:after="0" w:line="46" w:lineRule="exact"/>
        <w:rPr>
          <w:sz w:val="20"/>
          <w:szCs w:val="20"/>
          <w:color w:val="auto"/>
        </w:rPr>
      </w:pPr>
    </w:p>
    <w:p>
      <w:pPr>
        <w:jc w:val="both"/>
        <w:ind w:right="1260"/>
        <w:spacing w:after="0" w:line="308" w:lineRule="auto"/>
        <w:rPr>
          <w:sz w:val="20"/>
          <w:szCs w:val="20"/>
          <w:color w:val="auto"/>
        </w:rPr>
      </w:pPr>
      <w:r>
        <w:rPr>
          <w:rFonts w:ascii="Arial" w:cs="Arial" w:eastAsia="Arial" w:hAnsi="Arial"/>
          <w:sz w:val="16"/>
          <w:szCs w:val="16"/>
          <w:color w:val="auto"/>
        </w:rPr>
        <w:t>was $102.7 million; 2024 Non-GAAP net income was $321.0 million</w:t>
      </w:r>
      <w:r>
        <w:rPr>
          <w:rFonts w:ascii="Arial" w:cs="Arial" w:eastAsia="Arial" w:hAnsi="Arial"/>
          <w:sz w:val="21"/>
          <w:szCs w:val="21"/>
          <w:color w:val="auto"/>
          <w:vertAlign w:val="superscript"/>
        </w:rPr>
        <w:t>3</w:t>
      </w:r>
    </w:p>
    <w:p>
      <w:pPr>
        <w:spacing w:after="0" w:line="200" w:lineRule="exact"/>
        <w:rPr>
          <w:sz w:val="20"/>
          <w:szCs w:val="20"/>
          <w:color w:val="auto"/>
        </w:rPr>
      </w:pPr>
    </w:p>
    <w:p>
      <w:pPr>
        <w:sectPr>
          <w:pgSz w:w="11900" w:h="16838" w:orient="portrait"/>
          <w:cols w:equalWidth="0" w:num="3">
            <w:col w:w="4020" w:space="720"/>
            <w:col w:w="2340" w:space="720"/>
            <w:col w:w="3440"/>
          </w:cols>
          <w:pgMar w:left="320" w:top="7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9"/>
          <w:szCs w:val="19"/>
          <w:color w:val="7D7D7D"/>
          <w:vertAlign w:val="superscript"/>
        </w:rPr>
      </w:pPr>
      <w:r>
        <w:rPr>
          <w:rFonts w:ascii="Arial" w:cs="Arial" w:eastAsia="Arial" w:hAnsi="Arial"/>
          <w:sz w:val="14"/>
          <w:szCs w:val="14"/>
          <w:color w:val="7D7D7D"/>
        </w:rPr>
        <w:t>As of December 31, 2024</w:t>
      </w:r>
    </w:p>
    <w:p>
      <w:pPr>
        <w:ind w:left="220" w:hanging="212"/>
        <w:spacing w:after="0" w:line="187" w:lineRule="auto"/>
        <w:tabs>
          <w:tab w:leader="none" w:pos="220" w:val="left"/>
        </w:tabs>
        <w:numPr>
          <w:ilvl w:val="0"/>
          <w:numId w:val="8"/>
        </w:numPr>
        <w:rPr>
          <w:rFonts w:ascii="Arial" w:cs="Arial" w:eastAsia="Arial" w:hAnsi="Arial"/>
          <w:sz w:val="19"/>
          <w:szCs w:val="19"/>
          <w:color w:val="7D7D7D"/>
          <w:vertAlign w:val="superscript"/>
        </w:rPr>
      </w:pPr>
      <w:r>
        <w:rPr>
          <w:rFonts w:ascii="Arial" w:cs="Arial" w:eastAsia="Arial" w:hAnsi="Arial"/>
          <w:sz w:val="14"/>
          <w:szCs w:val="14"/>
          <w:color w:val="7D7D7D"/>
        </w:rPr>
        <w:t>Includes Enphase residential and commercial managed systems as of December 31, 2024, grossed up for non-managed systems based on cumulative sales records</w:t>
      </w:r>
    </w:p>
    <w:p>
      <w:pPr>
        <w:ind w:left="220" w:hanging="212"/>
        <w:spacing w:after="0"/>
        <w:tabs>
          <w:tab w:leader="none" w:pos="220" w:val="left"/>
        </w:tabs>
        <w:numPr>
          <w:ilvl w:val="0"/>
          <w:numId w:val="9"/>
        </w:numPr>
        <w:rPr>
          <w:rFonts w:ascii="Arial" w:cs="Arial" w:eastAsia="Arial" w:hAnsi="Arial"/>
          <w:sz w:val="9"/>
          <w:szCs w:val="9"/>
          <w:color w:val="7D7D7D"/>
        </w:rPr>
      </w:pPr>
      <w:r>
        <w:rPr>
          <w:rFonts w:ascii="Arial" w:cs="Arial" w:eastAsia="Arial" w:hAnsi="Arial"/>
          <w:sz w:val="14"/>
          <w:szCs w:val="14"/>
          <w:color w:val="7D7D7D"/>
        </w:rPr>
        <w:t>Please reference Appendix A for GAAP to Non-GAAP reconciliation</w:t>
      </w:r>
    </w:p>
    <w:p>
      <w:pPr>
        <w:sectPr>
          <w:pgSz w:w="11900" w:h="16838" w:orient="portrait"/>
          <w:cols w:equalWidth="0" w:num="1">
            <w:col w:w="11240"/>
          </w:cols>
          <w:pgMar w:left="320" w:top="771"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43"/>
          <w:szCs w:val="43"/>
          <w:b w:val="1"/>
          <w:bCs w:val="1"/>
          <w:color w:val="auto"/>
        </w:rPr>
        <w:t>Proxy Summary</w:t>
      </w:r>
    </w:p>
    <w:p>
      <w:pPr>
        <w:spacing w:after="0" w:line="35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This summary highlights information that is contained elsewhere in this proxy statement. It does not include all information necessary to make a voting decision, and you should read this proxy statement in its entirety before casting your vote.</w:t>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w:t>
      </w:r>
    </w:p>
    <w:p>
      <w:pPr>
        <w:spacing w:after="0" w:line="269"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Board of Directors (the “Board”) has nominated two directors to serve for three-year terms until 2028. The nominees and members have a broad and diverse set of skills, perspectives and experiences that are integral to our success. We believe in a classified board structure to promote boardroom continuity and institutional knowledge, as well as helping to drive execution of long-term strategy.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Name</w:t>
            </w:r>
          </w:p>
        </w:tc>
        <w:tc>
          <w:tcPr>
            <w:tcW w:w="720" w:type="dxa"/>
            <w:vAlign w:val="bottom"/>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Age</w:t>
            </w:r>
          </w:p>
        </w:tc>
        <w:tc>
          <w:tcPr>
            <w:tcW w:w="2700" w:type="dxa"/>
            <w:vAlign w:val="bottom"/>
            <w:vMerge w:val="restart"/>
            <w:shd w:val="clear" w:color="auto" w:fill="3C3C3C"/>
          </w:tcPr>
          <w:p>
            <w:pPr>
              <w:ind w:left="300"/>
              <w:spacing w:after="0"/>
              <w:rPr>
                <w:sz w:val="20"/>
                <w:szCs w:val="20"/>
                <w:color w:val="auto"/>
              </w:rPr>
            </w:pPr>
            <w:r>
              <w:rPr>
                <w:rFonts w:ascii="Arial" w:cs="Arial" w:eastAsia="Arial" w:hAnsi="Arial"/>
                <w:sz w:val="14"/>
                <w:szCs w:val="14"/>
                <w:b w:val="1"/>
                <w:bCs w:val="1"/>
                <w:color w:val="FFFFFF"/>
              </w:rPr>
              <w:t>Director Since  Audit Committee</w:t>
            </w:r>
          </w:p>
        </w:tc>
        <w:tc>
          <w:tcPr>
            <w:tcW w:w="1280" w:type="dxa"/>
            <w:vAlign w:val="bottom"/>
            <w:shd w:val="clear" w:color="auto" w:fill="3C3C3C"/>
          </w:tcPr>
          <w:p>
            <w:pPr>
              <w:jc w:val="center"/>
              <w:ind w:right="8"/>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Nominating</w:t>
            </w:r>
          </w:p>
        </w:tc>
        <w:tc>
          <w:tcPr>
            <w:tcW w:w="0" w:type="dxa"/>
            <w:vAlign w:val="bottom"/>
          </w:tcPr>
          <w:p>
            <w:pPr>
              <w:spacing w:after="0"/>
              <w:rPr>
                <w:sz w:val="1"/>
                <w:szCs w:val="1"/>
                <w:color w:val="auto"/>
              </w:rPr>
            </w:pPr>
          </w:p>
        </w:tc>
      </w:tr>
      <w:tr>
        <w:trPr>
          <w:trHeight w:val="102"/>
        </w:trPr>
        <w:tc>
          <w:tcPr>
            <w:tcW w:w="5300" w:type="dxa"/>
            <w:vAlign w:val="bottom"/>
            <w:vMerge w:val="continue"/>
            <w:shd w:val="clear" w:color="auto" w:fill="3C3C3C"/>
          </w:tcPr>
          <w:p>
            <w:pPr>
              <w:spacing w:after="0"/>
              <w:rPr>
                <w:sz w:val="8"/>
                <w:szCs w:val="8"/>
                <w:color w:val="auto"/>
              </w:rPr>
            </w:pPr>
          </w:p>
        </w:tc>
        <w:tc>
          <w:tcPr>
            <w:tcW w:w="720" w:type="dxa"/>
            <w:vAlign w:val="bottom"/>
            <w:vMerge w:val="continue"/>
            <w:shd w:val="clear" w:color="auto" w:fill="3C3C3C"/>
          </w:tcPr>
          <w:p>
            <w:pPr>
              <w:spacing w:after="0"/>
              <w:rPr>
                <w:sz w:val="8"/>
                <w:szCs w:val="8"/>
                <w:color w:val="auto"/>
              </w:rPr>
            </w:pPr>
          </w:p>
        </w:tc>
        <w:tc>
          <w:tcPr>
            <w:tcW w:w="2700" w:type="dxa"/>
            <w:vAlign w:val="bottom"/>
            <w:vMerge w:val="continue"/>
            <w:shd w:val="clear" w:color="auto" w:fill="3C3C3C"/>
          </w:tcPr>
          <w:p>
            <w:pPr>
              <w:spacing w:after="0"/>
              <w:rPr>
                <w:sz w:val="8"/>
                <w:szCs w:val="8"/>
                <w:color w:val="auto"/>
              </w:rPr>
            </w:pPr>
          </w:p>
        </w:tc>
        <w:tc>
          <w:tcPr>
            <w:tcW w:w="128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Committee</w:t>
            </w:r>
          </w:p>
        </w:tc>
        <w:tc>
          <w:tcPr>
            <w:tcW w:w="12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10"/>
        </w:trPr>
        <w:tc>
          <w:tcPr>
            <w:tcW w:w="5300" w:type="dxa"/>
            <w:vAlign w:val="bottom"/>
            <w:shd w:val="clear" w:color="auto" w:fill="3C3C3C"/>
          </w:tcPr>
          <w:p>
            <w:pPr>
              <w:spacing w:after="0"/>
              <w:rPr>
                <w:sz w:val="9"/>
                <w:szCs w:val="9"/>
                <w:color w:val="auto"/>
              </w:rPr>
            </w:pPr>
          </w:p>
        </w:tc>
        <w:tc>
          <w:tcPr>
            <w:tcW w:w="720" w:type="dxa"/>
            <w:vAlign w:val="bottom"/>
            <w:shd w:val="clear" w:color="auto" w:fill="3C3C3C"/>
          </w:tcPr>
          <w:p>
            <w:pPr>
              <w:spacing w:after="0"/>
              <w:rPr>
                <w:sz w:val="9"/>
                <w:szCs w:val="9"/>
                <w:color w:val="auto"/>
              </w:rPr>
            </w:pPr>
          </w:p>
        </w:tc>
        <w:tc>
          <w:tcPr>
            <w:tcW w:w="2700" w:type="dxa"/>
            <w:vAlign w:val="bottom"/>
            <w:shd w:val="clear" w:color="auto" w:fill="3C3C3C"/>
          </w:tcPr>
          <w:p>
            <w:pPr>
              <w:spacing w:after="0"/>
              <w:rPr>
                <w:sz w:val="9"/>
                <w:szCs w:val="9"/>
                <w:color w:val="auto"/>
              </w:rPr>
            </w:pPr>
          </w:p>
        </w:tc>
        <w:tc>
          <w:tcPr>
            <w:tcW w:w="1280" w:type="dxa"/>
            <w:vAlign w:val="bottom"/>
            <w:vMerge w:val="continue"/>
            <w:shd w:val="clear" w:color="auto" w:fill="3C3C3C"/>
          </w:tcPr>
          <w:p>
            <w:pPr>
              <w:spacing w:after="0"/>
              <w:rPr>
                <w:sz w:val="9"/>
                <w:szCs w:val="9"/>
                <w:color w:val="auto"/>
              </w:rPr>
            </w:pPr>
          </w:p>
        </w:tc>
        <w:tc>
          <w:tcPr>
            <w:tcW w:w="1220" w:type="dxa"/>
            <w:vAlign w:val="bottom"/>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2C436F"/>
          </w:tcPr>
          <w:p>
            <w:pPr>
              <w:ind w:left="100"/>
              <w:spacing w:after="0"/>
              <w:rPr>
                <w:sz w:val="20"/>
                <w:szCs w:val="20"/>
                <w:color w:val="auto"/>
              </w:rPr>
            </w:pPr>
            <w:r>
              <w:rPr>
                <w:rFonts w:ascii="Arial" w:cs="Arial" w:eastAsia="Arial" w:hAnsi="Arial"/>
                <w:sz w:val="14"/>
                <w:szCs w:val="14"/>
                <w:b w:val="1"/>
                <w:bCs w:val="1"/>
                <w:color w:val="FFFFFF"/>
              </w:rPr>
              <w:t>Class I Nominees for Election (Until 2028 Annual Meeting of Stockholders)</w:t>
            </w:r>
          </w:p>
        </w:tc>
        <w:tc>
          <w:tcPr>
            <w:tcW w:w="720" w:type="dxa"/>
            <w:vAlign w:val="bottom"/>
            <w:shd w:val="clear" w:color="auto" w:fill="2C436F"/>
          </w:tcPr>
          <w:p>
            <w:pPr>
              <w:spacing w:after="0"/>
              <w:rPr>
                <w:sz w:val="19"/>
                <w:szCs w:val="19"/>
                <w:color w:val="auto"/>
              </w:rPr>
            </w:pPr>
          </w:p>
        </w:tc>
        <w:tc>
          <w:tcPr>
            <w:tcW w:w="2700" w:type="dxa"/>
            <w:vAlign w:val="bottom"/>
            <w:shd w:val="clear" w:color="auto" w:fill="2C436F"/>
          </w:tcPr>
          <w:p>
            <w:pPr>
              <w:spacing w:after="0"/>
              <w:rPr>
                <w:sz w:val="19"/>
                <w:szCs w:val="19"/>
                <w:color w:val="auto"/>
              </w:rPr>
            </w:pPr>
          </w:p>
        </w:tc>
        <w:tc>
          <w:tcPr>
            <w:tcW w:w="1280" w:type="dxa"/>
            <w:vAlign w:val="bottom"/>
            <w:shd w:val="clear" w:color="auto" w:fill="2C436F"/>
          </w:tcPr>
          <w:p>
            <w:pPr>
              <w:spacing w:after="0"/>
              <w:rPr>
                <w:sz w:val="19"/>
                <w:szCs w:val="19"/>
                <w:color w:val="auto"/>
              </w:rPr>
            </w:pPr>
          </w:p>
        </w:tc>
        <w:tc>
          <w:tcPr>
            <w:tcW w:w="1220" w:type="dxa"/>
            <w:vAlign w:val="bottom"/>
            <w:shd w:val="clear" w:color="auto" w:fill="2C436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428625"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54864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Steven J. Gomo</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Former CFO, NetApp, Inc.</w:t>
      </w:r>
    </w:p>
    <w:p>
      <w:pPr>
        <w:spacing w:after="0" w:line="5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-107315</wp:posOffset>
            </wp:positionV>
            <wp:extent cx="20574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 cy="120015"/>
                    </a:xfrm>
                    <a:prstGeom prst="rect">
                      <a:avLst/>
                    </a:prstGeom>
                    <a:noFill/>
                  </pic:spPr>
                </pic:pic>
              </a:graphicData>
            </a:graphic>
          </wp:anchor>
        </w:drawing>
      </w:r>
    </w:p>
    <w:p>
      <w:pPr>
        <w:spacing w:after="0" w:line="201"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Thurman John Rodgers</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CEO of Complete Solaria; Founder and former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CEO, Cypress Semiconductor</w:t>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Continuing Class II Directors (Until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32385</wp:posOffset>
            </wp:positionV>
            <wp:extent cx="419735"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9735" cy="548640"/>
                    </a:xfrm>
                    <a:prstGeom prst="rect">
                      <a:avLst/>
                    </a:prstGeom>
                    <a:noFill/>
                  </pic:spPr>
                </pic:pic>
              </a:graphicData>
            </a:graphic>
          </wp:anchor>
        </w:drawing>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Jamie Haenggi</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Senior Advisor, ADT Security Services; Former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President and COO, ADT Solar</w:t>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-107315</wp:posOffset>
            </wp:positionV>
            <wp:extent cx="20574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120015"/>
                    </a:xfrm>
                    <a:prstGeom prst="rect">
                      <a:avLst/>
                    </a:prstGeom>
                    <a:noFill/>
                  </pic:spPr>
                </pic:pic>
              </a:graphicData>
            </a:graphic>
          </wp:anchor>
        </w:drawing>
      </w:r>
    </w:p>
    <w:p>
      <w:pPr>
        <w:spacing w:after="0" w:line="10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Benjamin Kortlang</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Partner, G2VP, LLC; former Partner, Kleiner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Perkins Caufield &amp; Byers</w:t>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72390</wp:posOffset>
            </wp:positionV>
            <wp:extent cx="419735" cy="548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9735" cy="548640"/>
                    </a:xfrm>
                    <a:prstGeom prst="rect">
                      <a:avLst/>
                    </a:prstGeom>
                    <a:noFill/>
                  </pic:spPr>
                </pic:pic>
              </a:graphicData>
            </a:graphic>
          </wp:anchor>
        </w:drawing>
      </w:r>
    </w:p>
    <w:p>
      <w:pPr>
        <w:spacing w:after="0" w:line="21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Richard Mora</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Former CEO, Landis+Gyr</w:t>
      </w:r>
    </w:p>
    <w:p>
      <w:pPr>
        <w:spacing w:after="0" w:line="5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-107315</wp:posOffset>
            </wp:positionV>
            <wp:extent cx="20574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120015"/>
                    </a:xfrm>
                    <a:prstGeom prst="rect">
                      <a:avLst/>
                    </a:prstGeom>
                    <a:noFill/>
                  </pic:spPr>
                </pic:pic>
              </a:graphicData>
            </a:graphic>
          </wp:anchor>
        </w:drawing>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Continuing Class III Directors (Until 2027 Annual Meeting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32385</wp:posOffset>
            </wp:positionV>
            <wp:extent cx="419735"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9735" cy="548640"/>
                    </a:xfrm>
                    <a:prstGeom prst="rect">
                      <a:avLst/>
                    </a:prstGeom>
                    <a:noFill/>
                  </pic:spPr>
                </pic:pic>
              </a:graphicData>
            </a:graphic>
          </wp:anchor>
        </w:drawing>
      </w:r>
    </w:p>
    <w:p>
      <w:pPr>
        <w:spacing w:after="0" w:line="246" w:lineRule="exact"/>
        <w:rPr>
          <w:sz w:val="20"/>
          <w:szCs w:val="20"/>
          <w:color w:val="auto"/>
        </w:rPr>
      </w:pPr>
    </w:p>
    <w:p>
      <w:pPr>
        <w:ind w:left="1280" w:right="840"/>
        <w:spacing w:after="0" w:line="374" w:lineRule="auto"/>
        <w:rPr>
          <w:sz w:val="20"/>
          <w:szCs w:val="20"/>
          <w:color w:val="auto"/>
        </w:rPr>
      </w:pPr>
      <w:r>
        <w:rPr>
          <w:rFonts w:ascii="Arial" w:cs="Arial" w:eastAsia="Arial" w:hAnsi="Arial"/>
          <w:sz w:val="16"/>
          <w:szCs w:val="16"/>
          <w:b w:val="1"/>
          <w:bCs w:val="1"/>
          <w:color w:val="auto"/>
        </w:rPr>
        <w:t xml:space="preserve">Badrinarayanan Kothandaraman </w:t>
      </w:r>
      <w:r>
        <w:rPr>
          <w:rFonts w:ascii="Arial" w:cs="Arial" w:eastAsia="Arial" w:hAnsi="Arial"/>
          <w:sz w:val="16"/>
          <w:szCs w:val="16"/>
          <w:color w:val="auto"/>
        </w:rPr>
        <w:t>President and CEO, Enphase Energy, Inc.</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Joseph Malchow</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Founding Partner, HNVR Technology Investment</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Management</w:t>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73</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2011</w:t>
            </w:r>
          </w:p>
        </w:tc>
        <w:tc>
          <w:tcPr>
            <w:tcW w:w="1200" w:type="dxa"/>
            <w:vAlign w:val="bottom"/>
          </w:tcPr>
          <w:p>
            <w:pPr>
              <w:ind w:left="480"/>
              <w:spacing w:after="0"/>
              <w:rPr>
                <w:sz w:val="20"/>
                <w:szCs w:val="20"/>
                <w:color w:val="auto"/>
              </w:rPr>
            </w:pPr>
            <w:r>
              <w:rPr>
                <w:rFonts w:ascii="Wingdings" w:cs="Wingdings" w:eastAsia="Wingdings" w:hAnsi="Wingdings"/>
                <w:sz w:val="25"/>
                <w:szCs w:val="25"/>
                <w:b w:val="1"/>
                <w:bCs w:val="1"/>
                <w:color w:val="3B999E"/>
              </w:rPr>
              <w:t>l</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12"/>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77</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2017</w:t>
            </w:r>
          </w:p>
        </w:tc>
        <w:tc>
          <w:tcPr>
            <w:tcW w:w="1200" w:type="dxa"/>
            <w:vAlign w:val="bottom"/>
          </w:tcPr>
          <w:p>
            <w:pPr>
              <w:spacing w:after="0"/>
              <w:rPr>
                <w:sz w:val="24"/>
                <w:szCs w:val="24"/>
                <w:color w:val="auto"/>
              </w:rPr>
            </w:pPr>
          </w:p>
        </w:tc>
        <w:tc>
          <w:tcPr>
            <w:tcW w:w="1280" w:type="dxa"/>
            <w:vAlign w:val="bottom"/>
          </w:tcPr>
          <w:p>
            <w:pPr>
              <w:ind w:left="540"/>
              <w:spacing w:after="0"/>
              <w:rPr>
                <w:sz w:val="20"/>
                <w:szCs w:val="20"/>
                <w:color w:val="auto"/>
              </w:rPr>
            </w:pPr>
            <w:r>
              <w:rPr>
                <w:rFonts w:ascii="Wingdings" w:cs="Wingdings" w:eastAsia="Wingdings" w:hAnsi="Wingdings"/>
                <w:sz w:val="25"/>
                <w:szCs w:val="25"/>
                <w:b w:val="1"/>
                <w:bCs w:val="1"/>
                <w:color w:val="3B999E"/>
              </w:rPr>
              <w:t>l</w:t>
            </w:r>
          </w:p>
        </w:tc>
        <w:tc>
          <w:tcPr>
            <w:tcW w:w="720" w:type="dxa"/>
            <w:vAlign w:val="bottom"/>
          </w:tcPr>
          <w:p>
            <w:pPr>
              <w:ind w:left="540"/>
              <w:spacing w:after="0"/>
              <w:rPr>
                <w:sz w:val="20"/>
                <w:szCs w:val="20"/>
                <w:color w:val="auto"/>
              </w:rPr>
            </w:pPr>
            <w:r>
              <w:rPr>
                <w:rFonts w:ascii="Wingdings" w:cs="Wingdings" w:eastAsia="Wingdings" w:hAnsi="Wingdings"/>
                <w:sz w:val="25"/>
                <w:szCs w:val="25"/>
                <w:b w:val="1"/>
                <w:bCs w:val="1"/>
                <w:color w:val="E86100"/>
                <w:w w:val="85"/>
              </w:rPr>
              <w:t>l</w:t>
            </w:r>
          </w:p>
        </w:tc>
      </w:tr>
      <w:tr>
        <w:trPr>
          <w:trHeight w:val="1242"/>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55</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Wingdings" w:cs="Wingdings" w:eastAsia="Wingdings" w:hAnsi="Wingdings"/>
                <w:sz w:val="25"/>
                <w:szCs w:val="25"/>
                <w:b w:val="1"/>
                <w:bCs w:val="1"/>
                <w:color w:val="E86100"/>
                <w:w w:val="85"/>
              </w:rPr>
              <w:t>l</w:t>
            </w:r>
          </w:p>
        </w:tc>
      </w:tr>
      <w:tr>
        <w:trPr>
          <w:trHeight w:val="1013"/>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49</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2010</w:t>
            </w:r>
          </w:p>
        </w:tc>
        <w:tc>
          <w:tcPr>
            <w:tcW w:w="1200" w:type="dxa"/>
            <w:vAlign w:val="bottom"/>
          </w:tcPr>
          <w:p>
            <w:pPr>
              <w:ind w:left="480"/>
              <w:spacing w:after="0"/>
              <w:rPr>
                <w:sz w:val="20"/>
                <w:szCs w:val="20"/>
                <w:color w:val="auto"/>
              </w:rPr>
            </w:pPr>
            <w:r>
              <w:rPr>
                <w:rFonts w:ascii="Wingdings" w:cs="Wingdings" w:eastAsia="Wingdings" w:hAnsi="Wingdings"/>
                <w:sz w:val="25"/>
                <w:szCs w:val="25"/>
                <w:b w:val="1"/>
                <w:bCs w:val="1"/>
                <w:color w:val="E86100"/>
              </w:rPr>
              <w:t>l</w:t>
            </w:r>
          </w:p>
        </w:tc>
        <w:tc>
          <w:tcPr>
            <w:tcW w:w="128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Wingdings" w:cs="Wingdings" w:eastAsia="Wingdings" w:hAnsi="Wingdings"/>
                <w:sz w:val="25"/>
                <w:szCs w:val="25"/>
                <w:b w:val="1"/>
                <w:bCs w:val="1"/>
                <w:color w:val="3B999E"/>
                <w:w w:val="85"/>
              </w:rPr>
              <w:t>l</w:t>
            </w:r>
          </w:p>
        </w:tc>
      </w:tr>
      <w:tr>
        <w:trPr>
          <w:trHeight w:val="1013"/>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60</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2014</w:t>
            </w:r>
          </w:p>
        </w:tc>
        <w:tc>
          <w:tcPr>
            <w:tcW w:w="1200" w:type="dxa"/>
            <w:vAlign w:val="bottom"/>
          </w:tcPr>
          <w:p>
            <w:pPr>
              <w:ind w:left="480"/>
              <w:spacing w:after="0"/>
              <w:rPr>
                <w:sz w:val="20"/>
                <w:szCs w:val="20"/>
                <w:color w:val="auto"/>
              </w:rPr>
            </w:pPr>
            <w:r>
              <w:rPr>
                <w:rFonts w:ascii="Wingdings" w:cs="Wingdings" w:eastAsia="Wingdings" w:hAnsi="Wingdings"/>
                <w:sz w:val="25"/>
                <w:szCs w:val="25"/>
                <w:b w:val="1"/>
                <w:bCs w:val="1"/>
                <w:color w:val="E86100"/>
              </w:rPr>
              <w:t>l</w:t>
            </w:r>
          </w:p>
        </w:tc>
        <w:tc>
          <w:tcPr>
            <w:tcW w:w="1280" w:type="dxa"/>
            <w:vAlign w:val="bottom"/>
          </w:tcPr>
          <w:p>
            <w:pPr>
              <w:ind w:left="540"/>
              <w:spacing w:after="0"/>
              <w:rPr>
                <w:sz w:val="20"/>
                <w:szCs w:val="20"/>
                <w:color w:val="auto"/>
              </w:rPr>
            </w:pPr>
            <w:r>
              <w:rPr>
                <w:rFonts w:ascii="Wingdings" w:cs="Wingdings" w:eastAsia="Wingdings" w:hAnsi="Wingdings"/>
                <w:sz w:val="25"/>
                <w:szCs w:val="25"/>
                <w:b w:val="1"/>
                <w:bCs w:val="1"/>
                <w:color w:val="E86100"/>
              </w:rPr>
              <w:t>l</w:t>
            </w:r>
          </w:p>
        </w:tc>
        <w:tc>
          <w:tcPr>
            <w:tcW w:w="720" w:type="dxa"/>
            <w:vAlign w:val="bottom"/>
          </w:tcPr>
          <w:p>
            <w:pPr>
              <w:spacing w:after="0"/>
              <w:rPr>
                <w:sz w:val="24"/>
                <w:szCs w:val="24"/>
                <w:color w:val="auto"/>
              </w:rPr>
            </w:pPr>
          </w:p>
        </w:tc>
      </w:tr>
      <w:tr>
        <w:trPr>
          <w:trHeight w:val="1188"/>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53</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2017</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13"/>
        </w:trPr>
        <w:tc>
          <w:tcPr>
            <w:tcW w:w="660" w:type="dxa"/>
            <w:vAlign w:val="bottom"/>
          </w:tcPr>
          <w:p>
            <w:pPr>
              <w:jc w:val="right"/>
              <w:ind w:right="399"/>
              <w:spacing w:after="0"/>
              <w:rPr>
                <w:sz w:val="20"/>
                <w:szCs w:val="20"/>
                <w:color w:val="auto"/>
              </w:rPr>
            </w:pPr>
            <w:r>
              <w:rPr>
                <w:rFonts w:ascii="Arial" w:cs="Arial" w:eastAsia="Arial" w:hAnsi="Arial"/>
                <w:sz w:val="16"/>
                <w:szCs w:val="16"/>
                <w:color w:val="auto"/>
                <w:w w:val="89"/>
              </w:rPr>
              <w:t>39</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Wingdings" w:cs="Wingdings" w:eastAsia="Wingdings" w:hAnsi="Wingdings"/>
                <w:sz w:val="25"/>
                <w:szCs w:val="25"/>
                <w:b w:val="1"/>
                <w:bCs w:val="1"/>
                <w:color w:val="E86100"/>
                <w:w w:val="85"/>
              </w:rPr>
              <w:t>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-3872865</wp:posOffset>
            </wp:positionV>
            <wp:extent cx="7115175" cy="2863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286321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-3872865</wp:posOffset>
            </wp:positionV>
            <wp:extent cx="7115175" cy="2863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286321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-401320</wp:posOffset>
            </wp:positionV>
            <wp:extent cx="7115175" cy="642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642620"/>
                    </a:xfrm>
                    <a:prstGeom prst="rect">
                      <a:avLst/>
                    </a:prstGeom>
                    <a:noFill/>
                  </pic:spPr>
                </pic:pic>
              </a:graphicData>
            </a:graphic>
          </wp:anchor>
        </w:drawing>
      </w:r>
    </w:p>
    <w:p>
      <w:pPr>
        <w:spacing w:after="0" w:line="395" w:lineRule="exact"/>
        <w:rPr>
          <w:sz w:val="20"/>
          <w:szCs w:val="20"/>
          <w:color w:val="auto"/>
        </w:rPr>
      </w:pPr>
    </w:p>
    <w:p>
      <w:pPr>
        <w:ind w:left="720"/>
        <w:spacing w:after="0"/>
        <w:rPr>
          <w:sz w:val="20"/>
          <w:szCs w:val="20"/>
          <w:color w:val="auto"/>
        </w:rPr>
      </w:pPr>
      <w:r>
        <w:rPr>
          <w:rFonts w:ascii="Wingdings" w:cs="Wingdings" w:eastAsia="Wingdings" w:hAnsi="Wingdings"/>
          <w:sz w:val="22"/>
          <w:szCs w:val="22"/>
          <w:b w:val="1"/>
          <w:bCs w:val="1"/>
          <w:color w:val="E86100"/>
        </w:rPr>
        <w:t xml:space="preserve">l </w:t>
      </w:r>
      <w:r>
        <w:rPr>
          <w:rFonts w:ascii="Arial" w:cs="Arial" w:eastAsia="Arial" w:hAnsi="Arial"/>
          <w:sz w:val="16"/>
          <w:szCs w:val="16"/>
          <w:color w:val="000000"/>
        </w:rPr>
        <w:t>Member</w:t>
      </w:r>
      <w:r>
        <w:rPr>
          <w:rFonts w:ascii="Wingdings" w:cs="Wingdings" w:eastAsia="Wingdings" w:hAnsi="Wingdings"/>
          <w:sz w:val="22"/>
          <w:szCs w:val="22"/>
          <w:b w:val="1"/>
          <w:bCs w:val="1"/>
          <w:color w:val="E86100"/>
        </w:rPr>
        <w:t xml:space="preserve"> </w:t>
      </w:r>
      <w:r>
        <w:rPr>
          <w:rFonts w:ascii="Wingdings" w:cs="Wingdings" w:eastAsia="Wingdings" w:hAnsi="Wingdings"/>
          <w:sz w:val="22"/>
          <w:szCs w:val="22"/>
          <w:b w:val="1"/>
          <w:bCs w:val="1"/>
          <w:color w:val="3B999E"/>
        </w:rPr>
        <w:t>l</w:t>
      </w:r>
      <w:r>
        <w:rPr>
          <w:rFonts w:ascii="Wingdings" w:cs="Wingdings" w:eastAsia="Wingdings" w:hAnsi="Wingdings"/>
          <w:sz w:val="22"/>
          <w:szCs w:val="22"/>
          <w:b w:val="1"/>
          <w:bCs w:val="1"/>
          <w:color w:val="E86100"/>
        </w:rPr>
        <w:t xml:space="preserve"> </w:t>
      </w:r>
      <w:r>
        <w:rPr>
          <w:rFonts w:ascii="Arial" w:cs="Arial" w:eastAsia="Arial" w:hAnsi="Arial"/>
          <w:sz w:val="16"/>
          <w:szCs w:val="16"/>
          <w:color w:val="000000"/>
        </w:rPr>
        <w:t>Chair</w:t>
      </w:r>
      <w:r>
        <w:rPr>
          <w:rFonts w:ascii="Wingdings" w:cs="Wingdings" w:eastAsia="Wingdings" w:hAnsi="Wingdings"/>
          <w:sz w:val="22"/>
          <w:szCs w:val="22"/>
          <w:b w:val="1"/>
          <w:bCs w:val="1"/>
          <w:color w:val="E86100"/>
        </w:rPr>
        <w:t xml:space="preserve"> </w:t>
      </w:r>
      <w:r>
        <w:rPr>
          <w:rFonts w:ascii="Arial" w:cs="Arial" w:eastAsia="Arial" w:hAnsi="Arial"/>
          <w:sz w:val="12"/>
          <w:szCs w:val="12"/>
          <w:b w:val="1"/>
          <w:bCs w:val="1"/>
          <w:color w:val="000000"/>
          <w:shd w:val="clear" w:color="auto" w:fill="FFD02C"/>
        </w:rPr>
        <w:t>IND</w:t>
      </w:r>
      <w:r>
        <w:rPr>
          <w:rFonts w:ascii="Wingdings" w:cs="Wingdings" w:eastAsia="Wingdings" w:hAnsi="Wingdings"/>
          <w:sz w:val="22"/>
          <w:szCs w:val="22"/>
          <w:b w:val="1"/>
          <w:bCs w:val="1"/>
          <w:color w:val="E86100"/>
        </w:rPr>
        <w:t xml:space="preserve"> </w:t>
      </w:r>
      <w:r>
        <w:rPr>
          <w:rFonts w:ascii="Arial" w:cs="Arial" w:eastAsia="Arial" w:hAnsi="Arial"/>
          <w:sz w:val="16"/>
          <w:szCs w:val="16"/>
          <w:color w:val="000000"/>
        </w:rPr>
        <w:t>Independent</w:t>
      </w:r>
    </w:p>
    <w:p>
      <w:pPr>
        <w:spacing w:after="0" w:line="200" w:lineRule="exact"/>
        <w:rPr>
          <w:sz w:val="20"/>
          <w:szCs w:val="20"/>
          <w:color w:val="auto"/>
        </w:rPr>
      </w:pPr>
    </w:p>
    <w:p>
      <w:pPr>
        <w:sectPr>
          <w:pgSz w:w="11900" w:h="16838" w:orient="portrait"/>
          <w:cols w:equalWidth="0" w:num="2">
            <w:col w:w="5140" w:space="340"/>
            <w:col w:w="5760"/>
          </w:cols>
          <w:pgMar w:left="320" w:top="7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auto"/>
        </w:rPr>
        <w:t>Experience/Skills/Qualifications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132080</wp:posOffset>
            </wp:positionV>
            <wp:extent cx="188595" cy="231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23114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80645</wp:posOffset>
            </wp:positionV>
            <wp:extent cx="3780155" cy="386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80155" cy="3865880"/>
                    </a:xfrm>
                    <a:prstGeom prst="rect">
                      <a:avLst/>
                    </a:prstGeom>
                    <a:noFill/>
                  </pic:spPr>
                </pic:pic>
              </a:graphicData>
            </a:graphic>
          </wp:anchor>
        </w:drawing>
      </w:r>
    </w:p>
    <w:p>
      <w:pPr>
        <w:spacing w:after="0" w:line="335"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166370</wp:posOffset>
            </wp:positionV>
            <wp:extent cx="23114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1140" cy="179705"/>
                    </a:xfrm>
                    <a:prstGeom prst="rect">
                      <a:avLst/>
                    </a:prstGeom>
                    <a:noFill/>
                  </pic:spPr>
                </pic:pic>
              </a:graphicData>
            </a:graphic>
          </wp:anchor>
        </w:drawing>
      </w:r>
    </w:p>
    <w:p>
      <w:pPr>
        <w:spacing w:after="0" w:line="350"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140970</wp:posOffset>
            </wp:positionV>
            <wp:extent cx="240030"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350"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158115</wp:posOffset>
            </wp:positionV>
            <wp:extent cx="20574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188595"/>
                    </a:xfrm>
                    <a:prstGeom prst="rect">
                      <a:avLst/>
                    </a:prstGeom>
                    <a:noFill/>
                  </pic:spPr>
                </pic:pic>
              </a:graphicData>
            </a:graphic>
          </wp:anchor>
        </w:drawing>
      </w:r>
    </w:p>
    <w:p>
      <w:pPr>
        <w:spacing w:after="0" w:line="350"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158115</wp:posOffset>
            </wp:positionV>
            <wp:extent cx="24003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 cy="179705"/>
                    </a:xfrm>
                    <a:prstGeom prst="rect">
                      <a:avLst/>
                    </a:prstGeom>
                    <a:noFill/>
                  </pic:spPr>
                </pic:pic>
              </a:graphicData>
            </a:graphic>
          </wp:anchor>
        </w:drawing>
      </w: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Privacy &amp;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140970</wp:posOffset>
            </wp:positionV>
            <wp:extent cx="2057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Sales &amp;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158115</wp:posOffset>
            </wp:positionV>
            <wp:extent cx="22288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179705"/>
                    </a:xfrm>
                    <a:prstGeom prst="rect">
                      <a:avLst/>
                    </a:prstGeom>
                    <a:noFill/>
                  </pic:spPr>
                </pic:pic>
              </a:graphicData>
            </a:graphic>
          </wp:anchor>
        </w:drawing>
      </w: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Global Business &amp;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140970</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People &amp;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158115</wp:posOffset>
            </wp:positionV>
            <wp:extent cx="24003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30" cy="179705"/>
                    </a:xfrm>
                    <a:prstGeom prst="rect">
                      <a:avLst/>
                    </a:prstGeom>
                    <a:noFill/>
                  </pic:spPr>
                </pic:pic>
              </a:graphicData>
            </a:graphic>
          </wp:anchor>
        </w:drawing>
      </w: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Innovation &amp;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140970</wp:posOffset>
            </wp:positionV>
            <wp:extent cx="18859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 cy="205740"/>
                    </a:xfrm>
                    <a:prstGeom prst="rect">
                      <a:avLst/>
                    </a:prstGeom>
                    <a:noFill/>
                  </pic:spPr>
                </pic:pic>
              </a:graphicData>
            </a:graphic>
          </wp:anchor>
        </w:drawing>
      </w:r>
    </w:p>
    <w:p>
      <w:pPr>
        <w:spacing w:after="0" w:line="336" w:lineRule="exact"/>
        <w:rPr>
          <w:sz w:val="20"/>
          <w:szCs w:val="20"/>
          <w:color w:val="auto"/>
        </w:rPr>
      </w:pPr>
    </w:p>
    <w:p>
      <w:pPr>
        <w:jc w:val="center"/>
        <w:ind w:right="4479"/>
        <w:spacing w:after="0"/>
        <w:rPr>
          <w:sz w:val="20"/>
          <w:szCs w:val="20"/>
          <w:color w:val="auto"/>
        </w:rPr>
      </w:pPr>
      <w:r>
        <w:rPr>
          <w:rFonts w:ascii="Arial" w:cs="Arial" w:eastAsia="Arial" w:hAnsi="Arial"/>
          <w:sz w:val="16"/>
          <w:szCs w:val="16"/>
          <w:b w:val="1"/>
          <w:bCs w:val="1"/>
          <w:color w:val="auto"/>
        </w:rPr>
        <w:t>Public Policy &amp;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140970</wp:posOffset>
            </wp:positionV>
            <wp:extent cx="23114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1140" cy="222885"/>
                    </a:xfrm>
                    <a:prstGeom prst="rect">
                      <a:avLst/>
                    </a:prstGeom>
                    <a:noFill/>
                  </pic:spPr>
                </pic:pic>
              </a:graphicData>
            </a:graphic>
          </wp:anchor>
        </w:drawing>
      </w: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Environmental &amp; Climate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80645</wp:posOffset>
            </wp:positionV>
            <wp:extent cx="5897880" cy="2057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978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315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9" w:right="1440" w:bottom="1440" w:gutter="0" w:footer="0" w:header="0"/>
        </w:sectPr>
      </w:pPr>
    </w:p>
    <w:bookmarkStart w:id="10" w:name="page11"/>
    <w:bookmarkEnd w:id="10"/>
    <w:p>
      <w:pPr>
        <w:spacing w:after="0"/>
        <w:rPr>
          <w:sz w:val="20"/>
          <w:szCs w:val="20"/>
          <w:color w:val="auto"/>
        </w:rPr>
      </w:pPr>
      <w:r>
        <w:rPr>
          <w:rFonts w:ascii="Arial" w:cs="Arial" w:eastAsia="Arial" w:hAnsi="Arial"/>
          <w:sz w:val="32"/>
          <w:szCs w:val="32"/>
          <w:b w:val="1"/>
          <w:bCs w:val="1"/>
          <w:color w:val="auto"/>
        </w:rPr>
        <w:t>Stockholder Outreach</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began our first proactive engagement with our top stockholders in late 2022 and early 2023. We believe that strong corporate governance should include year-round engagement with our stockholders, and we followed a cycle in late 2024 and early 2025 similar to prior years. We plan to continue engagement with our stockholders going forward.</w:t>
      </w:r>
    </w:p>
    <w:p>
      <w:pPr>
        <w:spacing w:after="0" w:line="12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Through our outreach program we hope to solicit feedback on our corporate governance, executive compensation program, disclosure practices, and environmental and social impact programs and goals. Investor feedback is shared with the appropriate committee(s) and the Board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21590</wp:posOffset>
            </wp:positionV>
            <wp:extent cx="5177790" cy="900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77790" cy="90043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80" w:right="220" w:hanging="168"/>
        <w:spacing w:after="0" w:line="325" w:lineRule="auto"/>
        <w:tabs>
          <w:tab w:leader="none" w:pos="1757" w:val="left"/>
        </w:tabs>
        <w:numPr>
          <w:ilvl w:val="0"/>
          <w:numId w:val="10"/>
        </w:numPr>
        <w:rPr>
          <w:rFonts w:ascii="Arial" w:cs="Arial" w:eastAsia="Arial" w:hAnsi="Arial"/>
          <w:sz w:val="13"/>
          <w:szCs w:val="13"/>
          <w:color w:val="auto"/>
        </w:rPr>
      </w:pPr>
      <w:r>
        <w:rPr>
          <w:rFonts w:ascii="Arial" w:cs="Arial" w:eastAsia="Arial" w:hAnsi="Arial"/>
          <w:sz w:val="16"/>
          <w:szCs w:val="16"/>
          <w:color w:val="auto"/>
        </w:rPr>
        <w:t>Publish Annual Report and proxy statement</w:t>
      </w:r>
    </w:p>
    <w:p>
      <w:pPr>
        <w:spacing w:after="0" w:line="1" w:lineRule="exact"/>
        <w:rPr>
          <w:rFonts w:ascii="Arial" w:cs="Arial" w:eastAsia="Arial" w:hAnsi="Arial"/>
          <w:sz w:val="13"/>
          <w:szCs w:val="13"/>
          <w:color w:val="auto"/>
        </w:rPr>
      </w:pPr>
    </w:p>
    <w:p>
      <w:pPr>
        <w:ind w:left="1780" w:hanging="168"/>
        <w:spacing w:after="0" w:line="319" w:lineRule="auto"/>
        <w:tabs>
          <w:tab w:leader="none" w:pos="1757" w:val="left"/>
        </w:tabs>
        <w:numPr>
          <w:ilvl w:val="0"/>
          <w:numId w:val="10"/>
        </w:numPr>
        <w:rPr>
          <w:rFonts w:ascii="Arial" w:cs="Arial" w:eastAsia="Arial" w:hAnsi="Arial"/>
          <w:sz w:val="13"/>
          <w:szCs w:val="13"/>
          <w:color w:val="auto"/>
        </w:rPr>
      </w:pPr>
      <w:r>
        <w:rPr>
          <w:rFonts w:ascii="Arial" w:cs="Arial" w:eastAsia="Arial" w:hAnsi="Arial"/>
          <w:sz w:val="16"/>
          <w:szCs w:val="16"/>
          <w:color w:val="auto"/>
        </w:rPr>
        <w:t>Publish Environmental, Social and Corporate Governance (“ESG”) Report</w:t>
      </w:r>
    </w:p>
    <w:p>
      <w:pPr>
        <w:spacing w:after="0" w:line="8" w:lineRule="exact"/>
        <w:rPr>
          <w:rFonts w:ascii="Arial" w:cs="Arial" w:eastAsia="Arial" w:hAnsi="Arial"/>
          <w:sz w:val="13"/>
          <w:szCs w:val="13"/>
          <w:color w:val="auto"/>
        </w:rPr>
      </w:pPr>
    </w:p>
    <w:p>
      <w:pPr>
        <w:ind w:left="1780" w:right="20" w:hanging="168"/>
        <w:spacing w:after="0" w:line="310" w:lineRule="auto"/>
        <w:tabs>
          <w:tab w:leader="none" w:pos="1757" w:val="left"/>
        </w:tabs>
        <w:numPr>
          <w:ilvl w:val="0"/>
          <w:numId w:val="10"/>
        </w:numPr>
        <w:rPr>
          <w:rFonts w:ascii="Arial" w:cs="Arial" w:eastAsia="Arial" w:hAnsi="Arial"/>
          <w:sz w:val="13"/>
          <w:szCs w:val="13"/>
          <w:color w:val="auto"/>
        </w:rPr>
      </w:pPr>
      <w:r>
        <w:rPr>
          <w:rFonts w:ascii="Arial" w:cs="Arial" w:eastAsia="Arial" w:hAnsi="Arial"/>
          <w:sz w:val="16"/>
          <w:szCs w:val="16"/>
          <w:color w:val="auto"/>
        </w:rPr>
        <w:t>Continue active outreach with our top investors to understand their priorities</w:t>
      </w:r>
    </w:p>
    <w:p>
      <w:pPr>
        <w:spacing w:after="0" w:line="16" w:lineRule="exact"/>
        <w:rPr>
          <w:rFonts w:ascii="Arial" w:cs="Arial" w:eastAsia="Arial" w:hAnsi="Arial"/>
          <w:sz w:val="13"/>
          <w:szCs w:val="13"/>
          <w:color w:val="auto"/>
        </w:rPr>
      </w:pPr>
    </w:p>
    <w:p>
      <w:pPr>
        <w:ind w:left="1780" w:right="220" w:hanging="168"/>
        <w:spacing w:after="0" w:line="339" w:lineRule="auto"/>
        <w:tabs>
          <w:tab w:leader="none" w:pos="1757" w:val="left"/>
        </w:tabs>
        <w:numPr>
          <w:ilvl w:val="0"/>
          <w:numId w:val="10"/>
        </w:numPr>
        <w:rPr>
          <w:rFonts w:ascii="Arial" w:cs="Arial" w:eastAsia="Arial" w:hAnsi="Arial"/>
          <w:sz w:val="13"/>
          <w:szCs w:val="13"/>
          <w:color w:val="auto"/>
        </w:rPr>
      </w:pPr>
      <w:r>
        <w:rPr>
          <w:rFonts w:ascii="Arial" w:cs="Arial" w:eastAsia="Arial" w:hAnsi="Arial"/>
          <w:sz w:val="16"/>
          <w:szCs w:val="16"/>
          <w:color w:val="auto"/>
        </w:rPr>
        <w:t>Conduct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67" w:hanging="167"/>
        <w:spacing w:after="0" w:line="310" w:lineRule="auto"/>
        <w:tabs>
          <w:tab w:leader="none" w:pos="143" w:val="left"/>
        </w:tabs>
        <w:numPr>
          <w:ilvl w:val="0"/>
          <w:numId w:val="11"/>
        </w:numPr>
        <w:rPr>
          <w:rFonts w:ascii="Arial" w:cs="Arial" w:eastAsia="Arial" w:hAnsi="Arial"/>
          <w:sz w:val="13"/>
          <w:szCs w:val="13"/>
          <w:color w:val="auto"/>
        </w:rPr>
      </w:pPr>
      <w:r>
        <w:rPr>
          <w:rFonts w:ascii="Arial" w:cs="Arial" w:eastAsia="Arial" w:hAnsi="Arial"/>
          <w:sz w:val="16"/>
          <w:szCs w:val="16"/>
          <w:color w:val="auto"/>
        </w:rPr>
        <w:t>Review voting results from our most recent annual meeting of stockholders</w:t>
      </w:r>
    </w:p>
    <w:p>
      <w:pPr>
        <w:spacing w:after="0" w:line="16" w:lineRule="exact"/>
        <w:rPr>
          <w:rFonts w:ascii="Arial" w:cs="Arial" w:eastAsia="Arial" w:hAnsi="Arial"/>
          <w:sz w:val="13"/>
          <w:szCs w:val="13"/>
          <w:color w:val="auto"/>
        </w:rPr>
      </w:pPr>
    </w:p>
    <w:p>
      <w:pPr>
        <w:ind w:left="167" w:right="140" w:hanging="167"/>
        <w:spacing w:after="0" w:line="319" w:lineRule="auto"/>
        <w:tabs>
          <w:tab w:leader="none" w:pos="143" w:val="left"/>
        </w:tabs>
        <w:numPr>
          <w:ilvl w:val="0"/>
          <w:numId w:val="11"/>
        </w:numPr>
        <w:rPr>
          <w:rFonts w:ascii="Arial" w:cs="Arial" w:eastAsia="Arial" w:hAnsi="Arial"/>
          <w:sz w:val="13"/>
          <w:szCs w:val="13"/>
          <w:color w:val="auto"/>
        </w:rPr>
      </w:pPr>
      <w:r>
        <w:rPr>
          <w:rFonts w:ascii="Arial" w:cs="Arial" w:eastAsia="Arial" w:hAnsi="Arial"/>
          <w:sz w:val="16"/>
          <w:szCs w:val="16"/>
          <w:color w:val="auto"/>
        </w:rPr>
        <w:t>Share investor feedback and voting results with our committee(s) and the Board</w:t>
      </w:r>
    </w:p>
    <w:p>
      <w:pPr>
        <w:spacing w:after="0" w:line="8" w:lineRule="exact"/>
        <w:rPr>
          <w:rFonts w:ascii="Arial" w:cs="Arial" w:eastAsia="Arial" w:hAnsi="Arial"/>
          <w:sz w:val="13"/>
          <w:szCs w:val="13"/>
          <w:color w:val="auto"/>
        </w:rPr>
      </w:pPr>
    </w:p>
    <w:p>
      <w:pPr>
        <w:ind w:left="167" w:right="20" w:hanging="167"/>
        <w:spacing w:after="0" w:line="304" w:lineRule="auto"/>
        <w:tabs>
          <w:tab w:leader="none" w:pos="143" w:val="left"/>
        </w:tabs>
        <w:numPr>
          <w:ilvl w:val="0"/>
          <w:numId w:val="11"/>
        </w:numPr>
        <w:rPr>
          <w:rFonts w:ascii="Arial" w:cs="Arial" w:eastAsia="Arial" w:hAnsi="Arial"/>
          <w:sz w:val="13"/>
          <w:szCs w:val="13"/>
          <w:color w:val="auto"/>
        </w:rPr>
      </w:pPr>
      <w:r>
        <w:rPr>
          <w:rFonts w:ascii="Arial" w:cs="Arial" w:eastAsia="Arial" w:hAnsi="Arial"/>
          <w:sz w:val="16"/>
          <w:szCs w:val="16"/>
          <w:color w:val="auto"/>
        </w:rPr>
        <w:t>Evaluate proxy season trends, corporate governance best practices, regulatory developments and our current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134620</wp:posOffset>
            </wp:positionV>
            <wp:extent cx="7132320" cy="3583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71" w:right="1500" w:hanging="171"/>
        <w:spacing w:after="0" w:line="304" w:lineRule="auto"/>
        <w:tabs>
          <w:tab w:leader="none" w:pos="148" w:val="left"/>
        </w:tabs>
        <w:numPr>
          <w:ilvl w:val="0"/>
          <w:numId w:val="12"/>
        </w:numPr>
        <w:rPr>
          <w:rFonts w:ascii="Arial" w:cs="Arial" w:eastAsia="Arial" w:hAnsi="Arial"/>
          <w:sz w:val="13"/>
          <w:szCs w:val="13"/>
          <w:color w:val="auto"/>
        </w:rPr>
      </w:pPr>
      <w:r>
        <w:rPr>
          <w:rFonts w:ascii="Arial" w:cs="Arial" w:eastAsia="Arial" w:hAnsi="Arial"/>
          <w:sz w:val="16"/>
          <w:szCs w:val="16"/>
          <w:color w:val="auto"/>
        </w:rPr>
        <w:t>Begin active outreach with top stockholders to understand their priorities, including the results of our most recent annual meeting of stockholders</w:t>
      </w:r>
    </w:p>
    <w:p>
      <w:pPr>
        <w:spacing w:after="0" w:line="22" w:lineRule="exact"/>
        <w:rPr>
          <w:rFonts w:ascii="Arial" w:cs="Arial" w:eastAsia="Arial" w:hAnsi="Arial"/>
          <w:sz w:val="13"/>
          <w:szCs w:val="13"/>
          <w:color w:val="auto"/>
        </w:rPr>
      </w:pPr>
    </w:p>
    <w:p>
      <w:pPr>
        <w:ind w:left="171" w:right="1760" w:hanging="171"/>
        <w:spacing w:after="0" w:line="339" w:lineRule="auto"/>
        <w:tabs>
          <w:tab w:leader="none" w:pos="148" w:val="left"/>
        </w:tabs>
        <w:numPr>
          <w:ilvl w:val="0"/>
          <w:numId w:val="12"/>
        </w:numPr>
        <w:rPr>
          <w:rFonts w:ascii="Arial" w:cs="Arial" w:eastAsia="Arial" w:hAnsi="Arial"/>
          <w:sz w:val="13"/>
          <w:szCs w:val="13"/>
          <w:color w:val="auto"/>
        </w:rPr>
      </w:pPr>
      <w:r>
        <w:rPr>
          <w:rFonts w:ascii="Arial" w:cs="Arial" w:eastAsia="Arial" w:hAnsi="Arial"/>
          <w:sz w:val="16"/>
          <w:szCs w:val="16"/>
          <w:color w:val="auto"/>
        </w:rPr>
        <w:t>Share investor feedback with committee(s) and the Board</w:t>
      </w:r>
    </w:p>
    <w:p>
      <w:pPr>
        <w:spacing w:after="0" w:line="1128" w:lineRule="exact"/>
        <w:rPr>
          <w:sz w:val="20"/>
          <w:szCs w:val="20"/>
          <w:color w:val="auto"/>
        </w:rPr>
      </w:pPr>
    </w:p>
    <w:p>
      <w:pPr>
        <w:sectPr>
          <w:pgSz w:w="11900" w:h="16838" w:orient="portrait"/>
          <w:cols w:equalWidth="0" w:num="3">
            <w:col w:w="3900" w:space="493"/>
            <w:col w:w="2347" w:space="529"/>
            <w:col w:w="3971"/>
          </w:cols>
          <w:pgMar w:left="320" w:top="1027" w:right="3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Engagement</w:t>
      </w:r>
    </w:p>
    <w:p>
      <w:pPr>
        <w:spacing w:after="0" w:line="139" w:lineRule="exact"/>
        <w:rPr>
          <w:sz w:val="20"/>
          <w:szCs w:val="20"/>
          <w:color w:val="auto"/>
        </w:rPr>
      </w:pPr>
    </w:p>
    <w:p>
      <w:pPr>
        <w:jc w:val="both"/>
        <w:ind w:left="360" w:right="360"/>
        <w:spacing w:after="0" w:line="300" w:lineRule="auto"/>
        <w:rPr>
          <w:sz w:val="20"/>
          <w:szCs w:val="20"/>
          <w:color w:val="auto"/>
        </w:rPr>
      </w:pPr>
      <w:r>
        <w:rPr>
          <w:rFonts w:ascii="Arial" w:cs="Arial" w:eastAsia="Arial" w:hAnsi="Arial"/>
          <w:sz w:val="16"/>
          <w:szCs w:val="16"/>
          <w:color w:val="auto"/>
        </w:rPr>
        <w:t>As part of our stockholder outreach in 2024 and early 2025, we contacted our top 30 stockholders, representing approximately 51% of our outstanding shares of common stock. We ultimately spoke with five stockholders representing approximately 14% of our outstanding shares of common stock, while six stockholders representing approximately 24% of our outstanding shares of common stock declined our request for a meeting because they had no current concerns. A key component of the 2024/25 outreach was to discuss changes to our executive compensation program, corporate governance matters, risk management oversight, sustainability initiatives and other matters of particular import to our stockholders. We also received feedback from some investors related to their no votes cast for the reelection of directors at last year’s annual meeting.</w:t>
      </w:r>
    </w:p>
    <w:p>
      <w:pPr>
        <w:spacing w:after="0" w:line="132" w:lineRule="exact"/>
        <w:rPr>
          <w:sz w:val="20"/>
          <w:szCs w:val="20"/>
          <w:color w:val="auto"/>
        </w:rPr>
      </w:pPr>
    </w:p>
    <w:p>
      <w:pPr>
        <w:jc w:val="both"/>
        <w:ind w:left="360" w:right="380"/>
        <w:spacing w:after="0" w:line="339" w:lineRule="auto"/>
        <w:rPr>
          <w:sz w:val="20"/>
          <w:szCs w:val="20"/>
          <w:color w:val="auto"/>
        </w:rPr>
      </w:pPr>
      <w:r>
        <w:rPr>
          <w:rFonts w:ascii="Arial" w:cs="Arial" w:eastAsia="Arial" w:hAnsi="Arial"/>
          <w:sz w:val="16"/>
          <w:szCs w:val="16"/>
          <w:color w:val="auto"/>
        </w:rPr>
        <w:t>These engagements allow us to obtain feedback on stockholders’ perception and understanding of our business and help inform the Board directly to facilitate their oversight of management and the company.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Participants</w:t>
      </w:r>
    </w:p>
    <w:p>
      <w:pPr>
        <w:spacing w:after="0" w:line="126" w:lineRule="exact"/>
        <w:rPr>
          <w:sz w:val="20"/>
          <w:szCs w:val="20"/>
          <w:color w:val="auto"/>
        </w:rPr>
      </w:pPr>
    </w:p>
    <w:p>
      <w:pPr>
        <w:jc w:val="both"/>
        <w:ind w:left="360" w:right="380"/>
        <w:spacing w:after="0" w:line="306" w:lineRule="auto"/>
        <w:rPr>
          <w:sz w:val="20"/>
          <w:szCs w:val="20"/>
          <w:color w:val="auto"/>
        </w:rPr>
      </w:pPr>
      <w:r>
        <w:rPr>
          <w:rFonts w:ascii="Arial" w:cs="Arial" w:eastAsia="Arial" w:hAnsi="Arial"/>
          <w:sz w:val="16"/>
          <w:szCs w:val="16"/>
          <w:color w:val="auto"/>
        </w:rPr>
        <w:t>A Board member (when requested), together with our General Counsel and Corporate Secretary, our head of investor relations, and other members of the corporate legal team, participated in our outreach efforts in the Fall and Winter of 2024/25. All feedback received was shared and discussed with the Compensation Committee of the Board (the “Compensation Committee”), the Nominating and Corporate Governance Committee of the Board (the “Nominating and Corporate Governance Committee”) and the full Board.</w:t>
      </w:r>
    </w:p>
    <w:p>
      <w:pPr>
        <w:spacing w:after="0" w:line="128" w:lineRule="exact"/>
        <w:rPr>
          <w:sz w:val="20"/>
          <w:szCs w:val="20"/>
          <w:color w:val="auto"/>
        </w:rPr>
      </w:pPr>
    </w:p>
    <w:p>
      <w:pPr>
        <w:jc w:val="both"/>
        <w:ind w:left="360" w:right="380"/>
        <w:spacing w:after="0" w:line="339" w:lineRule="auto"/>
        <w:rPr>
          <w:sz w:val="20"/>
          <w:szCs w:val="20"/>
          <w:color w:val="auto"/>
        </w:rPr>
      </w:pPr>
      <w:r>
        <w:rPr>
          <w:rFonts w:ascii="Arial" w:cs="Arial" w:eastAsia="Arial" w:hAnsi="Arial"/>
          <w:sz w:val="16"/>
          <w:szCs w:val="16"/>
          <w:color w:val="auto"/>
        </w:rPr>
        <w:t>Additionally, our Chief Executive Officer (“CEO”), Chief Financial Officer (“CFO”) and head of investor relations engage in meaningful dialogue with our stockholders through our quarterly earnings calls and investor-related outreach events throughout the entire year.</w:t>
      </w:r>
    </w:p>
    <w:p>
      <w:pPr>
        <w:sectPr>
          <w:pgSz w:w="11900" w:h="16838" w:orient="portrait"/>
          <w:cols w:equalWidth="0" w:num="1">
            <w:col w:w="11240"/>
          </w:cols>
          <w:pgMar w:left="320" w:top="10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32"/>
          <w:szCs w:val="32"/>
          <w:b w:val="1"/>
          <w:bCs w:val="1"/>
          <w:color w:val="auto"/>
        </w:rPr>
        <w:t>Fiscal 2024 Compensation Highlights</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2024, we continued to execute on our redesigned executive compensation programs, meeting the commitments we made to our stockholders in our 2023 and 2024 proxy statements. Our executive compensation program reflects recognized best practices and principles that align the compensation of our named executive officers ("NEOs") with the long-term interests of our stockholders and are supported by market practices.</w:t>
      </w:r>
    </w:p>
    <w:p>
      <w:pPr>
        <w:spacing w:after="0" w:line="124" w:lineRule="exact"/>
        <w:rPr>
          <w:sz w:val="20"/>
          <w:szCs w:val="20"/>
          <w:color w:val="auto"/>
        </w:rPr>
      </w:pPr>
    </w:p>
    <w:p>
      <w:pPr>
        <w:ind w:left="300" w:hanging="130"/>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6"/>
          <w:szCs w:val="16"/>
          <w:color w:val="auto"/>
        </w:rPr>
        <w:t>67% of the overall value of stock awards for our NEOs were tied to the achievement of performance metrics</w:t>
      </w:r>
    </w:p>
    <w:p>
      <w:pPr>
        <w:spacing w:after="0" w:line="153" w:lineRule="exact"/>
        <w:rPr>
          <w:rFonts w:ascii="Arial" w:cs="Arial" w:eastAsia="Arial" w:hAnsi="Arial"/>
          <w:sz w:val="13"/>
          <w:szCs w:val="13"/>
          <w:color w:val="auto"/>
        </w:rPr>
      </w:pPr>
    </w:p>
    <w:p>
      <w:pPr>
        <w:ind w:left="820" w:hanging="245"/>
        <w:spacing w:after="0" w:line="339" w:lineRule="auto"/>
        <w:tabs>
          <w:tab w:leader="none" w:pos="797" w:val="left"/>
        </w:tabs>
        <w:numPr>
          <w:ilvl w:val="1"/>
          <w:numId w:val="13"/>
        </w:numPr>
        <w:rPr>
          <w:rFonts w:ascii="Arial" w:cs="Arial" w:eastAsia="Arial" w:hAnsi="Arial"/>
          <w:sz w:val="13"/>
          <w:szCs w:val="13"/>
          <w:color w:val="auto"/>
        </w:rPr>
      </w:pPr>
      <w:r>
        <w:rPr>
          <w:rFonts w:ascii="Arial" w:cs="Arial" w:eastAsia="Arial" w:hAnsi="Arial"/>
          <w:sz w:val="16"/>
          <w:szCs w:val="16"/>
          <w:color w:val="auto"/>
        </w:rPr>
        <w:t>34% based on performance-based restricted stock unit (“PSU”) awards that can be earned based on our three-year relative total shareholder return (“TSR”)</w:t>
      </w:r>
    </w:p>
    <w:p>
      <w:pPr>
        <w:spacing w:after="0" w:line="33" w:lineRule="exact"/>
        <w:rPr>
          <w:rFonts w:ascii="Arial" w:cs="Arial" w:eastAsia="Arial" w:hAnsi="Arial"/>
          <w:sz w:val="13"/>
          <w:szCs w:val="13"/>
          <w:color w:val="auto"/>
        </w:rPr>
      </w:pPr>
    </w:p>
    <w:p>
      <w:pPr>
        <w:ind w:left="800" w:hanging="225"/>
        <w:spacing w:after="0"/>
        <w:tabs>
          <w:tab w:leader="none" w:pos="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33% based on PSU awards that can be earned based on achievement of certain critical one-year financial and operational performance goals</w:t>
      </w:r>
    </w:p>
    <w:p>
      <w:pPr>
        <w:spacing w:after="0" w:line="126" w:lineRule="exact"/>
        <w:rPr>
          <w:rFonts w:ascii="Arial" w:cs="Arial" w:eastAsia="Arial" w:hAnsi="Arial"/>
          <w:sz w:val="16"/>
          <w:szCs w:val="16"/>
          <w:color w:val="auto"/>
        </w:rPr>
      </w:pPr>
    </w:p>
    <w:p>
      <w:pPr>
        <w:ind w:left="300" w:hanging="130"/>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6"/>
          <w:szCs w:val="16"/>
          <w:color w:val="auto"/>
        </w:rPr>
        <w:t>Did not increase the base salary of our CEO or the target cash incentive opportunities for our CEO or other NEOs</w:t>
      </w:r>
    </w:p>
    <w:p>
      <w:pPr>
        <w:spacing w:after="0" w:line="153" w:lineRule="exact"/>
        <w:rPr>
          <w:rFonts w:ascii="Arial" w:cs="Arial" w:eastAsia="Arial" w:hAnsi="Arial"/>
          <w:sz w:val="13"/>
          <w:szCs w:val="13"/>
          <w:color w:val="auto"/>
        </w:rPr>
      </w:pPr>
    </w:p>
    <w:p>
      <w:pPr>
        <w:ind w:left="300" w:hanging="130"/>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6"/>
          <w:szCs w:val="16"/>
          <w:color w:val="auto"/>
        </w:rPr>
        <w:t>69% of our CEO’s total target compensation and an average of 68% of our other NEOs’ total target compensation was at risk</w:t>
      </w:r>
    </w:p>
    <w:p>
      <w:pPr>
        <w:spacing w:after="0" w:line="153" w:lineRule="exact"/>
        <w:rPr>
          <w:rFonts w:ascii="Arial" w:cs="Arial" w:eastAsia="Arial" w:hAnsi="Arial"/>
          <w:sz w:val="13"/>
          <w:szCs w:val="13"/>
          <w:color w:val="auto"/>
        </w:rPr>
      </w:pPr>
    </w:p>
    <w:p>
      <w:pPr>
        <w:ind w:left="340" w:hanging="170"/>
        <w:spacing w:after="0" w:line="321" w:lineRule="auto"/>
        <w:tabs>
          <w:tab w:leader="none" w:pos="317" w:val="left"/>
        </w:tabs>
        <w:numPr>
          <w:ilvl w:val="0"/>
          <w:numId w:val="13"/>
        </w:numPr>
        <w:rPr>
          <w:rFonts w:ascii="Arial" w:cs="Arial" w:eastAsia="Arial" w:hAnsi="Arial"/>
          <w:sz w:val="13"/>
          <w:szCs w:val="13"/>
          <w:color w:val="auto"/>
        </w:rPr>
      </w:pPr>
      <w:r>
        <w:rPr>
          <w:rFonts w:ascii="Arial" w:cs="Arial" w:eastAsia="Arial" w:hAnsi="Arial"/>
          <w:sz w:val="16"/>
          <w:szCs w:val="16"/>
          <w:color w:val="auto"/>
        </w:rPr>
        <w:t>Incorporated an ESG goal in our annual CEO goals that requires us to install solar systems on Enphase-leased buildings to reduce our overall carbon footprint</w:t>
      </w:r>
    </w:p>
    <w:p>
      <w:pPr>
        <w:spacing w:after="0" w:line="61" w:lineRule="exact"/>
        <w:rPr>
          <w:rFonts w:ascii="Arial" w:cs="Arial" w:eastAsia="Arial" w:hAnsi="Arial"/>
          <w:sz w:val="13"/>
          <w:szCs w:val="13"/>
          <w:color w:val="auto"/>
        </w:rPr>
      </w:pPr>
    </w:p>
    <w:p>
      <w:pPr>
        <w:ind w:left="340" w:right="20" w:hanging="170"/>
        <w:spacing w:after="0" w:line="339" w:lineRule="auto"/>
        <w:tabs>
          <w:tab w:leader="none" w:pos="317" w:val="left"/>
        </w:tabs>
        <w:numPr>
          <w:ilvl w:val="0"/>
          <w:numId w:val="13"/>
        </w:numPr>
        <w:rPr>
          <w:rFonts w:ascii="Arial" w:cs="Arial" w:eastAsia="Arial" w:hAnsi="Arial"/>
          <w:sz w:val="13"/>
          <w:szCs w:val="13"/>
          <w:color w:val="auto"/>
        </w:rPr>
      </w:pPr>
      <w:r>
        <w:rPr>
          <w:rFonts w:ascii="Arial" w:cs="Arial" w:eastAsia="Arial" w:hAnsi="Arial"/>
          <w:sz w:val="16"/>
          <w:szCs w:val="16"/>
          <w:color w:val="auto"/>
        </w:rPr>
        <w:t>Enhanced our Compensation Discussion and Analysis (“CD&amp;A”) disclosure in our annual proxy statement to better explain our annual and quarterly SMART goals and overall compensation program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80645</wp:posOffset>
            </wp:positionV>
            <wp:extent cx="5932170" cy="3188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3217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Wingdings" w:cs="Wingdings" w:eastAsia="Wingdings" w:hAnsi="Wingdings"/>
          <w:sz w:val="18"/>
          <w:szCs w:val="18"/>
          <w:b w:val="1"/>
          <w:bCs w:val="1"/>
          <w:color w:val="3B999E"/>
        </w:rPr>
        <w:t xml:space="preserve">n </w:t>
      </w:r>
      <w:r>
        <w:rPr>
          <w:rFonts w:ascii="Arial" w:cs="Arial" w:eastAsia="Arial" w:hAnsi="Arial"/>
          <w:sz w:val="16"/>
          <w:szCs w:val="16"/>
          <w:b w:val="1"/>
          <w:bCs w:val="1"/>
          <w:color w:val="000000"/>
        </w:rPr>
        <w:t>Base Salary</w:t>
      </w:r>
    </w:p>
    <w:p>
      <w:pPr>
        <w:ind w:left="4240"/>
        <w:spacing w:after="0" w:line="210" w:lineRule="auto"/>
        <w:rPr>
          <w:sz w:val="20"/>
          <w:szCs w:val="20"/>
          <w:color w:val="auto"/>
        </w:rPr>
      </w:pPr>
      <w:r>
        <w:rPr>
          <w:rFonts w:ascii="Wingdings" w:cs="Wingdings" w:eastAsia="Wingdings" w:hAnsi="Wingdings"/>
          <w:sz w:val="18"/>
          <w:szCs w:val="18"/>
          <w:b w:val="1"/>
          <w:bCs w:val="1"/>
          <w:color w:val="2C436F"/>
        </w:rPr>
        <w:t xml:space="preserve">n </w:t>
      </w:r>
      <w:r>
        <w:rPr>
          <w:rFonts w:ascii="Arial" w:cs="Arial" w:eastAsia="Arial" w:hAnsi="Arial"/>
          <w:sz w:val="16"/>
          <w:szCs w:val="16"/>
          <w:b w:val="1"/>
          <w:bCs w:val="1"/>
          <w:color w:val="000000"/>
        </w:rPr>
        <w:t>Time-Based RSUs</w:t>
      </w:r>
    </w:p>
    <w:p>
      <w:pPr>
        <w:spacing w:after="0" w:line="1" w:lineRule="exact"/>
        <w:rPr>
          <w:sz w:val="20"/>
          <w:szCs w:val="20"/>
          <w:color w:val="auto"/>
        </w:rPr>
      </w:pPr>
    </w:p>
    <w:p>
      <w:pPr>
        <w:ind w:left="4420" w:hanging="175"/>
        <w:spacing w:after="0"/>
        <w:tabs>
          <w:tab w:leader="none" w:pos="4420" w:val="left"/>
        </w:tabs>
        <w:numPr>
          <w:ilvl w:val="0"/>
          <w:numId w:val="14"/>
        </w:numPr>
        <w:rPr>
          <w:rFonts w:ascii="Wingdings" w:cs="Wingdings" w:eastAsia="Wingdings" w:hAnsi="Wingdings"/>
          <w:sz w:val="18"/>
          <w:szCs w:val="18"/>
          <w:b w:val="1"/>
          <w:bCs w:val="1"/>
          <w:color w:val="FFD02C"/>
        </w:rPr>
      </w:pPr>
      <w:r>
        <w:rPr>
          <w:rFonts w:ascii="Arial" w:cs="Arial" w:eastAsia="Arial" w:hAnsi="Arial"/>
          <w:sz w:val="16"/>
          <w:szCs w:val="16"/>
          <w:b w:val="1"/>
          <w:bCs w:val="1"/>
          <w:color w:val="auto"/>
        </w:rPr>
        <w:t>PSUs</w:t>
      </w:r>
    </w:p>
    <w:p>
      <w:pPr>
        <w:spacing w:after="0" w:line="4" w:lineRule="exact"/>
        <w:rPr>
          <w:rFonts w:ascii="Wingdings" w:cs="Wingdings" w:eastAsia="Wingdings" w:hAnsi="Wingdings"/>
          <w:sz w:val="18"/>
          <w:szCs w:val="18"/>
          <w:b w:val="1"/>
          <w:bCs w:val="1"/>
          <w:color w:val="FFD02C"/>
        </w:rPr>
      </w:pPr>
    </w:p>
    <w:p>
      <w:pPr>
        <w:ind w:left="4420" w:hanging="175"/>
        <w:spacing w:after="0"/>
        <w:tabs>
          <w:tab w:leader="none" w:pos="4420" w:val="left"/>
        </w:tabs>
        <w:numPr>
          <w:ilvl w:val="0"/>
          <w:numId w:val="14"/>
        </w:numPr>
        <w:rPr>
          <w:rFonts w:ascii="Wingdings" w:cs="Wingdings" w:eastAsia="Wingdings" w:hAnsi="Wingdings"/>
          <w:sz w:val="18"/>
          <w:szCs w:val="18"/>
          <w:b w:val="1"/>
          <w:bCs w:val="1"/>
          <w:color w:val="F45270"/>
        </w:rPr>
      </w:pPr>
      <w:r>
        <w:rPr>
          <w:rFonts w:ascii="Arial" w:cs="Arial" w:eastAsia="Arial" w:hAnsi="Arial"/>
          <w:sz w:val="16"/>
          <w:szCs w:val="16"/>
          <w:b w:val="1"/>
          <w:bCs w:val="1"/>
          <w:color w:val="auto"/>
        </w:rPr>
        <w:t>Quarterly Performance Cash Bonus</w:t>
      </w:r>
    </w:p>
    <w:p>
      <w:pPr>
        <w:spacing w:after="0" w:line="200" w:lineRule="exact"/>
        <w:rPr>
          <w:sz w:val="20"/>
          <w:szCs w:val="20"/>
          <w:color w:val="auto"/>
        </w:rPr>
      </w:pPr>
    </w:p>
    <w:p>
      <w:pPr>
        <w:spacing w:after="0" w:line="23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charts above reflect 2024 annual base salaries, 2024 quarterly performance cash bonuses (at risk), time-based restricted stock units (“RSUs”) and PSUs (at risk), as reported in the Summary Compensation Table below. The charts do not include “All Other Compensation,” as reported in the Summary Compensation Table, because such amounts were less than 1% for each NEO’s aggregate compensation for 2024.</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Strong Governance Standards and Best Practices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of the Board is fully engaged to respond to the dynamic business environment in which we operate. As discussed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CD&amp;A section of this proxy statement, the Compensation Committee acts to:</w:t>
      </w:r>
    </w:p>
    <w:p>
      <w:pPr>
        <w:spacing w:after="0" w:line="208" w:lineRule="exact"/>
        <w:rPr>
          <w:sz w:val="20"/>
          <w:szCs w:val="20"/>
          <w:color w:val="auto"/>
        </w:rPr>
      </w:pPr>
    </w:p>
    <w:p>
      <w:pPr>
        <w:ind w:left="300" w:hanging="130"/>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6"/>
          <w:szCs w:val="16"/>
          <w:color w:val="auto"/>
        </w:rPr>
        <w:t>Adapt our compensation program to match the needs of our business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6"/>
          <w:szCs w:val="16"/>
          <w:color w:val="auto"/>
        </w:rPr>
        <w:t>Attract, motivate and retain top talent in a dynamic and challenging business environment</w:t>
      </w:r>
    </w:p>
    <w:p>
      <w:pPr>
        <w:spacing w:after="0" w:line="86" w:lineRule="exact"/>
        <w:rPr>
          <w:rFonts w:ascii="Arial" w:cs="Arial" w:eastAsia="Arial" w:hAnsi="Arial"/>
          <w:sz w:val="13"/>
          <w:szCs w:val="13"/>
          <w:color w:val="auto"/>
        </w:rPr>
      </w:pPr>
    </w:p>
    <w:p>
      <w:pPr>
        <w:ind w:left="340" w:right="360" w:hanging="170"/>
        <w:spacing w:after="0" w:line="334" w:lineRule="auto"/>
        <w:tabs>
          <w:tab w:leader="none" w:pos="317" w:val="left"/>
        </w:tabs>
        <w:numPr>
          <w:ilvl w:val="0"/>
          <w:numId w:val="15"/>
        </w:numPr>
        <w:rPr>
          <w:rFonts w:ascii="Arial" w:cs="Arial" w:eastAsia="Arial" w:hAnsi="Arial"/>
          <w:sz w:val="13"/>
          <w:szCs w:val="13"/>
          <w:color w:val="auto"/>
        </w:rPr>
      </w:pPr>
      <w:r>
        <w:rPr>
          <w:rFonts w:ascii="Arial" w:cs="Arial" w:eastAsia="Arial" w:hAnsi="Arial"/>
          <w:sz w:val="16"/>
          <w:szCs w:val="16"/>
          <w:color w:val="auto"/>
        </w:rPr>
        <w:t>Foster long-term stockholder value creation and pay-for-performance alignment by creating meaningful equity incentives linked to rigorous financial, strategic and operational objectives</w:t>
      </w:r>
    </w:p>
    <w:p>
      <w:pPr>
        <w:ind w:left="300" w:hanging="130"/>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6"/>
          <w:szCs w:val="16"/>
          <w:color w:val="auto"/>
        </w:rPr>
        <w:t>Mitigate compensation-related risks to the organization</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6"/>
          <w:szCs w:val="16"/>
          <w:color w:val="auto"/>
        </w:rPr>
        <w:t>Conduct an annual say-on-pay advisory vote and continue to engage with stockholders on executive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Program Design</w:t>
      </w:r>
    </w:p>
    <w:p>
      <w:pPr>
        <w:spacing w:after="0" w:line="126"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As further discussed in the CD&amp;A section of this proxy statement, the Compensation Committee has established the following guiding principles, policies and practices when structuring the compensation paid to our NEOs:</w:t>
      </w:r>
    </w:p>
    <w:p>
      <w:pPr>
        <w:spacing w:after="0" w:line="88" w:lineRule="exact"/>
        <w:rPr>
          <w:sz w:val="20"/>
          <w:szCs w:val="20"/>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Competitive total rewards package benchmarked against comparable peers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Vast majority of executive pay based on performance, primarily in the form of stock-based compensation</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Starting in 2023 and continuing in 2024, maintaining a three-year TSR metric with the long-term incentive program</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Multi-year vesting of stock awards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Stock ownership guidelines, including rigorous share ownership requirements</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SEC compliant clawback policy</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No fixed term or evergreen employment agreements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ESG goal in our short-term and long-term incentive plans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Double-trigger equity acceleration upon a change-in-control</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No hedging, short sales or derivative transactions for NEOs</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No tax gross-ups upon a change-in-control or on perquisites or benefits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No executive perquisites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6"/>
          <w:szCs w:val="16"/>
          <w:color w:val="auto"/>
        </w:rPr>
        <w:t>No executive pension plans or supplemental executive retirement plans</w:t>
      </w:r>
    </w:p>
    <w:p>
      <w:pPr>
        <w:spacing w:after="0" w:line="208"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For a detailed discussion of our executive compensation program, and the 2024 compensation of our NEOs, see the section of this proxy statement entitled “Compensation Discussion and Analysis” beginning on page 24.</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32"/>
          <w:szCs w:val="32"/>
          <w:b w:val="1"/>
          <w:bCs w:val="1"/>
          <w:color w:val="auto"/>
        </w:rPr>
        <w:t>Voting Roadmap and Vote Recommendations</w:t>
      </w:r>
    </w:p>
    <w:p>
      <w:pPr>
        <w:spacing w:after="0" w:line="26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This section highlights selected information about the items to be voted on at the Annual Meeting. It does not contain all the information that you should consider in deciding how to vote. You should read the entirety of this proxy statement carefully before voting.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 w:type="dxa"/>
            <w:vAlign w:val="bottom"/>
            <w:shd w:val="clear" w:color="auto" w:fill="FAF6EF"/>
          </w:tcPr>
          <w:p>
            <w:pPr>
              <w:spacing w:after="0"/>
              <w:rPr>
                <w:sz w:val="22"/>
                <w:szCs w:val="22"/>
                <w:color w:val="auto"/>
              </w:rPr>
            </w:pPr>
          </w:p>
        </w:tc>
        <w:tc>
          <w:tcPr>
            <w:tcW w:w="2120" w:type="dxa"/>
            <w:vAlign w:val="bottom"/>
            <w:vMerge w:val="restart"/>
            <w:shd w:val="clear" w:color="auto" w:fill="FAF6EF"/>
          </w:tcPr>
          <w:p>
            <w:pPr>
              <w:ind w:left="20"/>
              <w:spacing w:after="0"/>
              <w:rPr>
                <w:sz w:val="20"/>
                <w:szCs w:val="20"/>
                <w:color w:val="auto"/>
              </w:rPr>
            </w:pPr>
            <w:r>
              <w:rPr>
                <w:rFonts w:ascii="Arial" w:cs="Arial" w:eastAsia="Arial" w:hAnsi="Arial"/>
                <w:sz w:val="32"/>
                <w:szCs w:val="32"/>
                <w:b w:val="1"/>
                <w:bCs w:val="1"/>
                <w:color w:val="439E58"/>
              </w:rPr>
              <w:t>Proposal 1</w:t>
            </w:r>
          </w:p>
        </w:tc>
        <w:tc>
          <w:tcPr>
            <w:tcW w:w="240" w:type="dxa"/>
            <w:vAlign w:val="bottom"/>
            <w:tcBorders>
              <w:right w:val="single" w:sz="8" w:color="FAF6EF"/>
            </w:tcBorders>
            <w:shd w:val="clear" w:color="auto" w:fill="FAF6EF"/>
          </w:tcPr>
          <w:p>
            <w:pPr>
              <w:spacing w:after="0"/>
              <w:rPr>
                <w:sz w:val="22"/>
                <w:szCs w:val="22"/>
                <w:color w:val="auto"/>
              </w:rPr>
            </w:pPr>
          </w:p>
        </w:tc>
        <w:tc>
          <w:tcPr>
            <w:tcW w:w="340" w:type="dxa"/>
            <w:vAlign w:val="bottom"/>
            <w:shd w:val="clear" w:color="auto" w:fill="FAF6EF"/>
          </w:tcPr>
          <w:p>
            <w:pPr>
              <w:spacing w:after="0"/>
              <w:rPr>
                <w:sz w:val="22"/>
                <w:szCs w:val="22"/>
                <w:color w:val="auto"/>
              </w:rPr>
            </w:pPr>
          </w:p>
        </w:tc>
        <w:tc>
          <w:tcPr>
            <w:tcW w:w="4080" w:type="dxa"/>
            <w:vAlign w:val="bottom"/>
            <w:tcBorders>
              <w:right w:val="single" w:sz="8" w:color="FAF6EF"/>
            </w:tcBorders>
            <w:gridSpan w:val="2"/>
            <w:vMerge w:val="restart"/>
            <w:shd w:val="clear" w:color="auto" w:fill="FAF6EF"/>
          </w:tcPr>
          <w:p>
            <w:pPr>
              <w:ind w:left="20"/>
              <w:spacing w:after="0"/>
              <w:rPr>
                <w:sz w:val="20"/>
                <w:szCs w:val="20"/>
                <w:color w:val="auto"/>
              </w:rPr>
            </w:pPr>
            <w:r>
              <w:rPr>
                <w:rFonts w:ascii="Arial" w:cs="Arial" w:eastAsia="Arial" w:hAnsi="Arial"/>
                <w:sz w:val="22"/>
                <w:szCs w:val="22"/>
                <w:b w:val="1"/>
                <w:bCs w:val="1"/>
                <w:color w:val="auto"/>
              </w:rPr>
              <w:t>Elect two Class I Director Nominees</w:t>
            </w:r>
          </w:p>
        </w:tc>
        <w:tc>
          <w:tcPr>
            <w:tcW w:w="1500" w:type="dxa"/>
            <w:vAlign w:val="bottom"/>
            <w:tcBorders>
              <w:right w:val="single" w:sz="8" w:color="FAF6EF"/>
            </w:tcBorders>
            <w:shd w:val="clear" w:color="auto" w:fill="FAF6EF"/>
          </w:tcPr>
          <w:p>
            <w:pPr>
              <w:spacing w:after="0"/>
              <w:rPr>
                <w:sz w:val="22"/>
                <w:szCs w:val="22"/>
                <w:color w:val="auto"/>
              </w:rPr>
            </w:pPr>
          </w:p>
        </w:tc>
        <w:tc>
          <w:tcPr>
            <w:tcW w:w="2260" w:type="dxa"/>
            <w:vAlign w:val="bottom"/>
            <w:shd w:val="clear" w:color="auto" w:fill="FAF6EF"/>
          </w:tcPr>
          <w:p>
            <w:pPr>
              <w:spacing w:after="0"/>
              <w:rPr>
                <w:sz w:val="22"/>
                <w:szCs w:val="22"/>
                <w:color w:val="auto"/>
              </w:rPr>
            </w:pPr>
          </w:p>
        </w:tc>
        <w:tc>
          <w:tcPr>
            <w:tcW w:w="360" w:type="dxa"/>
            <w:vAlign w:val="bottom"/>
            <w:shd w:val="clear" w:color="auto" w:fill="FAF6EF"/>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340" w:type="dxa"/>
            <w:vAlign w:val="bottom"/>
            <w:shd w:val="clear" w:color="auto" w:fill="FAF6EF"/>
          </w:tcPr>
          <w:p>
            <w:pPr>
              <w:spacing w:after="0"/>
              <w:rPr>
                <w:sz w:val="24"/>
                <w:szCs w:val="24"/>
                <w:color w:val="auto"/>
              </w:rPr>
            </w:pPr>
          </w:p>
        </w:tc>
        <w:tc>
          <w:tcPr>
            <w:tcW w:w="2120" w:type="dxa"/>
            <w:vAlign w:val="bottom"/>
            <w:vMerge w:val="continue"/>
            <w:shd w:val="clear" w:color="auto" w:fill="FAF6EF"/>
          </w:tcPr>
          <w:p>
            <w:pPr>
              <w:spacing w:after="0"/>
              <w:rPr>
                <w:sz w:val="24"/>
                <w:szCs w:val="24"/>
                <w:color w:val="auto"/>
              </w:rPr>
            </w:pPr>
          </w:p>
        </w:tc>
        <w:tc>
          <w:tcPr>
            <w:tcW w:w="240" w:type="dxa"/>
            <w:vAlign w:val="bottom"/>
            <w:tcBorders>
              <w:right w:val="single" w:sz="8" w:color="439E58"/>
            </w:tcBorders>
            <w:shd w:val="clear" w:color="auto" w:fill="FAF6EF"/>
          </w:tcPr>
          <w:p>
            <w:pPr>
              <w:spacing w:after="0"/>
              <w:rPr>
                <w:sz w:val="24"/>
                <w:szCs w:val="24"/>
                <w:color w:val="auto"/>
              </w:rPr>
            </w:pPr>
          </w:p>
        </w:tc>
        <w:tc>
          <w:tcPr>
            <w:tcW w:w="340" w:type="dxa"/>
            <w:vAlign w:val="bottom"/>
            <w:shd w:val="clear" w:color="auto" w:fill="FAF6EF"/>
          </w:tcPr>
          <w:p>
            <w:pPr>
              <w:spacing w:after="0"/>
              <w:rPr>
                <w:sz w:val="24"/>
                <w:szCs w:val="24"/>
                <w:color w:val="auto"/>
              </w:rPr>
            </w:pPr>
          </w:p>
        </w:tc>
        <w:tc>
          <w:tcPr>
            <w:tcW w:w="4080" w:type="dxa"/>
            <w:vAlign w:val="bottom"/>
            <w:tcBorders>
              <w:right w:val="single" w:sz="8" w:color="FAF6EF"/>
            </w:tcBorders>
            <w:gridSpan w:val="2"/>
            <w:vMerge w:val="continue"/>
            <w:shd w:val="clear" w:color="auto" w:fill="FAF6EF"/>
          </w:tcPr>
          <w:p>
            <w:pPr>
              <w:spacing w:after="0"/>
              <w:rPr>
                <w:sz w:val="24"/>
                <w:szCs w:val="24"/>
                <w:color w:val="auto"/>
              </w:rPr>
            </w:pPr>
          </w:p>
        </w:tc>
        <w:tc>
          <w:tcPr>
            <w:tcW w:w="1500" w:type="dxa"/>
            <w:vAlign w:val="bottom"/>
            <w:tcBorders>
              <w:right w:val="single" w:sz="8" w:color="FAF6EF"/>
            </w:tcBorders>
            <w:shd w:val="clear" w:color="auto" w:fill="FAF6EF"/>
          </w:tcPr>
          <w:p>
            <w:pPr>
              <w:spacing w:after="0"/>
              <w:rPr>
                <w:sz w:val="24"/>
                <w:szCs w:val="24"/>
                <w:color w:val="auto"/>
              </w:rPr>
            </w:pPr>
          </w:p>
        </w:tc>
        <w:tc>
          <w:tcPr>
            <w:tcW w:w="2260" w:type="dxa"/>
            <w:vAlign w:val="bottom"/>
            <w:shd w:val="clear" w:color="auto" w:fill="FAF6EF"/>
          </w:tcPr>
          <w:p>
            <w:pPr>
              <w:spacing w:after="0"/>
              <w:rPr>
                <w:sz w:val="24"/>
                <w:szCs w:val="24"/>
                <w:color w:val="auto"/>
              </w:rPr>
            </w:pPr>
          </w:p>
        </w:tc>
        <w:tc>
          <w:tcPr>
            <w:tcW w:w="360" w:type="dxa"/>
            <w:vAlign w:val="bottom"/>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shd w:val="clear" w:color="auto" w:fill="FAF6EF"/>
          </w:tcPr>
          <w:p>
            <w:pPr>
              <w:spacing w:after="0"/>
              <w:rPr>
                <w:sz w:val="7"/>
                <w:szCs w:val="7"/>
                <w:color w:val="auto"/>
              </w:rPr>
            </w:pPr>
          </w:p>
        </w:tc>
        <w:tc>
          <w:tcPr>
            <w:tcW w:w="2120" w:type="dxa"/>
            <w:vAlign w:val="bottom"/>
            <w:vMerge w:val="restart"/>
            <w:shd w:val="clear" w:color="auto" w:fill="FAF6EF"/>
          </w:tcPr>
          <w:p>
            <w:pPr>
              <w:ind w:left="20"/>
              <w:spacing w:after="0"/>
              <w:rPr>
                <w:sz w:val="20"/>
                <w:szCs w:val="20"/>
                <w:color w:val="auto"/>
              </w:rPr>
            </w:pPr>
            <w:r>
              <w:rPr>
                <w:rFonts w:ascii="Arial" w:cs="Arial" w:eastAsia="Arial" w:hAnsi="Arial"/>
                <w:sz w:val="16"/>
                <w:szCs w:val="16"/>
                <w:color w:val="auto"/>
              </w:rPr>
              <w:t>See page 8</w:t>
            </w:r>
          </w:p>
        </w:tc>
        <w:tc>
          <w:tcPr>
            <w:tcW w:w="240" w:type="dxa"/>
            <w:vAlign w:val="bottom"/>
            <w:tcBorders>
              <w:right w:val="single" w:sz="8" w:color="439E58"/>
            </w:tcBorders>
            <w:shd w:val="clear" w:color="auto" w:fill="FAF6EF"/>
          </w:tcPr>
          <w:p>
            <w:pPr>
              <w:spacing w:after="0"/>
              <w:rPr>
                <w:sz w:val="7"/>
                <w:szCs w:val="7"/>
                <w:color w:val="auto"/>
              </w:rPr>
            </w:pPr>
          </w:p>
        </w:tc>
        <w:tc>
          <w:tcPr>
            <w:tcW w:w="340" w:type="dxa"/>
            <w:vAlign w:val="bottom"/>
            <w:shd w:val="clear" w:color="auto" w:fill="FAF6EF"/>
          </w:tcPr>
          <w:p>
            <w:pPr>
              <w:spacing w:after="0"/>
              <w:rPr>
                <w:sz w:val="7"/>
                <w:szCs w:val="7"/>
                <w:color w:val="auto"/>
              </w:rPr>
            </w:pPr>
          </w:p>
        </w:tc>
        <w:tc>
          <w:tcPr>
            <w:tcW w:w="4080" w:type="dxa"/>
            <w:vAlign w:val="bottom"/>
            <w:tcBorders>
              <w:right w:val="single" w:sz="8" w:color="FAF6EF"/>
            </w:tcBorders>
            <w:gridSpan w:val="2"/>
            <w:vMerge w:val="continue"/>
            <w:shd w:val="clear" w:color="auto" w:fill="FAF6EF"/>
          </w:tcPr>
          <w:p>
            <w:pPr>
              <w:spacing w:after="0"/>
              <w:rPr>
                <w:sz w:val="7"/>
                <w:szCs w:val="7"/>
                <w:color w:val="auto"/>
              </w:rPr>
            </w:pPr>
          </w:p>
        </w:tc>
        <w:tc>
          <w:tcPr>
            <w:tcW w:w="1500" w:type="dxa"/>
            <w:vAlign w:val="bottom"/>
            <w:tcBorders>
              <w:right w:val="single" w:sz="8" w:color="FAF6EF"/>
            </w:tcBorders>
            <w:shd w:val="clear" w:color="auto" w:fill="FAF6EF"/>
          </w:tcPr>
          <w:p>
            <w:pPr>
              <w:spacing w:after="0"/>
              <w:rPr>
                <w:sz w:val="7"/>
                <w:szCs w:val="7"/>
                <w:color w:val="auto"/>
              </w:rPr>
            </w:pPr>
          </w:p>
        </w:tc>
        <w:tc>
          <w:tcPr>
            <w:tcW w:w="2260" w:type="dxa"/>
            <w:vAlign w:val="bottom"/>
            <w:shd w:val="clear" w:color="auto" w:fill="FAF6EF"/>
          </w:tcPr>
          <w:p>
            <w:pPr>
              <w:spacing w:after="0"/>
              <w:rPr>
                <w:sz w:val="7"/>
                <w:szCs w:val="7"/>
                <w:color w:val="auto"/>
              </w:rPr>
            </w:pPr>
          </w:p>
        </w:tc>
        <w:tc>
          <w:tcPr>
            <w:tcW w:w="360" w:type="dxa"/>
            <w:vAlign w:val="bottom"/>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40" w:type="dxa"/>
            <w:vAlign w:val="bottom"/>
            <w:shd w:val="clear" w:color="auto" w:fill="FAF6EF"/>
          </w:tcPr>
          <w:p>
            <w:pPr>
              <w:spacing w:after="0"/>
              <w:rPr>
                <w:sz w:val="14"/>
                <w:szCs w:val="14"/>
                <w:color w:val="auto"/>
              </w:rPr>
            </w:pPr>
          </w:p>
        </w:tc>
        <w:tc>
          <w:tcPr>
            <w:tcW w:w="2120" w:type="dxa"/>
            <w:vAlign w:val="bottom"/>
            <w:vMerge w:val="continue"/>
            <w:shd w:val="clear" w:color="auto" w:fill="FAF6EF"/>
          </w:tcPr>
          <w:p>
            <w:pPr>
              <w:spacing w:after="0"/>
              <w:rPr>
                <w:sz w:val="14"/>
                <w:szCs w:val="14"/>
                <w:color w:val="auto"/>
              </w:rPr>
            </w:pPr>
          </w:p>
        </w:tc>
        <w:tc>
          <w:tcPr>
            <w:tcW w:w="240" w:type="dxa"/>
            <w:vAlign w:val="bottom"/>
            <w:tcBorders>
              <w:right w:val="single" w:sz="8" w:color="439E58"/>
            </w:tcBorders>
            <w:shd w:val="clear" w:color="auto" w:fill="FAF6EF"/>
          </w:tcPr>
          <w:p>
            <w:pPr>
              <w:spacing w:after="0"/>
              <w:rPr>
                <w:sz w:val="14"/>
                <w:szCs w:val="14"/>
                <w:color w:val="auto"/>
              </w:rPr>
            </w:pPr>
          </w:p>
        </w:tc>
        <w:tc>
          <w:tcPr>
            <w:tcW w:w="340" w:type="dxa"/>
            <w:vAlign w:val="bottom"/>
            <w:shd w:val="clear" w:color="auto" w:fill="FAF6EF"/>
          </w:tcPr>
          <w:p>
            <w:pPr>
              <w:spacing w:after="0"/>
              <w:rPr>
                <w:sz w:val="14"/>
                <w:szCs w:val="14"/>
                <w:color w:val="auto"/>
              </w:rPr>
            </w:pPr>
          </w:p>
        </w:tc>
        <w:tc>
          <w:tcPr>
            <w:tcW w:w="5580" w:type="dxa"/>
            <w:vAlign w:val="bottom"/>
            <w:tcBorders>
              <w:right w:val="single" w:sz="8" w:color="FAF6EF"/>
            </w:tcBorders>
            <w:gridSpan w:val="3"/>
            <w:vMerge w:val="restart"/>
            <w:shd w:val="clear" w:color="auto" w:fill="FAF6EF"/>
          </w:tcPr>
          <w:p>
            <w:pPr>
              <w:ind w:left="20"/>
              <w:spacing w:after="0"/>
              <w:rPr>
                <w:sz w:val="20"/>
                <w:szCs w:val="20"/>
                <w:color w:val="auto"/>
              </w:rPr>
            </w:pPr>
            <w:r>
              <w:rPr>
                <w:rFonts w:ascii="Arial" w:cs="Arial" w:eastAsia="Arial" w:hAnsi="Arial"/>
                <w:sz w:val="18"/>
                <w:szCs w:val="18"/>
                <w:b w:val="1"/>
                <w:bCs w:val="1"/>
                <w:i w:val="1"/>
                <w:iCs w:val="1"/>
                <w:color w:val="auto"/>
              </w:rPr>
              <w:t xml:space="preserve">The Board recommends a vote </w:t>
            </w:r>
            <w:r>
              <w:rPr>
                <w:rFonts w:ascii="Arial" w:cs="Arial" w:eastAsia="Arial" w:hAnsi="Arial"/>
                <w:sz w:val="21"/>
                <w:szCs w:val="21"/>
                <w:b w:val="1"/>
                <w:bCs w:val="1"/>
                <w:color w:val="E86100"/>
              </w:rPr>
              <w:t>FOR</w:t>
            </w:r>
            <w:r>
              <w:rPr>
                <w:rFonts w:ascii="Arial" w:cs="Arial" w:eastAsia="Arial" w:hAnsi="Arial"/>
                <w:sz w:val="18"/>
                <w:szCs w:val="18"/>
                <w:b w:val="1"/>
                <w:bCs w:val="1"/>
                <w:i w:val="1"/>
                <w:iCs w:val="1"/>
                <w:color w:val="auto"/>
              </w:rPr>
              <w:t xml:space="preserve"> each nominee</w:t>
            </w:r>
          </w:p>
        </w:tc>
        <w:tc>
          <w:tcPr>
            <w:tcW w:w="2260" w:type="dxa"/>
            <w:vAlign w:val="bottom"/>
            <w:shd w:val="clear" w:color="auto" w:fill="FAF6EF"/>
          </w:tcPr>
          <w:p>
            <w:pPr>
              <w:spacing w:after="0"/>
              <w:rPr>
                <w:sz w:val="14"/>
                <w:szCs w:val="14"/>
                <w:color w:val="auto"/>
              </w:rPr>
            </w:pPr>
          </w:p>
        </w:tc>
        <w:tc>
          <w:tcPr>
            <w:tcW w:w="360" w:type="dxa"/>
            <w:vAlign w:val="bottom"/>
            <w:shd w:val="clear" w:color="auto" w:fill="FAF6E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0" w:type="dxa"/>
            <w:vAlign w:val="bottom"/>
            <w:shd w:val="clear" w:color="auto" w:fill="FAF6EF"/>
          </w:tcPr>
          <w:p>
            <w:pPr>
              <w:spacing w:after="0"/>
              <w:rPr>
                <w:sz w:val="18"/>
                <w:szCs w:val="18"/>
                <w:color w:val="auto"/>
              </w:rPr>
            </w:pPr>
          </w:p>
        </w:tc>
        <w:tc>
          <w:tcPr>
            <w:tcW w:w="2120" w:type="dxa"/>
            <w:vAlign w:val="bottom"/>
            <w:shd w:val="clear" w:color="auto" w:fill="FAF6EF"/>
          </w:tcPr>
          <w:p>
            <w:pPr>
              <w:spacing w:after="0"/>
              <w:rPr>
                <w:sz w:val="18"/>
                <w:szCs w:val="18"/>
                <w:color w:val="auto"/>
              </w:rPr>
            </w:pPr>
          </w:p>
        </w:tc>
        <w:tc>
          <w:tcPr>
            <w:tcW w:w="240" w:type="dxa"/>
            <w:vAlign w:val="bottom"/>
            <w:tcBorders>
              <w:right w:val="single" w:sz="8" w:color="439E58"/>
            </w:tcBorders>
            <w:shd w:val="clear" w:color="auto" w:fill="FAF6EF"/>
          </w:tcPr>
          <w:p>
            <w:pPr>
              <w:spacing w:after="0"/>
              <w:rPr>
                <w:sz w:val="18"/>
                <w:szCs w:val="18"/>
                <w:color w:val="auto"/>
              </w:rPr>
            </w:pPr>
          </w:p>
        </w:tc>
        <w:tc>
          <w:tcPr>
            <w:tcW w:w="340" w:type="dxa"/>
            <w:vAlign w:val="bottom"/>
            <w:shd w:val="clear" w:color="auto" w:fill="FAF6EF"/>
          </w:tcPr>
          <w:p>
            <w:pPr>
              <w:spacing w:after="0"/>
              <w:rPr>
                <w:sz w:val="18"/>
                <w:szCs w:val="18"/>
                <w:color w:val="auto"/>
              </w:rPr>
            </w:pPr>
          </w:p>
        </w:tc>
        <w:tc>
          <w:tcPr>
            <w:tcW w:w="5580" w:type="dxa"/>
            <w:vAlign w:val="bottom"/>
            <w:tcBorders>
              <w:right w:val="single" w:sz="8" w:color="FAF6EF"/>
            </w:tcBorders>
            <w:gridSpan w:val="3"/>
            <w:vMerge w:val="continue"/>
            <w:shd w:val="clear" w:color="auto" w:fill="FAF6EF"/>
          </w:tcPr>
          <w:p>
            <w:pPr>
              <w:spacing w:after="0"/>
              <w:rPr>
                <w:sz w:val="18"/>
                <w:szCs w:val="18"/>
                <w:color w:val="auto"/>
              </w:rPr>
            </w:pPr>
          </w:p>
        </w:tc>
        <w:tc>
          <w:tcPr>
            <w:tcW w:w="2260" w:type="dxa"/>
            <w:vAlign w:val="bottom"/>
            <w:shd w:val="clear" w:color="auto" w:fill="FAF6EF"/>
          </w:tcPr>
          <w:p>
            <w:pPr>
              <w:spacing w:after="0"/>
              <w:rPr>
                <w:sz w:val="18"/>
                <w:szCs w:val="18"/>
                <w:color w:val="auto"/>
              </w:rPr>
            </w:pPr>
          </w:p>
        </w:tc>
        <w:tc>
          <w:tcPr>
            <w:tcW w:w="360" w:type="dxa"/>
            <w:vAlign w:val="bottom"/>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40" w:type="dxa"/>
            <w:vAlign w:val="bottom"/>
            <w:shd w:val="clear" w:color="auto" w:fill="FAF6EF"/>
          </w:tcPr>
          <w:p>
            <w:pPr>
              <w:spacing w:after="0"/>
              <w:rPr>
                <w:sz w:val="22"/>
                <w:szCs w:val="22"/>
                <w:color w:val="auto"/>
              </w:rPr>
            </w:pPr>
          </w:p>
        </w:tc>
        <w:tc>
          <w:tcPr>
            <w:tcW w:w="2120" w:type="dxa"/>
            <w:vAlign w:val="bottom"/>
            <w:shd w:val="clear" w:color="auto" w:fill="FAF6EF"/>
          </w:tcPr>
          <w:p>
            <w:pPr>
              <w:spacing w:after="0"/>
              <w:rPr>
                <w:sz w:val="22"/>
                <w:szCs w:val="22"/>
                <w:color w:val="auto"/>
              </w:rPr>
            </w:pPr>
          </w:p>
        </w:tc>
        <w:tc>
          <w:tcPr>
            <w:tcW w:w="240" w:type="dxa"/>
            <w:vAlign w:val="bottom"/>
            <w:tcBorders>
              <w:right w:val="single" w:sz="8" w:color="439E58"/>
            </w:tcBorders>
            <w:shd w:val="clear" w:color="auto" w:fill="FAF6EF"/>
          </w:tcPr>
          <w:p>
            <w:pPr>
              <w:spacing w:after="0"/>
              <w:rPr>
                <w:sz w:val="22"/>
                <w:szCs w:val="22"/>
                <w:color w:val="auto"/>
              </w:rPr>
            </w:pPr>
          </w:p>
        </w:tc>
        <w:tc>
          <w:tcPr>
            <w:tcW w:w="340" w:type="dxa"/>
            <w:vAlign w:val="bottom"/>
            <w:shd w:val="clear" w:color="auto" w:fill="FAF6EF"/>
          </w:tcPr>
          <w:p>
            <w:pPr>
              <w:spacing w:after="0"/>
              <w:rPr>
                <w:sz w:val="22"/>
                <w:szCs w:val="22"/>
                <w:color w:val="auto"/>
              </w:rPr>
            </w:pPr>
          </w:p>
        </w:tc>
        <w:tc>
          <w:tcPr>
            <w:tcW w:w="2780" w:type="dxa"/>
            <w:vAlign w:val="bottom"/>
            <w:tcBorders>
              <w:right w:val="single" w:sz="8" w:color="FAF6EF"/>
            </w:tcBorders>
            <w:shd w:val="clear" w:color="auto" w:fill="FAF6EF"/>
          </w:tcPr>
          <w:p>
            <w:pPr>
              <w:spacing w:after="0"/>
              <w:rPr>
                <w:sz w:val="22"/>
                <w:szCs w:val="22"/>
                <w:color w:val="auto"/>
              </w:rPr>
            </w:pPr>
          </w:p>
        </w:tc>
        <w:tc>
          <w:tcPr>
            <w:tcW w:w="1300" w:type="dxa"/>
            <w:vAlign w:val="bottom"/>
            <w:tcBorders>
              <w:right w:val="single" w:sz="8" w:color="FAF6EF"/>
            </w:tcBorders>
            <w:shd w:val="clear" w:color="auto" w:fill="FAF6EF"/>
          </w:tcPr>
          <w:p>
            <w:pPr>
              <w:spacing w:after="0"/>
              <w:rPr>
                <w:sz w:val="22"/>
                <w:szCs w:val="22"/>
                <w:color w:val="auto"/>
              </w:rPr>
            </w:pPr>
          </w:p>
        </w:tc>
        <w:tc>
          <w:tcPr>
            <w:tcW w:w="1500" w:type="dxa"/>
            <w:vAlign w:val="bottom"/>
            <w:tcBorders>
              <w:right w:val="single" w:sz="8" w:color="FAF6EF"/>
            </w:tcBorders>
            <w:shd w:val="clear" w:color="auto" w:fill="FAF6EF"/>
          </w:tcPr>
          <w:p>
            <w:pPr>
              <w:spacing w:after="0"/>
              <w:rPr>
                <w:sz w:val="22"/>
                <w:szCs w:val="22"/>
                <w:color w:val="auto"/>
              </w:rPr>
            </w:pPr>
          </w:p>
        </w:tc>
        <w:tc>
          <w:tcPr>
            <w:tcW w:w="2260" w:type="dxa"/>
            <w:vAlign w:val="bottom"/>
            <w:shd w:val="clear" w:color="auto" w:fill="FAF6EF"/>
          </w:tcPr>
          <w:p>
            <w:pPr>
              <w:spacing w:after="0"/>
              <w:rPr>
                <w:sz w:val="22"/>
                <w:szCs w:val="22"/>
                <w:color w:val="auto"/>
              </w:rPr>
            </w:pPr>
          </w:p>
        </w:tc>
        <w:tc>
          <w:tcPr>
            <w:tcW w:w="360" w:type="dxa"/>
            <w:vAlign w:val="bottom"/>
            <w:shd w:val="clear" w:color="auto" w:fill="FAF6E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FAF6EF"/>
          </w:tcPr>
          <w:p>
            <w:pPr>
              <w:spacing w:after="0"/>
              <w:rPr>
                <w:sz w:val="19"/>
                <w:szCs w:val="19"/>
                <w:color w:val="auto"/>
              </w:rPr>
            </w:pPr>
          </w:p>
        </w:tc>
        <w:tc>
          <w:tcPr>
            <w:tcW w:w="2120" w:type="dxa"/>
            <w:vAlign w:val="bottom"/>
            <w:shd w:val="clear" w:color="auto" w:fill="FAF6EF"/>
          </w:tcPr>
          <w:p>
            <w:pPr>
              <w:spacing w:after="0"/>
              <w:rPr>
                <w:sz w:val="19"/>
                <w:szCs w:val="19"/>
                <w:color w:val="auto"/>
              </w:rPr>
            </w:pPr>
          </w:p>
        </w:tc>
        <w:tc>
          <w:tcPr>
            <w:tcW w:w="240" w:type="dxa"/>
            <w:vAlign w:val="bottom"/>
            <w:tcBorders>
              <w:right w:val="single" w:sz="8" w:color="439E58"/>
            </w:tcBorders>
            <w:shd w:val="clear" w:color="auto" w:fill="FAF6EF"/>
          </w:tcPr>
          <w:p>
            <w:pPr>
              <w:spacing w:after="0"/>
              <w:rPr>
                <w:sz w:val="19"/>
                <w:szCs w:val="19"/>
                <w:color w:val="auto"/>
              </w:rPr>
            </w:pPr>
          </w:p>
        </w:tc>
        <w:tc>
          <w:tcPr>
            <w:tcW w:w="340" w:type="dxa"/>
            <w:vAlign w:val="bottom"/>
            <w:shd w:val="clear" w:color="auto" w:fill="FAF6EF"/>
          </w:tcPr>
          <w:p>
            <w:pPr>
              <w:spacing w:after="0"/>
              <w:rPr>
                <w:sz w:val="19"/>
                <w:szCs w:val="19"/>
                <w:color w:val="auto"/>
              </w:rPr>
            </w:pPr>
          </w:p>
        </w:tc>
        <w:tc>
          <w:tcPr>
            <w:tcW w:w="278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Name</w:t>
            </w:r>
          </w:p>
        </w:tc>
        <w:tc>
          <w:tcPr>
            <w:tcW w:w="13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Independent</w:t>
            </w:r>
          </w:p>
        </w:tc>
        <w:tc>
          <w:tcPr>
            <w:tcW w:w="15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Director Since</w:t>
            </w:r>
          </w:p>
        </w:tc>
        <w:tc>
          <w:tcPr>
            <w:tcW w:w="226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Committees</w:t>
            </w:r>
          </w:p>
        </w:tc>
        <w:tc>
          <w:tcPr>
            <w:tcW w:w="360" w:type="dxa"/>
            <w:vAlign w:val="bottom"/>
            <w:shd w:val="clear" w:color="auto" w:fill="FAF6E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shd w:val="clear" w:color="auto" w:fill="FAF6EF"/>
          </w:tcPr>
          <w:p>
            <w:pPr>
              <w:spacing w:after="0"/>
              <w:rPr>
                <w:sz w:val="20"/>
                <w:szCs w:val="20"/>
                <w:color w:val="auto"/>
              </w:rPr>
            </w:pPr>
          </w:p>
        </w:tc>
        <w:tc>
          <w:tcPr>
            <w:tcW w:w="2120" w:type="dxa"/>
            <w:vAlign w:val="bottom"/>
            <w:shd w:val="clear" w:color="auto" w:fill="FAF6EF"/>
          </w:tcPr>
          <w:p>
            <w:pPr>
              <w:spacing w:after="0"/>
              <w:rPr>
                <w:sz w:val="20"/>
                <w:szCs w:val="20"/>
                <w:color w:val="auto"/>
              </w:rPr>
            </w:pPr>
          </w:p>
        </w:tc>
        <w:tc>
          <w:tcPr>
            <w:tcW w:w="240" w:type="dxa"/>
            <w:vAlign w:val="bottom"/>
            <w:tcBorders>
              <w:right w:val="single" w:sz="8" w:color="439E58"/>
            </w:tcBorders>
            <w:shd w:val="clear" w:color="auto" w:fill="FAF6EF"/>
          </w:tcPr>
          <w:p>
            <w:pPr>
              <w:spacing w:after="0"/>
              <w:rPr>
                <w:sz w:val="20"/>
                <w:szCs w:val="20"/>
                <w:color w:val="auto"/>
              </w:rPr>
            </w:pPr>
          </w:p>
        </w:tc>
        <w:tc>
          <w:tcPr>
            <w:tcW w:w="340" w:type="dxa"/>
            <w:vAlign w:val="bottom"/>
            <w:shd w:val="clear" w:color="auto" w:fill="FAF6EF"/>
          </w:tcPr>
          <w:p>
            <w:pPr>
              <w:spacing w:after="0"/>
              <w:rPr>
                <w:sz w:val="20"/>
                <w:szCs w:val="20"/>
                <w:color w:val="auto"/>
              </w:rPr>
            </w:pPr>
          </w:p>
        </w:tc>
        <w:tc>
          <w:tcPr>
            <w:tcW w:w="2780" w:type="dxa"/>
            <w:vAlign w:val="bottom"/>
            <w:tcBorders>
              <w:right w:val="single" w:sz="8" w:color="3C3C3C"/>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Steven J. Gomo</w:t>
            </w:r>
          </w:p>
        </w:tc>
        <w:tc>
          <w:tcPr>
            <w:tcW w:w="1300" w:type="dxa"/>
            <w:vAlign w:val="bottom"/>
            <w:tcBorders>
              <w:right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3"/>
              </w:rPr>
              <w:t>Y</w:t>
            </w:r>
          </w:p>
        </w:tc>
        <w:tc>
          <w:tcPr>
            <w:tcW w:w="1500" w:type="dxa"/>
            <w:vAlign w:val="bottom"/>
            <w:tcBorders>
              <w:right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5"/>
              </w:rPr>
              <w:t>2011</w:t>
            </w:r>
          </w:p>
        </w:tc>
        <w:tc>
          <w:tcPr>
            <w:tcW w:w="226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Audit</w:t>
            </w:r>
          </w:p>
        </w:tc>
        <w:tc>
          <w:tcPr>
            <w:tcW w:w="360" w:type="dxa"/>
            <w:vAlign w:val="bottom"/>
            <w:shd w:val="clear" w:color="auto" w:fill="FAF6E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 w:type="dxa"/>
            <w:vAlign w:val="bottom"/>
            <w:shd w:val="clear" w:color="auto" w:fill="FAF6EF"/>
          </w:tcPr>
          <w:p>
            <w:pPr>
              <w:spacing w:after="0"/>
              <w:rPr>
                <w:sz w:val="21"/>
                <w:szCs w:val="21"/>
                <w:color w:val="auto"/>
              </w:rPr>
            </w:pPr>
          </w:p>
        </w:tc>
        <w:tc>
          <w:tcPr>
            <w:tcW w:w="2120" w:type="dxa"/>
            <w:vAlign w:val="bottom"/>
            <w:shd w:val="clear" w:color="auto" w:fill="FAF6EF"/>
          </w:tcPr>
          <w:p>
            <w:pPr>
              <w:spacing w:after="0"/>
              <w:rPr>
                <w:sz w:val="21"/>
                <w:szCs w:val="21"/>
                <w:color w:val="auto"/>
              </w:rPr>
            </w:pPr>
          </w:p>
        </w:tc>
        <w:tc>
          <w:tcPr>
            <w:tcW w:w="240" w:type="dxa"/>
            <w:vAlign w:val="bottom"/>
            <w:tcBorders>
              <w:right w:val="single" w:sz="8" w:color="439E58"/>
            </w:tcBorders>
            <w:shd w:val="clear" w:color="auto" w:fill="FAF6EF"/>
          </w:tcPr>
          <w:p>
            <w:pPr>
              <w:spacing w:after="0"/>
              <w:rPr>
                <w:sz w:val="21"/>
                <w:szCs w:val="21"/>
                <w:color w:val="auto"/>
              </w:rPr>
            </w:pPr>
          </w:p>
        </w:tc>
        <w:tc>
          <w:tcPr>
            <w:tcW w:w="340" w:type="dxa"/>
            <w:vAlign w:val="bottom"/>
            <w:shd w:val="clear" w:color="auto" w:fill="FAF6EF"/>
          </w:tcPr>
          <w:p>
            <w:pPr>
              <w:spacing w:after="0"/>
              <w:rPr>
                <w:sz w:val="21"/>
                <w:szCs w:val="21"/>
                <w:color w:val="auto"/>
              </w:rPr>
            </w:pPr>
          </w:p>
        </w:tc>
        <w:tc>
          <w:tcPr>
            <w:tcW w:w="2780" w:type="dxa"/>
            <w:vAlign w:val="bottom"/>
            <w:tcBorders>
              <w:right w:val="single" w:sz="8" w:color="3C3C3C"/>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Thurman John Rodgers</w:t>
            </w:r>
          </w:p>
        </w:tc>
        <w:tc>
          <w:tcPr>
            <w:tcW w:w="1300" w:type="dxa"/>
            <w:vAlign w:val="bottom"/>
            <w:tcBorders>
              <w:right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3"/>
              </w:rPr>
              <w:t>Y</w:t>
            </w:r>
          </w:p>
        </w:tc>
        <w:tc>
          <w:tcPr>
            <w:tcW w:w="1500" w:type="dxa"/>
            <w:vAlign w:val="bottom"/>
            <w:tcBorders>
              <w:right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rPr>
              <w:t>2017</w:t>
            </w:r>
          </w:p>
        </w:tc>
        <w:tc>
          <w:tcPr>
            <w:tcW w:w="226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Comp / Nom Gov</w:t>
            </w:r>
          </w:p>
        </w:tc>
        <w:tc>
          <w:tcPr>
            <w:tcW w:w="36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 w:type="dxa"/>
            <w:vAlign w:val="bottom"/>
            <w:shd w:val="clear" w:color="auto" w:fill="FAF6EF"/>
          </w:tcPr>
          <w:p>
            <w:pPr>
              <w:spacing w:after="0"/>
              <w:rPr>
                <w:sz w:val="22"/>
                <w:szCs w:val="22"/>
                <w:color w:val="auto"/>
              </w:rPr>
            </w:pPr>
          </w:p>
        </w:tc>
        <w:tc>
          <w:tcPr>
            <w:tcW w:w="2120" w:type="dxa"/>
            <w:vAlign w:val="bottom"/>
            <w:shd w:val="clear" w:color="auto" w:fill="FAF6EF"/>
          </w:tcPr>
          <w:p>
            <w:pPr>
              <w:spacing w:after="0"/>
              <w:rPr>
                <w:sz w:val="22"/>
                <w:szCs w:val="22"/>
                <w:color w:val="auto"/>
              </w:rPr>
            </w:pPr>
          </w:p>
        </w:tc>
        <w:tc>
          <w:tcPr>
            <w:tcW w:w="240" w:type="dxa"/>
            <w:vAlign w:val="bottom"/>
            <w:tcBorders>
              <w:right w:val="single" w:sz="8" w:color="FAF6EF"/>
            </w:tcBorders>
            <w:shd w:val="clear" w:color="auto" w:fill="FAF6EF"/>
          </w:tcPr>
          <w:p>
            <w:pPr>
              <w:spacing w:after="0"/>
              <w:rPr>
                <w:sz w:val="22"/>
                <w:szCs w:val="22"/>
                <w:color w:val="auto"/>
              </w:rPr>
            </w:pPr>
          </w:p>
        </w:tc>
        <w:tc>
          <w:tcPr>
            <w:tcW w:w="340" w:type="dxa"/>
            <w:vAlign w:val="bottom"/>
            <w:shd w:val="clear" w:color="auto" w:fill="FAF6EF"/>
          </w:tcPr>
          <w:p>
            <w:pPr>
              <w:spacing w:after="0"/>
              <w:rPr>
                <w:sz w:val="22"/>
                <w:szCs w:val="22"/>
                <w:color w:val="auto"/>
              </w:rPr>
            </w:pPr>
          </w:p>
        </w:tc>
        <w:tc>
          <w:tcPr>
            <w:tcW w:w="2780" w:type="dxa"/>
            <w:vAlign w:val="bottom"/>
            <w:tcBorders>
              <w:right w:val="single" w:sz="8" w:color="FAF6EF"/>
            </w:tcBorders>
            <w:shd w:val="clear" w:color="auto" w:fill="FAF6EF"/>
          </w:tcPr>
          <w:p>
            <w:pPr>
              <w:spacing w:after="0"/>
              <w:rPr>
                <w:sz w:val="22"/>
                <w:szCs w:val="22"/>
                <w:color w:val="auto"/>
              </w:rPr>
            </w:pPr>
          </w:p>
        </w:tc>
        <w:tc>
          <w:tcPr>
            <w:tcW w:w="1300" w:type="dxa"/>
            <w:vAlign w:val="bottom"/>
            <w:tcBorders>
              <w:right w:val="single" w:sz="8" w:color="FAF6EF"/>
            </w:tcBorders>
            <w:shd w:val="clear" w:color="auto" w:fill="FAF6EF"/>
          </w:tcPr>
          <w:p>
            <w:pPr>
              <w:spacing w:after="0"/>
              <w:rPr>
                <w:sz w:val="22"/>
                <w:szCs w:val="22"/>
                <w:color w:val="auto"/>
              </w:rPr>
            </w:pPr>
          </w:p>
        </w:tc>
        <w:tc>
          <w:tcPr>
            <w:tcW w:w="1500" w:type="dxa"/>
            <w:vAlign w:val="bottom"/>
            <w:tcBorders>
              <w:right w:val="single" w:sz="8" w:color="FAF6EF"/>
            </w:tcBorders>
            <w:shd w:val="clear" w:color="auto" w:fill="FAF6EF"/>
          </w:tcPr>
          <w:p>
            <w:pPr>
              <w:spacing w:after="0"/>
              <w:rPr>
                <w:sz w:val="22"/>
                <w:szCs w:val="22"/>
                <w:color w:val="auto"/>
              </w:rPr>
            </w:pPr>
          </w:p>
        </w:tc>
        <w:tc>
          <w:tcPr>
            <w:tcW w:w="2260" w:type="dxa"/>
            <w:vAlign w:val="bottom"/>
            <w:shd w:val="clear" w:color="auto" w:fill="FAF6EF"/>
          </w:tcPr>
          <w:p>
            <w:pPr>
              <w:spacing w:after="0"/>
              <w:rPr>
                <w:sz w:val="22"/>
                <w:szCs w:val="22"/>
                <w:color w:val="auto"/>
              </w:rPr>
            </w:pPr>
          </w:p>
        </w:tc>
        <w:tc>
          <w:tcPr>
            <w:tcW w:w="360" w:type="dxa"/>
            <w:vAlign w:val="bottom"/>
            <w:shd w:val="clear" w:color="auto" w:fill="FAF6E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40" w:type="dxa"/>
            <w:vAlign w:val="bottom"/>
            <w:shd w:val="clear" w:color="auto" w:fill="FAF6EF"/>
          </w:tcPr>
          <w:p>
            <w:pPr>
              <w:spacing w:after="0"/>
              <w:rPr>
                <w:sz w:val="22"/>
                <w:szCs w:val="22"/>
                <w:color w:val="auto"/>
              </w:rPr>
            </w:pPr>
          </w:p>
        </w:tc>
        <w:tc>
          <w:tcPr>
            <w:tcW w:w="2120" w:type="dxa"/>
            <w:vAlign w:val="bottom"/>
            <w:shd w:val="clear" w:color="auto" w:fill="FAF6EF"/>
          </w:tcPr>
          <w:p>
            <w:pPr>
              <w:spacing w:after="0"/>
              <w:rPr>
                <w:sz w:val="22"/>
                <w:szCs w:val="22"/>
                <w:color w:val="auto"/>
              </w:rPr>
            </w:pPr>
          </w:p>
        </w:tc>
        <w:tc>
          <w:tcPr>
            <w:tcW w:w="240" w:type="dxa"/>
            <w:vAlign w:val="bottom"/>
            <w:tcBorders>
              <w:right w:val="single" w:sz="8" w:color="FAF6EF"/>
            </w:tcBorders>
            <w:shd w:val="clear" w:color="auto" w:fill="FAF6EF"/>
          </w:tcPr>
          <w:p>
            <w:pPr>
              <w:spacing w:after="0"/>
              <w:rPr>
                <w:sz w:val="22"/>
                <w:szCs w:val="22"/>
                <w:color w:val="auto"/>
              </w:rPr>
            </w:pPr>
          </w:p>
        </w:tc>
        <w:tc>
          <w:tcPr>
            <w:tcW w:w="340" w:type="dxa"/>
            <w:vAlign w:val="bottom"/>
            <w:shd w:val="clear" w:color="auto" w:fill="FAF6EF"/>
          </w:tcPr>
          <w:p>
            <w:pPr>
              <w:spacing w:after="0"/>
              <w:rPr>
                <w:sz w:val="22"/>
                <w:szCs w:val="22"/>
                <w:color w:val="auto"/>
              </w:rPr>
            </w:pPr>
          </w:p>
        </w:tc>
        <w:tc>
          <w:tcPr>
            <w:tcW w:w="2780" w:type="dxa"/>
            <w:vAlign w:val="bottom"/>
            <w:tcBorders>
              <w:right w:val="single" w:sz="8" w:color="FAF6EF"/>
            </w:tcBorders>
            <w:shd w:val="clear" w:color="auto" w:fill="FAF6EF"/>
          </w:tcPr>
          <w:p>
            <w:pPr>
              <w:spacing w:after="0"/>
              <w:rPr>
                <w:sz w:val="22"/>
                <w:szCs w:val="22"/>
                <w:color w:val="auto"/>
              </w:rPr>
            </w:pPr>
          </w:p>
        </w:tc>
        <w:tc>
          <w:tcPr>
            <w:tcW w:w="1300" w:type="dxa"/>
            <w:vAlign w:val="bottom"/>
            <w:tcBorders>
              <w:right w:val="single" w:sz="8" w:color="FAF6EF"/>
            </w:tcBorders>
            <w:shd w:val="clear" w:color="auto" w:fill="FAF6EF"/>
          </w:tcPr>
          <w:p>
            <w:pPr>
              <w:spacing w:after="0"/>
              <w:rPr>
                <w:sz w:val="22"/>
                <w:szCs w:val="22"/>
                <w:color w:val="auto"/>
              </w:rPr>
            </w:pPr>
          </w:p>
        </w:tc>
        <w:tc>
          <w:tcPr>
            <w:tcW w:w="1500" w:type="dxa"/>
            <w:vAlign w:val="bottom"/>
            <w:tcBorders>
              <w:right w:val="single" w:sz="8" w:color="FAF6EF"/>
            </w:tcBorders>
            <w:shd w:val="clear" w:color="auto" w:fill="FAF6EF"/>
          </w:tcPr>
          <w:p>
            <w:pPr>
              <w:spacing w:after="0"/>
              <w:rPr>
                <w:sz w:val="22"/>
                <w:szCs w:val="22"/>
                <w:color w:val="auto"/>
              </w:rPr>
            </w:pPr>
          </w:p>
        </w:tc>
        <w:tc>
          <w:tcPr>
            <w:tcW w:w="2260" w:type="dxa"/>
            <w:vAlign w:val="bottom"/>
            <w:shd w:val="clear" w:color="auto" w:fill="FAF6EF"/>
          </w:tcPr>
          <w:p>
            <w:pPr>
              <w:spacing w:after="0"/>
              <w:rPr>
                <w:sz w:val="22"/>
                <w:szCs w:val="22"/>
                <w:color w:val="auto"/>
              </w:rPr>
            </w:pPr>
          </w:p>
        </w:tc>
        <w:tc>
          <w:tcPr>
            <w:tcW w:w="360" w:type="dxa"/>
            <w:vAlign w:val="bottom"/>
            <w:shd w:val="clear" w:color="auto" w:fill="FAF6E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p>
      <w:pPr>
        <w:ind w:left="360"/>
        <w:spacing w:after="0"/>
        <w:rPr>
          <w:sz w:val="20"/>
          <w:szCs w:val="20"/>
          <w:color w:val="auto"/>
        </w:rPr>
      </w:pPr>
      <w:r>
        <w:rPr>
          <w:rFonts w:ascii="Arial" w:cs="Arial" w:eastAsia="Arial" w:hAnsi="Arial"/>
          <w:sz w:val="32"/>
          <w:szCs w:val="32"/>
          <w:b w:val="1"/>
          <w:bCs w:val="1"/>
          <w:color w:val="F45270"/>
        </w:rPr>
        <w:t>Proposal 2</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page 58</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Advisory vote on Named Executive Officer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The Board recommends a vote </w:t>
      </w:r>
      <w:r>
        <w:rPr>
          <w:rFonts w:ascii="Arial" w:cs="Arial" w:eastAsia="Arial" w:hAnsi="Arial"/>
          <w:sz w:val="21"/>
          <w:szCs w:val="21"/>
          <w:b w:val="1"/>
          <w:bCs w:val="1"/>
          <w:color w:val="E86100"/>
        </w:rPr>
        <w:t>FOR</w:t>
      </w:r>
      <w:r>
        <w:rPr>
          <w:rFonts w:ascii="Arial" w:cs="Arial" w:eastAsia="Arial" w:hAnsi="Arial"/>
          <w:sz w:val="18"/>
          <w:szCs w:val="18"/>
          <w:b w:val="1"/>
          <w:bCs w:val="1"/>
          <w:i w:val="1"/>
          <w:iCs w:val="1"/>
          <w:color w:val="auto"/>
        </w:rPr>
        <w:t xml:space="preserve"> Proposal 2</w:t>
      </w:r>
    </w:p>
    <w:p>
      <w:pPr>
        <w:spacing w:after="0" w:line="137" w:lineRule="exact"/>
        <w:rPr>
          <w:sz w:val="20"/>
          <w:szCs w:val="20"/>
          <w:color w:val="auto"/>
        </w:rPr>
      </w:pPr>
    </w:p>
    <w:p>
      <w:pPr>
        <w:ind w:left="320" w:right="540" w:hanging="155"/>
        <w:spacing w:after="0" w:line="334" w:lineRule="auto"/>
        <w:tabs>
          <w:tab w:leader="none" w:pos="297" w:val="left"/>
        </w:tabs>
        <w:numPr>
          <w:ilvl w:val="0"/>
          <w:numId w:val="17"/>
        </w:numPr>
        <w:rPr>
          <w:rFonts w:ascii="Arial" w:cs="Arial" w:eastAsia="Arial" w:hAnsi="Arial"/>
          <w:sz w:val="13"/>
          <w:szCs w:val="13"/>
          <w:color w:val="auto"/>
        </w:rPr>
      </w:pPr>
      <w:r>
        <w:rPr>
          <w:rFonts w:ascii="Arial" w:cs="Arial" w:eastAsia="Arial" w:hAnsi="Arial"/>
          <w:sz w:val="16"/>
          <w:szCs w:val="16"/>
          <w:color w:val="auto"/>
        </w:rPr>
        <w:t>We employ core compensation principles and practices to promote pay for performance and alignment of executive and stockholder interests</w:t>
      </w:r>
    </w:p>
    <w:p>
      <w:pPr>
        <w:ind w:left="320" w:right="560" w:hanging="155"/>
        <w:spacing w:after="0" w:line="334" w:lineRule="auto"/>
        <w:tabs>
          <w:tab w:leader="none" w:pos="297" w:val="left"/>
        </w:tabs>
        <w:numPr>
          <w:ilvl w:val="0"/>
          <w:numId w:val="17"/>
        </w:numPr>
        <w:rPr>
          <w:rFonts w:ascii="Arial" w:cs="Arial" w:eastAsia="Arial" w:hAnsi="Arial"/>
          <w:sz w:val="13"/>
          <w:szCs w:val="13"/>
          <w:color w:val="auto"/>
        </w:rPr>
      </w:pPr>
      <w:r>
        <w:rPr>
          <w:rFonts w:ascii="Arial" w:cs="Arial" w:eastAsia="Arial" w:hAnsi="Arial"/>
          <w:sz w:val="16"/>
          <w:szCs w:val="16"/>
          <w:color w:val="auto"/>
        </w:rPr>
        <w:t>Our overall 2024 executive compensation was reasonable and appropriate in light of our business and financial performance</w:t>
      </w:r>
    </w:p>
    <w:p>
      <w:pPr>
        <w:ind w:left="300" w:hanging="135"/>
        <w:spacing w:after="0"/>
        <w:tabs>
          <w:tab w:leader="none" w:pos="300" w:val="left"/>
        </w:tabs>
        <w:numPr>
          <w:ilvl w:val="0"/>
          <w:numId w:val="17"/>
        </w:numPr>
        <w:rPr>
          <w:rFonts w:ascii="Arial" w:cs="Arial" w:eastAsia="Arial" w:hAnsi="Arial"/>
          <w:sz w:val="13"/>
          <w:szCs w:val="13"/>
          <w:color w:val="auto"/>
        </w:rPr>
      </w:pPr>
      <w:r>
        <w:rPr>
          <w:rFonts w:ascii="Arial" w:cs="Arial" w:eastAsia="Arial" w:hAnsi="Arial"/>
          <w:sz w:val="16"/>
          <w:szCs w:val="16"/>
          <w:color w:val="auto"/>
        </w:rPr>
        <w:t>Strong pay for performance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278130</wp:posOffset>
            </wp:positionV>
            <wp:extent cx="7132320" cy="1825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720"/>
            <w:col w:w="8180"/>
          </w:cols>
          <w:pgMar w:left="320" w:top="1027"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2C436F"/>
        </w:rPr>
        <w:t>Proposal 3</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page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3B999E"/>
        </w:rPr>
        <w:t>Proposal 4</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page 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600"/>
        <w:spacing w:after="0" w:line="282" w:lineRule="auto"/>
        <w:rPr>
          <w:sz w:val="20"/>
          <w:szCs w:val="20"/>
          <w:color w:val="auto"/>
        </w:rPr>
      </w:pPr>
      <w:r>
        <w:rPr>
          <w:rFonts w:ascii="Arial" w:cs="Arial" w:eastAsia="Arial" w:hAnsi="Arial"/>
          <w:sz w:val="21"/>
          <w:szCs w:val="21"/>
          <w:b w:val="1"/>
          <w:bCs w:val="1"/>
          <w:color w:val="auto"/>
        </w:rPr>
        <w:t>Approval of the Amendment and Restatement of the Enphase Energy, Inc. 2021 Equity Incentive Plan to Increase the Number of Shares of Common Stock Authorized for Issuance Thereunder by 4,000,000 Shares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The Board recommends a vote </w:t>
      </w:r>
      <w:r>
        <w:rPr>
          <w:rFonts w:ascii="Arial" w:cs="Arial" w:eastAsia="Arial" w:hAnsi="Arial"/>
          <w:sz w:val="21"/>
          <w:szCs w:val="21"/>
          <w:b w:val="1"/>
          <w:bCs w:val="1"/>
          <w:color w:val="E86100"/>
        </w:rPr>
        <w:t>FOR</w:t>
      </w:r>
      <w:r>
        <w:rPr>
          <w:rFonts w:ascii="Arial" w:cs="Arial" w:eastAsia="Arial" w:hAnsi="Arial"/>
          <w:sz w:val="18"/>
          <w:szCs w:val="18"/>
          <w:b w:val="1"/>
          <w:bCs w:val="1"/>
          <w:i w:val="1"/>
          <w:iCs w:val="1"/>
          <w:color w:val="auto"/>
        </w:rPr>
        <w:t xml:space="preserve"> Proposal 3</w:t>
      </w:r>
    </w:p>
    <w:p>
      <w:pPr>
        <w:spacing w:after="0" w:line="137" w:lineRule="exact"/>
        <w:rPr>
          <w:sz w:val="20"/>
          <w:szCs w:val="20"/>
          <w:color w:val="auto"/>
        </w:rPr>
      </w:pPr>
    </w:p>
    <w:p>
      <w:pPr>
        <w:ind w:left="300" w:hanging="135"/>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6"/>
          <w:szCs w:val="16"/>
          <w:color w:val="auto"/>
        </w:rPr>
        <w:t>Essential t o maintain a competitive position in attracting, retaining and motivating highly skilled talent</w:t>
      </w:r>
    </w:p>
    <w:p>
      <w:pPr>
        <w:spacing w:after="0" w:line="99" w:lineRule="exact"/>
        <w:rPr>
          <w:rFonts w:ascii="Arial" w:cs="Arial" w:eastAsia="Arial" w:hAnsi="Arial"/>
          <w:sz w:val="13"/>
          <w:szCs w:val="13"/>
          <w:color w:val="auto"/>
        </w:rPr>
      </w:pPr>
    </w:p>
    <w:p>
      <w:pPr>
        <w:ind w:left="300" w:hanging="135"/>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6"/>
          <w:szCs w:val="16"/>
          <w:color w:val="auto"/>
        </w:rPr>
        <w:t>Broad-based plan in which most employees participate</w:t>
      </w:r>
    </w:p>
    <w:p>
      <w:pPr>
        <w:spacing w:after="0" w:line="99" w:lineRule="exact"/>
        <w:rPr>
          <w:rFonts w:ascii="Arial" w:cs="Arial" w:eastAsia="Arial" w:hAnsi="Arial"/>
          <w:sz w:val="13"/>
          <w:szCs w:val="13"/>
          <w:color w:val="auto"/>
        </w:rPr>
      </w:pPr>
    </w:p>
    <w:p>
      <w:pPr>
        <w:ind w:left="300" w:hanging="135"/>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6"/>
          <w:szCs w:val="16"/>
          <w:color w:val="auto"/>
        </w:rPr>
        <w:t>Low three-year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346710</wp:posOffset>
            </wp:positionV>
            <wp:extent cx="7132320" cy="1808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300"/>
        <w:spacing w:after="0" w:line="298" w:lineRule="auto"/>
        <w:rPr>
          <w:sz w:val="20"/>
          <w:szCs w:val="20"/>
          <w:color w:val="auto"/>
        </w:rPr>
      </w:pPr>
      <w:r>
        <w:rPr>
          <w:rFonts w:ascii="Arial" w:cs="Arial" w:eastAsia="Arial" w:hAnsi="Arial"/>
          <w:sz w:val="22"/>
          <w:szCs w:val="22"/>
          <w:b w:val="1"/>
          <w:bCs w:val="1"/>
          <w:color w:val="auto"/>
        </w:rPr>
        <w:t>Ratify Deloitte &amp; Touche LLP as our Independent Registered Public Accounting Firm for Fiscal Year 2025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The Board recommends a vote </w:t>
      </w:r>
      <w:r>
        <w:rPr>
          <w:rFonts w:ascii="Arial" w:cs="Arial" w:eastAsia="Arial" w:hAnsi="Arial"/>
          <w:sz w:val="21"/>
          <w:szCs w:val="21"/>
          <w:b w:val="1"/>
          <w:bCs w:val="1"/>
          <w:color w:val="E86100"/>
        </w:rPr>
        <w:t>FOR</w:t>
      </w:r>
      <w:r>
        <w:rPr>
          <w:rFonts w:ascii="Arial" w:cs="Arial" w:eastAsia="Arial" w:hAnsi="Arial"/>
          <w:sz w:val="18"/>
          <w:szCs w:val="18"/>
          <w:b w:val="1"/>
          <w:bCs w:val="1"/>
          <w:i w:val="1"/>
          <w:iCs w:val="1"/>
          <w:color w:val="auto"/>
        </w:rPr>
        <w:t xml:space="preserve"> Proposal 4</w:t>
      </w:r>
    </w:p>
    <w:p>
      <w:pPr>
        <w:spacing w:after="0" w:line="137" w:lineRule="exact"/>
        <w:rPr>
          <w:sz w:val="20"/>
          <w:szCs w:val="20"/>
          <w:color w:val="auto"/>
        </w:rPr>
      </w:pPr>
    </w:p>
    <w:p>
      <w:pPr>
        <w:ind w:left="300" w:hanging="135"/>
        <w:spacing w:after="0"/>
        <w:tabs>
          <w:tab w:leader="none" w:pos="300" w:val="left"/>
        </w:tabs>
        <w:numPr>
          <w:ilvl w:val="0"/>
          <w:numId w:val="19"/>
        </w:numPr>
        <w:rPr>
          <w:rFonts w:ascii="Arial" w:cs="Arial" w:eastAsia="Arial" w:hAnsi="Arial"/>
          <w:sz w:val="13"/>
          <w:szCs w:val="13"/>
          <w:color w:val="auto"/>
        </w:rPr>
      </w:pPr>
      <w:r>
        <w:rPr>
          <w:rFonts w:ascii="Arial" w:cs="Arial" w:eastAsia="Arial" w:hAnsi="Arial"/>
          <w:sz w:val="16"/>
          <w:szCs w:val="16"/>
          <w:color w:val="auto"/>
        </w:rPr>
        <w:t>Independent firm with reasonable fees and significant financial reporting expertise</w:t>
      </w:r>
    </w:p>
    <w:p>
      <w:pPr>
        <w:spacing w:after="0" w:line="99" w:lineRule="exact"/>
        <w:rPr>
          <w:rFonts w:ascii="Arial" w:cs="Arial" w:eastAsia="Arial" w:hAnsi="Arial"/>
          <w:sz w:val="13"/>
          <w:szCs w:val="13"/>
          <w:color w:val="auto"/>
        </w:rPr>
      </w:pPr>
    </w:p>
    <w:p>
      <w:pPr>
        <w:ind w:left="300" w:hanging="135"/>
        <w:spacing w:after="0"/>
        <w:tabs>
          <w:tab w:leader="none" w:pos="300" w:val="left"/>
        </w:tabs>
        <w:numPr>
          <w:ilvl w:val="0"/>
          <w:numId w:val="19"/>
        </w:numPr>
        <w:rPr>
          <w:rFonts w:ascii="Arial" w:cs="Arial" w:eastAsia="Arial" w:hAnsi="Arial"/>
          <w:sz w:val="13"/>
          <w:szCs w:val="13"/>
          <w:color w:val="auto"/>
        </w:rPr>
      </w:pPr>
      <w:r>
        <w:rPr>
          <w:rFonts w:ascii="Arial" w:cs="Arial" w:eastAsia="Arial" w:hAnsi="Arial"/>
          <w:sz w:val="16"/>
          <w:szCs w:val="16"/>
          <w:color w:val="auto"/>
        </w:rPr>
        <w:t>Deloitte &amp; Touche LLP (“Deloitte”) has been our auditors since 2010</w:t>
      </w:r>
    </w:p>
    <w:p>
      <w:pPr>
        <w:spacing w:after="0" w:line="99" w:lineRule="exact"/>
        <w:rPr>
          <w:rFonts w:ascii="Arial" w:cs="Arial" w:eastAsia="Arial" w:hAnsi="Arial"/>
          <w:sz w:val="13"/>
          <w:szCs w:val="13"/>
          <w:color w:val="auto"/>
        </w:rPr>
      </w:pPr>
    </w:p>
    <w:p>
      <w:pPr>
        <w:ind w:left="320" w:right="1100" w:hanging="155"/>
        <w:spacing w:after="0" w:line="321" w:lineRule="auto"/>
        <w:tabs>
          <w:tab w:leader="none" w:pos="297" w:val="left"/>
        </w:tabs>
        <w:numPr>
          <w:ilvl w:val="0"/>
          <w:numId w:val="19"/>
        </w:numPr>
        <w:rPr>
          <w:rFonts w:ascii="Arial" w:cs="Arial" w:eastAsia="Arial" w:hAnsi="Arial"/>
          <w:sz w:val="13"/>
          <w:szCs w:val="13"/>
          <w:color w:val="auto"/>
        </w:rPr>
      </w:pPr>
      <w:r>
        <w:rPr>
          <w:rFonts w:ascii="Arial" w:cs="Arial" w:eastAsia="Arial" w:hAnsi="Arial"/>
          <w:sz w:val="16"/>
          <w:szCs w:val="16"/>
          <w:color w:val="auto"/>
        </w:rPr>
        <w:t>The Audit Committee of the Board (the “Audit Committee”) annually evaluates Deloitte and has determined that its appointment continues to be in the best interests of our stockholders</w:t>
      </w:r>
    </w:p>
    <w:p>
      <w:pPr>
        <w:spacing w:after="0" w:line="200" w:lineRule="exact"/>
        <w:rPr>
          <w:sz w:val="20"/>
          <w:szCs w:val="20"/>
          <w:color w:val="auto"/>
        </w:rPr>
      </w:pPr>
    </w:p>
    <w:p>
      <w:pPr>
        <w:sectPr>
          <w:pgSz w:w="11900" w:h="16838" w:orient="portrait"/>
          <w:cols w:equalWidth="0" w:num="2">
            <w:col w:w="2340" w:space="720"/>
            <w:col w:w="8180"/>
          </w:cols>
          <w:pgMar w:left="320" w:top="10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3"/>
          <w:szCs w:val="43"/>
          <w:b w:val="1"/>
          <w:bCs w:val="1"/>
          <w:color w:val="439E58"/>
        </w:rPr>
        <w:t>Proposal 1</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Election of Directors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asking our stockholders to elect two Class I nominees to serve on the Board for a three-year term and until their successors are duly elected and qualified. The current Class I nominees up for election are Steven J. Gomo and Thurman John Rodgers. The Board currently has seven members and is divided into three classes, each with a three-year term. Class I currently has two members, Class II has three members and Class III has two members. We believe a classified board provides stability and continuity, permitting directors to share institutional knowledge, develop and advance our strategy, and focus on near- and long-term success.</w:t>
      </w:r>
    </w:p>
    <w:p>
      <w:pPr>
        <w:spacing w:after="0" w:line="13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Vacancies on the Board may be filled only by persons appointed by a majority of the remaining directors. A director appointed by the Board to fill a vacancy in a class, including vacancies created by an increase in the number of directors, shall serve for the remainder of the full term of that class and until the director’s successor is elected and qualified.</w:t>
      </w:r>
    </w:p>
    <w:p>
      <w:pPr>
        <w:spacing w:after="0" w:line="12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Directors are elected by a plurality of the votes of the holders of shares present in person or represented by proxy and entitled to vote at the Annual Meeting. The two nominees receiving the highest number of votes “FOR” will be elected. Shares represented by executed proxies will be voted, if authority to do so is not withheld, for the election of the nominees named below. If any or all of the nominees become unavailable for election as a result of an unexpected occurrence, shares represented by executed proxies that would have been voted for each such nominee instead will be voted for such substitute nominee as the Nominating and Corporate Governance Committee may propose. Each of the nominees is a director of Enphase and has been previously elected by the stockholders. The persons nominated for election have agreed to serve if elected. Our management has no reason to believe that any nominee will be unable to serve.</w:t>
      </w:r>
    </w:p>
    <w:p>
      <w:pPr>
        <w:spacing w:after="0" w:line="12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It is the policy of the Board, as set forth in our Corporate Governance Guidelines, that any nominee for director in an uncontested election who does not receive a majority of the votes cast (</w:t>
      </w:r>
      <w:r>
        <w:rPr>
          <w:rFonts w:ascii="Arial" w:cs="Arial" w:eastAsia="Arial" w:hAnsi="Arial"/>
          <w:sz w:val="16"/>
          <w:szCs w:val="16"/>
          <w:i w:val="1"/>
          <w:iCs w:val="1"/>
          <w:color w:val="auto"/>
        </w:rPr>
        <w:t>i.e.</w:t>
      </w:r>
      <w:r>
        <w:rPr>
          <w:rFonts w:ascii="Arial" w:cs="Arial" w:eastAsia="Arial" w:hAnsi="Arial"/>
          <w:sz w:val="16"/>
          <w:szCs w:val="16"/>
          <w:color w:val="auto"/>
        </w:rPr>
        <w:t>, receives a greater number of votes “withheld” from his or her election than votes “for” in such election) shall submit his or her offer of resignation for consideration by the Nominating and Corporate Governance Committee. The Nominating and Corporate Governance Committee shall consider all of the relevant facts and circumstances and recommend to the Board the action to be taken with respect to such offer of resignation. The Board will then act on the Nominating and Corporate Governance Committee’s recommendation. Promptly following the Board’s decision, we will disclose that decision and an explanation of such decision in a filing with the Securities and Exchange Commission (the “SEC”) and a press release.</w:t>
      </w:r>
    </w:p>
    <w:p>
      <w:pPr>
        <w:spacing w:after="0" w:line="11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It is our policy to encourage directors and nominees for director to attend the Annual Meeting. Badri Kothandaraman, our President and CEO, and all members of the Board attended the 2024 Annual Meeting of Stockholders (the “2024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2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two Class I nominees receiving the most “FOR” votes from the holders of shares present in person or represented by proxy and entitled to vote on the election of directors will be elected. Only votes “FOR” will affect the outcome. Proxies may not be voted for a greater number of persons than the number of nominees named.</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 xml:space="preserve">The Board of Directors recommends that stockholders vote </w:t>
      </w:r>
      <w:r>
        <w:rPr>
          <w:rFonts w:ascii="Arial" w:cs="Arial" w:eastAsia="Arial" w:hAnsi="Arial"/>
          <w:sz w:val="25"/>
          <w:szCs w:val="25"/>
          <w:b w:val="1"/>
          <w:bCs w:val="1"/>
          <w:color w:val="E86100"/>
        </w:rPr>
        <w:t>FOR</w:t>
      </w:r>
      <w:r>
        <w:rPr>
          <w:rFonts w:ascii="Arial" w:cs="Arial" w:eastAsia="Arial" w:hAnsi="Arial"/>
          <w:sz w:val="25"/>
          <w:szCs w:val="25"/>
          <w:b w:val="1"/>
          <w:bCs w:val="1"/>
          <w:i w:val="1"/>
          <w:iCs w:val="1"/>
          <w:color w:val="auto"/>
        </w:rPr>
        <w:t xml:space="preserve"> each of the nominees.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2C436F"/>
        </w:rPr>
        <w:t>Class I Nominees for Election (Until the 2028 Annual Meeting)</w:t>
      </w:r>
    </w:p>
    <w:p>
      <w:pPr>
        <w:sectPr>
          <w:pgSz w:w="11900" w:h="16838" w:orient="portrait"/>
          <w:cols w:equalWidth="0" w:num="1">
            <w:col w:w="11220"/>
          </w:cols>
          <w:pgMar w:left="320" w:top="102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Steven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-1586230</wp:posOffset>
            </wp:positionV>
            <wp:extent cx="1071245" cy="1371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31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Chair of the Board</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March 2011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Audit Committee (Chair)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Mr. Gomo brings to the Board valuable financial and business expertise through his years of experience as a chief financial officer with publicly traded companies, as well as serving as a board member of privately-held and publicly-traded companies. Mr. Gomo provides an important role in leading the Board’s activities as the Board Chair, and on financial and auditing matters as the Audit Committee Chair, as well as collaborating with our independent registered public accounting firm and management team in these areas.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Mr. Gomo, 73, served as Executive Vice President of Finance and CFO of NetApp Inc., a computer storage and data management company, from October 2004 until December 2011, and as Senior Vice President of Finance and CFO from August 2002 until October 2004. From November 2000 to April 2002, Mr. Gomo served as CFO of Gemplus International S.A., a smart card provider, and from February 1998 until August 2000, Mr. Gomo served as CFO of Silicon Graphics, Inc., a high-performance computer and computer graphics company. Prior to February 1998, Mr. Gomo held various finance, financial management, manufacturing, and general management positions at Hewlett-Packard Company, an information technology company.</w:t>
      </w:r>
    </w:p>
    <w:p>
      <w:pPr>
        <w:spacing w:after="0" w:line="345"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Mr. Gomo holds a bachelor of science degree in business administration from Oregon State University and a master of business administration degree from Santa Clara University.</w:t>
      </w:r>
    </w:p>
    <w:p>
      <w:pPr>
        <w:spacing w:after="0" w:line="12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From December 2020 through July 2021, Mr. Gomo served on the Board of Directors of Rodgers Silicon Valley Acquisition Corp, a special purpose acquisition company that successfully completed a business combination with Enovix Corporation, a lithium-ion battery company.</w:t>
      </w:r>
    </w:p>
    <w:p>
      <w:pPr>
        <w:spacing w:after="0" w:line="109" w:lineRule="exact"/>
        <w:rPr>
          <w:sz w:val="20"/>
          <w:szCs w:val="20"/>
          <w:color w:val="auto"/>
        </w:rPr>
      </w:pPr>
    </w:p>
    <w:p>
      <w:pPr>
        <w:sectPr>
          <w:pgSz w:w="11900" w:h="16838" w:orient="portrait"/>
          <w:cols w:equalWidth="0" w:num="2">
            <w:col w:w="1920" w:space="720"/>
            <w:col w:w="8580"/>
          </w:cols>
          <w:pgMar w:left="320" w:top="102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Thurman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-1594485</wp:posOffset>
            </wp:positionV>
            <wp:extent cx="1071245" cy="1371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31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January 2017</w:t>
      </w:r>
    </w:p>
    <w:p>
      <w:pPr>
        <w:spacing w:after="0" w:line="206" w:lineRule="exact"/>
        <w:rPr>
          <w:sz w:val="20"/>
          <w:szCs w:val="20"/>
          <w:color w:val="auto"/>
        </w:rPr>
      </w:pPr>
    </w:p>
    <w:p>
      <w:pPr>
        <w:ind w:left="20" w:right="140"/>
        <w:spacing w:after="0" w:line="339" w:lineRule="auto"/>
        <w:rPr>
          <w:sz w:val="20"/>
          <w:szCs w:val="20"/>
          <w:color w:val="auto"/>
        </w:rPr>
      </w:pPr>
      <w:r>
        <w:rPr>
          <w:rFonts w:ascii="Arial" w:cs="Arial" w:eastAsia="Arial" w:hAnsi="Arial"/>
          <w:sz w:val="15"/>
          <w:szCs w:val="15"/>
          <w:color w:val="auto"/>
        </w:rPr>
        <w:t>Compensation Committee (Chair)</w:t>
      </w:r>
    </w:p>
    <w:p>
      <w:pPr>
        <w:spacing w:after="0" w:line="107" w:lineRule="exact"/>
        <w:rPr>
          <w:sz w:val="20"/>
          <w:szCs w:val="20"/>
          <w:color w:val="auto"/>
        </w:rPr>
      </w:pPr>
    </w:p>
    <w:p>
      <w:pPr>
        <w:ind w:left="20" w:right="120"/>
        <w:spacing w:after="0" w:line="320" w:lineRule="auto"/>
        <w:rPr>
          <w:sz w:val="20"/>
          <w:szCs w:val="20"/>
          <w:color w:val="auto"/>
        </w:rPr>
      </w:pPr>
      <w:r>
        <w:rPr>
          <w:rFonts w:ascii="Arial" w:cs="Arial" w:eastAsia="Arial" w:hAnsi="Arial"/>
          <w:sz w:val="15"/>
          <w:szCs w:val="15"/>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Nutanix, Inc. - since June 2015; Micron Technology, Inc. - since October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Mr. Rodger’s brings 35 years of public company CEO experience to the Board, as well as his skills as a director of both privately-held and publicly-traded companies. Mr. Rodgers provides an important role in leading the strategic vision of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Mr. Rodgers, 77, founded Cypress Semiconductor Corporation in 1982 and served as the President, CEO and as a member of the Board of Directors until April 2017. Mr. Rodgers currently serves as the CEO of Complete Solaria, Inc. since April 2024. From September 2020 to July 2021, he served as the Chairman of the Board of Directors and CEO of Rodgers Silicon Valley Acquisition Corp., a special purpose acquisition company, that successfully completed a business combination with Enovix Corporation in July 2021, where he continues to serve as the Chairman of the Board of Directors. From January 2017 to January 2023, Mr. Rodgers also served on the Board of Directors of FTC Solar, Inc., a solar tracker company. From May 2002 to May 2011, Mr. Rodgers served as a member of the Board of Directors of SunPower Corporation, an energy company. From June 2004 through December 2012 Mr. Rodgers was a member of the board of trustees of Dartmouth College.</w:t>
      </w:r>
    </w:p>
    <w:p>
      <w:pPr>
        <w:spacing w:after="0" w:line="12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Mr. Rodgers holds a bachelor of science degree in physics and chemistry from Dartmouth. Mr. Rodgers holds a master of science degree and a Ph.D. in electrical engineering from Stanford University. At Stanford, Mr. Rodgers invented, developed and patented VMOS technology.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Enovix Corporation - since September 2020; Complete Solaria - since November 2022</w:t>
      </w:r>
    </w:p>
    <w:p>
      <w:pPr>
        <w:spacing w:after="0" w:line="244" w:lineRule="exact"/>
        <w:rPr>
          <w:sz w:val="20"/>
          <w:szCs w:val="20"/>
          <w:color w:val="auto"/>
        </w:rPr>
      </w:pPr>
    </w:p>
    <w:p>
      <w:pPr>
        <w:sectPr>
          <w:pgSz w:w="11900" w:h="16838" w:orient="portrait"/>
          <w:cols w:equalWidth="0" w:num="2">
            <w:col w:w="1940" w:space="700"/>
            <w:col w:w="8580"/>
          </w:cols>
          <w:pgMar w:left="320" w:top="102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5"/>
          <w:szCs w:val="25"/>
          <w:b w:val="1"/>
          <w:bCs w:val="1"/>
          <w:color w:val="439E58"/>
        </w:rPr>
        <w:t>Class II Directors Continuing in Office Until the 2026 Annual Meeting</w:t>
      </w:r>
    </w:p>
    <w:p>
      <w:pPr>
        <w:sectPr>
          <w:pgSz w:w="11900" w:h="16838" w:orient="portrait"/>
          <w:cols w:equalWidth="0" w:num="1">
            <w:col w:w="11220"/>
          </w:cols>
          <w:pgMar w:left="320" w:top="104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Jamie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-1594485</wp:posOffset>
            </wp:positionV>
            <wp:extent cx="1071245" cy="1371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Haenggi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31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August 2020</w:t>
      </w:r>
    </w:p>
    <w:p>
      <w:pPr>
        <w:spacing w:after="0" w:line="206" w:lineRule="exact"/>
        <w:rPr>
          <w:sz w:val="20"/>
          <w:szCs w:val="20"/>
          <w:color w:val="auto"/>
        </w:rPr>
      </w:pPr>
    </w:p>
    <w:p>
      <w:pPr>
        <w:ind w:left="20" w:right="100"/>
        <w:spacing w:after="0" w:line="339" w:lineRule="auto"/>
        <w:rPr>
          <w:sz w:val="20"/>
          <w:szCs w:val="20"/>
          <w:color w:val="auto"/>
        </w:rPr>
      </w:pPr>
      <w:r>
        <w:rPr>
          <w:rFonts w:ascii="Arial" w:cs="Arial" w:eastAsia="Arial" w:hAnsi="Arial"/>
          <w:sz w:val="15"/>
          <w:szCs w:val="15"/>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Ms. Haenggi’s extensive experience in consumer and commercial sales, marketing and customer experience brings a valuable perspective to the Board.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Ms. Haenggi, 55, has served as a Senior Advisor of ADT Security Services, a smart-home security provider, since July 2024. Prior to that, she served as the EVP &amp; President of ADT Solar, a division of ADT Security Services, from December 2022 until June 2024. She also had served as the Executive Vice President, COO at ADT Solar, overseeing sales, marketing contract center, field and business operations, HR, IT and administration. Prior to that, Ms. Haenggi was the Executive Vice President, Chief Customer Officer at ADT Security Services from July 2018 to March 2022. She joined ADT Security Services in 2016 as Senior Vice President, Chief Sales and Marketing Officer and had previously been with the company from 1998 to 2006 with progressive senior leadership roles in commercial sales and marketing, and domestic and international sales and marketing. From 2010 to 2016, Ms. Haenggi was the Chief Customer Experience Officer at Protection 1, Inc., a home security systems company. Previously, she was at Vonage, Inc. from 2006 to 2010 as the Chief Marketing Officer and Vice President of Customer Experience. Earlier in her career, Ms. Haenggi held various sales and marketing roles at Holmes Protection Group and National Guardian Corporation.</w:t>
      </w:r>
    </w:p>
    <w:p>
      <w:pPr>
        <w:spacing w:after="0" w:line="124"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Ms. Haenggi earned a bachelor of arts degree in international relations and Japanese from the University of Minnesota and received an honorary doctorate from Taylor University.</w:t>
      </w:r>
    </w:p>
    <w:p>
      <w:pPr>
        <w:spacing w:after="0" w:line="94" w:lineRule="exact"/>
        <w:rPr>
          <w:sz w:val="20"/>
          <w:szCs w:val="20"/>
          <w:color w:val="auto"/>
        </w:rPr>
      </w:pPr>
    </w:p>
    <w:p>
      <w:pPr>
        <w:sectPr>
          <w:pgSz w:w="11900" w:h="16838" w:orient="portrait"/>
          <w:cols w:equalWidth="0" w:num="2">
            <w:col w:w="1920" w:space="720"/>
            <w:col w:w="8580"/>
          </w:cols>
          <w:pgMar w:left="320" w:top="104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-1577340</wp:posOffset>
            </wp:positionV>
            <wp:extent cx="1071245" cy="1371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auto"/>
        </w:rPr>
        <w:t>Kortlang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31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since May 2010</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Audit Committee</w:t>
      </w:r>
    </w:p>
    <w:p>
      <w:pPr>
        <w:spacing w:after="0" w:line="204" w:lineRule="exact"/>
        <w:rPr>
          <w:sz w:val="20"/>
          <w:szCs w:val="20"/>
          <w:color w:val="auto"/>
        </w:rPr>
      </w:pPr>
    </w:p>
    <w:p>
      <w:pPr>
        <w:ind w:left="20"/>
        <w:spacing w:after="0" w:line="345" w:lineRule="auto"/>
        <w:rPr>
          <w:sz w:val="20"/>
          <w:szCs w:val="20"/>
          <w:color w:val="auto"/>
        </w:rPr>
      </w:pPr>
      <w:r>
        <w:rPr>
          <w:rFonts w:ascii="Arial" w:cs="Arial" w:eastAsia="Arial" w:hAnsi="Arial"/>
          <w:sz w:val="14"/>
          <w:szCs w:val="14"/>
          <w:color w:val="auto"/>
        </w:rPr>
        <w:t>Nominating and Corporate Governance Committee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Mr. Kortlang’s work as a venture capitalist with a focus on growth-stage investing in alternative energy technologies provides a valuable industry perspective to the Board. Additionally, Mr. Kortlang’s investing and business experience also provides the Board with a valuable perspective on acquisitions and building alternative energy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Mr. Kortlang, 49, has been a Partner with G2VP, LLC, a venture capital firm since August 2016. From February 2008 to April 2020, Mr. Kortlang was a Partner with Kleiner Perkins Caufield &amp; Byers, a venture capital firm. From July 2000 to January 2008, Mr. Kortlang worked with Goldman, Sachs &amp; Co., co-heading Goldman’s Alternative Energy Investing business. From June 2005 to February 2008, Mr. Kortlang was a Vice President within Goldman’s Special Situations Group, before which he was a Vice President in Goldman’s investment banking group focusing on Industrials and Natural Resources. From January 1996 to August 1998, Mr. Kortlang was an Associate with A.T. Kearney, Inc., a global management consulting firm where he focused on strategic and operations consulting in the energy, manufacturing, packaging, transportation and communications industries. From February 1993 to July 1994, Mr. Kortlang was a Business Analyst at National Australia Bank in strategic planning and macroeconomic forecasting. Mr. Kortlang served on the Board of Directors of Luminar Technologies, Inc. from 2019 until 2021.</w:t>
      </w:r>
    </w:p>
    <w:p>
      <w:pPr>
        <w:spacing w:after="0" w:line="348"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Mr. Kortlang holds a bachelor of business degree in economics and finance from Royal Melbourne Institute of Technology, a bachelor of commerce and an honors degree in econometrics from University of Melbourne and a master of business administration degree from the University of Michigan.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2020" w:space="620"/>
            <w:col w:w="8580"/>
          </w:cols>
          <w:pgMar w:left="320" w:top="104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7" w:right="35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534670</wp:posOffset>
            </wp:positionV>
            <wp:extent cx="1071245" cy="1371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1431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Director since February 2014</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Audit Committee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Mr. Mora’s expertise in process and productivity improvements at the corporate, regional and country level provides a valuable perspective to the Board, as well as his years of experience with respect to emerging companies, risk management, team building and international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Mr. Mora, 60, served as the CEO of Landis+Gyr, an energy management company, from April 2017 through April 2020. Prior to that, Mr. Mora served as the COO of Landis+Gyr, from January 2014 to April 2017. Mr. Mora served as the President and CEO of Landis+Gyr Americas where he had responsibilities for operations in both North and South America, from August 2011 to January 2014. He served as the President and CEO of Landis+Gyr North America, from August 2008 to August 2011.</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Mr. Mora holds a bachelor of arts degree in economics from Stanford University.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74930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80" w:space="640"/>
            <w:col w:w="8580"/>
          </w:cols>
          <w:pgMar w:left="340" w:top="825" w:right="35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F45270"/>
        </w:rPr>
        <w:t>Class III Directors Continuing in Office until the 2027 Annual Meeting</w:t>
      </w:r>
    </w:p>
    <w:p>
      <w:pPr>
        <w:sectPr>
          <w:pgSz w:w="11900" w:h="16838" w:orient="portrait"/>
          <w:cols w:equalWidth="0" w:num="1">
            <w:col w:w="11220"/>
          </w:cols>
          <w:pgMar w:left="320" w:top="7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Badrinarayanan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-1586230</wp:posOffset>
            </wp:positionV>
            <wp:extent cx="1071245" cy="1371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31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
        <w:spacing w:after="0" w:line="339" w:lineRule="auto"/>
        <w:rPr>
          <w:sz w:val="20"/>
          <w:szCs w:val="20"/>
          <w:color w:val="auto"/>
        </w:rPr>
      </w:pPr>
      <w:r>
        <w:rPr>
          <w:rFonts w:ascii="Arial" w:cs="Arial" w:eastAsia="Arial" w:hAnsi="Arial"/>
          <w:sz w:val="15"/>
          <w:szCs w:val="15"/>
          <w:color w:val="auto"/>
        </w:rPr>
        <w:t>President and Chief Executive Officer</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April 2017</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Mr. Kothandaraman brings to the Board strong technical, operational, strategy and leadership experience during his 21-year career at Cypress Semiconductor and his tenure at Enphase.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Mr. Kothandaraman, 53, joined Enphase in April 2017 as Chief Operating Officer (“COO”), before being appointed President and CEO and a member of the Board in September 2017. Prior to Enphase, Mr. Kothandaraman served as Executive Vice President of the Data Communications Division of Cypress Semiconductor Corporation, a semiconductor design and manufacturing company, from April 2011 to September 2016. He started his career with Cypress Semiconductor in 1995 and worked in process technology development and chip design before becoming Vice President of the Asynchronous SRAM Business in 2008. Mr. Kothandaraman was subsequently promoted to executive vice president of Cypress’s Data Communications Division in November 2011 and spent the next five years building the USB 3.0, USB-C and the Internet of Things businesses. He also served as the Executive Director of Cypress Semiconductor Technology India Private Limited from 2012 to 2016.</w:t>
      </w:r>
    </w:p>
    <w:p>
      <w:pPr>
        <w:spacing w:after="0" w:line="34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Mr. Kothandaraman received his bachelor of technology degree from IIT Madras and a master of science degree in materials science from the University of California, Berkeley. Mr. Kothandaraman attended the Stanford Executive Program in 2008 and holds eight U.S. patents.</w:t>
      </w:r>
    </w:p>
    <w:p>
      <w:pPr>
        <w:spacing w:after="0" w:line="115" w:lineRule="exact"/>
        <w:rPr>
          <w:sz w:val="20"/>
          <w:szCs w:val="20"/>
          <w:color w:val="auto"/>
        </w:rPr>
      </w:pPr>
    </w:p>
    <w:p>
      <w:pPr>
        <w:sectPr>
          <w:pgSz w:w="11900" w:h="16838" w:orient="portrait"/>
          <w:cols w:equalWidth="0" w:num="2">
            <w:col w:w="2080" w:space="560"/>
            <w:col w:w="8580"/>
          </w:cols>
          <w:pgMar w:left="320" w:top="77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-1586230</wp:posOffset>
            </wp:positionV>
            <wp:extent cx="1071245" cy="1371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Malchow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31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February 2020</w:t>
      </w:r>
    </w:p>
    <w:p>
      <w:pPr>
        <w:spacing w:after="0" w:line="179" w:lineRule="exact"/>
        <w:rPr>
          <w:sz w:val="20"/>
          <w:szCs w:val="20"/>
          <w:color w:val="auto"/>
        </w:rPr>
      </w:pPr>
    </w:p>
    <w:p>
      <w:pPr>
        <w:ind w:left="20" w:right="180"/>
        <w:spacing w:after="0" w:line="320" w:lineRule="auto"/>
        <w:rPr>
          <w:sz w:val="20"/>
          <w:szCs w:val="20"/>
          <w:color w:val="auto"/>
        </w:rPr>
      </w:pPr>
      <w:r>
        <w:rPr>
          <w:rFonts w:ascii="Arial" w:cs="Arial" w:eastAsia="Arial" w:hAnsi="Arial"/>
          <w:sz w:val="15"/>
          <w:szCs w:val="15"/>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Skills and Qualifications</w:t>
      </w:r>
    </w:p>
    <w:p>
      <w:pPr>
        <w:spacing w:after="0" w:line="13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Mr. Malchow brings to the Board many years of entrepreneurial and investment experience, with expertise in scaled infrastructure, software-driven businesses, data security and machine learning.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Highlights</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Mr. Malchow, 39, has served as the founding Partner at HNVR Technology Investment Management, a venture capital firm, and has been investing in technology companies since 2013. In 2011, he co-founded Publir LLC, a cloud software company. Mr. Malchow is a member of the board of the National Civic Arts Society in Washington, D.C. From December 2020 through July 2021, he served on the Board of Directors of Rodgers Silicon Valley Acquisition Corp, a special purpose acquisition company that successfully completed a business combination with Enovix Corporation. From January 2021 to January 2023, Mr. Malchow served on the Board of Directors of Archaea Energy Inc., a leading producer of renewable gas. Mr. Malchow provided consulting services to Enphase from April 2019 until April 2022. Mr. Malchow is also involved with Stanford University’s Freeman-Spogli Institute and Hoover Institution, and with The Federalist Society in Washington, D.C.</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Mr. Malchow holds a bachelor of arts degree from Dartmouth College and a juris doctorate degree from Stanford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Public Company Boards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Enovix Corporation - since June 2023</w:t>
      </w:r>
    </w:p>
    <w:p>
      <w:pPr>
        <w:spacing w:after="0" w:line="244" w:lineRule="exact"/>
        <w:rPr>
          <w:sz w:val="20"/>
          <w:szCs w:val="20"/>
          <w:color w:val="auto"/>
        </w:rPr>
      </w:pPr>
    </w:p>
    <w:p>
      <w:pPr>
        <w:sectPr>
          <w:pgSz w:w="11900" w:h="16838" w:orient="portrait"/>
          <w:cols w:equalWidth="0" w:num="2">
            <w:col w:w="2000" w:space="640"/>
            <w:col w:w="8580"/>
          </w:cols>
          <w:pgMar w:left="320" w:top="77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7" w:right="359" w:bottom="1440" w:gutter="0" w:footer="0" w:header="0"/>
          <w:type w:val="continuous"/>
        </w:sectPr>
      </w:pPr>
    </w:p>
    <w:bookmarkStart w:id="19" w:name="page20"/>
    <w:bookmarkEnd w:id="19"/>
    <w:p>
      <w:pPr>
        <w:ind w:right="1040"/>
        <w:spacing w:after="0" w:line="323" w:lineRule="auto"/>
        <w:rPr>
          <w:sz w:val="20"/>
          <w:szCs w:val="20"/>
          <w:color w:val="auto"/>
        </w:rPr>
      </w:pPr>
      <w:r>
        <w:rPr>
          <w:rFonts w:ascii="Arial" w:cs="Arial" w:eastAsia="Arial" w:hAnsi="Arial"/>
          <w:sz w:val="43"/>
          <w:szCs w:val="43"/>
          <w:b w:val="1"/>
          <w:bCs w:val="1"/>
          <w:color w:val="auto"/>
        </w:rPr>
        <w:t>Information Regarding the Board of Directors and Corporate Governance</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Identifying and Evaluating Nominees for Directors</w:t>
      </w:r>
    </w:p>
    <w:p>
      <w:pPr>
        <w:spacing w:after="0" w:line="26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is responsible for selecting nominees for election as directors. The Board delegates the screening process to the Nominating and Corporate Governance Committee with the expectation that other members of the Board will participate in this process, as appropriate. The Nominating and Corporate Governance Committee periodically reviews the skills and types of experience that it believes should be represented on the Board in light of our current business needs and strategy.</w:t>
      </w:r>
    </w:p>
    <w:p>
      <w:pPr>
        <w:spacing w:after="0" w:line="12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Board has identified the following key attributes, skills and experience of directors that it believes are essential to the oversight and implementation of our business and strategy requirements and to promoting the long-term interests of our stockholders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4541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40575" cy="746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74612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Objectivity and independence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Ability to contribute diverse perspectives in the Board’s deliberations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High integrity</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Loyalty to the interests of Enphase and its stockholders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Sound judgement</w:t>
      </w:r>
    </w:p>
    <w:p>
      <w:pPr>
        <w:spacing w:after="0" w:line="59"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b w:val="1"/>
          <w:bCs w:val="1"/>
          <w:color w:val="auto"/>
        </w:rPr>
        <w:t>Ability and desire to devote the time necessary to fulfill his or her duties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Effective collaboration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Expertise in his or her field</w:t>
      </w:r>
    </w:p>
    <w:p>
      <w:pPr>
        <w:spacing w:after="0" w:line="200" w:lineRule="exact"/>
        <w:rPr>
          <w:sz w:val="20"/>
          <w:szCs w:val="20"/>
          <w:color w:val="auto"/>
        </w:rPr>
      </w:pPr>
    </w:p>
    <w:p>
      <w:pPr>
        <w:sectPr>
          <w:pgSz w:w="11900" w:h="16838" w:orient="portrait"/>
          <w:cols w:equalWidth="0" w:num="2">
            <w:col w:w="5480" w:space="220"/>
            <w:col w:w="5540"/>
          </w:cols>
          <w:pgMar w:left="320" w:top="771" w:right="339" w:bottom="1440" w:gutter="0" w:footer="0" w:header="0"/>
          <w:type w:val="continuous"/>
        </w:sectPr>
      </w:pPr>
    </w:p>
    <w:p>
      <w:pPr>
        <w:spacing w:after="0" w:line="89"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For additional information on the criteria used to select Board nominees, please see the section “Information Regarding Committees of the Board - Nominating and Corporate Governance Committee” below.</w:t>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Independence</w:t>
      </w:r>
    </w:p>
    <w:p>
      <w:pPr>
        <w:spacing w:after="0" w:line="26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Under The Nasdaq Stock Market LLC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compensation and nominating committees be independent within the meaning of the Nasdaq listing standards. Under the Nasdaq listing standards, a director will only qualify as an “independent director” if, in the opinion of a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Exchange Act of 1934, as amended (the “Exchange Act”).</w:t>
      </w:r>
    </w:p>
    <w:p>
      <w:pPr>
        <w:spacing w:after="0" w:line="13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Board undertook a review of the independence of each director. Based on information provided by each director concerning his or her background, employment and affiliations, the Board determined that each of Messrs. Gomo, Kortlang, Malchow, Mora and Rodgers and Ms. Haenggi do not have a relationship with Enphase that would interfere with the exercise of independent judgment in carrying out the responsibilities of a director, and that each of these is “independent” as that term is defined under the applicable rules and regulations of the SEC and the Nasdaq listing standards. Accordingly, a majority of our directors are independent, as required under Nasdaq listing standards. The Board determined that Mr. Kothandaraman is not “independent” as defined under the applicable Nasdaq listing standards due to his services as our president and CEO.</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non-employee directors meet in regularly scheduled executive sessions at which only non-employee directors are present.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32"/>
          <w:szCs w:val="32"/>
          <w:b w:val="1"/>
          <w:bCs w:val="1"/>
          <w:color w:val="auto"/>
        </w:rPr>
        <w:t>Board Composition and Refreshment; Director Tenure</w:t>
      </w:r>
    </w:p>
    <w:p>
      <w:pPr>
        <w:spacing w:after="0" w:line="3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Board and the Nominating and Corporate Governance Committee value a variety of backgrounds, age, education, experience, perspectives and leadership in different fields when identifying nominees. The Board believes that the representation of a multitude of diverse perspectives expands the Board’s understanding of our customers, partners, employees, investors and other stakeholders.</w:t>
      </w:r>
    </w:p>
    <w:p>
      <w:pPr>
        <w:spacing w:after="0" w:line="124"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The Nominating and Corporate Governance Committee is committed to identifying qualified candidates for its Board that would bring new perspectives and expertise to our Board. In furtherance of this commitment, the Nominating and Corporate Governance Committee continues to actively seek to add a candidate to the Board in the near future that enhances the skill set of the Board, who ideally is an expert in software and digital transformation.</w:t>
      </w:r>
    </w:p>
    <w:p>
      <w:pPr>
        <w:spacing w:after="0" w:line="11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Board is committed to ongoing and thoughtful refreshment of its membership, yet also believes it is in the best interests of Enphase and our stockholders to maintain a mix of longer-tenured, experienced directors with institutional knowledge and newer directors with fresh perspectives. If each director nominee is elected to the Board at the Annual Meeting, two of our directors will be newer directors having been appointed in 2020 or later.</w:t>
      </w:r>
    </w:p>
    <w:p>
      <w:pPr>
        <w:spacing w:after="0" w:line="12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do not impose director tenure limits or a mandatory retirement age. The Board believes that our longer-tenured directors, with their deep historical and institutional knowledge, have a unique perspective of Enphase, which provides invaluable insight as we continue to grow and evolve. Accordingly, while director tenure is taken into consideration when making nomination decisions, the Board believes that imposing strict limits on director tenure would deprive the Board of the valuable perspectives of its most experienced members. If each director nominee is elected to the Board at the Annual Meeting, our directors will have served on the Board for an average of 9.4 years. The Board believes the current average tenure of its directors is consistent with the balance the Board seeks between different perspectives brought by longer serving directors and newer directors.</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2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Mr. Gomo serves as the independent Chair of the Board and as the Lead Independent Director. In his capacity as Chair of the Board, Mr. Gomo has the authority to, among other things, call and preside over Board meetings, including meetings of the independent directors, and establish the agenda for these meetings. Accordingly, the Chair of the Board has substantial ability to shape the work of the Board. The Board believes that having an independent Chair of the Board, separate from the CEO, reinforces the independence of the Board in its oversight of the business and affairs of Enphase. In addition, we believe that having an independent Chair of the Board creates an environment that is more conducive to objective evaluation and oversight of management’s performance, increasing management accountability and improving the ability of the Board to monitor whether management’s actions are in the best interests of Enphase and its stockholders. As a result, we believe that an independent Chair of the Board can enhance the effectiveness of the Board as a whole.</w:t>
      </w:r>
    </w:p>
    <w:p>
      <w:pPr>
        <w:spacing w:after="0" w:line="35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Board oversees the CEO and other senior management in the competent and ethical operation of Enphase and seeks to ensure that the long-term interests of our stockholders are being served. Directors are expected to take a proactive and focused approach in order to ensure that we are committed to business success through the maintenance of high standards of responsibility and ethics.</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Role of the Board in Risk Oversight</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2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the Board is responsible for monitoring and assessing strategic risk exposure, including a determination of the nature and level of risk appropriate for Enphase. The Audit Committee has the responsibility to consider and discuss our major financial and accounting risk exposures and the steps our management has taken to monitor and control these exposures, including guidelines and policies to govern the process by which risk assessment and management is undertaken. The Audit Committee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1" w:name="page22"/>
    <w:bookmarkEnd w:id="21"/>
    <w:p>
      <w:pPr>
        <w:jc w:val="both"/>
        <w:spacing w:after="0" w:line="300" w:lineRule="auto"/>
        <w:rPr>
          <w:sz w:val="20"/>
          <w:szCs w:val="20"/>
          <w:color w:val="auto"/>
        </w:rPr>
      </w:pPr>
      <w:r>
        <w:rPr>
          <w:rFonts w:ascii="Arial" w:cs="Arial" w:eastAsia="Arial" w:hAnsi="Arial"/>
          <w:sz w:val="16"/>
          <w:szCs w:val="16"/>
          <w:color w:val="auto"/>
        </w:rPr>
        <w:t>also monitors compliance with legal and regulatory requirements, as well as the performance of our internal audit function. The Audit Committee responsibilities also include oversight of cybersecurity risk management, including an annual review of our IT security and has established a subcommittee that meets with management with a particular focus on these matters. The Nominating and Corporate Governance Committee oversees the risks associated with Board and corporate governance, director independence and sustainability initiatives. The Compensation Committee assesses and monitors whether any of our compensation policies and programs has the potential to encourage excessive risk-taking. Each of our committees provides reports to the full Board on their oversight activities and escalates review of risk issues to the Board as appropriate. In addition, the Board meets with certain members of our executive team, including the heads of our different organizational functions, who discuss the risks and exposures involved in their respective areas of responsibility as well as any developments that could impact our risk profile or other aspects of our business. These reports from our executive team are designed to provide timely visibility to the Board and its committees about the identification and assessment of key risks, our risk mitigation strategies and ongoing developments.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Guidelines</w:t>
      </w:r>
    </w:p>
    <w:p>
      <w:pPr>
        <w:spacing w:after="0" w:line="26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Board has adopted Corporate Governance Guidelines that outline the role and responsibilities of the Board and its various committees. Our Corporate Governance Guidelines are available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 Our Corporate Governance Guidelines ensure that the Board will have the necessary authority and practices in place to review and evaluate our business operations as needed and to make decisions that are independent of our management. Our Corporate Governance Guidelines are also intended to align the interests of directors and management with those of our stockholders. Our Corporate Governance Guidelines set forth the practices that the Board intends to follow with respect to board composition and selection, the role of the Board, director orientation and education, director compensation, board meetings and involvement of senior management, board committees, CEO performance evaluation, succession planning and board assessment.</w:t>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Code of Conduct</w:t>
      </w:r>
    </w:p>
    <w:p>
      <w:pPr>
        <w:spacing w:after="0" w:line="2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have adopted the Enphase Energy Code of Conduct (“Code of Conduct”) that applies to all officers, directors and employees. The Code of Conduct is available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 If we make any substantive amendments to the Code of Conduct or grant any waiver from a provision of the Code of Conduct to any executive officer or director, we intend to promptly disclose the nature of the amendment or waiver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Insider Trading Policy</w:t>
      </w:r>
    </w:p>
    <w:p>
      <w:pPr>
        <w:spacing w:after="0" w:line="2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an insider trading policy entitled our Policy Against Trading on the Basis of Inside Information that applies to and governs the purchase, sale and/or other dispositions of our securities by directors, officers and all employees, consultants and contractors. We believe that our insider trading policy is reasonably designed to promote compliance with insider trading laws, rules and regulations, and applicable Nasdaq listing standards, and helps protect our reputation for integrity and ethical conduct. A copy of our Policy Against Trading on the Basis of Inside Information was filed as Exhibit 19.1 to our Annual Report on Form 10-K for the year ended December 31, 2024, as filed with the SEC on February 10, 2025 (the “Annual Report on Form 10-K”). In addition, we also maintain a separate policy governing the ability of our directors, officers and employees to enter into a pre-arranged trading plan pursuant to Rule 10b5-1 of the Exchange Act. It is our practice to comply with all applicable securities and state laws (including appropriate approvals by the Board or appropriate committee, if required) when engaging in transactions in our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color w:val="auto"/>
        </w:rPr>
        <w:t>Sustainability</w:t>
      </w:r>
    </w:p>
    <w:p>
      <w:pPr>
        <w:spacing w:after="0" w:line="26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publish annually our sustainability and governance report. Our efforts are overseen by our General Counsel, with participation from a senior management committee, along with board-level oversight led by the Nominating and Corporate Governance Committee. The Board receives reports on sustainability and governance matters from the Nominating and Corporate Governance Committee and senior management team at a minimum on an annual basis. The current report is available on our website. Additional information about the role of the Nominating and Corporate Governance Committee can be found in its written charter, also available to stockholders on our website. Information contained on our website is not incorporated by reference into this proxy statement or any other report we file with the SEC.</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that global warming and climate change present serious risk to the economic, environmental and social systems supporting human civilization. We create clean energy technologies for the world to help slow the pace of global warming, protect the environment, and accelerate the transition to a clean, accessible and resilient energy system. However, we also acknowledge that our ability to capitalize on climate opportunities continuously over the long term requires navigating climate risk successfully.</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Meetings of the Board and Committees</w:t>
      </w:r>
    </w:p>
    <w:p>
      <w:pPr>
        <w:spacing w:after="0" w:line="26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Board met four times in 2024. Each director attended at least 75% of the aggregate number of meetings of the Board and of the committees on which he or she served during the portion of 2024 for which he or she was a director or committee member.</w:t>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Regarding Committees of the Board</w:t>
      </w:r>
    </w:p>
    <w:p>
      <w:pPr>
        <w:spacing w:after="0" w:line="2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has three standing committees: an Audit Committee, a Compensation Committee and a Nominating and Corporate Governance Committee, each of which has the composition and responsibilities described below. All directors on the Board also participate on the Strategic Committee, which was established by the Board to consider and make recommendations regarding issues impacting our strategic direction, with participation from management,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2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Audit Committee was established by the Board in accordance with Section 3(a)(58)(A) of the Exchange Act, to monitor and oversee our corporate accounting and financial reporting processes and audits of its financial statements. For this purpose, the Audit Committee, among other things:</w:t>
      </w:r>
    </w:p>
    <w:p>
      <w:pPr>
        <w:spacing w:after="0" w:line="101" w:lineRule="exact"/>
        <w:rPr>
          <w:sz w:val="20"/>
          <w:szCs w:val="20"/>
          <w:color w:val="auto"/>
        </w:rPr>
      </w:pPr>
    </w:p>
    <w:p>
      <w:pPr>
        <w:ind w:left="300" w:hanging="130"/>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6"/>
          <w:szCs w:val="16"/>
          <w:color w:val="auto"/>
        </w:rPr>
        <w:t>evaluates the performance of and assesses the qualifications of the independent auditors;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6"/>
          <w:szCs w:val="16"/>
          <w:color w:val="auto"/>
        </w:rPr>
        <w:t>determines and approves the scope of engagement and compensation of the independent auditors;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6"/>
          <w:szCs w:val="16"/>
          <w:color w:val="auto"/>
        </w:rPr>
        <w:t>confers with management and the independent auditors regarding the effectiveness of internal controls over financial reporting; and</w:t>
      </w:r>
    </w:p>
    <w:p>
      <w:pPr>
        <w:spacing w:after="0" w:line="86" w:lineRule="exact"/>
        <w:rPr>
          <w:rFonts w:ascii="Arial" w:cs="Arial" w:eastAsia="Arial" w:hAnsi="Arial"/>
          <w:sz w:val="13"/>
          <w:szCs w:val="13"/>
          <w:color w:val="auto"/>
        </w:rPr>
      </w:pPr>
    </w:p>
    <w:p>
      <w:pPr>
        <w:ind w:left="340" w:right="220" w:hanging="170"/>
        <w:spacing w:after="0" w:line="339" w:lineRule="auto"/>
        <w:tabs>
          <w:tab w:leader="none" w:pos="317" w:val="left"/>
        </w:tabs>
        <w:numPr>
          <w:ilvl w:val="0"/>
          <w:numId w:val="20"/>
        </w:numPr>
        <w:rPr>
          <w:rFonts w:ascii="Arial" w:cs="Arial" w:eastAsia="Arial" w:hAnsi="Arial"/>
          <w:sz w:val="13"/>
          <w:szCs w:val="13"/>
          <w:color w:val="auto"/>
        </w:rPr>
      </w:pPr>
      <w:r>
        <w:rPr>
          <w:rFonts w:ascii="Arial" w:cs="Arial" w:eastAsia="Arial" w:hAnsi="Arial"/>
          <w:sz w:val="16"/>
          <w:szCs w:val="16"/>
          <w:color w:val="auto"/>
        </w:rPr>
        <w:t>establishes procedures, as required by law, for the receipt, retention and treatment of complaints regarding accounting, internal accounting controls or audit matters.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also has the following responsibilities:</w:t>
      </w:r>
    </w:p>
    <w:p>
      <w:pPr>
        <w:spacing w:after="0" w:line="154" w:lineRule="exact"/>
        <w:rPr>
          <w:sz w:val="20"/>
          <w:szCs w:val="20"/>
          <w:color w:val="auto"/>
        </w:rPr>
      </w:pPr>
    </w:p>
    <w:p>
      <w:pPr>
        <w:ind w:left="300" w:hanging="130"/>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6"/>
          <w:szCs w:val="16"/>
          <w:color w:val="auto"/>
        </w:rPr>
        <w:t>determining whether to retain or terminate the existing independent auditors or to appoint and engage new independent auditors;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6"/>
          <w:szCs w:val="16"/>
          <w:color w:val="auto"/>
        </w:rPr>
        <w:t>reviewing and approving the retention of the independent auditors to perform any proposed permissible non-audit services;</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6"/>
          <w:szCs w:val="16"/>
          <w:color w:val="auto"/>
        </w:rPr>
        <w:t>reviewing and approving or rejecting related-party transactions;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6"/>
          <w:szCs w:val="16"/>
          <w:color w:val="auto"/>
        </w:rPr>
        <w:t>oversight of cybersecurity risks;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6"/>
          <w:szCs w:val="16"/>
          <w:color w:val="auto"/>
        </w:rPr>
        <w:t>oversight of our enterprise risk management program; and</w:t>
      </w:r>
    </w:p>
    <w:p>
      <w:pPr>
        <w:spacing w:after="0" w:line="99" w:lineRule="exact"/>
        <w:rPr>
          <w:rFonts w:ascii="Arial" w:cs="Arial" w:eastAsia="Arial" w:hAnsi="Arial"/>
          <w:sz w:val="13"/>
          <w:szCs w:val="13"/>
          <w:color w:val="auto"/>
        </w:rPr>
      </w:pPr>
    </w:p>
    <w:p>
      <w:pPr>
        <w:ind w:left="340" w:hanging="170"/>
        <w:spacing w:after="0" w:line="310" w:lineRule="auto"/>
        <w:tabs>
          <w:tab w:leader="none" w:pos="317" w:val="left"/>
        </w:tabs>
        <w:numPr>
          <w:ilvl w:val="0"/>
          <w:numId w:val="21"/>
        </w:numPr>
        <w:rPr>
          <w:rFonts w:ascii="Arial" w:cs="Arial" w:eastAsia="Arial" w:hAnsi="Arial"/>
          <w:sz w:val="13"/>
          <w:szCs w:val="13"/>
          <w:color w:val="auto"/>
        </w:rPr>
      </w:pPr>
      <w:r>
        <w:rPr>
          <w:rFonts w:ascii="Arial" w:cs="Arial" w:eastAsia="Arial" w:hAnsi="Arial"/>
          <w:sz w:val="16"/>
          <w:szCs w:val="16"/>
          <w:color w:val="auto"/>
        </w:rPr>
        <w:t>reviewing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3" w:name="page24"/>
    <w:bookmarkEnd w:id="23"/>
    <w:p>
      <w:pPr>
        <w:jc w:val="both"/>
        <w:spacing w:after="0" w:line="319" w:lineRule="auto"/>
        <w:rPr>
          <w:sz w:val="20"/>
          <w:szCs w:val="20"/>
          <w:color w:val="auto"/>
        </w:rPr>
      </w:pPr>
      <w:r>
        <w:rPr>
          <w:rFonts w:ascii="Arial" w:cs="Arial" w:eastAsia="Arial" w:hAnsi="Arial"/>
          <w:sz w:val="16"/>
          <w:szCs w:val="16"/>
          <w:color w:val="auto"/>
        </w:rPr>
        <w:t xml:space="preserve">The Audit Committee is composed of three directors: Messrs. Gomo, Kortlang and Mora. The Audit Committee met five times in 2024. The Audit Committee has adopted a written charter, which is reviewed annually, and is available to stockholders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10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Board reviews the Nasdaq listing standards definition of independence for Audit Committee members on an annual basis and has determined that all members of the Audit Committee are independent, as required by Rule 5605(c)(2)(A)(i) and (ii) of the Nasdaq listing standards.</w:t>
      </w:r>
    </w:p>
    <w:p>
      <w:pPr>
        <w:spacing w:after="0" w:line="1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has determined that each member of the Audit Committee can read and understand fundamental financial statements in accordance with applicable requirements. The Board has also determined that Messrs. Gomo and Mora each qualify as an “audit committee financial expert,” as defined in SEC rules. The Board made a qualitative assessment of their level of knowledge and experience based on a number of factors, including formal education, experience as a chief financial officer for public reporting companies or experience as a chief executive officer with financial oversight responsibilities.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12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Compensation Committee acts on behalf of the Board to review and adopt, or recommend to the Board for adoption, and oversees our compensation strategy, policies, plans and programs, including:</w:t>
      </w:r>
    </w:p>
    <w:p>
      <w:pPr>
        <w:spacing w:after="0" w:line="101" w:lineRule="exact"/>
        <w:rPr>
          <w:sz w:val="20"/>
          <w:szCs w:val="20"/>
          <w:color w:val="auto"/>
        </w:rPr>
      </w:pPr>
    </w:p>
    <w:p>
      <w:pPr>
        <w:ind w:left="300" w:hanging="130"/>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6"/>
          <w:szCs w:val="16"/>
          <w:color w:val="auto"/>
        </w:rPr>
        <w:t>approving or recommending to the Board the approval of compensation and other terms of employment of our executive officers;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6"/>
          <w:szCs w:val="16"/>
          <w:color w:val="auto"/>
        </w:rPr>
        <w:t>reviewing and approving performance goals and objectives relevant to the compensation of our executive officers;</w:t>
      </w:r>
    </w:p>
    <w:p>
      <w:pPr>
        <w:spacing w:after="0" w:line="99" w:lineRule="exact"/>
        <w:rPr>
          <w:rFonts w:ascii="Arial" w:cs="Arial" w:eastAsia="Arial" w:hAnsi="Arial"/>
          <w:sz w:val="13"/>
          <w:szCs w:val="13"/>
          <w:color w:val="auto"/>
        </w:rPr>
      </w:pPr>
    </w:p>
    <w:p>
      <w:pPr>
        <w:ind w:left="340" w:right="240" w:hanging="170"/>
        <w:spacing w:after="0" w:line="321" w:lineRule="auto"/>
        <w:tabs>
          <w:tab w:leader="none" w:pos="317" w:val="left"/>
        </w:tabs>
        <w:numPr>
          <w:ilvl w:val="0"/>
          <w:numId w:val="22"/>
        </w:numPr>
        <w:rPr>
          <w:rFonts w:ascii="Arial" w:cs="Arial" w:eastAsia="Arial" w:hAnsi="Arial"/>
          <w:sz w:val="13"/>
          <w:szCs w:val="13"/>
          <w:color w:val="auto"/>
        </w:rPr>
      </w:pPr>
      <w:r>
        <w:rPr>
          <w:rFonts w:ascii="Arial" w:cs="Arial" w:eastAsia="Arial" w:hAnsi="Arial"/>
          <w:sz w:val="16"/>
          <w:szCs w:val="16"/>
          <w:color w:val="auto"/>
        </w:rPr>
        <w:t>evaluating and recommending to the Board the approval of compensation plans and programs, as well as modification or termination of existing plans and programs;</w:t>
      </w:r>
    </w:p>
    <w:p>
      <w:pPr>
        <w:spacing w:after="0" w:line="7" w:lineRule="exact"/>
        <w:rPr>
          <w:rFonts w:ascii="Arial" w:cs="Arial" w:eastAsia="Arial" w:hAnsi="Arial"/>
          <w:sz w:val="13"/>
          <w:szCs w:val="13"/>
          <w:color w:val="auto"/>
        </w:rPr>
      </w:pPr>
    </w:p>
    <w:p>
      <w:pPr>
        <w:ind w:left="300" w:hanging="130"/>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6"/>
          <w:szCs w:val="16"/>
          <w:color w:val="auto"/>
        </w:rPr>
        <w:t>reviewing and approving to the Board the type and amount of compensation to be paid or awarded to Board members;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6"/>
          <w:szCs w:val="16"/>
          <w:color w:val="auto"/>
        </w:rPr>
        <w:t>administering our equity incentive plans;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6"/>
          <w:szCs w:val="16"/>
          <w:color w:val="auto"/>
        </w:rPr>
        <w:t>establishing policies with respect to equity compensation arrangements; and</w:t>
      </w:r>
    </w:p>
    <w:p>
      <w:pPr>
        <w:spacing w:after="0" w:line="99" w:lineRule="exact"/>
        <w:rPr>
          <w:rFonts w:ascii="Arial" w:cs="Arial" w:eastAsia="Arial" w:hAnsi="Arial"/>
          <w:sz w:val="13"/>
          <w:szCs w:val="13"/>
          <w:color w:val="auto"/>
        </w:rPr>
      </w:pPr>
    </w:p>
    <w:p>
      <w:pPr>
        <w:ind w:left="340" w:right="1060" w:hanging="170"/>
        <w:spacing w:after="0" w:line="321" w:lineRule="auto"/>
        <w:tabs>
          <w:tab w:leader="none" w:pos="317" w:val="left"/>
        </w:tabs>
        <w:numPr>
          <w:ilvl w:val="0"/>
          <w:numId w:val="22"/>
        </w:numPr>
        <w:rPr>
          <w:rFonts w:ascii="Arial" w:cs="Arial" w:eastAsia="Arial" w:hAnsi="Arial"/>
          <w:sz w:val="13"/>
          <w:szCs w:val="13"/>
          <w:color w:val="auto"/>
        </w:rPr>
      </w:pPr>
      <w:r>
        <w:rPr>
          <w:rFonts w:ascii="Arial" w:cs="Arial" w:eastAsia="Arial" w:hAnsi="Arial"/>
          <w:sz w:val="16"/>
          <w:szCs w:val="16"/>
          <w:color w:val="auto"/>
        </w:rPr>
        <w:t>reviewing and approving the terms of any employment agreements, severance arrangements, change in control protections and any other compensatory arrangements for our executive officers.</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Compensation Committee is composed of two directors: Messrs. Mora and Rodgers. All members of the Compensation Committee have been and are “independent,” as required by Rules 5605(a)(2) and 5605(d)(2) of the Nasdaq listing standards. The Compensation Committee met four times in 2024. The Compensation Committee has adopted a written charter, which is reviewed annually, and is available to stockholders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Compensation Committee Processes and Procedures</w:t>
      </w:r>
    </w:p>
    <w:p>
      <w:pPr>
        <w:spacing w:after="0" w:line="20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agenda for each meeting is usually developed by the Chair of the Compensation Committee, in consultation with our CEO and senior vice president of human resources. The Compensation Committee meets periodically in executive session, without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CEO does not participate in, and is not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as well as authority to obtain, at the expense of Enphase,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compensation consultants to assist in its evaluation of executive and director compensation, including the authority to approve the consultant’s independence, reasonable fees and other retention terms.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Nominating and Corporate Governance Committee</w:t>
      </w:r>
    </w:p>
    <w:p>
      <w:pPr>
        <w:spacing w:after="0" w:line="12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Nominating and Corporate Governance Committee is responsible for identifying, reviewing and evaluating candidates to serve as directors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principles. The Nominating and Corporate Governance Committee is also responsible for overseeing our sustainability strategy, initiatives and policies, including communications with employees, investors and other stakeholders.</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Nominating and Corporate Governance Committee was composed of three directors during 2024: Messrs. Kortlang and Rodgers and Ms. Haenggi. The Board appointed Mr. Malchow to serve as the fourth member of the Nominating and Governance Committee as of January 23, 2025. All members of the Nominating and Corporate Governance Committee are independent (as independence is defined in Rule 5605(a)(2) of the Nasdaq listing standards). The Nominating and Corporate Governance Committee met four times in 2024, and Nominating and Corporate Governance Committee business was also discussed from time to time during meetings of the Board. The Nominating and Corporate Governance Committee has adopted a written charter, which is reviewed annually, and is available to stockholders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7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having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Enphase, having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w:t>
      </w:r>
    </w:p>
    <w:p>
      <w:pPr>
        <w:spacing w:after="0" w:line="7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Candidates for director are reviewed in the context of the current composition of the Board, appropriate size of the Board, our operating requirements and the long-term interests of stockholders. In conducting this assessment, the Nominating and Corporate Governance Committee typically considers diversity, age, skills and such other factors as it deems appropriate given the current needs of the Board, to maintain a balance of knowledge, experience and capability. This process is designed to follow the guiding principle that the composition of the Board should reflect a diversity of thought, perspectives, backgrounds, skills, experiences and expertise, and a range of tenures that are appropriate given our current and anticipated circumstances. The Nominating and Corporate Governance Committee uses its network of contacts to compile a list of potential candidates, but may also engage, as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any candidates recommended by the Nominating and Corporate Governance Committee are subject to approval by the full Board.</w:t>
      </w:r>
    </w:p>
    <w:p>
      <w:pPr>
        <w:spacing w:after="0" w:line="8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the case of incumbent directors whose terms of office are set to expire, the Nominating and Corporate Governance Committee reviews these directors’ overall service during their terms, including the number of meetings attended, level of participation, quality of performance and any relationships and transactions that might impair the directors’ independence. In the case of new director candidates, the Nominating and Corporate Governance Committee also determines whether the nominee is independent for Nasdaq purposes, which determination is based upon Nasdaq listing standards, SEC rules and regulations and the advice of counsel, if necessary.</w:t>
      </w:r>
    </w:p>
    <w:p>
      <w:pPr>
        <w:spacing w:after="0" w:line="7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Nominating and Corporate Governance Committee, to date, has not adopted a formal policy with regard to the consideration of director candidates recommended by stockholders and will consider director candidates recommended by stockholders on a case-by-case basis, as appropriate. The Nominating and Corporate Governance Committee believes that it is in the best position to identify, review, evaluate and select qualified candidates for Board membership, based on the comprehensive criteria for Board membership approved by the Board. The Nominating and Corporate Governance Committee does not intend to alter the manner in which it evaluates candidates, including the minimum criteria set forth above, based on whether the candidate was recommended by a stockholder. The Board amended our Amended and Restated Bylaws (as amended, the “Bylaws”), effective April 6, 2022, in order to implement proxy access. Pursuant to the proxy access provision, a stockholder or a group of no more than twenty (20) stockholders owning three percent (3%) or more of the voting power of the our outstanding capital stock continuously for at least three (3) years may nominate, and include in our proxy statement for an annual meeting, director nominees constituting up to the greater of two (2) individuals or twenty percent (20%) of the number of directors in office, provided that the stockholders satisfy the requirements specified in the Bylaws.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both"/>
        <w:spacing w:after="0" w:line="302" w:lineRule="auto"/>
        <w:rPr>
          <w:sz w:val="20"/>
          <w:szCs w:val="20"/>
          <w:color w:val="auto"/>
        </w:rPr>
      </w:pPr>
      <w:r>
        <w:rPr>
          <w:rFonts w:ascii="Arial" w:cs="Arial" w:eastAsia="Arial" w:hAnsi="Arial"/>
          <w:sz w:val="16"/>
          <w:szCs w:val="16"/>
          <w:color w:val="auto"/>
        </w:rPr>
        <w:t>To date, the Nominating and Corporate Governance Committee has not received any such nominations, nor has it rejected a director nominee from a stockholder or stockholders holding more than 5% of our voting stock. Stockholders who wish to recommend individuals for consideration by the Nominating and Corporate Governance Committee to become nominees for election to the Board may do so by delivering a written recommendation to our Corporate Secretary at the following address: 47281 Bayside Parkway, Fremont, CA 94538, not earlier than the close of business on November 4, 2025 and not later than the close of business on December 4, 2025.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such submission must be accompanied by the written consent of the proposed nominee to be named as a nominee and to serve as a director if elected.</w:t>
      </w:r>
    </w:p>
    <w:p>
      <w:pPr>
        <w:spacing w:after="0" w:line="19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and Committee Evaluations</w:t>
      </w:r>
    </w:p>
    <w:p>
      <w:pPr>
        <w:spacing w:after="0" w:line="269"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Board and its principal committees perform an annual self-assessment to foster a culture of accountability for performance and continuous improvement so that the Board is able to meet its strategic objectives. The annual evaluation process provides the Board with valuable insight regarding areas where the Board believes it functions effectively, and where it can improve.</w:t>
      </w:r>
    </w:p>
    <w:p>
      <w:pPr>
        <w:spacing w:after="0" w:line="19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Communications with the Board</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adopted a formal process for stockholder communications with the Board. However, every reasonable effort has been made to ensure that the views of stockholders are heard by the Board or individual director, and that appropriate responses are provided to stockholders in a timely manner. The Board does not recommend that formal communication procedures be adopted at this time because it believes that informal communications are sufficient to communicate questions, comments and observations that could be useful to the Board.</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Our stockholders may direct communications to a particular director or to the directors generally, in care of Enphase Energy, Inc., 47281 Bayside Parkway, Fremont, CA 94538.</w:t>
      </w:r>
    </w:p>
    <w:p>
      <w:pPr>
        <w:spacing w:after="0" w:line="1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any interested person, including any stockholder, may communicate directly with our non-employee directors. Persons interested in communicating directly with our non-employee directors regarding any concerns or issues may do so by addressing correspondence to a particular director, or to our non-employee directors generally, in care of Enphase Energy, Inc. 47281 Bayside Parkway, Fremont, CA 94538. If no particular director is named, letters will be forwarded, depending upon the subject matter, to the Chair of the Board, or the Chair of the Audit Committee, Chair of the Compensation Committee or Chair of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6" w:name="page27"/>
    <w:bookmarkEnd w:id="26"/>
    <w:p>
      <w:pPr>
        <w:spacing w:after="0"/>
        <w:rPr>
          <w:sz w:val="20"/>
          <w:szCs w:val="20"/>
          <w:color w:val="auto"/>
        </w:rPr>
      </w:pPr>
      <w:r>
        <w:rPr>
          <w:rFonts w:ascii="Arial" w:cs="Arial" w:eastAsia="Arial" w:hAnsi="Arial"/>
          <w:sz w:val="43"/>
          <w:szCs w:val="43"/>
          <w:b w:val="1"/>
          <w:bCs w:val="1"/>
          <w:color w:val="auto"/>
        </w:rPr>
        <w:t>Director Compensation</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Non-Employee Director Compensation</w:t>
      </w:r>
    </w:p>
    <w:p>
      <w:pPr>
        <w:spacing w:after="0" w:line="25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Members of the Board who are non-employee directors receive compensation for their service on the Board. As an employee, Mr. Kothandaraman, our CEO, does not receive additional compensation for his service on the Board.</w:t>
      </w:r>
    </w:p>
    <w:p>
      <w:pPr>
        <w:spacing w:after="0" w:line="10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Compensation Committee last made changes to our non-employee director compensation policy in November 2020 in order to ensure that our compensation for directors remains competitive and allows us to attract and retain highly qualified members of the Board. Based on the Compensation Committee’s most recent review of director compensation in 2024, no further changes were recommended. As a result, the Non-Employee Director Compensation Policy summarized below provided the following compensation package for our non-employee directors in 2024.</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Cash Compensation Arrangements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Each member of the Board who is not our employee was eligible for the following cash compensation for Board services.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834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Arrangement</w:t>
            </w:r>
          </w:p>
        </w:tc>
        <w:tc>
          <w:tcPr>
            <w:tcW w:w="2920" w:type="dxa"/>
            <w:vAlign w:val="bottom"/>
            <w:tcBorders>
              <w:right w:val="single" w:sz="8" w:color="3C3C3C"/>
            </w:tcBorders>
            <w:shd w:val="clear" w:color="auto" w:fill="3C3C3C"/>
          </w:tcPr>
          <w:p>
            <w:pPr>
              <w:ind w:left="940"/>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02"/>
        </w:trPr>
        <w:tc>
          <w:tcPr>
            <w:tcW w:w="834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2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8340" w:type="dxa"/>
            <w:vAlign w:val="bottom"/>
            <w:tcBorders>
              <w:left w:val="single" w:sz="8" w:color="3C3C3C"/>
              <w:right w:val="single" w:sz="8" w:color="3C3C3C"/>
            </w:tcBorders>
            <w:shd w:val="clear" w:color="auto" w:fill="3C3C3C"/>
          </w:tcPr>
          <w:p>
            <w:pPr>
              <w:spacing w:after="0"/>
              <w:rPr>
                <w:sz w:val="9"/>
                <w:szCs w:val="9"/>
                <w:color w:val="auto"/>
              </w:rPr>
            </w:pPr>
          </w:p>
        </w:tc>
        <w:tc>
          <w:tcPr>
            <w:tcW w:w="2920" w:type="dxa"/>
            <w:vAlign w:val="bottom"/>
            <w:tcBorders>
              <w:right w:val="single" w:sz="8" w:color="3C3C3C"/>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Annual retainer Board member</w:t>
            </w:r>
          </w:p>
        </w:tc>
        <w:tc>
          <w:tcPr>
            <w:tcW w:w="29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39"/>
        </w:trPr>
        <w:tc>
          <w:tcPr>
            <w:tcW w:w="83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Additional retainer Audit Committee chair</w:t>
            </w:r>
          </w:p>
        </w:tc>
        <w:tc>
          <w:tcPr>
            <w:tcW w:w="29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47"/>
        </w:trPr>
        <w:tc>
          <w:tcPr>
            <w:tcW w:w="8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Audit Committee member</w:t>
            </w:r>
          </w:p>
        </w:tc>
        <w:tc>
          <w:tcPr>
            <w:tcW w:w="29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39"/>
        </w:trPr>
        <w:tc>
          <w:tcPr>
            <w:tcW w:w="83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Additional retainer Compensation Committee chair</w:t>
            </w:r>
          </w:p>
        </w:tc>
        <w:tc>
          <w:tcPr>
            <w:tcW w:w="29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47"/>
        </w:trPr>
        <w:tc>
          <w:tcPr>
            <w:tcW w:w="8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Compensation Committee member</w:t>
            </w:r>
          </w:p>
        </w:tc>
        <w:tc>
          <w:tcPr>
            <w:tcW w:w="29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9"/>
        </w:trPr>
        <w:tc>
          <w:tcPr>
            <w:tcW w:w="83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Additional retainer Nominating and Corporate Governance Committee chair</w:t>
            </w:r>
          </w:p>
        </w:tc>
        <w:tc>
          <w:tcPr>
            <w:tcW w:w="29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7"/>
        </w:trPr>
        <w:tc>
          <w:tcPr>
            <w:tcW w:w="8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Nominating and Corporate Governance Committee member</w:t>
            </w:r>
          </w:p>
        </w:tc>
        <w:tc>
          <w:tcPr>
            <w:tcW w:w="29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39"/>
        </w:trPr>
        <w:tc>
          <w:tcPr>
            <w:tcW w:w="83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Additional retainer Lead Independent Director or Chair of the Board</w:t>
            </w:r>
          </w:p>
        </w:tc>
        <w:tc>
          <w:tcPr>
            <w:tcW w:w="29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47"/>
        </w:trPr>
        <w:tc>
          <w:tcPr>
            <w:tcW w:w="8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Strategic Committee member</w:t>
            </w:r>
          </w:p>
        </w:tc>
        <w:tc>
          <w:tcPr>
            <w:tcW w:w="29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All Board and committee retainers accrue and are payable on a quarterly basis at the end of each calendar quarter of service. We also reimburse our non-employee directors for travel, lodging and other reasonable expenses incurred in connection with their attendance at Board or committee meetings.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auto"/>
        </w:rPr>
        <w:t>Equity Compensation Arrangements</w:t>
      </w:r>
    </w:p>
    <w:p>
      <w:pPr>
        <w:spacing w:after="0" w:line="26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Non-Employee Director Compensation Policy provides that on the date of each annual stockholders’ meeting, each non-employee director will automatically receive a RSU award with value of $250,000 (calculated using the closing price of our common stock on the Nasdaq Global Market or any successor exchange on the grant date) vesting on a quarterly basis over 12 months; the lead independent director or Chair of the Board will automatically receive an additional RSU grant with a target value of $20,000 vesting on a quarterly basis over 12 months.</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 Table</w:t>
      </w:r>
    </w:p>
    <w:p>
      <w:pPr>
        <w:spacing w:after="0" w:line="269"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following table sets forth certain summary information for 2024 with respect to the compensation of our non-employee directors. Mr. Kothandaraman, as an employee and executive officer, did not receive any additional compensation for serving on the Board.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62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Name</w:t>
            </w:r>
          </w:p>
        </w:tc>
        <w:tc>
          <w:tcPr>
            <w:tcW w:w="2960" w:type="dxa"/>
            <w:vAlign w:val="bottom"/>
            <w:tcBorders>
              <w:right w:val="single" w:sz="8" w:color="3C3C3C"/>
            </w:tcBorders>
            <w:shd w:val="clear" w:color="auto" w:fill="3C3C3C"/>
          </w:tcPr>
          <w:p>
            <w:pPr>
              <w:ind w:left="500"/>
              <w:spacing w:after="0"/>
              <w:rPr>
                <w:sz w:val="20"/>
                <w:szCs w:val="20"/>
                <w:color w:val="auto"/>
              </w:rPr>
            </w:pPr>
            <w:r>
              <w:rPr>
                <w:rFonts w:ascii="Arial" w:cs="Arial" w:eastAsia="Arial" w:hAnsi="Arial"/>
                <w:sz w:val="14"/>
                <w:szCs w:val="14"/>
                <w:b w:val="1"/>
                <w:bCs w:val="1"/>
                <w:color w:val="FFFFFF"/>
              </w:rPr>
              <w:t>Fees Earned or Paid in Cash</w:t>
            </w:r>
          </w:p>
        </w:tc>
        <w:tc>
          <w:tcPr>
            <w:tcW w:w="1880" w:type="dxa"/>
            <w:vAlign w:val="bottom"/>
            <w:tcBorders>
              <w:right w:val="single" w:sz="8" w:color="3C3C3C"/>
            </w:tcBorders>
            <w:shd w:val="clear" w:color="auto" w:fill="3C3C3C"/>
          </w:tcPr>
          <w:p>
            <w:pPr>
              <w:ind w:left="400"/>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9"/>
                <w:szCs w:val="9"/>
                <w:b w:val="1"/>
                <w:bCs w:val="1"/>
                <w:color w:val="FFFFFF"/>
              </w:rPr>
              <w:t>(1)</w:t>
            </w:r>
          </w:p>
        </w:tc>
        <w:tc>
          <w:tcPr>
            <w:tcW w:w="1800" w:type="dxa"/>
            <w:vAlign w:val="bottom"/>
            <w:tcBorders>
              <w:right w:val="single" w:sz="8" w:color="3C3C3C"/>
            </w:tcBorders>
            <w:shd w:val="clear" w:color="auto" w:fill="3C3C3C"/>
          </w:tcPr>
          <w:p>
            <w:pPr>
              <w:ind w:left="7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02"/>
        </w:trPr>
        <w:tc>
          <w:tcPr>
            <w:tcW w:w="462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29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8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8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4620" w:type="dxa"/>
            <w:vAlign w:val="bottom"/>
            <w:tcBorders>
              <w:left w:val="single" w:sz="8" w:color="3C3C3C"/>
              <w:right w:val="single" w:sz="8" w:color="3C3C3C"/>
            </w:tcBorders>
            <w:shd w:val="clear" w:color="auto" w:fill="3C3C3C"/>
          </w:tcPr>
          <w:p>
            <w:pPr>
              <w:spacing w:after="0"/>
              <w:rPr>
                <w:sz w:val="9"/>
                <w:szCs w:val="9"/>
                <w:color w:val="auto"/>
              </w:rPr>
            </w:pPr>
          </w:p>
        </w:tc>
        <w:tc>
          <w:tcPr>
            <w:tcW w:w="2960" w:type="dxa"/>
            <w:vAlign w:val="bottom"/>
            <w:tcBorders>
              <w:right w:val="single" w:sz="8" w:color="3C3C3C"/>
            </w:tcBorders>
            <w:vMerge w:val="continue"/>
            <w:shd w:val="clear" w:color="auto" w:fill="3C3C3C"/>
          </w:tcPr>
          <w:p>
            <w:pPr>
              <w:spacing w:after="0"/>
              <w:rPr>
                <w:sz w:val="9"/>
                <w:szCs w:val="9"/>
                <w:color w:val="auto"/>
              </w:rPr>
            </w:pPr>
          </w:p>
        </w:tc>
        <w:tc>
          <w:tcPr>
            <w:tcW w:w="1880" w:type="dxa"/>
            <w:vAlign w:val="bottom"/>
            <w:tcBorders>
              <w:right w:val="single" w:sz="8" w:color="3C3C3C"/>
            </w:tcBorders>
            <w:vMerge w:val="continue"/>
            <w:shd w:val="clear" w:color="auto" w:fill="3C3C3C"/>
          </w:tcPr>
          <w:p>
            <w:pPr>
              <w:spacing w:after="0"/>
              <w:rPr>
                <w:sz w:val="9"/>
                <w:szCs w:val="9"/>
                <w:color w:val="auto"/>
              </w:rPr>
            </w:pPr>
          </w:p>
        </w:tc>
        <w:tc>
          <w:tcPr>
            <w:tcW w:w="1800" w:type="dxa"/>
            <w:vAlign w:val="bottom"/>
            <w:tcBorders>
              <w:right w:val="single" w:sz="8" w:color="3C3C3C"/>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Steven J. Gomo</w:t>
            </w:r>
          </w:p>
        </w:tc>
        <w:tc>
          <w:tcPr>
            <w:tcW w:w="29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105,000</w:t>
            </w:r>
          </w:p>
        </w:tc>
        <w:tc>
          <w:tcPr>
            <w:tcW w:w="18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269,969</w:t>
            </w:r>
          </w:p>
        </w:tc>
        <w:tc>
          <w:tcPr>
            <w:tcW w:w="18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374,969</w:t>
            </w:r>
          </w:p>
        </w:tc>
        <w:tc>
          <w:tcPr>
            <w:tcW w:w="0" w:type="dxa"/>
            <w:vAlign w:val="bottom"/>
          </w:tcPr>
          <w:p>
            <w:pPr>
              <w:spacing w:after="0"/>
              <w:rPr>
                <w:sz w:val="1"/>
                <w:szCs w:val="1"/>
                <w:color w:val="auto"/>
              </w:rPr>
            </w:pPr>
          </w:p>
        </w:tc>
      </w:tr>
      <w:tr>
        <w:trPr>
          <w:trHeight w:val="239"/>
        </w:trPr>
        <w:tc>
          <w:tcPr>
            <w:tcW w:w="46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Benjamin Kortlang</w:t>
            </w:r>
          </w:p>
        </w:tc>
        <w:tc>
          <w:tcPr>
            <w:tcW w:w="29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85,000</w:t>
            </w:r>
          </w:p>
        </w:tc>
        <w:tc>
          <w:tcPr>
            <w:tcW w:w="18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249,993</w:t>
            </w:r>
          </w:p>
        </w:tc>
        <w:tc>
          <w:tcPr>
            <w:tcW w:w="18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334,993</w:t>
            </w:r>
          </w:p>
        </w:tc>
        <w:tc>
          <w:tcPr>
            <w:tcW w:w="0" w:type="dxa"/>
            <w:vAlign w:val="bottom"/>
          </w:tcPr>
          <w:p>
            <w:pPr>
              <w:spacing w:after="0"/>
              <w:rPr>
                <w:sz w:val="1"/>
                <w:szCs w:val="1"/>
                <w:color w:val="auto"/>
              </w:rPr>
            </w:pPr>
          </w:p>
        </w:tc>
      </w:tr>
      <w:tr>
        <w:trPr>
          <w:trHeight w:val="247"/>
        </w:trPr>
        <w:tc>
          <w:tcPr>
            <w:tcW w:w="46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Richard Mora</w:t>
            </w:r>
          </w:p>
        </w:tc>
        <w:tc>
          <w:tcPr>
            <w:tcW w:w="29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85,000</w:t>
            </w:r>
          </w:p>
        </w:tc>
        <w:tc>
          <w:tcPr>
            <w:tcW w:w="18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249,993</w:t>
            </w:r>
          </w:p>
        </w:tc>
        <w:tc>
          <w:tcPr>
            <w:tcW w:w="18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334,993</w:t>
            </w:r>
          </w:p>
        </w:tc>
        <w:tc>
          <w:tcPr>
            <w:tcW w:w="0" w:type="dxa"/>
            <w:vAlign w:val="bottom"/>
          </w:tcPr>
          <w:p>
            <w:pPr>
              <w:spacing w:after="0"/>
              <w:rPr>
                <w:sz w:val="1"/>
                <w:szCs w:val="1"/>
                <w:color w:val="auto"/>
              </w:rPr>
            </w:pPr>
          </w:p>
        </w:tc>
      </w:tr>
      <w:tr>
        <w:trPr>
          <w:trHeight w:val="239"/>
        </w:trPr>
        <w:tc>
          <w:tcPr>
            <w:tcW w:w="46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Thurman John Rodgers</w:t>
            </w:r>
          </w:p>
        </w:tc>
        <w:tc>
          <w:tcPr>
            <w:tcW w:w="29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85,000</w:t>
            </w:r>
          </w:p>
        </w:tc>
        <w:tc>
          <w:tcPr>
            <w:tcW w:w="18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249,993</w:t>
            </w:r>
          </w:p>
        </w:tc>
        <w:tc>
          <w:tcPr>
            <w:tcW w:w="18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334,993</w:t>
            </w:r>
          </w:p>
        </w:tc>
        <w:tc>
          <w:tcPr>
            <w:tcW w:w="0" w:type="dxa"/>
            <w:vAlign w:val="bottom"/>
          </w:tcPr>
          <w:p>
            <w:pPr>
              <w:spacing w:after="0"/>
              <w:rPr>
                <w:sz w:val="1"/>
                <w:szCs w:val="1"/>
                <w:color w:val="auto"/>
              </w:rPr>
            </w:pPr>
          </w:p>
        </w:tc>
      </w:tr>
      <w:tr>
        <w:trPr>
          <w:trHeight w:val="247"/>
        </w:trPr>
        <w:tc>
          <w:tcPr>
            <w:tcW w:w="46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Jamie Haenggi</w:t>
            </w:r>
          </w:p>
        </w:tc>
        <w:tc>
          <w:tcPr>
            <w:tcW w:w="29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65,000</w:t>
            </w:r>
          </w:p>
        </w:tc>
        <w:tc>
          <w:tcPr>
            <w:tcW w:w="18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249,993</w:t>
            </w:r>
          </w:p>
        </w:tc>
        <w:tc>
          <w:tcPr>
            <w:tcW w:w="18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314,993</w:t>
            </w:r>
          </w:p>
        </w:tc>
        <w:tc>
          <w:tcPr>
            <w:tcW w:w="0" w:type="dxa"/>
            <w:vAlign w:val="bottom"/>
          </w:tcPr>
          <w:p>
            <w:pPr>
              <w:spacing w:after="0"/>
              <w:rPr>
                <w:sz w:val="1"/>
                <w:szCs w:val="1"/>
                <w:color w:val="auto"/>
              </w:rPr>
            </w:pPr>
          </w:p>
        </w:tc>
      </w:tr>
      <w:tr>
        <w:trPr>
          <w:trHeight w:val="243"/>
        </w:trPr>
        <w:tc>
          <w:tcPr>
            <w:tcW w:w="46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Joseph Malchow</w:t>
            </w:r>
          </w:p>
        </w:tc>
        <w:tc>
          <w:tcPr>
            <w:tcW w:w="29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60,000</w:t>
            </w:r>
          </w:p>
        </w:tc>
        <w:tc>
          <w:tcPr>
            <w:tcW w:w="18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249,993</w:t>
            </w:r>
          </w:p>
        </w:tc>
        <w:tc>
          <w:tcPr>
            <w:tcW w:w="18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309,993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jc w:val="both"/>
        <w:ind w:left="260" w:right="20" w:hanging="252"/>
        <w:spacing w:after="0" w:line="184" w:lineRule="exact"/>
        <w:tabs>
          <w:tab w:leader="none" w:pos="245" w:val="left"/>
        </w:tabs>
        <w:numPr>
          <w:ilvl w:val="0"/>
          <w:numId w:val="23"/>
        </w:numPr>
        <w:rPr>
          <w:rFonts w:ascii="Arial" w:cs="Arial" w:eastAsia="Arial" w:hAnsi="Arial"/>
          <w:sz w:val="14"/>
          <w:szCs w:val="14"/>
          <w:color w:val="7D7D7D"/>
        </w:rPr>
      </w:pPr>
      <w:r>
        <w:rPr>
          <w:rFonts w:ascii="Arial" w:cs="Arial" w:eastAsia="Arial" w:hAnsi="Arial"/>
          <w:sz w:val="14"/>
          <w:szCs w:val="14"/>
          <w:color w:val="7D7D7D"/>
        </w:rPr>
        <w:t>The amounts reported in this column do not reflect dollar amounts actually received by our non-employee directors. Instead, these amounts represent the aggregate grant date fair value of RSU awards granted in the fiscal year ended December 31, 2024 calculated in accordance with Financial Accounting Standards Board ASC Topic 718 (“ASC 718”), disregarding the estimate for forfeitures. For a discussion of the valuation methodology used, see Note 16, “Stock-Based Compensation” of the notes to consolidated financial statements included in Item 8 of the Annual Report on Form 10</w:t>
      </w:r>
      <w:r>
        <w:rPr>
          <w:rFonts w:ascii="MS PGothic" w:cs="MS PGothic" w:eastAsia="MS PGothic" w:hAnsi="MS PGothic"/>
          <w:sz w:val="14"/>
          <w:szCs w:val="14"/>
          <w:color w:val="7D7D7D"/>
        </w:rPr>
        <w:t>‑</w:t>
      </w:r>
      <w:r>
        <w:rPr>
          <w:rFonts w:ascii="Arial" w:cs="Arial" w:eastAsia="Arial" w:hAnsi="Arial"/>
          <w:sz w:val="14"/>
          <w:szCs w:val="14"/>
          <w:color w:val="7D7D7D"/>
        </w:rPr>
        <w:t>K.</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Outstanding Equity Awards at December 31, 2024</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outstanding equity awards held by each of our non-employee Board members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149225</wp:posOffset>
            </wp:positionV>
            <wp:extent cx="45173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4140" w:type="dxa"/>
            <w:vAlign w:val="bottom"/>
          </w:tcPr>
          <w:p>
            <w:pPr>
              <w:spacing w:after="0"/>
              <w:rPr>
                <w:sz w:val="19"/>
                <w:szCs w:val="19"/>
                <w:color w:val="auto"/>
              </w:rPr>
            </w:pPr>
          </w:p>
        </w:tc>
        <w:tc>
          <w:tcPr>
            <w:tcW w:w="4900" w:type="dxa"/>
            <w:vAlign w:val="bottom"/>
            <w:gridSpan w:val="2"/>
          </w:tcPr>
          <w:p>
            <w:pPr>
              <w:jc w:val="right"/>
              <w:ind w:right="1943"/>
              <w:spacing w:after="0"/>
              <w:rPr>
                <w:sz w:val="20"/>
                <w:szCs w:val="20"/>
                <w:color w:val="auto"/>
              </w:rPr>
            </w:pPr>
            <w:r>
              <w:rPr>
                <w:rFonts w:ascii="Arial" w:cs="Arial" w:eastAsia="Arial" w:hAnsi="Arial"/>
                <w:sz w:val="16"/>
                <w:szCs w:val="16"/>
                <w:b w:val="1"/>
                <w:bCs w:val="1"/>
                <w:color w:val="auto"/>
              </w:rPr>
              <w:t>Option Awards</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97"/>
        </w:trPr>
        <w:tc>
          <w:tcPr>
            <w:tcW w:w="4140" w:type="dxa"/>
            <w:vAlign w:val="bottom"/>
            <w:tcBorders>
              <w:left w:val="single" w:sz="8" w:color="3C3C3C"/>
              <w:right w:val="single" w:sz="8" w:color="3C3C3C"/>
            </w:tcBorders>
            <w:shd w:val="clear" w:color="auto" w:fill="3C3C3C"/>
          </w:tcPr>
          <w:p>
            <w:pPr>
              <w:spacing w:after="0"/>
              <w:rPr>
                <w:sz w:val="17"/>
                <w:szCs w:val="17"/>
                <w:color w:val="auto"/>
              </w:rPr>
            </w:pPr>
          </w:p>
        </w:tc>
        <w:tc>
          <w:tcPr>
            <w:tcW w:w="2440" w:type="dxa"/>
            <w:vAlign w:val="bottom"/>
            <w:tcBorders>
              <w:right w:val="single" w:sz="8" w:color="3C3C3C"/>
            </w:tcBorders>
            <w:vMerge w:val="restart"/>
            <w:shd w:val="clear" w:color="auto" w:fill="3C3C3C"/>
          </w:tcPr>
          <w:p>
            <w:pPr>
              <w:jc w:val="right"/>
              <w:ind w:right="42"/>
              <w:spacing w:after="0"/>
              <w:rPr>
                <w:sz w:val="20"/>
                <w:szCs w:val="20"/>
                <w:color w:val="auto"/>
              </w:rPr>
            </w:pPr>
            <w:r>
              <w:rPr>
                <w:rFonts w:ascii="Arial" w:cs="Arial" w:eastAsia="Arial" w:hAnsi="Arial"/>
                <w:sz w:val="14"/>
                <w:szCs w:val="14"/>
                <w:b w:val="1"/>
                <w:bCs w:val="1"/>
                <w:color w:val="FFFFFF"/>
              </w:rPr>
              <w:t>Number of Securities Underlying</w:t>
            </w:r>
          </w:p>
        </w:tc>
        <w:tc>
          <w:tcPr>
            <w:tcW w:w="2460" w:type="dxa"/>
            <w:vAlign w:val="bottom"/>
            <w:tcBorders>
              <w:right w:val="single" w:sz="8" w:color="3C3C3C"/>
            </w:tcBorders>
            <w:shd w:val="clear" w:color="auto" w:fill="3C3C3C"/>
          </w:tcPr>
          <w:p>
            <w:pPr>
              <w:jc w:val="center"/>
              <w:ind w:right="203"/>
              <w:spacing w:after="0"/>
              <w:rPr>
                <w:sz w:val="20"/>
                <w:szCs w:val="20"/>
                <w:color w:val="auto"/>
              </w:rPr>
            </w:pPr>
            <w:r>
              <w:rPr>
                <w:rFonts w:ascii="Arial" w:cs="Arial" w:eastAsia="Arial" w:hAnsi="Arial"/>
                <w:sz w:val="14"/>
                <w:szCs w:val="14"/>
                <w:b w:val="1"/>
                <w:bCs w:val="1"/>
                <w:color w:val="FFFFFF"/>
              </w:rPr>
              <w:t>Number of Securities</w:t>
            </w:r>
          </w:p>
        </w:tc>
        <w:tc>
          <w:tcPr>
            <w:tcW w:w="22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 of Stock or</w:t>
            </w:r>
          </w:p>
        </w:tc>
        <w:tc>
          <w:tcPr>
            <w:tcW w:w="0" w:type="dxa"/>
            <w:vAlign w:val="bottom"/>
          </w:tcPr>
          <w:p>
            <w:pPr>
              <w:spacing w:after="0"/>
              <w:rPr>
                <w:sz w:val="1"/>
                <w:szCs w:val="1"/>
                <w:color w:val="auto"/>
              </w:rPr>
            </w:pPr>
          </w:p>
        </w:tc>
      </w:tr>
      <w:tr>
        <w:trPr>
          <w:trHeight w:val="81"/>
        </w:trPr>
        <w:tc>
          <w:tcPr>
            <w:tcW w:w="4140" w:type="dxa"/>
            <w:vAlign w:val="bottom"/>
            <w:tcBorders>
              <w:left w:val="single" w:sz="8" w:color="3C3C3C"/>
              <w:right w:val="single" w:sz="8" w:color="3C3C3C"/>
            </w:tcBorders>
            <w:shd w:val="clear" w:color="auto" w:fill="3C3C3C"/>
          </w:tcPr>
          <w:p>
            <w:pPr>
              <w:spacing w:after="0"/>
              <w:rPr>
                <w:sz w:val="7"/>
                <w:szCs w:val="7"/>
                <w:color w:val="auto"/>
              </w:rPr>
            </w:pPr>
          </w:p>
        </w:tc>
        <w:tc>
          <w:tcPr>
            <w:tcW w:w="2440" w:type="dxa"/>
            <w:vAlign w:val="bottom"/>
            <w:tcBorders>
              <w:right w:val="single" w:sz="8" w:color="3C3C3C"/>
            </w:tcBorders>
            <w:vMerge w:val="continue"/>
            <w:shd w:val="clear" w:color="auto" w:fill="3C3C3C"/>
          </w:tcPr>
          <w:p>
            <w:pPr>
              <w:spacing w:after="0"/>
              <w:rPr>
                <w:sz w:val="7"/>
                <w:szCs w:val="7"/>
                <w:color w:val="auto"/>
              </w:rPr>
            </w:pPr>
          </w:p>
        </w:tc>
        <w:tc>
          <w:tcPr>
            <w:tcW w:w="2460" w:type="dxa"/>
            <w:vAlign w:val="bottom"/>
            <w:tcBorders>
              <w:right w:val="single" w:sz="8" w:color="3C3C3C"/>
            </w:tcBorders>
            <w:vMerge w:val="restart"/>
            <w:shd w:val="clear" w:color="auto" w:fill="3C3C3C"/>
          </w:tcPr>
          <w:p>
            <w:pPr>
              <w:jc w:val="center"/>
              <w:ind w:right="203"/>
              <w:spacing w:after="0"/>
              <w:rPr>
                <w:sz w:val="20"/>
                <w:szCs w:val="20"/>
                <w:color w:val="auto"/>
              </w:rPr>
            </w:pPr>
            <w:r>
              <w:rPr>
                <w:rFonts w:ascii="Arial" w:cs="Arial" w:eastAsia="Arial" w:hAnsi="Arial"/>
                <w:sz w:val="14"/>
                <w:szCs w:val="14"/>
                <w:b w:val="1"/>
                <w:bCs w:val="1"/>
                <w:color w:val="FFFFFF"/>
              </w:rPr>
              <w:t>Underlying Unexercised</w:t>
            </w:r>
          </w:p>
        </w:tc>
        <w:tc>
          <w:tcPr>
            <w:tcW w:w="222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14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Name</w:t>
            </w:r>
          </w:p>
        </w:tc>
        <w:tc>
          <w:tcPr>
            <w:tcW w:w="2440" w:type="dxa"/>
            <w:vAlign w:val="bottom"/>
            <w:tcBorders>
              <w:right w:val="single" w:sz="8" w:color="3C3C3C"/>
            </w:tcBorders>
            <w:vMerge w:val="restart"/>
            <w:shd w:val="clear" w:color="auto" w:fill="3C3C3C"/>
          </w:tcPr>
          <w:p>
            <w:pPr>
              <w:jc w:val="right"/>
              <w:ind w:right="42"/>
              <w:spacing w:after="0"/>
              <w:rPr>
                <w:sz w:val="20"/>
                <w:szCs w:val="20"/>
                <w:color w:val="auto"/>
              </w:rPr>
            </w:pPr>
            <w:r>
              <w:rPr>
                <w:rFonts w:ascii="Arial" w:cs="Arial" w:eastAsia="Arial" w:hAnsi="Arial"/>
                <w:sz w:val="14"/>
                <w:szCs w:val="14"/>
                <w:b w:val="1"/>
                <w:bCs w:val="1"/>
                <w:color w:val="FFFFFF"/>
              </w:rPr>
              <w:t>Unexercised Options Exercisable</w:t>
            </w:r>
          </w:p>
        </w:tc>
        <w:tc>
          <w:tcPr>
            <w:tcW w:w="2460" w:type="dxa"/>
            <w:vAlign w:val="bottom"/>
            <w:tcBorders>
              <w:right w:val="single" w:sz="8" w:color="3C3C3C"/>
            </w:tcBorders>
            <w:vMerge w:val="continue"/>
            <w:shd w:val="clear" w:color="auto" w:fill="3C3C3C"/>
          </w:tcPr>
          <w:p>
            <w:pPr>
              <w:spacing w:after="0"/>
              <w:rPr>
                <w:sz w:val="8"/>
                <w:szCs w:val="8"/>
                <w:color w:val="auto"/>
              </w:rPr>
            </w:pPr>
          </w:p>
        </w:tc>
        <w:tc>
          <w:tcPr>
            <w:tcW w:w="22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Units That Have Not Vested</w:t>
            </w:r>
          </w:p>
        </w:tc>
        <w:tc>
          <w:tcPr>
            <w:tcW w:w="0" w:type="dxa"/>
            <w:vAlign w:val="bottom"/>
          </w:tcPr>
          <w:p>
            <w:pPr>
              <w:spacing w:after="0"/>
              <w:rPr>
                <w:sz w:val="1"/>
                <w:szCs w:val="1"/>
                <w:color w:val="auto"/>
              </w:rPr>
            </w:pPr>
          </w:p>
        </w:tc>
      </w:tr>
      <w:tr>
        <w:trPr>
          <w:trHeight w:val="81"/>
        </w:trPr>
        <w:tc>
          <w:tcPr>
            <w:tcW w:w="4140" w:type="dxa"/>
            <w:vAlign w:val="bottom"/>
            <w:tcBorders>
              <w:left w:val="single" w:sz="8" w:color="3C3C3C"/>
              <w:right w:val="single" w:sz="8" w:color="3C3C3C"/>
            </w:tcBorders>
            <w:vMerge w:val="continue"/>
            <w:shd w:val="clear" w:color="auto" w:fill="3C3C3C"/>
          </w:tcPr>
          <w:p>
            <w:pPr>
              <w:spacing w:after="0"/>
              <w:rPr>
                <w:sz w:val="7"/>
                <w:szCs w:val="7"/>
                <w:color w:val="auto"/>
              </w:rPr>
            </w:pPr>
          </w:p>
        </w:tc>
        <w:tc>
          <w:tcPr>
            <w:tcW w:w="2440" w:type="dxa"/>
            <w:vAlign w:val="bottom"/>
            <w:tcBorders>
              <w:right w:val="single" w:sz="8" w:color="3C3C3C"/>
            </w:tcBorders>
            <w:vMerge w:val="continue"/>
            <w:shd w:val="clear" w:color="auto" w:fill="3C3C3C"/>
          </w:tcPr>
          <w:p>
            <w:pPr>
              <w:spacing w:after="0"/>
              <w:rPr>
                <w:sz w:val="7"/>
                <w:szCs w:val="7"/>
                <w:color w:val="auto"/>
              </w:rPr>
            </w:pPr>
          </w:p>
        </w:tc>
        <w:tc>
          <w:tcPr>
            <w:tcW w:w="2460" w:type="dxa"/>
            <w:vAlign w:val="bottom"/>
            <w:tcBorders>
              <w:right w:val="single" w:sz="8" w:color="3C3C3C"/>
            </w:tcBorders>
            <w:vMerge w:val="restart"/>
            <w:shd w:val="clear" w:color="auto" w:fill="3C3C3C"/>
          </w:tcPr>
          <w:p>
            <w:pPr>
              <w:jc w:val="center"/>
              <w:ind w:right="203"/>
              <w:spacing w:after="0"/>
              <w:rPr>
                <w:sz w:val="20"/>
                <w:szCs w:val="20"/>
                <w:color w:val="auto"/>
              </w:rPr>
            </w:pPr>
            <w:r>
              <w:rPr>
                <w:rFonts w:ascii="Arial" w:cs="Arial" w:eastAsia="Arial" w:hAnsi="Arial"/>
                <w:sz w:val="14"/>
                <w:szCs w:val="14"/>
                <w:b w:val="1"/>
                <w:bCs w:val="1"/>
                <w:color w:val="FFFFFF"/>
              </w:rPr>
              <w:t>Options Not Exercisable</w:t>
            </w:r>
          </w:p>
        </w:tc>
        <w:tc>
          <w:tcPr>
            <w:tcW w:w="222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140" w:type="dxa"/>
            <w:vAlign w:val="bottom"/>
            <w:tcBorders>
              <w:left w:val="single" w:sz="8" w:color="3C3C3C"/>
              <w:right w:val="single" w:sz="8" w:color="3C3C3C"/>
            </w:tcBorders>
            <w:shd w:val="clear" w:color="auto" w:fill="3C3C3C"/>
          </w:tcPr>
          <w:p>
            <w:pPr>
              <w:spacing w:after="0"/>
              <w:rPr>
                <w:sz w:val="7"/>
                <w:szCs w:val="7"/>
                <w:color w:val="auto"/>
              </w:rPr>
            </w:pPr>
          </w:p>
        </w:tc>
        <w:tc>
          <w:tcPr>
            <w:tcW w:w="24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460" w:type="dxa"/>
            <w:vAlign w:val="bottom"/>
            <w:tcBorders>
              <w:right w:val="single" w:sz="8" w:color="3C3C3C"/>
            </w:tcBorders>
            <w:vMerge w:val="continue"/>
            <w:shd w:val="clear" w:color="auto" w:fill="3C3C3C"/>
          </w:tcPr>
          <w:p>
            <w:pPr>
              <w:spacing w:after="0"/>
              <w:rPr>
                <w:sz w:val="7"/>
                <w:szCs w:val="7"/>
                <w:color w:val="auto"/>
              </w:rPr>
            </w:pPr>
          </w:p>
        </w:tc>
        <w:tc>
          <w:tcPr>
            <w:tcW w:w="22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15"/>
        </w:trPr>
        <w:tc>
          <w:tcPr>
            <w:tcW w:w="4140" w:type="dxa"/>
            <w:vAlign w:val="bottom"/>
            <w:tcBorders>
              <w:left w:val="single" w:sz="8" w:color="3C3C3C"/>
              <w:right w:val="single" w:sz="8" w:color="3C3C3C"/>
            </w:tcBorders>
            <w:shd w:val="clear" w:color="auto" w:fill="3C3C3C"/>
          </w:tcPr>
          <w:p>
            <w:pPr>
              <w:spacing w:after="0"/>
              <w:rPr>
                <w:sz w:val="10"/>
                <w:szCs w:val="10"/>
                <w:color w:val="auto"/>
              </w:rPr>
            </w:pPr>
          </w:p>
        </w:tc>
        <w:tc>
          <w:tcPr>
            <w:tcW w:w="2440" w:type="dxa"/>
            <w:vAlign w:val="bottom"/>
            <w:tcBorders>
              <w:right w:val="single" w:sz="8" w:color="3C3C3C"/>
            </w:tcBorders>
            <w:vMerge w:val="continue"/>
            <w:shd w:val="clear" w:color="auto" w:fill="3C3C3C"/>
          </w:tcPr>
          <w:p>
            <w:pPr>
              <w:spacing w:after="0"/>
              <w:rPr>
                <w:sz w:val="10"/>
                <w:szCs w:val="10"/>
                <w:color w:val="auto"/>
              </w:rPr>
            </w:pPr>
          </w:p>
        </w:tc>
        <w:tc>
          <w:tcPr>
            <w:tcW w:w="2460" w:type="dxa"/>
            <w:vAlign w:val="bottom"/>
            <w:tcBorders>
              <w:right w:val="single" w:sz="8" w:color="3C3C3C"/>
            </w:tcBorders>
            <w:vMerge w:val="restart"/>
            <w:shd w:val="clear" w:color="auto" w:fill="3C3C3C"/>
          </w:tcPr>
          <w:p>
            <w:pPr>
              <w:jc w:val="right"/>
              <w:ind w:right="1203"/>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right w:val="single" w:sz="8" w:color="3C3C3C"/>
            </w:tcBorders>
            <w:vMerge w:val="continue"/>
            <w:shd w:val="clear" w:color="auto" w:fill="3C3C3C"/>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140" w:type="dxa"/>
            <w:vAlign w:val="bottom"/>
            <w:tcBorders>
              <w:left w:val="single" w:sz="8" w:color="3C3C3C"/>
              <w:right w:val="single" w:sz="8" w:color="3C3C3C"/>
            </w:tcBorders>
            <w:shd w:val="clear" w:color="auto" w:fill="3C3C3C"/>
          </w:tcPr>
          <w:p>
            <w:pPr>
              <w:spacing w:after="0"/>
              <w:rPr>
                <w:sz w:val="8"/>
                <w:szCs w:val="8"/>
                <w:color w:val="auto"/>
              </w:rPr>
            </w:pPr>
          </w:p>
        </w:tc>
        <w:tc>
          <w:tcPr>
            <w:tcW w:w="2440" w:type="dxa"/>
            <w:vAlign w:val="bottom"/>
            <w:tcBorders>
              <w:right w:val="single" w:sz="8" w:color="3C3C3C"/>
            </w:tcBorders>
            <w:shd w:val="clear" w:color="auto" w:fill="3C3C3C"/>
          </w:tcPr>
          <w:p>
            <w:pPr>
              <w:spacing w:after="0"/>
              <w:rPr>
                <w:sz w:val="8"/>
                <w:szCs w:val="8"/>
                <w:color w:val="auto"/>
              </w:rPr>
            </w:pPr>
          </w:p>
        </w:tc>
        <w:tc>
          <w:tcPr>
            <w:tcW w:w="2460" w:type="dxa"/>
            <w:vAlign w:val="bottom"/>
            <w:tcBorders>
              <w:right w:val="single" w:sz="8" w:color="3C3C3C"/>
            </w:tcBorders>
            <w:vMerge w:val="continue"/>
            <w:shd w:val="clear" w:color="auto" w:fill="3C3C3C"/>
          </w:tcPr>
          <w:p>
            <w:pPr>
              <w:spacing w:after="0"/>
              <w:rPr>
                <w:sz w:val="8"/>
                <w:szCs w:val="8"/>
                <w:color w:val="auto"/>
              </w:rPr>
            </w:pPr>
          </w:p>
        </w:tc>
        <w:tc>
          <w:tcPr>
            <w:tcW w:w="2220" w:type="dxa"/>
            <w:vAlign w:val="bottom"/>
            <w:tcBorders>
              <w:right w:val="single" w:sz="8" w:color="3C3C3C"/>
            </w:tcBorders>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1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Steven J. Gomo</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60" w:type="dxa"/>
            <w:vAlign w:val="bottom"/>
            <w:tcBorders>
              <w:right w:val="single" w:sz="8" w:color="929292"/>
            </w:tcBorders>
            <w:shd w:val="clear" w:color="auto" w:fill="FAF6EF"/>
          </w:tcPr>
          <w:p>
            <w:pPr>
              <w:jc w:val="right"/>
              <w:ind w:right="1203"/>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1,169</w:t>
            </w:r>
          </w:p>
        </w:tc>
        <w:tc>
          <w:tcPr>
            <w:tcW w:w="0" w:type="dxa"/>
            <w:vAlign w:val="bottom"/>
          </w:tcPr>
          <w:p>
            <w:pPr>
              <w:spacing w:after="0"/>
              <w:rPr>
                <w:sz w:val="1"/>
                <w:szCs w:val="1"/>
                <w:color w:val="auto"/>
              </w:rPr>
            </w:pPr>
          </w:p>
        </w:tc>
      </w:tr>
      <w:tr>
        <w:trPr>
          <w:trHeight w:val="239"/>
        </w:trPr>
        <w:tc>
          <w:tcPr>
            <w:tcW w:w="41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Benjamin Kortlang</w:t>
            </w:r>
          </w:p>
        </w:tc>
        <w:tc>
          <w:tcPr>
            <w:tcW w:w="24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2,475</w:t>
            </w:r>
          </w:p>
        </w:tc>
        <w:tc>
          <w:tcPr>
            <w:tcW w:w="2460" w:type="dxa"/>
            <w:vAlign w:val="bottom"/>
            <w:tcBorders>
              <w:right w:val="single" w:sz="8" w:color="929292"/>
            </w:tcBorders>
          </w:tcPr>
          <w:p>
            <w:pPr>
              <w:jc w:val="right"/>
              <w:ind w:right="1203"/>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1,083</w:t>
            </w:r>
          </w:p>
        </w:tc>
        <w:tc>
          <w:tcPr>
            <w:tcW w:w="0" w:type="dxa"/>
            <w:vAlign w:val="bottom"/>
          </w:tcPr>
          <w:p>
            <w:pPr>
              <w:spacing w:after="0"/>
              <w:rPr>
                <w:sz w:val="1"/>
                <w:szCs w:val="1"/>
                <w:color w:val="auto"/>
              </w:rPr>
            </w:pPr>
          </w:p>
        </w:tc>
      </w:tr>
      <w:tr>
        <w:trPr>
          <w:trHeight w:val="247"/>
        </w:trPr>
        <w:tc>
          <w:tcPr>
            <w:tcW w:w="41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Richard Mora</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60" w:type="dxa"/>
            <w:vAlign w:val="bottom"/>
            <w:tcBorders>
              <w:right w:val="single" w:sz="8" w:color="929292"/>
            </w:tcBorders>
            <w:shd w:val="clear" w:color="auto" w:fill="FAF6EF"/>
          </w:tcPr>
          <w:p>
            <w:pPr>
              <w:jc w:val="right"/>
              <w:ind w:right="1203"/>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1,083</w:t>
            </w:r>
          </w:p>
        </w:tc>
        <w:tc>
          <w:tcPr>
            <w:tcW w:w="0" w:type="dxa"/>
            <w:vAlign w:val="bottom"/>
          </w:tcPr>
          <w:p>
            <w:pPr>
              <w:spacing w:after="0"/>
              <w:rPr>
                <w:sz w:val="1"/>
                <w:szCs w:val="1"/>
                <w:color w:val="auto"/>
              </w:rPr>
            </w:pPr>
          </w:p>
        </w:tc>
      </w:tr>
      <w:tr>
        <w:trPr>
          <w:trHeight w:val="239"/>
        </w:trPr>
        <w:tc>
          <w:tcPr>
            <w:tcW w:w="41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Thurman John Rodgers</w:t>
            </w:r>
          </w:p>
        </w:tc>
        <w:tc>
          <w:tcPr>
            <w:tcW w:w="24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2460" w:type="dxa"/>
            <w:vAlign w:val="bottom"/>
            <w:tcBorders>
              <w:right w:val="single" w:sz="8" w:color="929292"/>
            </w:tcBorders>
          </w:tcPr>
          <w:p>
            <w:pPr>
              <w:jc w:val="right"/>
              <w:ind w:right="1203"/>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1,083</w:t>
            </w:r>
          </w:p>
        </w:tc>
        <w:tc>
          <w:tcPr>
            <w:tcW w:w="0" w:type="dxa"/>
            <w:vAlign w:val="bottom"/>
          </w:tcPr>
          <w:p>
            <w:pPr>
              <w:spacing w:after="0"/>
              <w:rPr>
                <w:sz w:val="1"/>
                <w:szCs w:val="1"/>
                <w:color w:val="auto"/>
              </w:rPr>
            </w:pPr>
          </w:p>
        </w:tc>
      </w:tr>
      <w:tr>
        <w:trPr>
          <w:trHeight w:val="247"/>
        </w:trPr>
        <w:tc>
          <w:tcPr>
            <w:tcW w:w="41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Jamie Haenggi</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60" w:type="dxa"/>
            <w:vAlign w:val="bottom"/>
            <w:tcBorders>
              <w:right w:val="single" w:sz="8" w:color="929292"/>
            </w:tcBorders>
            <w:shd w:val="clear" w:color="auto" w:fill="FAF6EF"/>
          </w:tcPr>
          <w:p>
            <w:pPr>
              <w:jc w:val="right"/>
              <w:ind w:right="1203"/>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1,083</w:t>
            </w:r>
          </w:p>
        </w:tc>
        <w:tc>
          <w:tcPr>
            <w:tcW w:w="0" w:type="dxa"/>
            <w:vAlign w:val="bottom"/>
          </w:tcPr>
          <w:p>
            <w:pPr>
              <w:spacing w:after="0"/>
              <w:rPr>
                <w:sz w:val="1"/>
                <w:szCs w:val="1"/>
                <w:color w:val="auto"/>
              </w:rPr>
            </w:pPr>
          </w:p>
        </w:tc>
      </w:tr>
      <w:tr>
        <w:trPr>
          <w:trHeight w:val="243"/>
        </w:trPr>
        <w:tc>
          <w:tcPr>
            <w:tcW w:w="41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Joseph Malchow</w:t>
            </w:r>
          </w:p>
        </w:tc>
        <w:tc>
          <w:tcPr>
            <w:tcW w:w="24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2460" w:type="dxa"/>
            <w:vAlign w:val="bottom"/>
            <w:tcBorders>
              <w:right w:val="single" w:sz="8" w:color="929292"/>
            </w:tcBorders>
          </w:tcPr>
          <w:p>
            <w:pPr>
              <w:jc w:val="right"/>
              <w:ind w:right="1203"/>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1,083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color w:val="auto"/>
        </w:rPr>
        <w:t>Compensation Committee Interlocks and Insider Participation</w:t>
      </w:r>
    </w:p>
    <w:p>
      <w:pPr>
        <w:spacing w:after="0" w:line="26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Messrs. Rodgers and Mora served on the Compensation Committee for the entire fiscal year ended December 31, 2024. None of the members of the Compensation Committee have, at any time, been one of our officers or employees. None of our executive officers serve, or in the past year have served, as a member of the board of directors or compensation committee of any entity that has one or more executive officers who serve on the Board or the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Ownership Guidelines</w:t>
      </w:r>
    </w:p>
    <w:p>
      <w:pPr>
        <w:spacing w:after="0" w:line="26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As part of our overall corporate governance policies, and to align the interests of our non-employee directors with the interests of our stockholders, the Board believes that our non-employee directors should have a significant financial stake in Enphase. Accordingly, the Board believes that each non-employee director should own shares of our common stock with a value equal to at least five times the current cash annual retainer for Board service (excluding additional retainers for committee or chair service). As of March 2025, this guideline is equivalent to $250,000 based on a $50,000 annual retainer. Non-employee directors should achieve this ownership guideline by the end of the calendar year that is three years after the later of (1) the October 22, 2022 effective date of the Stock Ownership Guidelines or (2) the date the individual becomes a non-employee director.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each of our non-employee directors had achieved his or her required ownership level.</w:t>
      </w:r>
    </w:p>
    <w:p>
      <w:pPr>
        <w:spacing w:after="0" w:line="19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For additional details on our Stock Ownership Guidelines, and how they relate to our officers, please see the section entitled “Compensation Discussion and Analysis - Other Features of Our Executive Compensation Program” below.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9" w:name="page30"/>
    <w:bookmarkEnd w:id="29"/>
    <w:p>
      <w:pPr>
        <w:spacing w:after="0"/>
        <w:rPr>
          <w:sz w:val="20"/>
          <w:szCs w:val="20"/>
          <w:color w:val="auto"/>
        </w:rPr>
      </w:pPr>
      <w:r>
        <w:rPr>
          <w:rFonts w:ascii="Arial" w:cs="Arial" w:eastAsia="Arial" w:hAnsi="Arial"/>
          <w:sz w:val="43"/>
          <w:szCs w:val="43"/>
          <w:b w:val="1"/>
          <w:bCs w:val="1"/>
          <w:color w:val="auto"/>
        </w:rPr>
        <w:t>Management</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certain information concerning our executive officers as of March 20, 2025:</w:t>
      </w:r>
    </w:p>
    <w:p>
      <w:pPr>
        <w:spacing w:after="0" w:line="232"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1071245" cy="1371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71245" cy="1371600"/>
                    </a:xfrm>
                    <a:prstGeom prst="rect">
                      <a:avLst/>
                    </a:prstGeom>
                    <a:noFill/>
                  </pic:spPr>
                </pic:pic>
              </a:graphicData>
            </a:graphic>
          </wp:anchor>
        </w:drawing>
      </w:r>
    </w:p>
    <w:p>
      <w:pPr>
        <w:spacing w:after="0" w:line="100"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114935</wp:posOffset>
            </wp:positionV>
            <wp:extent cx="57003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Please see page 11 of this Proxy Statement for Mr. Kothandaraman’s biography.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Mandy Yang</w:t>
      </w:r>
    </w:p>
    <w:p>
      <w:pPr>
        <w:spacing w:after="0" w:line="120"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7123430" cy="1371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377" w:lineRule="exact"/>
        <w:rPr>
          <w:sz w:val="20"/>
          <w:szCs w:val="20"/>
          <w:color w:val="auto"/>
        </w:rPr>
      </w:pPr>
    </w:p>
    <w:p>
      <w:pPr>
        <w:jc w:val="both"/>
        <w:ind w:left="2280"/>
        <w:spacing w:after="0" w:line="258" w:lineRule="auto"/>
        <w:rPr>
          <w:sz w:val="20"/>
          <w:szCs w:val="20"/>
          <w:color w:val="auto"/>
        </w:rPr>
      </w:pPr>
      <w:r>
        <w:rPr>
          <w:rFonts w:ascii="Arial" w:cs="Arial" w:eastAsia="Arial" w:hAnsi="Arial"/>
          <w:sz w:val="16"/>
          <w:szCs w:val="16"/>
          <w:color w:val="auto"/>
        </w:rPr>
        <w:t>Ms. Yang, 49, has served as our Vice President and Chief Accounting Officer from October 2018 until her promotion to our Vice President and CFO in February 2022. Ms. Yang was appointed Executive Vice President in January 2024. Ms. Yang has over 20 years of accounting, financial reporting, treasury, and tax experience. Previously, she was senior director and group controller at Tesla, Inc. from February 2017 to September 2018. Prior to that, she served in various positions at SunPower Corporation, including as Senior Director and Division Controller of the global distributed generation division, and concurrently as the Chief Accounting Officer and Corporate Controller of 8point3 Energy Partners. Before that, she served in a variety of senior finance positions at Spansion Inc. Earlier in her career, Ms. Yang was an internal auditor at SYNNEX Corporation and an auditor with Deloitte. Ms. Yang earned her bachelor of arts degree in international business from National Taiwan University and a master of business administration degree in finance and accounting from the University of Illinois at Urbana-Champaign. She is a Certified Public Accountant in California and a Chartered Financial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30" w:name="page31"/>
    <w:bookmarkEnd w:id="30"/>
    <w:p>
      <w:pPr>
        <w:spacing w:after="0"/>
        <w:rPr>
          <w:sz w:val="20"/>
          <w:szCs w:val="20"/>
          <w:color w:val="auto"/>
        </w:rPr>
      </w:pPr>
      <w:r>
        <w:rPr>
          <w:rFonts w:ascii="Arial" w:cs="Arial" w:eastAsia="Arial" w:hAnsi="Arial"/>
          <w:sz w:val="43"/>
          <w:szCs w:val="43"/>
          <w:b w:val="1"/>
          <w:bCs w:val="1"/>
          <w:color w:val="auto"/>
        </w:rPr>
        <w:t>Executive Compensation</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9"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This Compensation Discussion and Analysis provides an overview of our executive compensation philosophy, policies and objectives, how we arrived at specific compensation decisions, and the compensation paid in 2024 to the individuals who served as our principal executive officer, our principal financial officer and our other NEO. Because we only had three “executive officers” as defined in Exchange Act Rule 3b-7 during 2024, we have three NEOs.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2024, our NEOs were:</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6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Executive</w:t>
            </w:r>
          </w:p>
        </w:tc>
        <w:tc>
          <w:tcPr>
            <w:tcW w:w="7500" w:type="dxa"/>
            <w:vAlign w:val="bottom"/>
            <w:tcBorders>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Position</w:t>
            </w:r>
          </w:p>
        </w:tc>
      </w:tr>
      <w:tr>
        <w:trPr>
          <w:trHeight w:val="243"/>
        </w:trPr>
        <w:tc>
          <w:tcPr>
            <w:tcW w:w="3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75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President and CEO</w:t>
            </w:r>
          </w:p>
        </w:tc>
      </w:tr>
      <w:tr>
        <w:trPr>
          <w:trHeight w:val="239"/>
        </w:trPr>
        <w:tc>
          <w:tcPr>
            <w:tcW w:w="37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75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Executive Vice President and CFO</w:t>
            </w:r>
          </w:p>
        </w:tc>
      </w:tr>
      <w:tr>
        <w:trPr>
          <w:trHeight w:val="247"/>
        </w:trPr>
        <w:tc>
          <w:tcPr>
            <w:tcW w:w="3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75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Commercial Advisor and former Executive Vice President and CCO</w:t>
            </w:r>
          </w:p>
        </w:tc>
      </w:tr>
    </w:tbl>
    <w:p>
      <w:pPr>
        <w:spacing w:after="0" w:line="242"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color w:val="auto"/>
        </w:rPr>
        <w:t>Mr. Ranhoff served as our Executive Vice President and Chief Commercial Officer (“CCO”) until June 30, 2024, at which point he transitioned to part-time service as a Commercial Advisor, a non-executive role, effective July 1, 2024.</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4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are a global energy technology company. We deliver smart, easy-to-use solutions that manage solar generation, energy storage and communication on one single platform. Our intelligent microinverters work with virtually every solar panel made, and when paired with our smart technology, results in one of the industry’s best-performing clean energy systems. As of the end of 2024, we have cumulatively shipped approximately 80 million microinverters, and approximately 4.7 million Enphase residential and commercial systems have been deployed in more than 160 countries.</w:t>
      </w:r>
    </w:p>
    <w:p>
      <w:pPr>
        <w:spacing w:after="0" w:line="128"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The demand environment for our solar products experienced a broad-based slowdown beginning in the second quarter of 2023 in the United States, and in the third quarter of 2023 in Europe, which continued into 2024. This demand environment has negatively impacted several distributors and installers, resulting in reduced liquidity, bankruptcy and business closures, which has in turn affected our revenue and profitability, days sales outstanding and allowances for credit losses. The slower demand environment also resulted in elevated inventory with distributors and installers in late 2023 and the first half of 2024, and as a result we sold fewer microinverters to distributors and installers during the year ended December 31, 2024 compared to the same period in 2023 as we took steps to correct inventory levels in our sales channels.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2024 Performance</w:t>
      </w:r>
    </w:p>
    <w:p>
      <w:pPr>
        <w:spacing w:after="0" w:line="131"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Despite the demand slowdown in our industry, we maintained a strong balance sheet in 2024 and continued to generate strong free cash flow. Our GAAP profitability for 2024 was $102.7 million, as compared to $438.9 million for 2023. Our non-GAAP profitability for 2024 was $321.0 million, as compared to $613.2 million for 2023. We reported net revenues of $1,330.4 million for 2024, as compared to $2,290.8 million for 2023. Despite the lower revenue in 2024, we still generated $480.1 million in free cash flow in 2024. For the year ended December 31, 2024, we sold approximately 6.5 million microinverter units, as compared to approximately 15.5 million units in 2023; however, shipments of our IQ Batteries to customers increased to 521.0 Megawatt-hours (“MWh”) in 2024, as compared to 351.6 MWh shipped in 2023.</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714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6" w:lineRule="exact"/>
        <w:rPr>
          <w:sz w:val="20"/>
          <w:szCs w:val="20"/>
          <w:color w:val="auto"/>
        </w:rPr>
      </w:pPr>
    </w:p>
    <w:p>
      <w:pPr>
        <w:jc w:val="both"/>
        <w:ind w:right="20" w:firstLine="8"/>
        <w:spacing w:after="0" w:line="237" w:lineRule="auto"/>
        <w:tabs>
          <w:tab w:leader="none" w:pos="103"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7D7D7D"/>
        </w:rPr>
        <w:t>See Appendix A for the most comparable reconciliation of U.S. GAAP to non-GAAP financial measures. We use these non-GAAP financial measures to analyze our operating performance and future prospects, develop internal budgets and financial goals, and to facilitate period-to-period comparisons. We believe that these non-GAAP financial measures reflect an additional way of viewing aspects of our operations that, when viewed with its GAAP results, provide a more complete understanding of factors and trends affecting our business.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31" w:name="page32"/>
    <w:bookmarkEnd w:id="31"/>
    <w:p>
      <w:pPr>
        <w:jc w:val="both"/>
        <w:spacing w:after="0" w:line="339" w:lineRule="auto"/>
        <w:rPr>
          <w:sz w:val="20"/>
          <w:szCs w:val="20"/>
          <w:color w:val="auto"/>
        </w:rPr>
      </w:pPr>
      <w:r>
        <w:rPr>
          <w:rFonts w:ascii="Arial" w:cs="Arial" w:eastAsia="Arial" w:hAnsi="Arial"/>
          <w:sz w:val="16"/>
          <w:szCs w:val="16"/>
          <w:color w:val="auto"/>
        </w:rPr>
        <w:t>In addition, we completed the buyback of $391.4 million of our common stock as part of our authorized share repurchase program, and ended 2024 with $1.7 billion in net working capital, including cash, cash equivalents, restricted cash and marketable securities.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Executive Compensation Highlights</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2024, we continued to execute on our redesigned executive compensation program, meeting the commitments we made to our stockholders in our 2023 and 2024 proxy statements. Our executive compensation program reflect recognized best practices and principles that align the compensation of our NEOs with the long-term interests of our stockholders and are supported by market practices.</w:t>
      </w:r>
    </w:p>
    <w:p>
      <w:pPr>
        <w:spacing w:after="0" w:line="124"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In designing our compensation program, the Compensation Committee sought to balance retention and motivation objectives by incorporating a mix of performance-based vesting equity and time-based vesting equity, based on a balanced scorecard, which we believe when achieved will lead to our success over the long term. The important features of our executive compensation program for 2024 included the following:</w:t>
      </w:r>
    </w:p>
    <w:p>
      <w:pPr>
        <w:spacing w:after="0" w:line="117" w:lineRule="exact"/>
        <w:rPr>
          <w:sz w:val="20"/>
          <w:szCs w:val="20"/>
          <w:color w:val="auto"/>
        </w:rPr>
      </w:pPr>
    </w:p>
    <w:p>
      <w:pPr>
        <w:jc w:val="both"/>
        <w:ind w:left="340" w:hanging="170"/>
        <w:spacing w:after="0" w:line="310" w:lineRule="auto"/>
        <w:tabs>
          <w:tab w:leader="none" w:pos="317" w:val="left"/>
        </w:tabs>
        <w:numPr>
          <w:ilvl w:val="0"/>
          <w:numId w:val="25"/>
        </w:numPr>
        <w:rPr>
          <w:rFonts w:ascii="Arial" w:cs="Arial" w:eastAsia="Arial" w:hAnsi="Arial"/>
          <w:sz w:val="13"/>
          <w:szCs w:val="13"/>
          <w:color w:val="auto"/>
        </w:rPr>
      </w:pPr>
      <w:r>
        <w:rPr>
          <w:rFonts w:ascii="Arial" w:cs="Arial" w:eastAsia="Arial" w:hAnsi="Arial"/>
          <w:sz w:val="16"/>
          <w:szCs w:val="16"/>
          <w:b w:val="1"/>
          <w:bCs w:val="1"/>
          <w:color w:val="auto"/>
        </w:rPr>
        <w:t>A substantial portion of executive pay was tied to performance</w:t>
      </w:r>
      <w:r>
        <w:rPr>
          <w:rFonts w:ascii="Arial" w:cs="Arial" w:eastAsia="Arial" w:hAnsi="Arial"/>
          <w:sz w:val="16"/>
          <w:szCs w:val="16"/>
          <w:color w:val="auto"/>
        </w:rPr>
        <w:t>. We structure a significant portion of our NEOs’ compensation to be variable (at risk)</w:t>
      </w:r>
      <w:r>
        <w:rPr>
          <w:rFonts w:ascii="Arial" w:cs="Arial" w:eastAsia="Arial" w:hAnsi="Arial"/>
          <w:sz w:val="16"/>
          <w:szCs w:val="16"/>
          <w:b w:val="1"/>
          <w:bCs w:val="1"/>
          <w:color w:val="auto"/>
        </w:rPr>
        <w:t xml:space="preserve"> </w:t>
      </w:r>
      <w:r>
        <w:rPr>
          <w:rFonts w:ascii="Arial" w:cs="Arial" w:eastAsia="Arial" w:hAnsi="Arial"/>
          <w:sz w:val="16"/>
          <w:szCs w:val="16"/>
          <w:color w:val="auto"/>
        </w:rPr>
        <w:t>based upon the achievement of rigorous performance metrics and targets. For 2024, 69% of our CEO’s total target compensation and an average of 68% of our other NEOs’ total target compensation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79375</wp:posOffset>
            </wp:positionV>
            <wp:extent cx="5940425" cy="3223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4042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60"/>
        <w:spacing w:after="0"/>
        <w:rPr>
          <w:sz w:val="20"/>
          <w:szCs w:val="20"/>
          <w:color w:val="auto"/>
        </w:rPr>
      </w:pPr>
      <w:r>
        <w:rPr>
          <w:rFonts w:ascii="Wingdings" w:cs="Wingdings" w:eastAsia="Wingdings" w:hAnsi="Wingdings"/>
          <w:sz w:val="18"/>
          <w:szCs w:val="18"/>
          <w:b w:val="1"/>
          <w:bCs w:val="1"/>
          <w:color w:val="3B999E"/>
        </w:rPr>
        <w:t xml:space="preserve">n </w:t>
      </w:r>
      <w:r>
        <w:rPr>
          <w:rFonts w:ascii="Arial" w:cs="Arial" w:eastAsia="Arial" w:hAnsi="Arial"/>
          <w:sz w:val="16"/>
          <w:szCs w:val="16"/>
          <w:b w:val="1"/>
          <w:bCs w:val="1"/>
          <w:color w:val="000000"/>
        </w:rPr>
        <w:t>Base Salary</w:t>
      </w:r>
    </w:p>
    <w:p>
      <w:pPr>
        <w:ind w:left="3860"/>
        <w:spacing w:after="0" w:line="210" w:lineRule="auto"/>
        <w:rPr>
          <w:sz w:val="20"/>
          <w:szCs w:val="20"/>
          <w:color w:val="auto"/>
        </w:rPr>
      </w:pPr>
      <w:r>
        <w:rPr>
          <w:rFonts w:ascii="Wingdings" w:cs="Wingdings" w:eastAsia="Wingdings" w:hAnsi="Wingdings"/>
          <w:sz w:val="18"/>
          <w:szCs w:val="18"/>
          <w:b w:val="1"/>
          <w:bCs w:val="1"/>
          <w:color w:val="2C436F"/>
        </w:rPr>
        <w:t xml:space="preserve">n </w:t>
      </w:r>
      <w:r>
        <w:rPr>
          <w:rFonts w:ascii="Arial" w:cs="Arial" w:eastAsia="Arial" w:hAnsi="Arial"/>
          <w:sz w:val="16"/>
          <w:szCs w:val="16"/>
          <w:b w:val="1"/>
          <w:bCs w:val="1"/>
          <w:color w:val="000000"/>
        </w:rPr>
        <w:t>Time-Based RSUs</w:t>
      </w:r>
    </w:p>
    <w:p>
      <w:pPr>
        <w:spacing w:after="0" w:line="1" w:lineRule="exact"/>
        <w:rPr>
          <w:sz w:val="20"/>
          <w:szCs w:val="20"/>
          <w:color w:val="auto"/>
        </w:rPr>
      </w:pPr>
    </w:p>
    <w:p>
      <w:pPr>
        <w:ind w:left="4040" w:hanging="180"/>
        <w:spacing w:after="0"/>
        <w:tabs>
          <w:tab w:leader="none" w:pos="4040" w:val="left"/>
        </w:tabs>
        <w:numPr>
          <w:ilvl w:val="0"/>
          <w:numId w:val="26"/>
        </w:numPr>
        <w:rPr>
          <w:rFonts w:ascii="Wingdings" w:cs="Wingdings" w:eastAsia="Wingdings" w:hAnsi="Wingdings"/>
          <w:sz w:val="18"/>
          <w:szCs w:val="18"/>
          <w:b w:val="1"/>
          <w:bCs w:val="1"/>
          <w:color w:val="FFD02C"/>
        </w:rPr>
      </w:pPr>
      <w:r>
        <w:rPr>
          <w:rFonts w:ascii="Arial" w:cs="Arial" w:eastAsia="Arial" w:hAnsi="Arial"/>
          <w:sz w:val="16"/>
          <w:szCs w:val="16"/>
          <w:b w:val="1"/>
          <w:bCs w:val="1"/>
          <w:color w:val="auto"/>
        </w:rPr>
        <w:t>PSUs</w:t>
      </w:r>
    </w:p>
    <w:p>
      <w:pPr>
        <w:spacing w:after="0" w:line="4" w:lineRule="exact"/>
        <w:rPr>
          <w:rFonts w:ascii="Wingdings" w:cs="Wingdings" w:eastAsia="Wingdings" w:hAnsi="Wingdings"/>
          <w:sz w:val="18"/>
          <w:szCs w:val="18"/>
          <w:b w:val="1"/>
          <w:bCs w:val="1"/>
          <w:color w:val="FFD02C"/>
        </w:rPr>
      </w:pPr>
    </w:p>
    <w:p>
      <w:pPr>
        <w:ind w:left="4040" w:hanging="180"/>
        <w:spacing w:after="0"/>
        <w:tabs>
          <w:tab w:leader="none" w:pos="4040" w:val="left"/>
        </w:tabs>
        <w:numPr>
          <w:ilvl w:val="0"/>
          <w:numId w:val="26"/>
        </w:numPr>
        <w:rPr>
          <w:rFonts w:ascii="Wingdings" w:cs="Wingdings" w:eastAsia="Wingdings" w:hAnsi="Wingdings"/>
          <w:sz w:val="18"/>
          <w:szCs w:val="18"/>
          <w:b w:val="1"/>
          <w:bCs w:val="1"/>
          <w:color w:val="F45270"/>
        </w:rPr>
      </w:pPr>
      <w:r>
        <w:rPr>
          <w:rFonts w:ascii="Arial" w:cs="Arial" w:eastAsia="Arial" w:hAnsi="Arial"/>
          <w:sz w:val="16"/>
          <w:szCs w:val="16"/>
          <w:b w:val="1"/>
          <w:bCs w:val="1"/>
          <w:color w:val="auto"/>
        </w:rPr>
        <w:t>Quarterly Performance Cash Bonus</w:t>
      </w:r>
    </w:p>
    <w:p>
      <w:pPr>
        <w:spacing w:after="0" w:line="200" w:lineRule="exact"/>
        <w:rPr>
          <w:sz w:val="20"/>
          <w:szCs w:val="20"/>
          <w:color w:val="auto"/>
        </w:rPr>
      </w:pPr>
    </w:p>
    <w:p>
      <w:pPr>
        <w:spacing w:after="0" w:line="20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charts above reflect 2024 annual base salaries, 2024 quarterly performance cash bonuses (at risk), time-based RSUs and PSUs (at risk), as reported in the Summary Compensation Table. The charts do not include “All Other Compensation,” as reported in the Summary Compensation Table, because such amounts were less than 1% for each NEO’s aggregate compensation for 2024.</w:t>
      </w:r>
    </w:p>
    <w:p>
      <w:pPr>
        <w:spacing w:after="0" w:line="117" w:lineRule="exact"/>
        <w:rPr>
          <w:sz w:val="20"/>
          <w:szCs w:val="20"/>
          <w:color w:val="auto"/>
        </w:rPr>
      </w:pPr>
    </w:p>
    <w:p>
      <w:pPr>
        <w:jc w:val="both"/>
        <w:ind w:left="340" w:hanging="170"/>
        <w:spacing w:after="0" w:line="300" w:lineRule="auto"/>
        <w:tabs>
          <w:tab w:leader="none" w:pos="317" w:val="left"/>
        </w:tabs>
        <w:numPr>
          <w:ilvl w:val="0"/>
          <w:numId w:val="27"/>
        </w:numPr>
        <w:rPr>
          <w:rFonts w:ascii="Arial" w:cs="Arial" w:eastAsia="Arial" w:hAnsi="Arial"/>
          <w:sz w:val="13"/>
          <w:szCs w:val="13"/>
          <w:color w:val="auto"/>
        </w:rPr>
      </w:pPr>
      <w:r>
        <w:rPr>
          <w:rFonts w:ascii="Arial" w:cs="Arial" w:eastAsia="Arial" w:hAnsi="Arial"/>
          <w:sz w:val="16"/>
          <w:szCs w:val="16"/>
          <w:b w:val="1"/>
          <w:bCs w:val="1"/>
          <w:color w:val="auto"/>
        </w:rPr>
        <w:t>67% of the equity awards were performance-based awards, of which 34% of the aggregate value was tied to a three-year TSR PSU award and 33% to a one-year CEO SMART Goal PSU award</w:t>
      </w:r>
      <w:r>
        <w:rPr>
          <w:rFonts w:ascii="Arial" w:cs="Arial" w:eastAsia="Arial" w:hAnsi="Arial"/>
          <w:sz w:val="16"/>
          <w:szCs w:val="16"/>
          <w:color w:val="auto"/>
        </w:rPr>
        <w:t>. In 2024, we awarded equity in the form of time-based RSUs and PSUs under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Program (“PSP”) for 2024 (the “2024 PSP”), with each NEO receiving 67% of the aggregate target value of their equity awards in the form of PSUs and 33% of the aggregate target value in the form of time-based RSUs. 34% of the PSU opportunity was comprised of a three-year PSU award that vests based on our TSR relative to the TSR of other companies in the S&amp;P 500 measured over the three fiscal year period from the start of 2024 through the end of 2026 (“Relative TSR”). The balance of the PSU opportunity under the 2024 PSP consisted of a PSU award that vests based upon the level of achievement of our Annual CEO SMART Goals (as defined below). Equity awards were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2" w:name="page33"/>
    <w:bookmarkEnd w:id="32"/>
    <w:p>
      <w:pPr>
        <w:ind w:left="340" w:right="20"/>
        <w:spacing w:after="0" w:line="339" w:lineRule="auto"/>
        <w:rPr>
          <w:sz w:val="20"/>
          <w:szCs w:val="20"/>
          <w:color w:val="auto"/>
        </w:rPr>
      </w:pPr>
      <w:r>
        <w:rPr>
          <w:rFonts w:ascii="Arial" w:cs="Arial" w:eastAsia="Arial" w:hAnsi="Arial"/>
          <w:sz w:val="16"/>
          <w:szCs w:val="16"/>
          <w:color w:val="auto"/>
        </w:rPr>
        <w:t>an integral part of our executive compensation program in 2024, and along with the rigorous goals set in our annual cash bonus program, comprised the most substantial and primary “at-risk” portion of our NEOs’ compensation package.</w:t>
      </w:r>
    </w:p>
    <w:p>
      <w:pPr>
        <w:spacing w:after="0" w:line="101" w:lineRule="exact"/>
        <w:rPr>
          <w:sz w:val="20"/>
          <w:szCs w:val="20"/>
          <w:color w:val="auto"/>
        </w:rPr>
      </w:pPr>
    </w:p>
    <w:p>
      <w:pPr>
        <w:ind w:left="340" w:right="20" w:hanging="170"/>
        <w:spacing w:after="0" w:line="321" w:lineRule="auto"/>
        <w:tabs>
          <w:tab w:leader="none" w:pos="317" w:val="left"/>
        </w:tabs>
        <w:numPr>
          <w:ilvl w:val="0"/>
          <w:numId w:val="28"/>
        </w:numPr>
        <w:rPr>
          <w:rFonts w:ascii="Arial" w:cs="Arial" w:eastAsia="Arial" w:hAnsi="Arial"/>
          <w:sz w:val="13"/>
          <w:szCs w:val="13"/>
          <w:color w:val="auto"/>
        </w:rPr>
      </w:pPr>
      <w:r>
        <w:rPr>
          <w:rFonts w:ascii="Arial" w:cs="Arial" w:eastAsia="Arial" w:hAnsi="Arial"/>
          <w:sz w:val="16"/>
          <w:szCs w:val="16"/>
          <w:b w:val="1"/>
          <w:bCs w:val="1"/>
          <w:color w:val="auto"/>
        </w:rPr>
        <w:t xml:space="preserve">CEO total target compensation decreased. </w:t>
      </w:r>
      <w:r>
        <w:rPr>
          <w:rFonts w:ascii="Arial" w:cs="Arial" w:eastAsia="Arial" w:hAnsi="Arial"/>
          <w:sz w:val="16"/>
          <w:szCs w:val="16"/>
          <w:color w:val="auto"/>
        </w:rPr>
        <w:t>In 2024, our CEO’s total target compensation was approximately 35% less year-over-year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2023. Our CEO’s base salary and bonus target remained flat and the overall value of the equity awarded to him under the 2024 PSP was reduced.</w:t>
      </w:r>
    </w:p>
    <w:p>
      <w:pPr>
        <w:spacing w:after="0" w:line="115" w:lineRule="exact"/>
        <w:rPr>
          <w:rFonts w:ascii="Arial" w:cs="Arial" w:eastAsia="Arial" w:hAnsi="Arial"/>
          <w:sz w:val="13"/>
          <w:szCs w:val="13"/>
          <w:color w:val="auto"/>
        </w:rPr>
      </w:pPr>
    </w:p>
    <w:p>
      <w:pPr>
        <w:jc w:val="both"/>
        <w:ind w:left="340" w:right="20" w:hanging="170"/>
        <w:spacing w:after="0" w:line="304" w:lineRule="auto"/>
        <w:tabs>
          <w:tab w:leader="none" w:pos="317" w:val="left"/>
        </w:tabs>
        <w:numPr>
          <w:ilvl w:val="0"/>
          <w:numId w:val="28"/>
        </w:numPr>
        <w:rPr>
          <w:rFonts w:ascii="Arial" w:cs="Arial" w:eastAsia="Arial" w:hAnsi="Arial"/>
          <w:sz w:val="13"/>
          <w:szCs w:val="13"/>
          <w:b w:val="1"/>
          <w:bCs w:val="1"/>
          <w:color w:val="auto"/>
        </w:rPr>
      </w:pPr>
      <w:r>
        <w:rPr>
          <w:rFonts w:ascii="Arial" w:cs="Arial" w:eastAsia="Arial" w:hAnsi="Arial"/>
          <w:sz w:val="16"/>
          <w:szCs w:val="16"/>
          <w:b w:val="1"/>
          <w:bCs w:val="1"/>
          <w:color w:val="auto"/>
        </w:rPr>
        <w:t xml:space="preserve">Cash bonuses were dependent on meeting rigorous corporate objectives. </w:t>
      </w:r>
      <w:r>
        <w:rPr>
          <w:rFonts w:ascii="Arial" w:cs="Arial" w:eastAsia="Arial" w:hAnsi="Arial"/>
          <w:sz w:val="16"/>
          <w:szCs w:val="16"/>
          <w:color w:val="auto"/>
        </w:rPr>
        <w:t>Our quarterly performance-based bonus opportunities for all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NEOs were dependent upon the achievement of quarterly corporate objectives and the performance of NEOs in meeting their own individual objectives, which were set to be aggressive and achievable, but only with significant effort. In 2024, under our cash bonus program (the “2024 Bonus Program”), our CEO received aggregate payouts equal to 5% of his target annual payout, and our other NEOs received aggregate payouts ranging from 5% to 6% of their target annual payouts, as further detailed below under “2024 Executive Compensation Program - Short-Term Incentive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Pay-for-Performance Alignment</w:t>
      </w:r>
    </w:p>
    <w:p>
      <w:pPr>
        <w:spacing w:after="0" w:line="12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69% of our CEO’s total target compensation was at risk in 2024. As discussed below, in 2024, we fell short with respect to a number of our goals under our 2024 Bonus Program and our PSUs related to our Annual CEO SMART Goals (as defined below), which resulted in below target payouts for those elements of compensation. The PSU award for Relative TSR granted that was granted under the 2024 PSP is not eligible to vest, if at all, based on performance until early 2027.</w:t>
      </w:r>
    </w:p>
    <w:p>
      <w:pPr>
        <w:spacing w:after="0" w:line="12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CEO’s realizable pay at fiscal year end based on the target award was approximately 33% in 2024. In the table below, ‘target compensation’ reflects the values reported in the Summary Compensation Table below, while ‘realizable value’ reflects the actual amount earned under the 2024 Bonus Program, changes in the value of equity awards, and achievement of goals for PSUs, including the status of three-year Relative TSR PSUs as of the end of fiscal year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2024 CEO Compensation (Target v Realizable)</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58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Element of Compensation</w:t>
            </w:r>
          </w:p>
        </w:tc>
        <w:tc>
          <w:tcPr>
            <w:tcW w:w="2840" w:type="dxa"/>
            <w:vAlign w:val="bottom"/>
            <w:tcBorders>
              <w:right w:val="single" w:sz="8" w:color="3C3C3C"/>
            </w:tcBorders>
            <w:shd w:val="clear" w:color="auto" w:fill="3C3C3C"/>
          </w:tcPr>
          <w:p>
            <w:pPr>
              <w:ind w:left="680"/>
              <w:spacing w:after="0"/>
              <w:rPr>
                <w:sz w:val="20"/>
                <w:szCs w:val="20"/>
                <w:color w:val="auto"/>
              </w:rPr>
            </w:pPr>
            <w:r>
              <w:rPr>
                <w:rFonts w:ascii="Arial" w:cs="Arial" w:eastAsia="Arial" w:hAnsi="Arial"/>
                <w:sz w:val="14"/>
                <w:szCs w:val="14"/>
                <w:b w:val="1"/>
                <w:bCs w:val="1"/>
                <w:color w:val="FFFFFF"/>
              </w:rPr>
              <w:t>Target Compensation</w:t>
            </w:r>
          </w:p>
        </w:tc>
        <w:tc>
          <w:tcPr>
            <w:tcW w:w="2840" w:type="dxa"/>
            <w:vAlign w:val="bottom"/>
            <w:tcBorders>
              <w:right w:val="single" w:sz="8" w:color="3C3C3C"/>
            </w:tcBorders>
            <w:shd w:val="clear" w:color="auto" w:fill="3C3C3C"/>
          </w:tcPr>
          <w:p>
            <w:pPr>
              <w:ind w:left="840"/>
              <w:spacing w:after="0"/>
              <w:rPr>
                <w:sz w:val="20"/>
                <w:szCs w:val="20"/>
                <w:color w:val="auto"/>
              </w:rPr>
            </w:pPr>
            <w:r>
              <w:rPr>
                <w:rFonts w:ascii="Arial" w:cs="Arial" w:eastAsia="Arial" w:hAnsi="Arial"/>
                <w:sz w:val="14"/>
                <w:szCs w:val="14"/>
                <w:b w:val="1"/>
                <w:bCs w:val="1"/>
                <w:color w:val="FFFFFF"/>
              </w:rPr>
              <w:t>Realizable Value</w:t>
            </w:r>
          </w:p>
        </w:tc>
        <w:tc>
          <w:tcPr>
            <w:tcW w:w="0" w:type="dxa"/>
            <w:vAlign w:val="bottom"/>
          </w:tcPr>
          <w:p>
            <w:pPr>
              <w:spacing w:after="0"/>
              <w:rPr>
                <w:sz w:val="1"/>
                <w:szCs w:val="1"/>
                <w:color w:val="auto"/>
              </w:rPr>
            </w:pPr>
          </w:p>
        </w:tc>
      </w:tr>
      <w:tr>
        <w:trPr>
          <w:trHeight w:val="102"/>
        </w:trPr>
        <w:tc>
          <w:tcPr>
            <w:tcW w:w="558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28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8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5580" w:type="dxa"/>
            <w:vAlign w:val="bottom"/>
            <w:tcBorders>
              <w:left w:val="single" w:sz="8" w:color="3C3C3C"/>
              <w:right w:val="single" w:sz="8" w:color="3C3C3C"/>
            </w:tcBorders>
            <w:shd w:val="clear" w:color="auto" w:fill="3C3C3C"/>
          </w:tcPr>
          <w:p>
            <w:pPr>
              <w:spacing w:after="0"/>
              <w:rPr>
                <w:sz w:val="9"/>
                <w:szCs w:val="9"/>
                <w:color w:val="auto"/>
              </w:rPr>
            </w:pPr>
          </w:p>
        </w:tc>
        <w:tc>
          <w:tcPr>
            <w:tcW w:w="2840" w:type="dxa"/>
            <w:vAlign w:val="bottom"/>
            <w:tcBorders>
              <w:right w:val="single" w:sz="8" w:color="3C3C3C"/>
            </w:tcBorders>
            <w:vMerge w:val="continue"/>
            <w:shd w:val="clear" w:color="auto" w:fill="3C3C3C"/>
          </w:tcPr>
          <w:p>
            <w:pPr>
              <w:spacing w:after="0"/>
              <w:rPr>
                <w:sz w:val="9"/>
                <w:szCs w:val="9"/>
                <w:color w:val="auto"/>
              </w:rPr>
            </w:pPr>
          </w:p>
        </w:tc>
        <w:tc>
          <w:tcPr>
            <w:tcW w:w="2840" w:type="dxa"/>
            <w:vAlign w:val="bottom"/>
            <w:tcBorders>
              <w:right w:val="single" w:sz="8" w:color="3C3C3C"/>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580" w:type="dxa"/>
            <w:vAlign w:val="bottom"/>
            <w:tcBorders>
              <w:left w:val="single" w:sz="8" w:color="929292"/>
              <w:bottom w:val="single" w:sz="8" w:color="FAF6EF"/>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Total</w:t>
            </w:r>
          </w:p>
        </w:tc>
        <w:tc>
          <w:tcPr>
            <w:tcW w:w="2840" w:type="dxa"/>
            <w:vAlign w:val="bottom"/>
            <w:tcBorders>
              <w:bottom w:val="single" w:sz="8" w:color="FAF6EF"/>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9"/>
              </w:rPr>
              <w:t>11,922,000</w:t>
            </w:r>
          </w:p>
        </w:tc>
        <w:tc>
          <w:tcPr>
            <w:tcW w:w="2840" w:type="dxa"/>
            <w:vAlign w:val="bottom"/>
            <w:tcBorders>
              <w:bottom w:val="single" w:sz="8" w:color="FAF6EF"/>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3,872,503</w:t>
            </w:r>
          </w:p>
        </w:tc>
        <w:tc>
          <w:tcPr>
            <w:tcW w:w="0" w:type="dxa"/>
            <w:vAlign w:val="bottom"/>
          </w:tcPr>
          <w:p>
            <w:pPr>
              <w:spacing w:after="0"/>
              <w:rPr>
                <w:sz w:val="1"/>
                <w:szCs w:val="1"/>
                <w:color w:val="auto"/>
              </w:rPr>
            </w:pPr>
          </w:p>
        </w:tc>
      </w:tr>
      <w:tr>
        <w:trPr>
          <w:trHeight w:val="249"/>
        </w:trPr>
        <w:tc>
          <w:tcPr>
            <w:tcW w:w="5580" w:type="dxa"/>
            <w:vAlign w:val="bottom"/>
            <w:tcBorders>
              <w:left w:val="single" w:sz="8" w:color="929292"/>
              <w:right w:val="single" w:sz="8" w:color="929292"/>
            </w:tcBorders>
          </w:tcPr>
          <w:p>
            <w:pPr>
              <w:ind w:left="360"/>
              <w:spacing w:after="0"/>
              <w:rPr>
                <w:sz w:val="20"/>
                <w:szCs w:val="20"/>
                <w:color w:val="auto"/>
              </w:rPr>
            </w:pPr>
            <w:r>
              <w:rPr>
                <w:rFonts w:ascii="Arial" w:cs="Arial" w:eastAsia="Arial" w:hAnsi="Arial"/>
                <w:sz w:val="16"/>
                <w:szCs w:val="16"/>
                <w:b w:val="1"/>
                <w:bCs w:val="1"/>
                <w:color w:val="auto"/>
              </w:rPr>
              <w:t>2024 Bonus Program (cash bonus)</w:t>
            </w:r>
          </w:p>
        </w:tc>
        <w:tc>
          <w:tcPr>
            <w:tcW w:w="28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450,000</w:t>
            </w:r>
          </w:p>
        </w:tc>
        <w:tc>
          <w:tcPr>
            <w:tcW w:w="28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22,843</w:t>
            </w:r>
          </w:p>
        </w:tc>
        <w:tc>
          <w:tcPr>
            <w:tcW w:w="0" w:type="dxa"/>
            <w:vAlign w:val="bottom"/>
          </w:tcPr>
          <w:p>
            <w:pPr>
              <w:spacing w:after="0"/>
              <w:rPr>
                <w:sz w:val="1"/>
                <w:szCs w:val="1"/>
                <w:color w:val="auto"/>
              </w:rPr>
            </w:pPr>
          </w:p>
        </w:tc>
      </w:tr>
      <w:tr>
        <w:trPr>
          <w:trHeight w:val="35"/>
        </w:trPr>
        <w:tc>
          <w:tcPr>
            <w:tcW w:w="5580" w:type="dxa"/>
            <w:vAlign w:val="bottom"/>
            <w:tcBorders>
              <w:left w:val="single" w:sz="8" w:color="929292"/>
              <w:right w:val="single" w:sz="8" w:color="929292"/>
            </w:tcBorders>
          </w:tcPr>
          <w:p>
            <w:pPr>
              <w:spacing w:after="0"/>
              <w:rPr>
                <w:sz w:val="3"/>
                <w:szCs w:val="3"/>
                <w:color w:val="auto"/>
              </w:rPr>
            </w:pPr>
          </w:p>
        </w:tc>
        <w:tc>
          <w:tcPr>
            <w:tcW w:w="2840" w:type="dxa"/>
            <w:vAlign w:val="bottom"/>
            <w:tcBorders>
              <w:right w:val="single" w:sz="8" w:color="929292"/>
            </w:tcBorders>
          </w:tcPr>
          <w:p>
            <w:pPr>
              <w:spacing w:after="0"/>
              <w:rPr>
                <w:sz w:val="3"/>
                <w:szCs w:val="3"/>
                <w:color w:val="auto"/>
              </w:rPr>
            </w:pPr>
          </w:p>
        </w:tc>
        <w:tc>
          <w:tcPr>
            <w:tcW w:w="2840" w:type="dxa"/>
            <w:vAlign w:val="bottom"/>
            <w:tcBorders>
              <w:right w:val="single" w:sz="8" w:color="929292"/>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left w:val="single" w:sz="8" w:color="929292"/>
              <w:right w:val="single" w:sz="8" w:color="929292"/>
            </w:tcBorders>
            <w:vMerge w:val="restart"/>
            <w:shd w:val="clear" w:color="auto" w:fill="FAF6EF"/>
          </w:tcPr>
          <w:p>
            <w:pPr>
              <w:ind w:left="360"/>
              <w:spacing w:after="0"/>
              <w:rPr>
                <w:sz w:val="20"/>
                <w:szCs w:val="20"/>
                <w:color w:val="auto"/>
              </w:rPr>
            </w:pPr>
            <w:r>
              <w:rPr>
                <w:rFonts w:ascii="Arial" w:cs="Arial" w:eastAsia="Arial" w:hAnsi="Arial"/>
                <w:sz w:val="16"/>
                <w:szCs w:val="16"/>
                <w:b w:val="1"/>
                <w:bCs w:val="1"/>
                <w:color w:val="auto"/>
              </w:rPr>
              <w:t>Time-based RSUs</w:t>
            </w:r>
          </w:p>
        </w:tc>
        <w:tc>
          <w:tcPr>
            <w:tcW w:w="284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3,637,260</w:t>
            </w:r>
          </w:p>
        </w:tc>
        <w:tc>
          <w:tcPr>
            <w:tcW w:w="28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7"/>
              </w:rPr>
              <w:t>2,266,440</w:t>
            </w:r>
            <w:r>
              <w:rPr>
                <w:rFonts w:ascii="Arial" w:cs="Arial" w:eastAsia="Arial" w:hAnsi="Arial"/>
                <w:sz w:val="21"/>
                <w:szCs w:val="21"/>
                <w:color w:val="auto"/>
                <w:w w:val="97"/>
                <w:vertAlign w:val="superscript"/>
              </w:rPr>
              <w:t>(1)</w:t>
            </w:r>
          </w:p>
        </w:tc>
        <w:tc>
          <w:tcPr>
            <w:tcW w:w="0" w:type="dxa"/>
            <w:vAlign w:val="bottom"/>
          </w:tcPr>
          <w:p>
            <w:pPr>
              <w:spacing w:after="0"/>
              <w:rPr>
                <w:sz w:val="1"/>
                <w:szCs w:val="1"/>
                <w:color w:val="auto"/>
              </w:rPr>
            </w:pPr>
          </w:p>
        </w:tc>
      </w:tr>
      <w:tr>
        <w:trPr>
          <w:trHeight w:val="60"/>
        </w:trPr>
        <w:tc>
          <w:tcPr>
            <w:tcW w:w="5580" w:type="dxa"/>
            <w:vAlign w:val="bottom"/>
            <w:tcBorders>
              <w:left w:val="single" w:sz="8" w:color="929292"/>
              <w:right w:val="single" w:sz="8" w:color="929292"/>
            </w:tcBorders>
            <w:vMerge w:val="continue"/>
            <w:shd w:val="clear" w:color="auto" w:fill="FAF6EF"/>
          </w:tcPr>
          <w:p>
            <w:pPr>
              <w:spacing w:after="0"/>
              <w:rPr>
                <w:sz w:val="5"/>
                <w:szCs w:val="5"/>
                <w:color w:val="auto"/>
              </w:rPr>
            </w:pPr>
          </w:p>
        </w:tc>
        <w:tc>
          <w:tcPr>
            <w:tcW w:w="2840" w:type="dxa"/>
            <w:vAlign w:val="bottom"/>
            <w:tcBorders>
              <w:right w:val="single" w:sz="8" w:color="929292"/>
            </w:tcBorders>
            <w:vMerge w:val="continue"/>
            <w:shd w:val="clear" w:color="auto" w:fill="FAF6EF"/>
          </w:tcPr>
          <w:p>
            <w:pPr>
              <w:spacing w:after="0"/>
              <w:rPr>
                <w:sz w:val="5"/>
                <w:szCs w:val="5"/>
                <w:color w:val="auto"/>
              </w:rPr>
            </w:pPr>
          </w:p>
        </w:tc>
        <w:tc>
          <w:tcPr>
            <w:tcW w:w="2840" w:type="dxa"/>
            <w:vAlign w:val="bottom"/>
            <w:tcBorders>
              <w:right w:val="single" w:sz="8" w:color="929292"/>
            </w:tcBorders>
            <w:shd w:val="clear" w:color="auto" w:fill="FAF6E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5580" w:type="dxa"/>
            <w:vAlign w:val="bottom"/>
            <w:tcBorders>
              <w:left w:val="single" w:sz="8" w:color="929292"/>
              <w:right w:val="single" w:sz="8" w:color="929292"/>
            </w:tcBorders>
            <w:shd w:val="clear" w:color="auto" w:fill="FAF6EF"/>
          </w:tcPr>
          <w:p>
            <w:pPr>
              <w:spacing w:after="0"/>
              <w:rPr>
                <w:sz w:val="10"/>
                <w:szCs w:val="10"/>
                <w:color w:val="auto"/>
              </w:rPr>
            </w:pPr>
          </w:p>
        </w:tc>
        <w:tc>
          <w:tcPr>
            <w:tcW w:w="2840" w:type="dxa"/>
            <w:vAlign w:val="bottom"/>
            <w:tcBorders>
              <w:right w:val="single" w:sz="8" w:color="929292"/>
            </w:tcBorders>
            <w:shd w:val="clear" w:color="auto" w:fill="FAF6EF"/>
          </w:tcPr>
          <w:p>
            <w:pPr>
              <w:spacing w:after="0"/>
              <w:rPr>
                <w:sz w:val="10"/>
                <w:szCs w:val="10"/>
                <w:color w:val="auto"/>
              </w:rPr>
            </w:pPr>
          </w:p>
        </w:tc>
        <w:tc>
          <w:tcPr>
            <w:tcW w:w="2840" w:type="dxa"/>
            <w:vAlign w:val="bottom"/>
            <w:tcBorders>
              <w:right w:val="single" w:sz="8" w:color="929292"/>
            </w:tcBorders>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580" w:type="dxa"/>
            <w:vAlign w:val="bottom"/>
            <w:tcBorders>
              <w:left w:val="single" w:sz="8" w:color="929292"/>
              <w:right w:val="single" w:sz="8" w:color="929292"/>
            </w:tcBorders>
            <w:vMerge w:val="restart"/>
          </w:tcPr>
          <w:p>
            <w:pPr>
              <w:ind w:left="400"/>
              <w:spacing w:after="0"/>
              <w:rPr>
                <w:sz w:val="20"/>
                <w:szCs w:val="20"/>
                <w:color w:val="auto"/>
              </w:rPr>
            </w:pPr>
            <w:r>
              <w:rPr>
                <w:rFonts w:ascii="Arial" w:cs="Arial" w:eastAsia="Arial" w:hAnsi="Arial"/>
                <w:sz w:val="16"/>
                <w:szCs w:val="16"/>
                <w:b w:val="1"/>
                <w:bCs w:val="1"/>
                <w:color w:val="auto"/>
              </w:rPr>
              <w:t>CEO Goal PSUs (performance-based)</w:t>
            </w:r>
          </w:p>
        </w:tc>
        <w:tc>
          <w:tcPr>
            <w:tcW w:w="284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3,637,260</w:t>
            </w:r>
          </w:p>
        </w:tc>
        <w:tc>
          <w:tcPr>
            <w:tcW w:w="28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7"/>
              </w:rPr>
              <w:t>1,133,220</w:t>
            </w:r>
            <w:r>
              <w:rPr>
                <w:rFonts w:ascii="Arial" w:cs="Arial" w:eastAsia="Arial" w:hAnsi="Arial"/>
                <w:sz w:val="21"/>
                <w:szCs w:val="21"/>
                <w:color w:val="auto"/>
                <w:w w:val="97"/>
                <w:vertAlign w:val="superscript"/>
              </w:rPr>
              <w:t>(2)</w:t>
            </w:r>
          </w:p>
        </w:tc>
        <w:tc>
          <w:tcPr>
            <w:tcW w:w="0" w:type="dxa"/>
            <w:vAlign w:val="bottom"/>
          </w:tcPr>
          <w:p>
            <w:pPr>
              <w:spacing w:after="0"/>
              <w:rPr>
                <w:sz w:val="1"/>
                <w:szCs w:val="1"/>
                <w:color w:val="auto"/>
              </w:rPr>
            </w:pPr>
          </w:p>
        </w:tc>
      </w:tr>
      <w:tr>
        <w:trPr>
          <w:trHeight w:val="60"/>
        </w:trPr>
        <w:tc>
          <w:tcPr>
            <w:tcW w:w="5580" w:type="dxa"/>
            <w:vAlign w:val="bottom"/>
            <w:tcBorders>
              <w:left w:val="single" w:sz="8" w:color="929292"/>
              <w:right w:val="single" w:sz="8" w:color="929292"/>
            </w:tcBorders>
            <w:vMerge w:val="continue"/>
          </w:tcPr>
          <w:p>
            <w:pPr>
              <w:spacing w:after="0"/>
              <w:rPr>
                <w:sz w:val="5"/>
                <w:szCs w:val="5"/>
                <w:color w:val="auto"/>
              </w:rPr>
            </w:pPr>
          </w:p>
        </w:tc>
        <w:tc>
          <w:tcPr>
            <w:tcW w:w="2840" w:type="dxa"/>
            <w:vAlign w:val="bottom"/>
            <w:tcBorders>
              <w:right w:val="single" w:sz="8" w:color="929292"/>
            </w:tcBorders>
            <w:vMerge w:val="continue"/>
          </w:tcPr>
          <w:p>
            <w:pPr>
              <w:spacing w:after="0"/>
              <w:rPr>
                <w:sz w:val="5"/>
                <w:szCs w:val="5"/>
                <w:color w:val="auto"/>
              </w:rPr>
            </w:pPr>
          </w:p>
        </w:tc>
        <w:tc>
          <w:tcPr>
            <w:tcW w:w="2840" w:type="dxa"/>
            <w:vAlign w:val="bottom"/>
            <w:tcBorders>
              <w:right w:val="single" w:sz="8" w:color="929292"/>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580" w:type="dxa"/>
            <w:vAlign w:val="bottom"/>
            <w:tcBorders>
              <w:left w:val="single" w:sz="8" w:color="929292"/>
              <w:right w:val="single" w:sz="8" w:color="929292"/>
            </w:tcBorders>
          </w:tcPr>
          <w:p>
            <w:pPr>
              <w:spacing w:after="0"/>
              <w:rPr>
                <w:sz w:val="10"/>
                <w:szCs w:val="10"/>
                <w:color w:val="auto"/>
              </w:rPr>
            </w:pPr>
          </w:p>
        </w:tc>
        <w:tc>
          <w:tcPr>
            <w:tcW w:w="2840" w:type="dxa"/>
            <w:vAlign w:val="bottom"/>
            <w:tcBorders>
              <w:right w:val="single" w:sz="8" w:color="929292"/>
            </w:tcBorders>
          </w:tcPr>
          <w:p>
            <w:pPr>
              <w:spacing w:after="0"/>
              <w:rPr>
                <w:sz w:val="10"/>
                <w:szCs w:val="10"/>
                <w:color w:val="auto"/>
              </w:rPr>
            </w:pPr>
          </w:p>
        </w:tc>
        <w:tc>
          <w:tcPr>
            <w:tcW w:w="2840" w:type="dxa"/>
            <w:vAlign w:val="bottom"/>
            <w:tcBorders>
              <w:right w:val="single" w:sz="8" w:color="929292"/>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580" w:type="dxa"/>
            <w:vAlign w:val="bottom"/>
            <w:tcBorders>
              <w:left w:val="single" w:sz="8" w:color="929292"/>
              <w:right w:val="single" w:sz="8" w:color="929292"/>
            </w:tcBorders>
            <w:vMerge w:val="restart"/>
            <w:shd w:val="clear" w:color="auto" w:fill="FAF6EF"/>
          </w:tcPr>
          <w:p>
            <w:pPr>
              <w:ind w:left="360"/>
              <w:spacing w:after="0"/>
              <w:rPr>
                <w:sz w:val="20"/>
                <w:szCs w:val="20"/>
                <w:color w:val="auto"/>
              </w:rPr>
            </w:pPr>
            <w:r>
              <w:rPr>
                <w:rFonts w:ascii="Arial" w:cs="Arial" w:eastAsia="Arial" w:hAnsi="Arial"/>
                <w:sz w:val="16"/>
                <w:szCs w:val="16"/>
                <w:b w:val="1"/>
                <w:bCs w:val="1"/>
                <w:color w:val="auto"/>
              </w:rPr>
              <w:t>Three-year Relative TSR PSUs (performance based)</w:t>
            </w:r>
          </w:p>
        </w:tc>
        <w:tc>
          <w:tcPr>
            <w:tcW w:w="284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3,747,480</w:t>
            </w:r>
          </w:p>
        </w:tc>
        <w:tc>
          <w:tcPr>
            <w:tcW w:w="2840" w:type="dxa"/>
            <w:vAlign w:val="bottom"/>
            <w:tcBorders>
              <w:right w:val="single" w:sz="8" w:color="929292"/>
            </w:tcBorders>
            <w:shd w:val="clear" w:color="auto" w:fill="FAF6EF"/>
          </w:tcPr>
          <w:p>
            <w:pPr>
              <w:jc w:val="center"/>
              <w:spacing w:after="0" w:line="269" w:lineRule="exact"/>
              <w:rPr>
                <w:sz w:val="20"/>
                <w:szCs w:val="20"/>
                <w:color w:val="auto"/>
              </w:rPr>
            </w:pPr>
            <w:r>
              <w:rPr>
                <w:rFonts w:ascii="Arial" w:cs="Arial" w:eastAsia="Arial" w:hAnsi="Arial"/>
                <w:sz w:val="31"/>
                <w:szCs w:val="31"/>
                <w:color w:val="auto"/>
                <w:w w:val="92"/>
                <w:vertAlign w:val="subscript"/>
              </w:rPr>
              <w:t>0</w:t>
            </w:r>
            <w:r>
              <w:rPr>
                <w:rFonts w:ascii="Arial" w:cs="Arial" w:eastAsia="Arial" w:hAnsi="Arial"/>
                <w:sz w:val="10"/>
                <w:szCs w:val="10"/>
                <w:color w:val="auto"/>
                <w:w w:val="92"/>
              </w:rPr>
              <w:t>(3)</w:t>
            </w:r>
          </w:p>
        </w:tc>
        <w:tc>
          <w:tcPr>
            <w:tcW w:w="0" w:type="dxa"/>
            <w:vAlign w:val="bottom"/>
          </w:tcPr>
          <w:p>
            <w:pPr>
              <w:spacing w:after="0"/>
              <w:rPr>
                <w:sz w:val="1"/>
                <w:szCs w:val="1"/>
                <w:color w:val="auto"/>
              </w:rPr>
            </w:pPr>
          </w:p>
        </w:tc>
      </w:tr>
      <w:tr>
        <w:trPr>
          <w:trHeight w:val="60"/>
        </w:trPr>
        <w:tc>
          <w:tcPr>
            <w:tcW w:w="5580" w:type="dxa"/>
            <w:vAlign w:val="bottom"/>
            <w:tcBorders>
              <w:left w:val="single" w:sz="8" w:color="929292"/>
              <w:right w:val="single" w:sz="8" w:color="929292"/>
            </w:tcBorders>
            <w:vMerge w:val="continue"/>
            <w:shd w:val="clear" w:color="auto" w:fill="FAF6EF"/>
          </w:tcPr>
          <w:p>
            <w:pPr>
              <w:spacing w:after="0"/>
              <w:rPr>
                <w:sz w:val="5"/>
                <w:szCs w:val="5"/>
                <w:color w:val="auto"/>
              </w:rPr>
            </w:pPr>
          </w:p>
        </w:tc>
        <w:tc>
          <w:tcPr>
            <w:tcW w:w="2840" w:type="dxa"/>
            <w:vAlign w:val="bottom"/>
            <w:tcBorders>
              <w:right w:val="single" w:sz="8" w:color="929292"/>
            </w:tcBorders>
            <w:vMerge w:val="continue"/>
            <w:shd w:val="clear" w:color="auto" w:fill="FAF6EF"/>
          </w:tcPr>
          <w:p>
            <w:pPr>
              <w:spacing w:after="0"/>
              <w:rPr>
                <w:sz w:val="5"/>
                <w:szCs w:val="5"/>
                <w:color w:val="auto"/>
              </w:rPr>
            </w:pPr>
          </w:p>
        </w:tc>
        <w:tc>
          <w:tcPr>
            <w:tcW w:w="2840" w:type="dxa"/>
            <w:vAlign w:val="bottom"/>
            <w:tcBorders>
              <w:right w:val="single" w:sz="8" w:color="929292"/>
            </w:tcBorders>
            <w:shd w:val="clear" w:color="auto" w:fill="FAF6E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580" w:type="dxa"/>
            <w:vAlign w:val="bottom"/>
            <w:tcBorders>
              <w:left w:val="single" w:sz="8" w:color="929292"/>
              <w:right w:val="single" w:sz="8" w:color="929292"/>
            </w:tcBorders>
            <w:shd w:val="clear" w:color="auto" w:fill="FAF6EF"/>
          </w:tcPr>
          <w:p>
            <w:pPr>
              <w:spacing w:after="0"/>
              <w:rPr>
                <w:sz w:val="10"/>
                <w:szCs w:val="10"/>
                <w:color w:val="auto"/>
              </w:rPr>
            </w:pPr>
          </w:p>
        </w:tc>
        <w:tc>
          <w:tcPr>
            <w:tcW w:w="2840" w:type="dxa"/>
            <w:vAlign w:val="bottom"/>
            <w:tcBorders>
              <w:right w:val="single" w:sz="8" w:color="929292"/>
            </w:tcBorders>
            <w:shd w:val="clear" w:color="auto" w:fill="FAF6EF"/>
          </w:tcPr>
          <w:p>
            <w:pPr>
              <w:spacing w:after="0"/>
              <w:rPr>
                <w:sz w:val="10"/>
                <w:szCs w:val="10"/>
                <w:color w:val="auto"/>
              </w:rPr>
            </w:pPr>
          </w:p>
        </w:tc>
        <w:tc>
          <w:tcPr>
            <w:tcW w:w="2840" w:type="dxa"/>
            <w:vAlign w:val="bottom"/>
            <w:tcBorders>
              <w:right w:val="single" w:sz="8" w:color="929292"/>
            </w:tcBorders>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5580" w:type="dxa"/>
            <w:vAlign w:val="bottom"/>
            <w:tcBorders>
              <w:left w:val="single" w:sz="8" w:color="929292"/>
              <w:right w:val="single" w:sz="8" w:color="929292"/>
            </w:tcBorders>
          </w:tcPr>
          <w:p>
            <w:pPr>
              <w:ind w:left="360"/>
              <w:spacing w:after="0"/>
              <w:rPr>
                <w:sz w:val="20"/>
                <w:szCs w:val="20"/>
                <w:color w:val="auto"/>
              </w:rPr>
            </w:pPr>
            <w:r>
              <w:rPr>
                <w:rFonts w:ascii="Arial" w:cs="Arial" w:eastAsia="Arial" w:hAnsi="Arial"/>
                <w:sz w:val="16"/>
                <w:szCs w:val="16"/>
                <w:b w:val="1"/>
                <w:bCs w:val="1"/>
                <w:color w:val="auto"/>
              </w:rPr>
              <w:t>Base Salary</w:t>
            </w:r>
          </w:p>
        </w:tc>
        <w:tc>
          <w:tcPr>
            <w:tcW w:w="28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450,000</w:t>
            </w:r>
          </w:p>
        </w:tc>
        <w:tc>
          <w:tcPr>
            <w:tcW w:w="28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364"/>
        </w:trPr>
        <w:tc>
          <w:tcPr>
            <w:tcW w:w="5580" w:type="dxa"/>
            <w:vAlign w:val="bottom"/>
          </w:tcPr>
          <w:p>
            <w:pPr>
              <w:spacing w:after="0"/>
              <w:rPr>
                <w:sz w:val="20"/>
                <w:szCs w:val="20"/>
                <w:color w:val="auto"/>
              </w:rPr>
            </w:pPr>
            <w:r>
              <w:rPr>
                <w:rFonts w:ascii="Arial" w:cs="Arial" w:eastAsia="Arial" w:hAnsi="Arial"/>
                <w:sz w:val="22"/>
                <w:szCs w:val="22"/>
                <w:b w:val="1"/>
                <w:bCs w:val="1"/>
                <w:color w:val="auto"/>
              </w:rPr>
              <w:t>________</w:t>
            </w:r>
          </w:p>
        </w:tc>
        <w:tc>
          <w:tcPr>
            <w:tcW w:w="2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right="120" w:hanging="172"/>
        <w:spacing w:after="0" w:line="285" w:lineRule="auto"/>
        <w:tabs>
          <w:tab w:leader="none" w:pos="165" w:val="left"/>
        </w:tabs>
        <w:numPr>
          <w:ilvl w:val="0"/>
          <w:numId w:val="29"/>
        </w:numPr>
        <w:rPr>
          <w:rFonts w:ascii="Arial" w:cs="Arial" w:eastAsia="Arial" w:hAnsi="Arial"/>
          <w:sz w:val="14"/>
          <w:szCs w:val="14"/>
          <w:color w:val="7D7D7D"/>
        </w:rPr>
      </w:pPr>
      <w:r>
        <w:rPr>
          <w:rFonts w:ascii="Arial" w:cs="Arial" w:eastAsia="Arial" w:hAnsi="Arial"/>
          <w:sz w:val="14"/>
          <w:szCs w:val="14"/>
          <w:color w:val="7D7D7D"/>
        </w:rPr>
        <w:t>The dollar amount represents the market value of the shares underlying the RSUs based on the closing price of our common stock of $68.68 on December 31, 2024, the last trading day in 2024.</w:t>
      </w:r>
    </w:p>
    <w:p>
      <w:pPr>
        <w:spacing w:after="0" w:line="9" w:lineRule="exact"/>
        <w:rPr>
          <w:sz w:val="20"/>
          <w:szCs w:val="20"/>
          <w:color w:val="auto"/>
        </w:rPr>
      </w:pPr>
    </w:p>
    <w:p>
      <w:pPr>
        <w:jc w:val="both"/>
        <w:ind w:left="180" w:right="20" w:hanging="172"/>
        <w:spacing w:after="0" w:line="281" w:lineRule="auto"/>
        <w:tabs>
          <w:tab w:leader="none" w:pos="165" w:val="left"/>
        </w:tabs>
        <w:numPr>
          <w:ilvl w:val="0"/>
          <w:numId w:val="30"/>
        </w:numPr>
        <w:rPr>
          <w:rFonts w:ascii="Arial" w:cs="Arial" w:eastAsia="Arial" w:hAnsi="Arial"/>
          <w:sz w:val="14"/>
          <w:szCs w:val="14"/>
          <w:color w:val="7D7D7D"/>
        </w:rPr>
      </w:pPr>
      <w:r>
        <w:rPr>
          <w:rFonts w:ascii="Arial" w:cs="Arial" w:eastAsia="Arial" w:hAnsi="Arial"/>
          <w:sz w:val="14"/>
          <w:szCs w:val="14"/>
          <w:color w:val="7D7D7D"/>
        </w:rPr>
        <w:t>Based on the achievement of the performance criteria related to the performance of the Annual CEO SMART Goals (as defined below) during 2024, 50% of the these PSUs vested. The dollar amount represents the market value of the shares underlying these vested PSUs based on the closing price of our common stock of $68.68 on December 31, 2024, the last trading day in 2024.</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7D7D7D"/>
        </w:rPr>
        <w:t>3 Payout for the PSUs based on the Relative TSR performance target will be determined at the conclusion of the three-year performance period ending December 31, 2026.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assessment of the performance-based aspects of our 2024 executive compensation program is described in more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Advisory Vote on Executive Compensation Results</w:t>
      </w:r>
    </w:p>
    <w:p>
      <w:pPr>
        <w:spacing w:after="0" w:line="126"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At the 2024 Annual Meeting, we received support of approximately 74.7% of the votes cast on our say-on-pay advisory proposal. As a result, our 2023 say-on-pay advisory proposal passed. The Compensation Committee believes that this outcome affirms our stockholders’ support for the changes we made to our executive compensation program in 2023 and continued in our 2024 program.</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Stockholder Engagement in 2024 and Early 2025</w:t>
      </w:r>
    </w:p>
    <w:p>
      <w:pPr>
        <w:spacing w:after="0" w:line="12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Our Compensation Committee considers both the results of our annual say-on-pay vote and stockholder feedback gathered throughout the year. During the current engagement cycle, we ultimately spoke with five stockholders representing approximately 14% of our outstanding shares of common stock, while six stockholders representing approximately 24% of our outstanding shares of common stock declined our request for a meeting because they had no current concerns. We continue to make engagement efforts to obtain stockholder views on executive compensation, corporate governance and other matters, and to determine how best to respond to that feedback. These efforts in 2024 and early 2025 were led by our General Counsel and Corporate Secretary who provided updates to the Compensation Committee, the Nominating and Corporate Governance Committee, and the full Board. This feedback has shaped the executive compensation program and practices implemented by our Compensation Committee that led to meaningful changes in our fiscal 2023 equity compensation program that were continued with the program in 2024, including the introduction of a three-year Relative TSR award, extending the vesting of time- based RSUs from two years to three years, and enhancing our disclosure of the executive compensation program in the CD&amp;A.</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aims to achieve the following main objectives:</w:t>
      </w:r>
    </w:p>
    <w:p>
      <w:pPr>
        <w:spacing w:after="0" w:line="127" w:lineRule="exact"/>
        <w:rPr>
          <w:sz w:val="20"/>
          <w:szCs w:val="20"/>
          <w:color w:val="auto"/>
        </w:rPr>
      </w:pPr>
    </w:p>
    <w:p>
      <w:pPr>
        <w:ind w:left="300" w:hanging="130"/>
        <w:spacing w:after="0"/>
        <w:tabs>
          <w:tab w:leader="none" w:pos="300" w:val="left"/>
        </w:tabs>
        <w:numPr>
          <w:ilvl w:val="0"/>
          <w:numId w:val="31"/>
        </w:numPr>
        <w:rPr>
          <w:rFonts w:ascii="Arial" w:cs="Arial" w:eastAsia="Arial" w:hAnsi="Arial"/>
          <w:sz w:val="13"/>
          <w:szCs w:val="13"/>
          <w:color w:val="auto"/>
        </w:rPr>
      </w:pPr>
      <w:r>
        <w:rPr>
          <w:rFonts w:ascii="Arial" w:cs="Arial" w:eastAsia="Arial" w:hAnsi="Arial"/>
          <w:sz w:val="16"/>
          <w:szCs w:val="16"/>
          <w:color w:val="auto"/>
        </w:rPr>
        <w:t>attract, retain and reward highly qualified employees, including executives;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1"/>
        </w:numPr>
        <w:rPr>
          <w:rFonts w:ascii="Arial" w:cs="Arial" w:eastAsia="Arial" w:hAnsi="Arial"/>
          <w:sz w:val="13"/>
          <w:szCs w:val="13"/>
          <w:color w:val="auto"/>
        </w:rPr>
      </w:pPr>
      <w:r>
        <w:rPr>
          <w:rFonts w:ascii="Arial" w:cs="Arial" w:eastAsia="Arial" w:hAnsi="Arial"/>
          <w:sz w:val="16"/>
          <w:szCs w:val="16"/>
          <w:color w:val="auto"/>
        </w:rPr>
        <w:t>provide incentives that motivate and reward for the achievement of key performance goals that increase stockholder value over the long term;</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1"/>
        </w:numPr>
        <w:rPr>
          <w:rFonts w:ascii="Arial" w:cs="Arial" w:eastAsia="Arial" w:hAnsi="Arial"/>
          <w:sz w:val="13"/>
          <w:szCs w:val="13"/>
          <w:color w:val="auto"/>
        </w:rPr>
      </w:pPr>
      <w:r>
        <w:rPr>
          <w:rFonts w:ascii="Arial" w:cs="Arial" w:eastAsia="Arial" w:hAnsi="Arial"/>
          <w:sz w:val="16"/>
          <w:szCs w:val="16"/>
          <w:color w:val="auto"/>
        </w:rPr>
        <w:t>award performance for achieving targets based on a balanced scorecard;</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31"/>
        </w:numPr>
        <w:rPr>
          <w:rFonts w:ascii="Arial" w:cs="Arial" w:eastAsia="Arial" w:hAnsi="Arial"/>
          <w:sz w:val="13"/>
          <w:szCs w:val="13"/>
          <w:color w:val="auto"/>
        </w:rPr>
      </w:pPr>
      <w:r>
        <w:rPr>
          <w:rFonts w:ascii="Arial" w:cs="Arial" w:eastAsia="Arial" w:hAnsi="Arial"/>
          <w:sz w:val="16"/>
          <w:szCs w:val="16"/>
          <w:color w:val="auto"/>
        </w:rPr>
        <w:t>align our executives’ interests with those of our stockholders; and</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1"/>
        </w:numPr>
        <w:rPr>
          <w:rFonts w:ascii="Arial" w:cs="Arial" w:eastAsia="Arial" w:hAnsi="Arial"/>
          <w:sz w:val="13"/>
          <w:szCs w:val="13"/>
          <w:color w:val="auto"/>
        </w:rPr>
      </w:pPr>
      <w:r>
        <w:rPr>
          <w:rFonts w:ascii="Arial" w:cs="Arial" w:eastAsia="Arial" w:hAnsi="Arial"/>
          <w:sz w:val="16"/>
          <w:szCs w:val="16"/>
          <w:color w:val="auto"/>
        </w:rPr>
        <w:t>link executive pay to our performance.</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executive compensation program generally consists of the three principal components outlined in the table below.</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26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Element of compensation</w:t>
            </w:r>
          </w:p>
        </w:tc>
        <w:tc>
          <w:tcPr>
            <w:tcW w:w="60" w:type="dxa"/>
            <w:vAlign w:val="bottom"/>
            <w:shd w:val="clear" w:color="auto" w:fill="3C3C3C"/>
          </w:tcPr>
          <w:p>
            <w:pPr>
              <w:spacing w:after="0"/>
              <w:rPr>
                <w:sz w:val="23"/>
                <w:szCs w:val="23"/>
                <w:color w:val="auto"/>
              </w:rPr>
            </w:pPr>
          </w:p>
        </w:tc>
        <w:tc>
          <w:tcPr>
            <w:tcW w:w="2800" w:type="dxa"/>
            <w:vAlign w:val="bottom"/>
            <w:tcBorders>
              <w:right w:val="single" w:sz="8" w:color="3C3C3C"/>
            </w:tcBorders>
            <w:shd w:val="clear" w:color="auto" w:fill="3C3C3C"/>
          </w:tcPr>
          <w:p>
            <w:pPr>
              <w:ind w:left="20"/>
              <w:spacing w:after="0"/>
              <w:rPr>
                <w:sz w:val="20"/>
                <w:szCs w:val="20"/>
                <w:color w:val="auto"/>
              </w:rPr>
            </w:pPr>
            <w:r>
              <w:rPr>
                <w:rFonts w:ascii="Arial" w:cs="Arial" w:eastAsia="Arial" w:hAnsi="Arial"/>
                <w:sz w:val="14"/>
                <w:szCs w:val="14"/>
                <w:b w:val="1"/>
                <w:bCs w:val="1"/>
                <w:color w:val="FFFFFF"/>
              </w:rPr>
              <w:t>Objectives</w:t>
            </w:r>
          </w:p>
        </w:tc>
        <w:tc>
          <w:tcPr>
            <w:tcW w:w="614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70"/>
        </w:trPr>
        <w:tc>
          <w:tcPr>
            <w:tcW w:w="2260" w:type="dxa"/>
            <w:vAlign w:val="bottom"/>
            <w:tcBorders>
              <w:left w:val="single" w:sz="8" w:color="3C3C3C"/>
              <w:right w:val="single" w:sz="8" w:color="3C3C3C"/>
            </w:tcBorders>
            <w:shd w:val="clear" w:color="auto" w:fill="3C3C3C"/>
          </w:tcPr>
          <w:p>
            <w:pPr>
              <w:spacing w:after="0"/>
              <w:rPr>
                <w:sz w:val="6"/>
                <w:szCs w:val="6"/>
                <w:color w:val="auto"/>
              </w:rPr>
            </w:pPr>
          </w:p>
        </w:tc>
        <w:tc>
          <w:tcPr>
            <w:tcW w:w="60" w:type="dxa"/>
            <w:vAlign w:val="bottom"/>
            <w:shd w:val="clear" w:color="auto" w:fill="3C3C3C"/>
          </w:tcPr>
          <w:p>
            <w:pPr>
              <w:spacing w:after="0"/>
              <w:rPr>
                <w:sz w:val="6"/>
                <w:szCs w:val="6"/>
                <w:color w:val="auto"/>
              </w:rPr>
            </w:pPr>
          </w:p>
        </w:tc>
        <w:tc>
          <w:tcPr>
            <w:tcW w:w="2800" w:type="dxa"/>
            <w:vAlign w:val="bottom"/>
            <w:tcBorders>
              <w:right w:val="single" w:sz="8" w:color="3C3C3C"/>
            </w:tcBorders>
            <w:shd w:val="clear" w:color="auto" w:fill="3C3C3C"/>
          </w:tcPr>
          <w:p>
            <w:pPr>
              <w:spacing w:after="0"/>
              <w:rPr>
                <w:sz w:val="6"/>
                <w:szCs w:val="6"/>
                <w:color w:val="auto"/>
              </w:rPr>
            </w:pPr>
          </w:p>
        </w:tc>
        <w:tc>
          <w:tcPr>
            <w:tcW w:w="6140" w:type="dxa"/>
            <w:vAlign w:val="bottom"/>
            <w:tcBorders>
              <w:right w:val="single" w:sz="8" w:color="3C3C3C"/>
            </w:tcBorders>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2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Base Salary</w:t>
            </w:r>
          </w:p>
        </w:tc>
        <w:tc>
          <w:tcPr>
            <w:tcW w:w="60" w:type="dxa"/>
            <w:vAlign w:val="bottom"/>
            <w:shd w:val="clear" w:color="auto" w:fill="FAF6EF"/>
          </w:tcPr>
          <w:p>
            <w:pPr>
              <w:spacing w:after="0"/>
              <w:rPr>
                <w:sz w:val="24"/>
                <w:szCs w:val="24"/>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Provides financial stability and</w:t>
            </w: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Fixed compensation that is periodically reviewed and adjusted based on a number</w:t>
            </w:r>
          </w:p>
        </w:tc>
        <w:tc>
          <w:tcPr>
            <w:tcW w:w="0" w:type="dxa"/>
            <w:vAlign w:val="bottom"/>
          </w:tcPr>
          <w:p>
            <w:pPr>
              <w:spacing w:after="0"/>
              <w:rPr>
                <w:sz w:val="1"/>
                <w:szCs w:val="1"/>
                <w:color w:val="auto"/>
              </w:rPr>
            </w:pPr>
          </w:p>
        </w:tc>
      </w:tr>
      <w:tr>
        <w:trPr>
          <w:trHeight w:val="269"/>
        </w:trPr>
        <w:tc>
          <w:tcPr>
            <w:tcW w:w="22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(fixed cash)</w:t>
            </w:r>
          </w:p>
        </w:tc>
        <w:tc>
          <w:tcPr>
            <w:tcW w:w="60" w:type="dxa"/>
            <w:vAlign w:val="bottom"/>
            <w:shd w:val="clear" w:color="auto" w:fill="FAF6EF"/>
          </w:tcPr>
          <w:p>
            <w:pPr>
              <w:spacing w:after="0"/>
              <w:rPr>
                <w:sz w:val="23"/>
                <w:szCs w:val="23"/>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security through a fixed amount of</w:t>
            </w: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of factors, including individual performance, our overall company performance and</w:t>
            </w:r>
          </w:p>
        </w:tc>
        <w:tc>
          <w:tcPr>
            <w:tcW w:w="0" w:type="dxa"/>
            <w:vAlign w:val="bottom"/>
          </w:tcPr>
          <w:p>
            <w:pPr>
              <w:spacing w:after="0"/>
              <w:rPr>
                <w:sz w:val="1"/>
                <w:szCs w:val="1"/>
                <w:color w:val="auto"/>
              </w:rPr>
            </w:pPr>
          </w:p>
        </w:tc>
      </w:tr>
      <w:tr>
        <w:trPr>
          <w:trHeight w:val="229"/>
        </w:trPr>
        <w:tc>
          <w:tcPr>
            <w:tcW w:w="2260" w:type="dxa"/>
            <w:vAlign w:val="bottom"/>
            <w:tcBorders>
              <w:left w:val="single" w:sz="8" w:color="929292"/>
              <w:right w:val="single" w:sz="8" w:color="929292"/>
            </w:tcBorders>
            <w:shd w:val="clear" w:color="auto" w:fill="FAF6EF"/>
          </w:tcPr>
          <w:p>
            <w:pPr>
              <w:spacing w:after="0"/>
              <w:rPr>
                <w:sz w:val="19"/>
                <w:szCs w:val="19"/>
                <w:color w:val="auto"/>
              </w:rPr>
            </w:pPr>
          </w:p>
        </w:tc>
        <w:tc>
          <w:tcPr>
            <w:tcW w:w="60" w:type="dxa"/>
            <w:vAlign w:val="bottom"/>
            <w:shd w:val="clear" w:color="auto" w:fill="FAF6EF"/>
          </w:tcPr>
          <w:p>
            <w:pPr>
              <w:spacing w:after="0"/>
              <w:rPr>
                <w:sz w:val="19"/>
                <w:szCs w:val="19"/>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cash to attract and retain</w:t>
            </w: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market data.</w:t>
            </w:r>
          </w:p>
        </w:tc>
        <w:tc>
          <w:tcPr>
            <w:tcW w:w="0" w:type="dxa"/>
            <w:vAlign w:val="bottom"/>
          </w:tcPr>
          <w:p>
            <w:pPr>
              <w:spacing w:after="0"/>
              <w:rPr>
                <w:sz w:val="1"/>
                <w:szCs w:val="1"/>
                <w:color w:val="auto"/>
              </w:rPr>
            </w:pPr>
          </w:p>
        </w:tc>
      </w:tr>
      <w:tr>
        <w:trPr>
          <w:trHeight w:val="239"/>
        </w:trPr>
        <w:tc>
          <w:tcPr>
            <w:tcW w:w="2260" w:type="dxa"/>
            <w:vAlign w:val="bottom"/>
            <w:tcBorders>
              <w:left w:val="single" w:sz="8" w:color="929292"/>
              <w:bottom w:val="single" w:sz="8" w:color="FAF6EF"/>
              <w:right w:val="single" w:sz="8" w:color="929292"/>
            </w:tcBorders>
            <w:shd w:val="clear" w:color="auto" w:fill="FAF6EF"/>
          </w:tcPr>
          <w:p>
            <w:pPr>
              <w:spacing w:after="0"/>
              <w:rPr>
                <w:sz w:val="20"/>
                <w:szCs w:val="20"/>
                <w:color w:val="auto"/>
              </w:rPr>
            </w:pPr>
          </w:p>
        </w:tc>
        <w:tc>
          <w:tcPr>
            <w:tcW w:w="60" w:type="dxa"/>
            <w:vAlign w:val="bottom"/>
            <w:tcBorders>
              <w:bottom w:val="single" w:sz="8" w:color="FAF6EF"/>
            </w:tcBorders>
            <w:shd w:val="clear" w:color="auto" w:fill="FAF6EF"/>
          </w:tcPr>
          <w:p>
            <w:pPr>
              <w:spacing w:after="0"/>
              <w:rPr>
                <w:sz w:val="20"/>
                <w:szCs w:val="20"/>
                <w:color w:val="auto"/>
              </w:rPr>
            </w:pPr>
          </w:p>
        </w:tc>
        <w:tc>
          <w:tcPr>
            <w:tcW w:w="2800" w:type="dxa"/>
            <w:vAlign w:val="bottom"/>
            <w:tcBorders>
              <w:bottom w:val="single" w:sz="8" w:color="FAF6EF"/>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executives.</w:t>
            </w:r>
          </w:p>
        </w:tc>
        <w:tc>
          <w:tcPr>
            <w:tcW w:w="6140" w:type="dxa"/>
            <w:vAlign w:val="bottom"/>
            <w:tcBorders>
              <w:bottom w:val="single" w:sz="8" w:color="FAF6EF"/>
              <w:right w:val="single" w:sz="8" w:color="929292"/>
            </w:tcBorders>
            <w:shd w:val="clear" w:color="auto" w:fill="FAF6EF"/>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Short-Term Incentive</w:t>
            </w:r>
          </w:p>
        </w:tc>
        <w:tc>
          <w:tcPr>
            <w:tcW w:w="60" w:type="dxa"/>
            <w:vAlign w:val="bottom"/>
          </w:tcPr>
          <w:p>
            <w:pPr>
              <w:spacing w:after="0"/>
              <w:rPr>
                <w:sz w:val="24"/>
                <w:szCs w:val="24"/>
                <w:color w:val="auto"/>
              </w:rPr>
            </w:pPr>
          </w:p>
        </w:tc>
        <w:tc>
          <w:tcPr>
            <w:tcW w:w="2800" w:type="dxa"/>
            <w:vAlign w:val="bottom"/>
            <w:tcBorders>
              <w:right w:val="single" w:sz="8" w:color="929292"/>
            </w:tcBorders>
          </w:tcPr>
          <w:p>
            <w:pPr>
              <w:ind w:left="20"/>
              <w:spacing w:after="0"/>
              <w:rPr>
                <w:sz w:val="20"/>
                <w:szCs w:val="20"/>
                <w:color w:val="auto"/>
              </w:rPr>
            </w:pPr>
            <w:r>
              <w:rPr>
                <w:rFonts w:ascii="Arial" w:cs="Arial" w:eastAsia="Arial" w:hAnsi="Arial"/>
                <w:sz w:val="16"/>
                <w:szCs w:val="16"/>
                <w:color w:val="auto"/>
              </w:rPr>
              <w:t>Motivates and rewards through</w:t>
            </w: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Target bonus amounts, calculated as a percentage of base salary, that are</w:t>
            </w:r>
          </w:p>
        </w:tc>
        <w:tc>
          <w:tcPr>
            <w:tcW w:w="0" w:type="dxa"/>
            <w:vAlign w:val="bottom"/>
          </w:tcPr>
          <w:p>
            <w:pPr>
              <w:spacing w:after="0"/>
              <w:rPr>
                <w:sz w:val="1"/>
                <w:szCs w:val="1"/>
                <w:color w:val="auto"/>
              </w:rPr>
            </w:pPr>
          </w:p>
        </w:tc>
      </w:tr>
      <w:tr>
        <w:trPr>
          <w:trHeight w:val="217"/>
        </w:trPr>
        <w:tc>
          <w:tcPr>
            <w:tcW w:w="22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Compensation (Quarterly</w:t>
            </w:r>
          </w:p>
        </w:tc>
        <w:tc>
          <w:tcPr>
            <w:tcW w:w="60" w:type="dxa"/>
            <w:vAlign w:val="bottom"/>
          </w:tcPr>
          <w:p>
            <w:pPr>
              <w:spacing w:after="0"/>
              <w:rPr>
                <w:sz w:val="18"/>
                <w:szCs w:val="18"/>
                <w:color w:val="auto"/>
              </w:rPr>
            </w:pPr>
          </w:p>
        </w:tc>
        <w:tc>
          <w:tcPr>
            <w:tcW w:w="2800" w:type="dxa"/>
            <w:vAlign w:val="bottom"/>
            <w:tcBorders>
              <w:right w:val="single" w:sz="8" w:color="929292"/>
            </w:tcBorders>
          </w:tcPr>
          <w:p>
            <w:pPr>
              <w:ind w:left="20"/>
              <w:spacing w:after="0"/>
              <w:rPr>
                <w:sz w:val="20"/>
                <w:szCs w:val="20"/>
                <w:color w:val="auto"/>
              </w:rPr>
            </w:pPr>
            <w:r>
              <w:rPr>
                <w:rFonts w:ascii="Arial" w:cs="Arial" w:eastAsia="Arial" w:hAnsi="Arial"/>
                <w:sz w:val="16"/>
                <w:szCs w:val="16"/>
                <w:color w:val="auto"/>
              </w:rPr>
              <w:t>quarterly payments for attaining key</w:t>
            </w: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periodically reviewed and determined based upon competitive bonus opportunities</w:t>
            </w:r>
          </w:p>
        </w:tc>
        <w:tc>
          <w:tcPr>
            <w:tcW w:w="0" w:type="dxa"/>
            <w:vAlign w:val="bottom"/>
          </w:tcPr>
          <w:p>
            <w:pPr>
              <w:spacing w:after="0"/>
              <w:rPr>
                <w:sz w:val="1"/>
                <w:szCs w:val="1"/>
                <w:color w:val="auto"/>
              </w:rPr>
            </w:pPr>
          </w:p>
        </w:tc>
      </w:tr>
      <w:tr>
        <w:trPr>
          <w:trHeight w:val="175"/>
        </w:trPr>
        <w:tc>
          <w:tcPr>
            <w:tcW w:w="2260" w:type="dxa"/>
            <w:vAlign w:val="bottom"/>
            <w:tcBorders>
              <w:left w:val="single" w:sz="8" w:color="929292"/>
              <w:right w:val="single" w:sz="8" w:color="929292"/>
            </w:tcBorders>
          </w:tcPr>
          <w:p>
            <w:pPr>
              <w:ind w:left="120"/>
              <w:spacing w:after="0" w:line="175" w:lineRule="exact"/>
              <w:rPr>
                <w:sz w:val="20"/>
                <w:szCs w:val="20"/>
                <w:color w:val="auto"/>
              </w:rPr>
            </w:pPr>
            <w:r>
              <w:rPr>
                <w:rFonts w:ascii="Arial" w:cs="Arial" w:eastAsia="Arial" w:hAnsi="Arial"/>
                <w:sz w:val="16"/>
                <w:szCs w:val="16"/>
                <w:b w:val="1"/>
                <w:bCs w:val="1"/>
                <w:color w:val="auto"/>
              </w:rPr>
              <w:t>Performance Cash Bonus;</w:t>
            </w:r>
          </w:p>
        </w:tc>
        <w:tc>
          <w:tcPr>
            <w:tcW w:w="60" w:type="dxa"/>
            <w:vAlign w:val="bottom"/>
          </w:tcPr>
          <w:p>
            <w:pPr>
              <w:spacing w:after="0"/>
              <w:rPr>
                <w:sz w:val="15"/>
                <w:szCs w:val="15"/>
                <w:color w:val="auto"/>
              </w:rPr>
            </w:pPr>
          </w:p>
        </w:tc>
        <w:tc>
          <w:tcPr>
            <w:tcW w:w="2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16"/>
                <w:szCs w:val="16"/>
                <w:color w:val="auto"/>
              </w:rPr>
              <w:t>corporate and individual</w:t>
            </w:r>
          </w:p>
        </w:tc>
        <w:tc>
          <w:tcPr>
            <w:tcW w:w="6140" w:type="dxa"/>
            <w:vAlign w:val="bottom"/>
            <w:tcBorders>
              <w:right w:val="single" w:sz="8" w:color="929292"/>
            </w:tcBorders>
            <w:vMerge w:val="restart"/>
          </w:tcPr>
          <w:p>
            <w:pPr>
              <w:ind w:left="100"/>
              <w:spacing w:after="0"/>
              <w:rPr>
                <w:sz w:val="20"/>
                <w:szCs w:val="20"/>
                <w:color w:val="auto"/>
              </w:rPr>
            </w:pPr>
            <w:r>
              <w:rPr>
                <w:rFonts w:ascii="Arial" w:cs="Arial" w:eastAsia="Arial" w:hAnsi="Arial"/>
                <w:sz w:val="16"/>
                <w:szCs w:val="16"/>
                <w:color w:val="auto"/>
              </w:rPr>
              <w:t>in our market. The cash bonus is awarded on a quarterly basis to incentivize and</w:t>
            </w:r>
          </w:p>
        </w:tc>
        <w:tc>
          <w:tcPr>
            <w:tcW w:w="0" w:type="dxa"/>
            <w:vAlign w:val="bottom"/>
          </w:tcPr>
          <w:p>
            <w:pPr>
              <w:spacing w:after="0"/>
              <w:rPr>
                <w:sz w:val="1"/>
                <w:szCs w:val="1"/>
                <w:color w:val="auto"/>
              </w:rPr>
            </w:pPr>
          </w:p>
        </w:tc>
      </w:tr>
      <w:tr>
        <w:trPr>
          <w:trHeight w:val="107"/>
        </w:trPr>
        <w:tc>
          <w:tcPr>
            <w:tcW w:w="2260" w:type="dxa"/>
            <w:vAlign w:val="bottom"/>
            <w:tcBorders>
              <w:left w:val="single" w:sz="8" w:color="929292"/>
              <w:right w:val="single" w:sz="8" w:color="929292"/>
            </w:tcBorders>
            <w:vMerge w:val="restart"/>
          </w:tcPr>
          <w:p>
            <w:pPr>
              <w:ind w:left="120"/>
              <w:spacing w:after="0"/>
              <w:rPr>
                <w:sz w:val="20"/>
                <w:szCs w:val="20"/>
                <w:color w:val="auto"/>
              </w:rPr>
            </w:pPr>
            <w:r>
              <w:rPr>
                <w:rFonts w:ascii="Arial" w:cs="Arial" w:eastAsia="Arial" w:hAnsi="Arial"/>
                <w:sz w:val="16"/>
                <w:szCs w:val="16"/>
                <w:b w:val="1"/>
                <w:bCs w:val="1"/>
                <w:color w:val="auto"/>
              </w:rPr>
              <w:t>at-risk cash)</w:t>
            </w:r>
          </w:p>
        </w:tc>
        <w:tc>
          <w:tcPr>
            <w:tcW w:w="60" w:type="dxa"/>
            <w:vAlign w:val="bottom"/>
          </w:tcPr>
          <w:p>
            <w:pPr>
              <w:spacing w:after="0"/>
              <w:rPr>
                <w:sz w:val="9"/>
                <w:szCs w:val="9"/>
                <w:color w:val="auto"/>
              </w:rPr>
            </w:pPr>
          </w:p>
        </w:tc>
        <w:tc>
          <w:tcPr>
            <w:tcW w:w="2800" w:type="dxa"/>
            <w:vAlign w:val="bottom"/>
            <w:tcBorders>
              <w:right w:val="single" w:sz="8" w:color="929292"/>
            </w:tcBorders>
            <w:vMerge w:val="continue"/>
          </w:tcPr>
          <w:p>
            <w:pPr>
              <w:spacing w:after="0"/>
              <w:rPr>
                <w:sz w:val="9"/>
                <w:szCs w:val="9"/>
                <w:color w:val="auto"/>
              </w:rPr>
            </w:pPr>
          </w:p>
        </w:tc>
        <w:tc>
          <w:tcPr>
            <w:tcW w:w="6140" w:type="dxa"/>
            <w:vAlign w:val="bottom"/>
            <w:tcBorders>
              <w:right w:val="single" w:sz="8" w:color="92929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60" w:type="dxa"/>
            <w:vAlign w:val="bottom"/>
            <w:tcBorders>
              <w:left w:val="single" w:sz="8" w:color="929292"/>
              <w:right w:val="single" w:sz="8" w:color="929292"/>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16"/>
                <w:szCs w:val="16"/>
                <w:color w:val="auto"/>
              </w:rPr>
              <w:t>performance goals linked to our key</w:t>
            </w:r>
          </w:p>
        </w:tc>
        <w:tc>
          <w:tcPr>
            <w:tcW w:w="6140" w:type="dxa"/>
            <w:vAlign w:val="bottom"/>
            <w:tcBorders>
              <w:right w:val="single" w:sz="8" w:color="929292"/>
            </w:tcBorders>
            <w:vMerge w:val="restart"/>
          </w:tcPr>
          <w:p>
            <w:pPr>
              <w:ind w:left="100"/>
              <w:spacing w:after="0"/>
              <w:rPr>
                <w:sz w:val="20"/>
                <w:szCs w:val="20"/>
                <w:color w:val="auto"/>
              </w:rPr>
            </w:pPr>
            <w:r>
              <w:rPr>
                <w:rFonts w:ascii="Arial" w:cs="Arial" w:eastAsia="Arial" w:hAnsi="Arial"/>
                <w:sz w:val="16"/>
                <w:szCs w:val="16"/>
                <w:color w:val="auto"/>
              </w:rPr>
              <w:t>reward quarterly results that help achieve our long-term strategic goals. Bonus</w:t>
            </w:r>
          </w:p>
        </w:tc>
        <w:tc>
          <w:tcPr>
            <w:tcW w:w="0" w:type="dxa"/>
            <w:vAlign w:val="bottom"/>
          </w:tcPr>
          <w:p>
            <w:pPr>
              <w:spacing w:after="0"/>
              <w:rPr>
                <w:sz w:val="1"/>
                <w:szCs w:val="1"/>
                <w:color w:val="auto"/>
              </w:rPr>
            </w:pPr>
          </w:p>
        </w:tc>
      </w:tr>
      <w:tr>
        <w:trPr>
          <w:trHeight w:val="100"/>
        </w:trPr>
        <w:tc>
          <w:tcPr>
            <w:tcW w:w="2260" w:type="dxa"/>
            <w:vAlign w:val="bottom"/>
            <w:tcBorders>
              <w:left w:val="single" w:sz="8" w:color="929292"/>
              <w:right w:val="single" w:sz="8" w:color="929292"/>
            </w:tcBorders>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tcBorders>
              <w:right w:val="single" w:sz="8" w:color="929292"/>
            </w:tcBorders>
            <w:vMerge w:val="continue"/>
          </w:tcPr>
          <w:p>
            <w:pPr>
              <w:spacing w:after="0"/>
              <w:rPr>
                <w:sz w:val="8"/>
                <w:szCs w:val="8"/>
                <w:color w:val="auto"/>
              </w:rPr>
            </w:pPr>
          </w:p>
        </w:tc>
        <w:tc>
          <w:tcPr>
            <w:tcW w:w="6140" w:type="dxa"/>
            <w:vAlign w:val="bottom"/>
            <w:tcBorders>
              <w:right w:val="single" w:sz="8" w:color="92929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929292"/>
              <w:right w:val="single" w:sz="8" w:color="929292"/>
            </w:tcBorders>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tcBorders>
              <w:right w:val="single" w:sz="8" w:color="929292"/>
            </w:tcBorders>
          </w:tcPr>
          <w:p>
            <w:pPr>
              <w:ind w:left="20"/>
              <w:spacing w:after="0"/>
              <w:rPr>
                <w:sz w:val="20"/>
                <w:szCs w:val="20"/>
                <w:color w:val="auto"/>
              </w:rPr>
            </w:pPr>
            <w:r>
              <w:rPr>
                <w:rFonts w:ascii="Arial" w:cs="Arial" w:eastAsia="Arial" w:hAnsi="Arial"/>
                <w:sz w:val="16"/>
                <w:szCs w:val="16"/>
                <w:color w:val="auto"/>
              </w:rPr>
              <w:t>business objectives.</w:t>
            </w: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awards are dependent upon three components:</w:t>
            </w:r>
          </w:p>
        </w:tc>
        <w:tc>
          <w:tcPr>
            <w:tcW w:w="0" w:type="dxa"/>
            <w:vAlign w:val="bottom"/>
          </w:tcPr>
          <w:p>
            <w:pPr>
              <w:spacing w:after="0"/>
              <w:rPr>
                <w:sz w:val="1"/>
                <w:szCs w:val="1"/>
                <w:color w:val="auto"/>
              </w:rPr>
            </w:pPr>
          </w:p>
        </w:tc>
      </w:tr>
      <w:tr>
        <w:trPr>
          <w:trHeight w:val="338"/>
        </w:trPr>
        <w:tc>
          <w:tcPr>
            <w:tcW w:w="2260" w:type="dxa"/>
            <w:vAlign w:val="bottom"/>
            <w:tcBorders>
              <w:left w:val="single" w:sz="8" w:color="929292"/>
              <w:right w:val="single" w:sz="8" w:color="929292"/>
            </w:tcBorders>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right w:val="single" w:sz="8" w:color="929292"/>
            </w:tcBorders>
          </w:tcPr>
          <w:p>
            <w:pPr>
              <w:spacing w:after="0"/>
              <w:rPr>
                <w:sz w:val="24"/>
                <w:szCs w:val="24"/>
                <w:color w:val="auto"/>
              </w:rPr>
            </w:pP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(i) company performance factor,</w:t>
            </w:r>
          </w:p>
        </w:tc>
        <w:tc>
          <w:tcPr>
            <w:tcW w:w="0" w:type="dxa"/>
            <w:vAlign w:val="bottom"/>
          </w:tcPr>
          <w:p>
            <w:pPr>
              <w:spacing w:after="0"/>
              <w:rPr>
                <w:sz w:val="1"/>
                <w:szCs w:val="1"/>
                <w:color w:val="auto"/>
              </w:rPr>
            </w:pPr>
          </w:p>
        </w:tc>
      </w:tr>
      <w:tr>
        <w:trPr>
          <w:trHeight w:val="337"/>
        </w:trPr>
        <w:tc>
          <w:tcPr>
            <w:tcW w:w="2260" w:type="dxa"/>
            <w:vAlign w:val="bottom"/>
            <w:tcBorders>
              <w:left w:val="single" w:sz="8" w:color="929292"/>
              <w:right w:val="single" w:sz="8" w:color="929292"/>
            </w:tcBorders>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right w:val="single" w:sz="8" w:color="929292"/>
            </w:tcBorders>
          </w:tcPr>
          <w:p>
            <w:pPr>
              <w:spacing w:after="0"/>
              <w:rPr>
                <w:sz w:val="24"/>
                <w:szCs w:val="24"/>
                <w:color w:val="auto"/>
              </w:rPr>
            </w:pP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(ii) funding factor, and</w:t>
            </w:r>
          </w:p>
        </w:tc>
        <w:tc>
          <w:tcPr>
            <w:tcW w:w="0" w:type="dxa"/>
            <w:vAlign w:val="bottom"/>
          </w:tcPr>
          <w:p>
            <w:pPr>
              <w:spacing w:after="0"/>
              <w:rPr>
                <w:sz w:val="1"/>
                <w:szCs w:val="1"/>
                <w:color w:val="auto"/>
              </w:rPr>
            </w:pPr>
          </w:p>
        </w:tc>
      </w:tr>
      <w:tr>
        <w:trPr>
          <w:trHeight w:val="338"/>
        </w:trPr>
        <w:tc>
          <w:tcPr>
            <w:tcW w:w="2260" w:type="dxa"/>
            <w:vAlign w:val="bottom"/>
            <w:tcBorders>
              <w:left w:val="single" w:sz="8" w:color="929292"/>
              <w:right w:val="single" w:sz="8" w:color="929292"/>
            </w:tcBorders>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right w:val="single" w:sz="8" w:color="929292"/>
            </w:tcBorders>
          </w:tcPr>
          <w:p>
            <w:pPr>
              <w:spacing w:after="0"/>
              <w:rPr>
                <w:sz w:val="24"/>
                <w:szCs w:val="24"/>
                <w:color w:val="auto"/>
              </w:rPr>
            </w:pP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(iii) individual performance factor.</w:t>
            </w:r>
          </w:p>
        </w:tc>
        <w:tc>
          <w:tcPr>
            <w:tcW w:w="0" w:type="dxa"/>
            <w:vAlign w:val="bottom"/>
          </w:tcPr>
          <w:p>
            <w:pPr>
              <w:spacing w:after="0"/>
              <w:rPr>
                <w:sz w:val="1"/>
                <w:szCs w:val="1"/>
                <w:color w:val="auto"/>
              </w:rPr>
            </w:pPr>
          </w:p>
        </w:tc>
      </w:tr>
      <w:tr>
        <w:trPr>
          <w:trHeight w:val="324"/>
        </w:trPr>
        <w:tc>
          <w:tcPr>
            <w:tcW w:w="2260" w:type="dxa"/>
            <w:vAlign w:val="bottom"/>
            <w:tcBorders>
              <w:left w:val="single" w:sz="8" w:color="929292"/>
              <w:right w:val="single" w:sz="8" w:color="929292"/>
            </w:tcBorders>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right w:val="single" w:sz="8" w:color="929292"/>
            </w:tcBorders>
          </w:tcPr>
          <w:p>
            <w:pPr>
              <w:spacing w:after="0"/>
              <w:rPr>
                <w:sz w:val="24"/>
                <w:szCs w:val="24"/>
                <w:color w:val="auto"/>
              </w:rPr>
            </w:pP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The Compensation Committee determines the bonus amount achieved each</w:t>
            </w:r>
          </w:p>
        </w:tc>
        <w:tc>
          <w:tcPr>
            <w:tcW w:w="0" w:type="dxa"/>
            <w:vAlign w:val="bottom"/>
          </w:tcPr>
          <w:p>
            <w:pPr>
              <w:spacing w:after="0"/>
              <w:rPr>
                <w:sz w:val="1"/>
                <w:szCs w:val="1"/>
                <w:color w:val="auto"/>
              </w:rPr>
            </w:pPr>
          </w:p>
        </w:tc>
      </w:tr>
      <w:tr>
        <w:trPr>
          <w:trHeight w:val="230"/>
        </w:trPr>
        <w:tc>
          <w:tcPr>
            <w:tcW w:w="2260" w:type="dxa"/>
            <w:vAlign w:val="bottom"/>
            <w:tcBorders>
              <w:left w:val="single" w:sz="8" w:color="929292"/>
              <w:right w:val="single" w:sz="8" w:color="929292"/>
            </w:tcBorders>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tcBorders>
              <w:right w:val="single" w:sz="8" w:color="929292"/>
            </w:tcBorders>
          </w:tcPr>
          <w:p>
            <w:pPr>
              <w:spacing w:after="0"/>
              <w:rPr>
                <w:sz w:val="19"/>
                <w:szCs w:val="19"/>
                <w:color w:val="auto"/>
              </w:rPr>
            </w:pPr>
          </w:p>
        </w:tc>
        <w:tc>
          <w:tcPr>
            <w:tcW w:w="614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quarter as further described below.</w:t>
            </w:r>
          </w:p>
        </w:tc>
        <w:tc>
          <w:tcPr>
            <w:tcW w:w="0" w:type="dxa"/>
            <w:vAlign w:val="bottom"/>
          </w:tcPr>
          <w:p>
            <w:pPr>
              <w:spacing w:after="0"/>
              <w:rPr>
                <w:sz w:val="1"/>
                <w:szCs w:val="1"/>
                <w:color w:val="auto"/>
              </w:rPr>
            </w:pPr>
          </w:p>
        </w:tc>
      </w:tr>
      <w:tr>
        <w:trPr>
          <w:trHeight w:val="150"/>
        </w:trPr>
        <w:tc>
          <w:tcPr>
            <w:tcW w:w="2260" w:type="dxa"/>
            <w:vAlign w:val="bottom"/>
            <w:tcBorders>
              <w:left w:val="single" w:sz="8" w:color="929292"/>
              <w:right w:val="single" w:sz="8" w:color="929292"/>
            </w:tcBorders>
          </w:tcPr>
          <w:p>
            <w:pPr>
              <w:spacing w:after="0"/>
              <w:rPr>
                <w:sz w:val="13"/>
                <w:szCs w:val="13"/>
                <w:color w:val="auto"/>
              </w:rPr>
            </w:pPr>
          </w:p>
        </w:tc>
        <w:tc>
          <w:tcPr>
            <w:tcW w:w="60" w:type="dxa"/>
            <w:vAlign w:val="bottom"/>
          </w:tcPr>
          <w:p>
            <w:pPr>
              <w:spacing w:after="0"/>
              <w:rPr>
                <w:sz w:val="13"/>
                <w:szCs w:val="13"/>
                <w:color w:val="auto"/>
              </w:rPr>
            </w:pPr>
          </w:p>
        </w:tc>
        <w:tc>
          <w:tcPr>
            <w:tcW w:w="2800" w:type="dxa"/>
            <w:vAlign w:val="bottom"/>
            <w:tcBorders>
              <w:right w:val="single" w:sz="8" w:color="929292"/>
            </w:tcBorders>
          </w:tcPr>
          <w:p>
            <w:pPr>
              <w:spacing w:after="0"/>
              <w:rPr>
                <w:sz w:val="13"/>
                <w:szCs w:val="13"/>
                <w:color w:val="auto"/>
              </w:rPr>
            </w:pPr>
          </w:p>
        </w:tc>
        <w:tc>
          <w:tcPr>
            <w:tcW w:w="6140" w:type="dxa"/>
            <w:vAlign w:val="bottom"/>
            <w:tcBorders>
              <w:right w:val="single" w:sz="8" w:color="929292"/>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Equity-Based Incentive</w:t>
            </w:r>
          </w:p>
        </w:tc>
        <w:tc>
          <w:tcPr>
            <w:tcW w:w="60" w:type="dxa"/>
            <w:vAlign w:val="bottom"/>
            <w:shd w:val="clear" w:color="auto" w:fill="FAF6EF"/>
          </w:tcPr>
          <w:p>
            <w:pPr>
              <w:spacing w:after="0"/>
              <w:rPr>
                <w:sz w:val="17"/>
                <w:szCs w:val="17"/>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Motivates and rewards for our</w:t>
            </w: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Variable equity-based compensation, including:</w:t>
            </w:r>
          </w:p>
        </w:tc>
        <w:tc>
          <w:tcPr>
            <w:tcW w:w="0" w:type="dxa"/>
            <w:vAlign w:val="bottom"/>
          </w:tcPr>
          <w:p>
            <w:pPr>
              <w:spacing w:after="0"/>
              <w:rPr>
                <w:sz w:val="1"/>
                <w:szCs w:val="1"/>
                <w:color w:val="auto"/>
              </w:rPr>
            </w:pPr>
          </w:p>
        </w:tc>
      </w:tr>
      <w:tr>
        <w:trPr>
          <w:trHeight w:val="217"/>
        </w:trPr>
        <w:tc>
          <w:tcPr>
            <w:tcW w:w="22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Compensation (67% PSUs</w:t>
            </w:r>
          </w:p>
        </w:tc>
        <w:tc>
          <w:tcPr>
            <w:tcW w:w="60" w:type="dxa"/>
            <w:vAlign w:val="bottom"/>
            <w:shd w:val="clear" w:color="auto" w:fill="FAF6EF"/>
          </w:tcPr>
          <w:p>
            <w:pPr>
              <w:spacing w:after="0"/>
              <w:rPr>
                <w:sz w:val="18"/>
                <w:szCs w:val="18"/>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longer-term performance; aligns</w:t>
            </w:r>
          </w:p>
        </w:tc>
        <w:tc>
          <w:tcPr>
            <w:tcW w:w="6140" w:type="dxa"/>
            <w:vAlign w:val="bottom"/>
            <w:tcBorders>
              <w:right w:val="single" w:sz="8" w:color="929292"/>
            </w:tcBorders>
            <w:vMerge w:val="restart"/>
            <w:shd w:val="clear" w:color="auto" w:fill="FAF6EF"/>
          </w:tcPr>
          <w:p>
            <w:pPr>
              <w:ind w:left="100"/>
              <w:spacing w:after="0"/>
              <w:rPr>
                <w:sz w:val="20"/>
                <w:szCs w:val="20"/>
                <w:color w:val="auto"/>
              </w:rPr>
            </w:pPr>
            <w:r>
              <w:rPr>
                <w:rFonts w:ascii="Arial" w:cs="Arial" w:eastAsia="Arial" w:hAnsi="Arial"/>
                <w:sz w:val="16"/>
                <w:szCs w:val="16"/>
                <w:color w:val="auto"/>
              </w:rPr>
              <w:t>(i) PSU awards tied to a three-year relative TSR metric (as described below)</w:t>
            </w:r>
          </w:p>
        </w:tc>
        <w:tc>
          <w:tcPr>
            <w:tcW w:w="0" w:type="dxa"/>
            <w:vAlign w:val="bottom"/>
          </w:tcPr>
          <w:p>
            <w:pPr>
              <w:spacing w:after="0"/>
              <w:rPr>
                <w:sz w:val="1"/>
                <w:szCs w:val="1"/>
                <w:color w:val="auto"/>
              </w:rPr>
            </w:pPr>
          </w:p>
        </w:tc>
      </w:tr>
      <w:tr>
        <w:trPr>
          <w:trHeight w:val="175"/>
        </w:trPr>
        <w:tc>
          <w:tcPr>
            <w:tcW w:w="2260" w:type="dxa"/>
            <w:vAlign w:val="bottom"/>
            <w:tcBorders>
              <w:left w:val="single" w:sz="8" w:color="929292"/>
              <w:right w:val="single" w:sz="8" w:color="929292"/>
            </w:tcBorders>
            <w:shd w:val="clear" w:color="auto" w:fill="FAF6EF"/>
          </w:tcPr>
          <w:p>
            <w:pPr>
              <w:ind w:left="120"/>
              <w:spacing w:after="0" w:line="175" w:lineRule="exact"/>
              <w:rPr>
                <w:sz w:val="20"/>
                <w:szCs w:val="20"/>
                <w:color w:val="auto"/>
              </w:rPr>
            </w:pPr>
            <w:r>
              <w:rPr>
                <w:rFonts w:ascii="Arial" w:cs="Arial" w:eastAsia="Arial" w:hAnsi="Arial"/>
                <w:sz w:val="16"/>
                <w:szCs w:val="16"/>
                <w:b w:val="1"/>
                <w:bCs w:val="1"/>
                <w:color w:val="auto"/>
              </w:rPr>
              <w:t>and 33% RSUs; at-risk</w:t>
            </w:r>
          </w:p>
        </w:tc>
        <w:tc>
          <w:tcPr>
            <w:tcW w:w="60" w:type="dxa"/>
            <w:vAlign w:val="bottom"/>
            <w:shd w:val="clear" w:color="auto" w:fill="FAF6EF"/>
          </w:tcPr>
          <w:p>
            <w:pPr>
              <w:spacing w:after="0"/>
              <w:rPr>
                <w:sz w:val="15"/>
                <w:szCs w:val="15"/>
                <w:color w:val="auto"/>
              </w:rPr>
            </w:pPr>
          </w:p>
        </w:tc>
        <w:tc>
          <w:tcPr>
            <w:tcW w:w="2800" w:type="dxa"/>
            <w:vAlign w:val="bottom"/>
            <w:tcBorders>
              <w:right w:val="single" w:sz="8" w:color="929292"/>
            </w:tcBorders>
            <w:vMerge w:val="restart"/>
            <w:shd w:val="clear" w:color="auto" w:fill="FAF6EF"/>
          </w:tcPr>
          <w:p>
            <w:pPr>
              <w:ind w:left="20"/>
              <w:spacing w:after="0"/>
              <w:rPr>
                <w:sz w:val="20"/>
                <w:szCs w:val="20"/>
                <w:color w:val="auto"/>
              </w:rPr>
            </w:pPr>
            <w:r>
              <w:rPr>
                <w:rFonts w:ascii="Arial" w:cs="Arial" w:eastAsia="Arial" w:hAnsi="Arial"/>
                <w:sz w:val="16"/>
                <w:szCs w:val="16"/>
                <w:color w:val="auto"/>
              </w:rPr>
              <w:t>executives’ interests with</w:t>
            </w:r>
          </w:p>
        </w:tc>
        <w:tc>
          <w:tcPr>
            <w:tcW w:w="6140" w:type="dxa"/>
            <w:vAlign w:val="bottom"/>
            <w:tcBorders>
              <w:right w:val="single" w:sz="8" w:color="929292"/>
            </w:tcBorders>
            <w:vMerge w:val="continue"/>
            <w:shd w:val="clear" w:color="auto" w:fill="FAF6EF"/>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260" w:type="dxa"/>
            <w:vAlign w:val="bottom"/>
            <w:tcBorders>
              <w:left w:val="single" w:sz="8" w:color="929292"/>
              <w:righ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equity)</w:t>
            </w:r>
          </w:p>
        </w:tc>
        <w:tc>
          <w:tcPr>
            <w:tcW w:w="60" w:type="dxa"/>
            <w:vAlign w:val="bottom"/>
            <w:shd w:val="clear" w:color="auto" w:fill="FAF6EF"/>
          </w:tcPr>
          <w:p>
            <w:pPr>
              <w:spacing w:after="0"/>
              <w:rPr>
                <w:sz w:val="9"/>
                <w:szCs w:val="9"/>
                <w:color w:val="auto"/>
              </w:rPr>
            </w:pPr>
          </w:p>
        </w:tc>
        <w:tc>
          <w:tcPr>
            <w:tcW w:w="2800" w:type="dxa"/>
            <w:vAlign w:val="bottom"/>
            <w:tcBorders>
              <w:right w:val="single" w:sz="8" w:color="929292"/>
            </w:tcBorders>
            <w:vMerge w:val="continue"/>
            <w:shd w:val="clear" w:color="auto" w:fill="FAF6EF"/>
          </w:tcPr>
          <w:p>
            <w:pPr>
              <w:spacing w:after="0"/>
              <w:rPr>
                <w:sz w:val="9"/>
                <w:szCs w:val="9"/>
                <w:color w:val="auto"/>
              </w:rPr>
            </w:pPr>
          </w:p>
        </w:tc>
        <w:tc>
          <w:tcPr>
            <w:tcW w:w="6140" w:type="dxa"/>
            <w:vAlign w:val="bottom"/>
            <w:tcBorders>
              <w:right w:val="single" w:sz="8" w:color="929292"/>
            </w:tcBorders>
            <w:vMerge w:val="restart"/>
            <w:shd w:val="clear" w:color="auto" w:fill="FAF6EF"/>
          </w:tcPr>
          <w:p>
            <w:pPr>
              <w:ind w:lef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16"/>
        </w:trPr>
        <w:tc>
          <w:tcPr>
            <w:tcW w:w="2260" w:type="dxa"/>
            <w:vAlign w:val="bottom"/>
            <w:tcBorders>
              <w:left w:val="single" w:sz="8" w:color="929292"/>
              <w:right w:val="single" w:sz="8" w:color="929292"/>
            </w:tcBorders>
            <w:vMerge w:val="continue"/>
            <w:shd w:val="clear" w:color="auto" w:fill="FAF6EF"/>
          </w:tcPr>
          <w:p>
            <w:pPr>
              <w:spacing w:after="0"/>
              <w:rPr>
                <w:sz w:val="10"/>
                <w:szCs w:val="10"/>
                <w:color w:val="auto"/>
              </w:rPr>
            </w:pPr>
          </w:p>
        </w:tc>
        <w:tc>
          <w:tcPr>
            <w:tcW w:w="60" w:type="dxa"/>
            <w:vAlign w:val="bottom"/>
            <w:shd w:val="clear" w:color="auto" w:fill="FAF6EF"/>
          </w:tcPr>
          <w:p>
            <w:pPr>
              <w:spacing w:after="0"/>
              <w:rPr>
                <w:sz w:val="10"/>
                <w:szCs w:val="10"/>
                <w:color w:val="auto"/>
              </w:rPr>
            </w:pPr>
          </w:p>
        </w:tc>
        <w:tc>
          <w:tcPr>
            <w:tcW w:w="2800" w:type="dxa"/>
            <w:vAlign w:val="bottom"/>
            <w:tcBorders>
              <w:right w:val="single" w:sz="8" w:color="929292"/>
            </w:tcBorders>
            <w:vMerge w:val="restart"/>
            <w:shd w:val="clear" w:color="auto" w:fill="FAF6EF"/>
          </w:tcPr>
          <w:p>
            <w:pPr>
              <w:ind w:left="20"/>
              <w:spacing w:after="0"/>
              <w:rPr>
                <w:sz w:val="20"/>
                <w:szCs w:val="20"/>
                <w:color w:val="auto"/>
              </w:rPr>
            </w:pPr>
            <w:r>
              <w:rPr>
                <w:rFonts w:ascii="Arial" w:cs="Arial" w:eastAsia="Arial" w:hAnsi="Arial"/>
                <w:sz w:val="16"/>
                <w:szCs w:val="16"/>
                <w:color w:val="auto"/>
              </w:rPr>
              <w:t>stockholder interests in creating</w:t>
            </w:r>
          </w:p>
        </w:tc>
        <w:tc>
          <w:tcPr>
            <w:tcW w:w="614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60" w:type="dxa"/>
            <w:vAlign w:val="bottom"/>
            <w:tcBorders>
              <w:left w:val="single" w:sz="8" w:color="929292"/>
              <w:right w:val="single" w:sz="8" w:color="929292"/>
            </w:tcBorders>
            <w:shd w:val="clear" w:color="auto" w:fill="FAF6EF"/>
          </w:tcPr>
          <w:p>
            <w:pPr>
              <w:spacing w:after="0"/>
              <w:rPr>
                <w:sz w:val="8"/>
                <w:szCs w:val="8"/>
                <w:color w:val="auto"/>
              </w:rPr>
            </w:pPr>
          </w:p>
        </w:tc>
        <w:tc>
          <w:tcPr>
            <w:tcW w:w="60" w:type="dxa"/>
            <w:vAlign w:val="bottom"/>
            <w:shd w:val="clear" w:color="auto" w:fill="FAF6EF"/>
          </w:tcPr>
          <w:p>
            <w:pPr>
              <w:spacing w:after="0"/>
              <w:rPr>
                <w:sz w:val="8"/>
                <w:szCs w:val="8"/>
                <w:color w:val="auto"/>
              </w:rPr>
            </w:pPr>
          </w:p>
        </w:tc>
        <w:tc>
          <w:tcPr>
            <w:tcW w:w="2800" w:type="dxa"/>
            <w:vAlign w:val="bottom"/>
            <w:tcBorders>
              <w:right w:val="single" w:sz="8" w:color="929292"/>
            </w:tcBorders>
            <w:vMerge w:val="continue"/>
            <w:shd w:val="clear" w:color="auto" w:fill="FAF6EF"/>
          </w:tcPr>
          <w:p>
            <w:pPr>
              <w:spacing w:after="0"/>
              <w:rPr>
                <w:sz w:val="8"/>
                <w:szCs w:val="8"/>
                <w:color w:val="auto"/>
              </w:rPr>
            </w:pPr>
          </w:p>
        </w:tc>
        <w:tc>
          <w:tcPr>
            <w:tcW w:w="614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929292"/>
              <w:right w:val="single" w:sz="8" w:color="929292"/>
            </w:tcBorders>
            <w:shd w:val="clear" w:color="auto" w:fill="FAF6EF"/>
          </w:tcPr>
          <w:p>
            <w:pPr>
              <w:spacing w:after="0"/>
              <w:rPr>
                <w:sz w:val="19"/>
                <w:szCs w:val="19"/>
                <w:color w:val="auto"/>
              </w:rPr>
            </w:pPr>
          </w:p>
        </w:tc>
        <w:tc>
          <w:tcPr>
            <w:tcW w:w="60" w:type="dxa"/>
            <w:vAlign w:val="bottom"/>
            <w:shd w:val="clear" w:color="auto" w:fill="FAF6EF"/>
          </w:tcPr>
          <w:p>
            <w:pPr>
              <w:spacing w:after="0"/>
              <w:rPr>
                <w:sz w:val="19"/>
                <w:szCs w:val="19"/>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long-term value; and attracts and</w:t>
            </w: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(ii) PSU awards that vest based on achievement of specified corporate goals</w:t>
            </w:r>
          </w:p>
        </w:tc>
        <w:tc>
          <w:tcPr>
            <w:tcW w:w="0" w:type="dxa"/>
            <w:vAlign w:val="bottom"/>
          </w:tcPr>
          <w:p>
            <w:pPr>
              <w:spacing w:after="0"/>
              <w:rPr>
                <w:sz w:val="1"/>
                <w:szCs w:val="1"/>
                <w:color w:val="auto"/>
              </w:rPr>
            </w:pPr>
          </w:p>
        </w:tc>
      </w:tr>
      <w:tr>
        <w:trPr>
          <w:trHeight w:val="230"/>
        </w:trPr>
        <w:tc>
          <w:tcPr>
            <w:tcW w:w="2260" w:type="dxa"/>
            <w:vAlign w:val="bottom"/>
            <w:tcBorders>
              <w:left w:val="single" w:sz="8" w:color="929292"/>
              <w:right w:val="single" w:sz="8" w:color="929292"/>
            </w:tcBorders>
            <w:shd w:val="clear" w:color="auto" w:fill="FAF6EF"/>
          </w:tcPr>
          <w:p>
            <w:pPr>
              <w:spacing w:after="0"/>
              <w:rPr>
                <w:sz w:val="19"/>
                <w:szCs w:val="19"/>
                <w:color w:val="auto"/>
              </w:rPr>
            </w:pPr>
          </w:p>
        </w:tc>
        <w:tc>
          <w:tcPr>
            <w:tcW w:w="60" w:type="dxa"/>
            <w:vAlign w:val="bottom"/>
            <w:shd w:val="clear" w:color="auto" w:fill="FAF6EF"/>
          </w:tcPr>
          <w:p>
            <w:pPr>
              <w:spacing w:after="0"/>
              <w:rPr>
                <w:sz w:val="19"/>
                <w:szCs w:val="19"/>
                <w:color w:val="auto"/>
              </w:rPr>
            </w:pPr>
          </w:p>
        </w:tc>
        <w:tc>
          <w:tcPr>
            <w:tcW w:w="2800" w:type="dxa"/>
            <w:vAlign w:val="bottom"/>
            <w:tcBorders>
              <w:right w:val="single" w:sz="8" w:color="929292"/>
            </w:tcBorders>
            <w:shd w:val="clear" w:color="auto" w:fill="FAF6EF"/>
          </w:tcPr>
          <w:p>
            <w:pPr>
              <w:ind w:left="20"/>
              <w:spacing w:after="0"/>
              <w:rPr>
                <w:sz w:val="20"/>
                <w:szCs w:val="20"/>
                <w:color w:val="auto"/>
              </w:rPr>
            </w:pPr>
            <w:r>
              <w:rPr>
                <w:rFonts w:ascii="Arial" w:cs="Arial" w:eastAsia="Arial" w:hAnsi="Arial"/>
                <w:sz w:val="16"/>
                <w:szCs w:val="16"/>
                <w:color w:val="auto"/>
              </w:rPr>
              <w:t>retains highly qualified executives.</w:t>
            </w: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measured over a one-year period (33%), and</w:t>
            </w:r>
          </w:p>
        </w:tc>
        <w:tc>
          <w:tcPr>
            <w:tcW w:w="0" w:type="dxa"/>
            <w:vAlign w:val="bottom"/>
          </w:tcPr>
          <w:p>
            <w:pPr>
              <w:spacing w:after="0"/>
              <w:rPr>
                <w:sz w:val="1"/>
                <w:szCs w:val="1"/>
                <w:color w:val="auto"/>
              </w:rPr>
            </w:pPr>
          </w:p>
        </w:tc>
      </w:tr>
      <w:tr>
        <w:trPr>
          <w:trHeight w:val="324"/>
        </w:trPr>
        <w:tc>
          <w:tcPr>
            <w:tcW w:w="2260" w:type="dxa"/>
            <w:vAlign w:val="bottom"/>
            <w:tcBorders>
              <w:left w:val="single" w:sz="8" w:color="929292"/>
              <w:right w:val="single" w:sz="8" w:color="929292"/>
            </w:tcBorders>
            <w:shd w:val="clear" w:color="auto" w:fill="FAF6EF"/>
          </w:tcPr>
          <w:p>
            <w:pPr>
              <w:spacing w:after="0"/>
              <w:rPr>
                <w:sz w:val="24"/>
                <w:szCs w:val="24"/>
                <w:color w:val="auto"/>
              </w:rPr>
            </w:pPr>
          </w:p>
        </w:tc>
        <w:tc>
          <w:tcPr>
            <w:tcW w:w="60" w:type="dxa"/>
            <w:vAlign w:val="bottom"/>
            <w:shd w:val="clear" w:color="auto" w:fill="FAF6EF"/>
          </w:tcPr>
          <w:p>
            <w:pPr>
              <w:spacing w:after="0"/>
              <w:rPr>
                <w:sz w:val="24"/>
                <w:szCs w:val="24"/>
                <w:color w:val="auto"/>
              </w:rPr>
            </w:pPr>
          </w:p>
        </w:tc>
        <w:tc>
          <w:tcPr>
            <w:tcW w:w="2800" w:type="dxa"/>
            <w:vAlign w:val="bottom"/>
            <w:tcBorders>
              <w:right w:val="single" w:sz="8" w:color="929292"/>
            </w:tcBorders>
            <w:shd w:val="clear" w:color="auto" w:fill="FAF6EF"/>
          </w:tcPr>
          <w:p>
            <w:pPr>
              <w:spacing w:after="0"/>
              <w:rPr>
                <w:sz w:val="24"/>
                <w:szCs w:val="24"/>
                <w:color w:val="auto"/>
              </w:rPr>
            </w:pP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(iii) time-based RSU awards that vest over three years based on continuous</w:t>
            </w:r>
          </w:p>
        </w:tc>
        <w:tc>
          <w:tcPr>
            <w:tcW w:w="0" w:type="dxa"/>
            <w:vAlign w:val="bottom"/>
          </w:tcPr>
          <w:p>
            <w:pPr>
              <w:spacing w:after="0"/>
              <w:rPr>
                <w:sz w:val="1"/>
                <w:szCs w:val="1"/>
                <w:color w:val="auto"/>
              </w:rPr>
            </w:pPr>
          </w:p>
        </w:tc>
      </w:tr>
      <w:tr>
        <w:trPr>
          <w:trHeight w:val="230"/>
        </w:trPr>
        <w:tc>
          <w:tcPr>
            <w:tcW w:w="2260" w:type="dxa"/>
            <w:vAlign w:val="bottom"/>
            <w:tcBorders>
              <w:left w:val="single" w:sz="8" w:color="929292"/>
              <w:right w:val="single" w:sz="8" w:color="929292"/>
            </w:tcBorders>
            <w:shd w:val="clear" w:color="auto" w:fill="FAF6EF"/>
          </w:tcPr>
          <w:p>
            <w:pPr>
              <w:spacing w:after="0"/>
              <w:rPr>
                <w:sz w:val="19"/>
                <w:szCs w:val="19"/>
                <w:color w:val="auto"/>
              </w:rPr>
            </w:pPr>
          </w:p>
        </w:tc>
        <w:tc>
          <w:tcPr>
            <w:tcW w:w="60" w:type="dxa"/>
            <w:vAlign w:val="bottom"/>
            <w:shd w:val="clear" w:color="auto" w:fill="FAF6EF"/>
          </w:tcPr>
          <w:p>
            <w:pPr>
              <w:spacing w:after="0"/>
              <w:rPr>
                <w:sz w:val="19"/>
                <w:szCs w:val="19"/>
                <w:color w:val="auto"/>
              </w:rPr>
            </w:pPr>
          </w:p>
        </w:tc>
        <w:tc>
          <w:tcPr>
            <w:tcW w:w="2800" w:type="dxa"/>
            <w:vAlign w:val="bottom"/>
            <w:tcBorders>
              <w:right w:val="single" w:sz="8" w:color="929292"/>
            </w:tcBorders>
            <w:shd w:val="clear" w:color="auto" w:fill="FAF6EF"/>
          </w:tcPr>
          <w:p>
            <w:pPr>
              <w:spacing w:after="0"/>
              <w:rPr>
                <w:sz w:val="19"/>
                <w:szCs w:val="19"/>
                <w:color w:val="auto"/>
              </w:rPr>
            </w:pPr>
          </w:p>
        </w:tc>
        <w:tc>
          <w:tcPr>
            <w:tcW w:w="614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service (33%).</w:t>
            </w:r>
          </w:p>
        </w:tc>
        <w:tc>
          <w:tcPr>
            <w:tcW w:w="0" w:type="dxa"/>
            <w:vAlign w:val="bottom"/>
          </w:tcPr>
          <w:p>
            <w:pPr>
              <w:spacing w:after="0"/>
              <w:rPr>
                <w:sz w:val="1"/>
                <w:szCs w:val="1"/>
                <w:color w:val="auto"/>
              </w:rPr>
            </w:pPr>
          </w:p>
        </w:tc>
      </w:tr>
      <w:tr>
        <w:trPr>
          <w:trHeight w:val="150"/>
        </w:trPr>
        <w:tc>
          <w:tcPr>
            <w:tcW w:w="2260" w:type="dxa"/>
            <w:vAlign w:val="bottom"/>
            <w:tcBorders>
              <w:left w:val="single" w:sz="8" w:color="929292"/>
              <w:right w:val="single" w:sz="8" w:color="929292"/>
            </w:tcBorders>
            <w:shd w:val="clear" w:color="auto" w:fill="FAF6EF"/>
          </w:tcPr>
          <w:p>
            <w:pPr>
              <w:spacing w:after="0"/>
              <w:rPr>
                <w:sz w:val="13"/>
                <w:szCs w:val="13"/>
                <w:color w:val="auto"/>
              </w:rPr>
            </w:pPr>
          </w:p>
        </w:tc>
        <w:tc>
          <w:tcPr>
            <w:tcW w:w="60" w:type="dxa"/>
            <w:vAlign w:val="bottom"/>
            <w:shd w:val="clear" w:color="auto" w:fill="FAF6EF"/>
          </w:tcPr>
          <w:p>
            <w:pPr>
              <w:spacing w:after="0"/>
              <w:rPr>
                <w:sz w:val="13"/>
                <w:szCs w:val="13"/>
                <w:color w:val="auto"/>
              </w:rPr>
            </w:pPr>
          </w:p>
        </w:tc>
        <w:tc>
          <w:tcPr>
            <w:tcW w:w="2800" w:type="dxa"/>
            <w:vAlign w:val="bottom"/>
            <w:tcBorders>
              <w:right w:val="single" w:sz="8" w:color="929292"/>
            </w:tcBorders>
            <w:shd w:val="clear" w:color="auto" w:fill="FAF6EF"/>
          </w:tcPr>
          <w:p>
            <w:pPr>
              <w:spacing w:after="0"/>
              <w:rPr>
                <w:sz w:val="13"/>
                <w:szCs w:val="13"/>
                <w:color w:val="auto"/>
              </w:rPr>
            </w:pPr>
          </w:p>
        </w:tc>
        <w:tc>
          <w:tcPr>
            <w:tcW w:w="6140" w:type="dxa"/>
            <w:vAlign w:val="bottom"/>
            <w:tcBorders>
              <w:right w:val="single" w:sz="8" w:color="929292"/>
            </w:tcBorders>
            <w:shd w:val="clear" w:color="auto" w:fill="FAF6EF"/>
          </w:tcPr>
          <w:p>
            <w:pPr>
              <w:spacing w:after="0"/>
              <w:rPr>
                <w:sz w:val="13"/>
                <w:szCs w:val="13"/>
                <w:color w:val="auto"/>
              </w:rPr>
            </w:pPr>
          </w:p>
        </w:tc>
        <w:tc>
          <w:tcPr>
            <w:tcW w:w="0" w:type="dxa"/>
            <w:vAlign w:val="bottom"/>
          </w:tcPr>
          <w:p>
            <w:pPr>
              <w:spacing w:after="0"/>
              <w:rPr>
                <w:sz w:val="1"/>
                <w:szCs w:val="1"/>
                <w:color w:val="auto"/>
              </w:rPr>
            </w:pPr>
          </w:p>
        </w:tc>
      </w:tr>
      <w:tr>
        <w:trPr>
          <w:trHeight w:val="742"/>
        </w:trPr>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40" w:type="dxa"/>
            <w:vAlign w:val="bottom"/>
            <w:gridSpan w:val="2"/>
          </w:tcPr>
          <w:p>
            <w:pPr>
              <w:ind w:left="19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27</w:t>
            </w: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6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-4457065</wp:posOffset>
            </wp:positionV>
            <wp:extent cx="8255"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Compensation Program Governance</w:t>
      </w:r>
    </w:p>
    <w:p>
      <w:pPr>
        <w:spacing w:after="0" w:line="126"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Compensation Committee assesses the effectiveness of our executive compensation program from time to time and reviews risk mitigation and governance matters, which includes maintaining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54400" cy="1877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54400" cy="1877060"/>
                    </a:xfrm>
                    <a:prstGeom prst="rect">
                      <a:avLst/>
                    </a:prstGeom>
                    <a:noFill/>
                  </pic:spPr>
                </pic:pic>
              </a:graphicData>
            </a:graphic>
          </wp:anchor>
        </w:drawing>
      </w:r>
    </w:p>
    <w:p>
      <w:pPr>
        <w:spacing w:after="0" w:line="111" w:lineRule="exact"/>
        <w:rPr>
          <w:sz w:val="20"/>
          <w:szCs w:val="20"/>
          <w:color w:val="auto"/>
        </w:rPr>
      </w:pPr>
    </w:p>
    <w:p>
      <w:pPr>
        <w:ind w:left="120" w:right="60"/>
        <w:spacing w:after="0" w:line="334" w:lineRule="auto"/>
        <w:rPr>
          <w:sz w:val="20"/>
          <w:szCs w:val="20"/>
          <w:color w:val="auto"/>
        </w:rPr>
      </w:pPr>
      <w:r>
        <w:rPr>
          <w:rFonts w:ascii="Arial" w:cs="Arial" w:eastAsia="Arial" w:hAnsi="Arial"/>
          <w:sz w:val="16"/>
          <w:szCs w:val="16"/>
          <w:color w:val="auto"/>
        </w:rPr>
        <w:t>Pay for Performance philosophy with a majority of annual compensation at risk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Ownership Guidelines with rigorous share ownership requirements</w:t>
      </w:r>
    </w:p>
    <w:p>
      <w:pPr>
        <w:spacing w:after="0" w:line="100" w:lineRule="exact"/>
        <w:rPr>
          <w:sz w:val="20"/>
          <w:szCs w:val="20"/>
          <w:color w:val="auto"/>
        </w:rPr>
      </w:pPr>
    </w:p>
    <w:p>
      <w:pPr>
        <w:ind w:left="120"/>
        <w:spacing w:after="0" w:line="334" w:lineRule="auto"/>
        <w:rPr>
          <w:sz w:val="20"/>
          <w:szCs w:val="20"/>
          <w:color w:val="auto"/>
        </w:rPr>
      </w:pPr>
      <w:r>
        <w:rPr>
          <w:rFonts w:ascii="Arial" w:cs="Arial" w:eastAsia="Arial" w:hAnsi="Arial"/>
          <w:sz w:val="16"/>
          <w:szCs w:val="16"/>
          <w:color w:val="auto"/>
        </w:rPr>
        <w:t>Double-trigger equity acceleration in connection with a change in control, requiring both a change in control and qualifying termination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Independent executive compensation consultant retained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assessment of risk and mitigation practices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Regular review of share utilization, dilution and cost</w:t>
      </w:r>
    </w:p>
    <w:p>
      <w:pPr>
        <w:spacing w:after="0" w:line="100" w:lineRule="exact"/>
        <w:rPr>
          <w:sz w:val="20"/>
          <w:szCs w:val="20"/>
          <w:color w:val="auto"/>
        </w:rPr>
      </w:pPr>
    </w:p>
    <w:p>
      <w:pPr>
        <w:ind w:left="120" w:right="160"/>
        <w:spacing w:after="0" w:line="334" w:lineRule="auto"/>
        <w:rPr>
          <w:sz w:val="20"/>
          <w:szCs w:val="20"/>
          <w:color w:val="auto"/>
        </w:rPr>
      </w:pPr>
      <w:r>
        <w:rPr>
          <w:rFonts w:ascii="Arial" w:cs="Arial" w:eastAsia="Arial" w:hAnsi="Arial"/>
          <w:sz w:val="16"/>
          <w:szCs w:val="16"/>
          <w:color w:val="auto"/>
        </w:rPr>
        <w:t>Robust engagement with stockholders on compensation and corporate governance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Clawback Policy established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66675</wp:posOffset>
            </wp:positionV>
            <wp:extent cx="3522980" cy="10115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22980" cy="10115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No excise tax or other tax gross ups upon a 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 perquisites or executive fringe benefits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No fixed term or evergreen employment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 guaranteed bonuses</w:t>
      </w:r>
    </w:p>
    <w:p>
      <w:pPr>
        <w:spacing w:after="0" w:line="1563" w:lineRule="exact"/>
        <w:rPr>
          <w:sz w:val="20"/>
          <w:szCs w:val="20"/>
          <w:color w:val="auto"/>
        </w:rPr>
      </w:pPr>
    </w:p>
    <w:p>
      <w:pPr>
        <w:sectPr>
          <w:pgSz w:w="11900" w:h="16838" w:orient="portrait"/>
          <w:cols w:equalWidth="0" w:num="2">
            <w:col w:w="5340" w:space="480"/>
            <w:col w:w="5420"/>
          </w:cols>
          <w:pgMar w:left="320" w:top="773"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Used in Determining Executive Compensation</w:t>
      </w:r>
    </w:p>
    <w:p>
      <w:pPr>
        <w:spacing w:after="0" w:line="13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evaluating our executive compensation policies and programs, as well as the short-term and long-term value of our executive compensation plans, we consider both the performance and skills of each of our NEOs,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do not have any formal policies for allocating compensation among salary, bonus awards and equity grants. Instead, the Compensation Committee and Board set the compensation of our NEOs at levels they determine to be competitive and appropriate for each NEO, using compensation information benchmarked against our peer companies and those companies against whom we compete for talent and the professional experience and judgment of Compensation Committee and Board members. However, in order to align the NEOs’ incentives with the interests of our stockholders and corporate goals, a significant portion of the NEOs’ total target compensation is comprised of performance-based quarterly cash bonus opportunities and long-term equity awards that vest based upon achievement of performance goals and also upon continuous service over time. Separately, upon initial commencement of employment, our NEOs generally are awarded an initial new hire equity grant. We may also make equity grants to our NEOs in connection with promotions on a case-by-case basis. New hire and promotion equity grants are based primarily on competitive conditions applicable to each specific executive position, and no such grants were made in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t>In making NEO compensation decisions, the Compensation Committee and Board generally take into consideration the following factors:</w:t>
      </w:r>
    </w:p>
    <w:p>
      <w:pPr>
        <w:spacing w:after="0" w:line="208" w:lineRule="exact"/>
        <w:rPr>
          <w:sz w:val="20"/>
          <w:szCs w:val="20"/>
          <w:color w:val="auto"/>
        </w:rPr>
      </w:pPr>
    </w:p>
    <w:p>
      <w:pPr>
        <w:ind w:left="300" w:hanging="13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Our prior performance and existing business needs;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Each NEO’s individual performance, scope of job function and the criticality of the NEO’s skill set to our future performance;</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Internal pay equity;</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The need to attract new talent to our executive team and retain existing talent in a highly competitive industry;</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A range of market data reference points, as described above under “Use of Competitive Market Compensation Data;” and</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Recommendations from consultants on compensation policy determinations.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Determine Executive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the Compensation Committee and the Board</w:t>
      </w:r>
    </w:p>
    <w:p>
      <w:pPr>
        <w:spacing w:after="0" w:line="13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Compensation Committee is appointed by the Board to assist with the Board’s oversight of our compensation policies, plans and programs, administration of our equity plans and its responsibilities related to the compensation of our NEOs, directors and senior management, as appropriate. The Compensation Committee meets periodically throughout the year to manage and evaluate our executive compensation program and generally determines on an annual basis the principal components of compensation (base salary, quarterly performance cash bonuses and equity awards) for our NEOs, and the Compensation Committee also approves cash bonus payments on a quarterly basis based on the quarterly performance of our NEOs and of our company. The Compensation Committee may form and delegate authority to subcommittees as appropriate. However, the Compensation Committee does not delegate authority to approve NEO compensation. The Compensation Committee does not maintain a formal policy regarding the timing of granting equity awards to our NEOs, but typically does so during the beginning of each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Management</w:t>
      </w:r>
    </w:p>
    <w:p>
      <w:pPr>
        <w:spacing w:after="0" w:line="13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Compensation Committee works with and receives information and analysis from management, including our legal, finance and human resources departments, and our CEO, and considers the information and analyses in determining the structure and amount of compensation to be paid to our employees, including our NEOs. Our legal, finance and human resources departments work with our CEO to: design and develop recommended compensation programs for our NEOs and other senior executives; recommend changes to existing compensation programs; recommend financial and other performance targets to be achieved under those programs; prepare analyses of financial data; prepare peer data comparisons and other briefing materials; and ultimately implement the decisions of the Compensation Committee. Our CEO evaluates the individual performance of the other NEOs and provides the Compensation Committee with such NEO performance assessments and management’s recommendations and proposals regarding NEO compensation programs and decisions affecting base salaries, performance bonuses, equity compensation and other compensation-related matters outside of the presence of any other NEOs. However, the Compensation Committee and the Board retain the final authority to make all compensation decisions. While the CEO and members of our management team discuss recommendations and compensation arrangements with the Compensation Committee, they do not participate in the deliberations concerning or the determination of their own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the Compensation Consultant</w:t>
      </w:r>
    </w:p>
    <w:p>
      <w:pPr>
        <w:spacing w:after="0" w:line="13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retained Compensia as its compensation consultant. Compensia was engaged to support a review of our approach to executive compensation with a focus on finalizing a methodology that would be responsive to investor input, be aligned with our internal culture and compensation objectives, and be competitive with practices among comparable companies. The Compensation Committee engages with Compensia periodically to provide input every other year as it did with the redesign of the executive compensation program in for 2023 and more recently for an evaluation of our 2025 executive compensation program. The Compensation Committee assessed the independence of Compensia pursuant to SEC rules and concluded that no conflict of interest existed that would have prevented Compensia from serving as an independent consultant to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Use of Competitive Market Compensation Data</w:t>
      </w:r>
    </w:p>
    <w:p>
      <w:pPr>
        <w:spacing w:after="0" w:line="133"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We strive to attract and retain the most highly qualified employees and NEOs in an extremely competitive market. Accordingly, the Compensation Committee believes it is important when making its compensation decisions to be informed as to the competitive market for executive talent, including the current practices of comparable public companies with which we compete for such talent.</w:t>
      </w:r>
    </w:p>
    <w:p>
      <w:pPr>
        <w:spacing w:after="0" w:line="10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Compensation Committee regularly reviews our peer group to determine if adjustments are necessary to ensure that the data derived from the group continues to represent current market practices. From time to time, the Compensation Committee will revise the peer group when it determines that additional or different peer companies or groups are necessary to provide appropriate information on market practices and compensation levels. For 2024, the Compensation Committee made changes to the peer group, which resulted in the following list of peer companies: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ADT, Inc.</w:t>
            </w:r>
          </w:p>
        </w:tc>
        <w:tc>
          <w:tcPr>
            <w:tcW w:w="374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Qorvo, Inc.</w:t>
            </w:r>
          </w:p>
        </w:tc>
        <w:tc>
          <w:tcPr>
            <w:tcW w:w="376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SunPower, Inc.</w:t>
            </w:r>
            <w:r>
              <w:rPr>
                <w:rFonts w:ascii="Arial" w:cs="Arial" w:eastAsia="Arial" w:hAnsi="Arial"/>
                <w:sz w:val="21"/>
                <w:szCs w:val="21"/>
                <w:color w:val="auto"/>
                <w:vertAlign w:val="superscript"/>
              </w:rPr>
              <w:t>(1)</w:t>
            </w:r>
          </w:p>
        </w:tc>
      </w:tr>
      <w:tr>
        <w:trPr>
          <w:trHeight w:val="235"/>
        </w:trPr>
        <w:tc>
          <w:tcPr>
            <w:tcW w:w="37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Alarm.com Holdings, Inc.</w:t>
            </w:r>
          </w:p>
        </w:tc>
        <w:tc>
          <w:tcPr>
            <w:tcW w:w="3740" w:type="dxa"/>
            <w:vAlign w:val="bottom"/>
            <w:tcBorders>
              <w:right w:val="single" w:sz="8" w:color="929292"/>
            </w:tcBorders>
          </w:tcPr>
          <w:p>
            <w:pPr>
              <w:ind w:left="80"/>
              <w:spacing w:after="0"/>
              <w:rPr>
                <w:sz w:val="20"/>
                <w:szCs w:val="20"/>
                <w:color w:val="auto"/>
              </w:rPr>
            </w:pPr>
            <w:r>
              <w:rPr>
                <w:rFonts w:ascii="Arial" w:cs="Arial" w:eastAsia="Arial" w:hAnsi="Arial"/>
                <w:sz w:val="16"/>
                <w:szCs w:val="16"/>
                <w:color w:val="auto"/>
              </w:rPr>
              <w:t>Resideo Technologies, Inc.</w:t>
            </w:r>
          </w:p>
        </w:tc>
        <w:tc>
          <w:tcPr>
            <w:tcW w:w="376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Sunrun, Inc.</w:t>
            </w:r>
          </w:p>
        </w:tc>
      </w:tr>
      <w:tr>
        <w:trPr>
          <w:trHeight w:val="251"/>
        </w:trPr>
        <w:tc>
          <w:tcPr>
            <w:tcW w:w="3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First Solar, Inc.</w:t>
            </w:r>
          </w:p>
        </w:tc>
        <w:tc>
          <w:tcPr>
            <w:tcW w:w="374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SolarEdge Technologies, Inc.</w:t>
            </w:r>
          </w:p>
        </w:tc>
        <w:tc>
          <w:tcPr>
            <w:tcW w:w="376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Teradyne, Inc.</w:t>
            </w:r>
          </w:p>
        </w:tc>
      </w:tr>
      <w:tr>
        <w:trPr>
          <w:trHeight w:val="291"/>
        </w:trPr>
        <w:tc>
          <w:tcPr>
            <w:tcW w:w="37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Generac Holdings, Inc.</w:t>
            </w:r>
          </w:p>
        </w:tc>
        <w:tc>
          <w:tcPr>
            <w:tcW w:w="3740" w:type="dxa"/>
            <w:vAlign w:val="bottom"/>
            <w:tcBorders>
              <w:right w:val="single" w:sz="8" w:color="929292"/>
            </w:tcBorders>
          </w:tcPr>
          <w:p>
            <w:pPr>
              <w:ind w:left="80"/>
              <w:spacing w:after="0"/>
              <w:rPr>
                <w:sz w:val="20"/>
                <w:szCs w:val="20"/>
                <w:color w:val="auto"/>
              </w:rPr>
            </w:pPr>
            <w:r>
              <w:rPr>
                <w:rFonts w:ascii="Arial" w:cs="Arial" w:eastAsia="Arial" w:hAnsi="Arial"/>
                <w:sz w:val="16"/>
                <w:szCs w:val="16"/>
                <w:color w:val="auto"/>
              </w:rPr>
              <w:t>Sunnova</w:t>
            </w:r>
            <w:r>
              <w:rPr>
                <w:rFonts w:ascii="Arial" w:cs="Arial" w:eastAsia="Arial" w:hAnsi="Arial"/>
                <w:sz w:val="21"/>
                <w:szCs w:val="21"/>
                <w:color w:val="auto"/>
                <w:vertAlign w:val="superscript"/>
              </w:rPr>
              <w:t>(1)</w:t>
            </w:r>
          </w:p>
        </w:tc>
        <w:tc>
          <w:tcPr>
            <w:tcW w:w="376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Wolfspeed, Inc.</w:t>
            </w:r>
          </w:p>
        </w:tc>
      </w:tr>
      <w:tr>
        <w:trPr>
          <w:trHeight w:val="249"/>
        </w:trPr>
        <w:tc>
          <w:tcPr>
            <w:tcW w:w="3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Monolithic Power Systems, Inc.</w:t>
            </w:r>
          </w:p>
        </w:tc>
        <w:tc>
          <w:tcPr>
            <w:tcW w:w="3740" w:type="dxa"/>
            <w:vAlign w:val="bottom"/>
            <w:tcBorders>
              <w:right w:val="single" w:sz="8" w:color="929292"/>
            </w:tcBorders>
            <w:shd w:val="clear" w:color="auto" w:fill="FAF6EF"/>
          </w:tcPr>
          <w:p>
            <w:pPr>
              <w:spacing w:after="0"/>
              <w:rPr>
                <w:sz w:val="21"/>
                <w:szCs w:val="21"/>
                <w:color w:val="auto"/>
              </w:rPr>
            </w:pPr>
          </w:p>
        </w:tc>
        <w:tc>
          <w:tcPr>
            <w:tcW w:w="3760" w:type="dxa"/>
            <w:vAlign w:val="bottom"/>
            <w:tcBorders>
              <w:right w:val="single" w:sz="8" w:color="929292"/>
            </w:tcBorders>
            <w:shd w:val="clear" w:color="auto" w:fill="FAF6EF"/>
          </w:tcPr>
          <w:p>
            <w:pPr>
              <w:spacing w:after="0"/>
              <w:rPr>
                <w:sz w:val="21"/>
                <w:szCs w:val="21"/>
                <w:color w:val="auto"/>
              </w:rPr>
            </w:pPr>
          </w:p>
        </w:tc>
      </w:tr>
      <w:tr>
        <w:trPr>
          <w:trHeight w:val="363"/>
        </w:trPr>
        <w:tc>
          <w:tcPr>
            <w:tcW w:w="3760" w:type="dxa"/>
            <w:vAlign w:val="bottom"/>
          </w:tcPr>
          <w:p>
            <w:pPr>
              <w:spacing w:after="0"/>
              <w:rPr>
                <w:sz w:val="20"/>
                <w:szCs w:val="20"/>
                <w:color w:val="auto"/>
              </w:rPr>
            </w:pPr>
            <w:r>
              <w:rPr>
                <w:rFonts w:ascii="Arial" w:cs="Arial" w:eastAsia="Arial" w:hAnsi="Arial"/>
                <w:sz w:val="22"/>
                <w:szCs w:val="22"/>
                <w:b w:val="1"/>
                <w:bCs w:val="1"/>
                <w:color w:val="auto"/>
              </w:rPr>
              <w:t>________</w:t>
            </w: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19" w:lineRule="exact"/>
        <w:rPr>
          <w:sz w:val="20"/>
          <w:szCs w:val="20"/>
          <w:color w:val="auto"/>
        </w:rPr>
      </w:pPr>
    </w:p>
    <w:p>
      <w:pPr>
        <w:jc w:val="both"/>
        <w:ind w:left="340" w:right="20" w:hanging="332"/>
        <w:spacing w:after="0" w:line="283" w:lineRule="auto"/>
        <w:tabs>
          <w:tab w:leader="none" w:pos="325" w:val="left"/>
        </w:tabs>
        <w:numPr>
          <w:ilvl w:val="0"/>
          <w:numId w:val="33"/>
        </w:numPr>
        <w:rPr>
          <w:rFonts w:ascii="Arial" w:cs="Arial" w:eastAsia="Arial" w:hAnsi="Arial"/>
          <w:sz w:val="14"/>
          <w:szCs w:val="14"/>
          <w:color w:val="7D7D7D"/>
        </w:rPr>
      </w:pPr>
      <w:r>
        <w:rPr>
          <w:rFonts w:ascii="Arial" w:cs="Arial" w:eastAsia="Arial" w:hAnsi="Arial"/>
          <w:sz w:val="14"/>
          <w:szCs w:val="14"/>
          <w:color w:val="7D7D7D"/>
        </w:rPr>
        <w:t>New companies added for 2024. Removed the following companies from the 2023 peer group: ChargePoint Holdings, Inc.; Keysight Technologies, Inc.; Lennar Corporation; Marvell Semiconductor, Inc.; Microchip Technology Incorporated; NextEra Energy Partners, LP; ON Semiconductor Corporation; Plug Power, Inc.; Skyworks Solutions, Inc.; and Synaptics Incorporated.</w:t>
      </w:r>
    </w:p>
    <w:p>
      <w:pPr>
        <w:spacing w:after="0" w:line="182"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criteria for the peer group focused on US-based publicly traded semiconductor, electrical component, and solar and home management companies, with a market capitalization between $8.0 billion and $75.0 billion, and revenues of $500.0 million to $4.2 billion. The Compensation Committee believes that the resulting peer group companies represented our talent labor market for key leadership positions.</w:t>
      </w:r>
    </w:p>
    <w:p>
      <w:pPr>
        <w:spacing w:after="0" w:line="12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Compensation Committee did not “benchmark” against a specific percentile of the compensation data derived from our 2024 peer group in setting the compensation of any of our NEOs. Rather, in making executive compensation decisions, the Compensation Committee reviewed compensation data from the 2024 peer group companies (referred to as the market data) as reference points (generally at the 25</w:t>
      </w:r>
      <w:r>
        <w:rPr>
          <w:rFonts w:ascii="Arial" w:cs="Arial" w:eastAsia="Arial" w:hAnsi="Arial"/>
          <w:sz w:val="21"/>
          <w:szCs w:val="21"/>
          <w:color w:val="auto"/>
          <w:vertAlign w:val="superscript"/>
        </w:rPr>
        <w:t>th</w:t>
      </w:r>
      <w:r>
        <w:rPr>
          <w:rFonts w:ascii="Arial" w:cs="Arial" w:eastAsia="Arial" w:hAnsi="Arial"/>
          <w:sz w:val="16"/>
          <w:szCs w:val="16"/>
          <w:color w:val="auto"/>
        </w:rPr>
        <w:t>,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and 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percentiles of the market data). The Compensation Committee’s general aim was for total executive compensation to remain competitive with the market, with individual amounts varying as appropriate based on corporate and individual executive performance, and other factors that were deemed appropriate for consideration. Given that we continue to evolve and grow, the Compensation Committee has not developed a specific market positioning that it consistently aims for in setting compensation levels. Instead, the Compensation Committee determines each element of compensation, and total target cash and equity compensation, for each NEO based on various facts and circumstances appropriate for our company in any given year. Competitive market positioning is only one of several factors, as described above under “Factors Used in Determining Executive Compensation,” that the Compensation Committee considers in making compensation decisions, so individual NEO compensation may therefore fall at varying levels as compared to market data.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2024 Executive Compensation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33"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The Compensation Committee generally reviews our NEOs’ base salaries on an annual basis. The annual base salaries for our NEOs for 2024 are set forth in the chart below. The annual base salaries of our NEOs remained unchanged in 2024, as compared with 2023 levels, because the Compensation Committee determined that each NEO’s total compensation – comprised of salary, bonus and equity awards – remained competitive based on market data. The Compensation Committee believes it is more important to tie a greater percentage of each NEO’s total compensation to rewarding performance, whether through cash bonus payments or performance-based equity awards that can be earned based on Relative TSR and the achievement of SMART Goals, as further described below.</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638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2440" w:type="dxa"/>
            <w:vAlign w:val="bottom"/>
            <w:tcBorders>
              <w:right w:val="single" w:sz="8" w:color="3C3C3C"/>
            </w:tcBorders>
            <w:shd w:val="clear" w:color="auto" w:fill="3C3C3C"/>
          </w:tcPr>
          <w:p>
            <w:pPr>
              <w:ind w:left="800"/>
              <w:spacing w:after="0"/>
              <w:rPr>
                <w:sz w:val="20"/>
                <w:szCs w:val="20"/>
                <w:color w:val="auto"/>
              </w:rPr>
            </w:pPr>
            <w:r>
              <w:rPr>
                <w:rFonts w:ascii="Arial" w:cs="Arial" w:eastAsia="Arial" w:hAnsi="Arial"/>
                <w:sz w:val="14"/>
                <w:szCs w:val="14"/>
                <w:b w:val="1"/>
                <w:bCs w:val="1"/>
                <w:color w:val="FFFFFF"/>
              </w:rPr>
              <w:t>Base Salary</w:t>
            </w:r>
          </w:p>
        </w:tc>
        <w:tc>
          <w:tcPr>
            <w:tcW w:w="2440" w:type="dxa"/>
            <w:vAlign w:val="bottom"/>
            <w:tcBorders>
              <w:right w:val="single" w:sz="8" w:color="3C3C3C"/>
            </w:tcBorders>
            <w:shd w:val="clear" w:color="auto" w:fill="3C3C3C"/>
          </w:tcPr>
          <w:p>
            <w:pPr>
              <w:ind w:left="800"/>
              <w:spacing w:after="0"/>
              <w:rPr>
                <w:sz w:val="20"/>
                <w:szCs w:val="20"/>
                <w:color w:val="auto"/>
              </w:rPr>
            </w:pPr>
            <w:r>
              <w:rPr>
                <w:rFonts w:ascii="Arial" w:cs="Arial" w:eastAsia="Arial" w:hAnsi="Arial"/>
                <w:sz w:val="14"/>
                <w:szCs w:val="14"/>
                <w:b w:val="1"/>
                <w:bCs w:val="1"/>
                <w:color w:val="FFFFFF"/>
              </w:rPr>
              <w:t>Base Salary</w:t>
            </w:r>
          </w:p>
        </w:tc>
        <w:tc>
          <w:tcPr>
            <w:tcW w:w="0" w:type="dxa"/>
            <w:vAlign w:val="bottom"/>
          </w:tcPr>
          <w:p>
            <w:pPr>
              <w:spacing w:after="0"/>
              <w:rPr>
                <w:sz w:val="1"/>
                <w:szCs w:val="1"/>
                <w:color w:val="auto"/>
              </w:rPr>
            </w:pPr>
          </w:p>
        </w:tc>
      </w:tr>
      <w:tr>
        <w:trPr>
          <w:trHeight w:val="176"/>
        </w:trPr>
        <w:tc>
          <w:tcPr>
            <w:tcW w:w="6380" w:type="dxa"/>
            <w:vAlign w:val="bottom"/>
            <w:tcBorders>
              <w:left w:val="single" w:sz="8" w:color="3C3C3C"/>
              <w:right w:val="single" w:sz="8" w:color="3C3C3C"/>
            </w:tcBorders>
            <w:vMerge w:val="continue"/>
            <w:shd w:val="clear" w:color="auto" w:fill="3C3C3C"/>
          </w:tcPr>
          <w:p>
            <w:pPr>
              <w:spacing w:after="0"/>
              <w:rPr>
                <w:sz w:val="15"/>
                <w:szCs w:val="15"/>
                <w:color w:val="auto"/>
              </w:rPr>
            </w:pPr>
          </w:p>
        </w:tc>
        <w:tc>
          <w:tcPr>
            <w:tcW w:w="24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(12/31/2023)</w:t>
            </w:r>
          </w:p>
        </w:tc>
        <w:tc>
          <w:tcPr>
            <w:tcW w:w="24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(12/31/2024)</w:t>
            </w:r>
          </w:p>
        </w:tc>
        <w:tc>
          <w:tcPr>
            <w:tcW w:w="0" w:type="dxa"/>
            <w:vAlign w:val="bottom"/>
          </w:tcPr>
          <w:p>
            <w:pPr>
              <w:spacing w:after="0"/>
              <w:rPr>
                <w:sz w:val="1"/>
                <w:szCs w:val="1"/>
                <w:color w:val="auto"/>
              </w:rPr>
            </w:pPr>
          </w:p>
        </w:tc>
      </w:tr>
      <w:tr>
        <w:trPr>
          <w:trHeight w:val="196"/>
        </w:trPr>
        <w:tc>
          <w:tcPr>
            <w:tcW w:w="6380" w:type="dxa"/>
            <w:vAlign w:val="bottom"/>
            <w:tcBorders>
              <w:left w:val="single" w:sz="8" w:color="3C3C3C"/>
              <w:right w:val="single" w:sz="8" w:color="3C3C3C"/>
            </w:tcBorders>
            <w:shd w:val="clear" w:color="auto" w:fill="3C3C3C"/>
          </w:tcPr>
          <w:p>
            <w:pPr>
              <w:spacing w:after="0"/>
              <w:rPr>
                <w:sz w:val="17"/>
                <w:szCs w:val="17"/>
                <w:color w:val="auto"/>
              </w:rPr>
            </w:pPr>
          </w:p>
        </w:tc>
        <w:tc>
          <w:tcPr>
            <w:tcW w:w="24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24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7"/>
        </w:trPr>
        <w:tc>
          <w:tcPr>
            <w:tcW w:w="6380" w:type="dxa"/>
            <w:vAlign w:val="bottom"/>
            <w:tcBorders>
              <w:left w:val="single" w:sz="8" w:color="3C3C3C"/>
              <w:right w:val="single" w:sz="8" w:color="3C3C3C"/>
            </w:tcBorders>
            <w:shd w:val="clear" w:color="auto" w:fill="3C3C3C"/>
          </w:tcPr>
          <w:p>
            <w:pPr>
              <w:spacing w:after="0"/>
              <w:rPr>
                <w:sz w:val="8"/>
                <w:szCs w:val="8"/>
                <w:color w:val="auto"/>
              </w:rPr>
            </w:pPr>
          </w:p>
        </w:tc>
        <w:tc>
          <w:tcPr>
            <w:tcW w:w="2440" w:type="dxa"/>
            <w:vAlign w:val="bottom"/>
            <w:tcBorders>
              <w:right w:val="single" w:sz="8" w:color="3C3C3C"/>
            </w:tcBorders>
            <w:shd w:val="clear" w:color="auto" w:fill="3C3C3C"/>
          </w:tcPr>
          <w:p>
            <w:pPr>
              <w:spacing w:after="0"/>
              <w:rPr>
                <w:sz w:val="8"/>
                <w:szCs w:val="8"/>
                <w:color w:val="auto"/>
              </w:rPr>
            </w:pPr>
          </w:p>
        </w:tc>
        <w:tc>
          <w:tcPr>
            <w:tcW w:w="2440" w:type="dxa"/>
            <w:vAlign w:val="bottom"/>
            <w:tcBorders>
              <w:right w:val="single" w:sz="8" w:color="3C3C3C"/>
            </w:tcBorders>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38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450,000</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239"/>
        </w:trPr>
        <w:tc>
          <w:tcPr>
            <w:tcW w:w="638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24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367,500</w:t>
            </w:r>
          </w:p>
        </w:tc>
        <w:tc>
          <w:tcPr>
            <w:tcW w:w="24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367,500</w:t>
            </w:r>
          </w:p>
        </w:tc>
        <w:tc>
          <w:tcPr>
            <w:tcW w:w="0" w:type="dxa"/>
            <w:vAlign w:val="bottom"/>
          </w:tcPr>
          <w:p>
            <w:pPr>
              <w:spacing w:after="0"/>
              <w:rPr>
                <w:sz w:val="1"/>
                <w:szCs w:val="1"/>
                <w:color w:val="auto"/>
              </w:rPr>
            </w:pPr>
          </w:p>
        </w:tc>
      </w:tr>
      <w:tr>
        <w:trPr>
          <w:trHeight w:val="301"/>
        </w:trPr>
        <w:tc>
          <w:tcPr>
            <w:tcW w:w="638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r>
              <w:rPr>
                <w:rFonts w:ascii="Arial" w:cs="Arial" w:eastAsia="Arial" w:hAnsi="Arial"/>
                <w:sz w:val="21"/>
                <w:szCs w:val="21"/>
                <w:b w:val="1"/>
                <w:bCs w:val="1"/>
                <w:color w:val="auto"/>
                <w:vertAlign w:val="superscript"/>
              </w:rPr>
              <w:t>(1)</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400,000</w:t>
            </w:r>
          </w:p>
        </w:tc>
        <w:tc>
          <w:tcPr>
            <w:tcW w:w="24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4"/>
          <w:szCs w:val="14"/>
          <w:color w:val="7D7D7D"/>
        </w:rPr>
      </w:pPr>
      <w:r>
        <w:rPr>
          <w:rFonts w:ascii="Arial" w:cs="Arial" w:eastAsia="Arial" w:hAnsi="Arial"/>
          <w:sz w:val="14"/>
          <w:szCs w:val="14"/>
          <w:color w:val="7D7D7D"/>
        </w:rPr>
        <w:t>Mr. Ranhoff’s base salary was decreased from $400,000 to $200,000 effective as of July 1, 2024 in connection with his transition to part-time Commercial Advisor.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Metrics — SMART Goals</w:t>
      </w:r>
    </w:p>
    <w:p>
      <w:pPr>
        <w:spacing w:after="0" w:line="133"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SMART goals are a core component of both our 2024 Bonus Program and our 2024 PSP. “SMART” goals are targets that are: specific, measurable, achievable, relevant and time based. At the beginning of each year, the Board approves the annual CEO goals (the “Annual CEO SMART Goals”) and the quarterly CEO goals (the “Quarterly CEO SMART Goals”).</w:t>
      </w:r>
    </w:p>
    <w:p>
      <w:pPr>
        <w:spacing w:after="0" w:line="124"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The 2024 Annual CEO SMART Goals and the Quarterly CEO SMART Goals (collectively, the “CEO Goals”) were designed to be aggressive and rigorous, but attainable with significant skill and effort. When the CEO Goals were defined in early January 2024, the Compensation Committee and the Board believed that the CEO Goals were rigorous and substantially uncertain to be achieved. Both the 2024 Annual CEO SMART Goals and the Quarterly CEO SMART Goals used the concept of a balanced scorecard that covered ten categories that we believe are important for both the short- and long-term growth of Enphase: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057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0575" cy="146050"/>
                    </a:xfrm>
                    <a:prstGeom prst="rect">
                      <a:avLst/>
                    </a:prstGeom>
                    <a:noFill/>
                  </pic:spPr>
                </pic:pic>
              </a:graphicData>
            </a:graphic>
          </wp:anchor>
        </w:drawing>
      </w:r>
    </w:p>
    <w:p>
      <w:pPr>
        <w:sectPr>
          <w:pgSz w:w="11900" w:h="16838" w:orient="portrait"/>
          <w:cols w:equalWidth="0" w:num="1">
            <w:col w:w="11260"/>
          </w:cols>
          <w:pgMar w:left="320" w:top="989" w:right="319" w:bottom="1440" w:gutter="0" w:footer="0" w:header="0"/>
        </w:sect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Category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Revenue growth</w:t>
      </w:r>
    </w:p>
    <w:p>
      <w:pPr>
        <w:spacing w:after="0" w:line="167" w:lineRule="exact"/>
        <w:rPr>
          <w:sz w:val="20"/>
          <w:szCs w:val="20"/>
          <w:color w:val="auto"/>
        </w:rPr>
      </w:pPr>
    </w:p>
    <w:p>
      <w:pPr>
        <w:ind w:left="120" w:right="420"/>
        <w:spacing w:after="0" w:line="290" w:lineRule="auto"/>
        <w:rPr>
          <w:sz w:val="20"/>
          <w:szCs w:val="20"/>
          <w:color w:val="auto"/>
        </w:rPr>
      </w:pPr>
      <w:r>
        <w:rPr>
          <w:rFonts w:ascii="Arial" w:cs="Arial" w:eastAsia="Arial" w:hAnsi="Arial"/>
          <w:sz w:val="16"/>
          <w:szCs w:val="16"/>
          <w:b w:val="1"/>
          <w:bCs w:val="1"/>
          <w:color w:val="auto"/>
        </w:rPr>
        <w:t>Profit before taxes</w:t>
      </w:r>
    </w:p>
    <w:p>
      <w:pPr>
        <w:spacing w:after="0" w:line="1" w:lineRule="exact"/>
        <w:rPr>
          <w:sz w:val="20"/>
          <w:szCs w:val="20"/>
          <w:color w:val="auto"/>
        </w:rPr>
      </w:pPr>
    </w:p>
    <w:p>
      <w:pPr>
        <w:ind w:left="120" w:right="300"/>
        <w:spacing w:after="0" w:line="490" w:lineRule="auto"/>
        <w:rPr>
          <w:sz w:val="20"/>
          <w:szCs w:val="20"/>
          <w:color w:val="auto"/>
        </w:rPr>
      </w:pPr>
      <w:r>
        <w:rPr>
          <w:rFonts w:ascii="Arial" w:cs="Arial" w:eastAsia="Arial" w:hAnsi="Arial"/>
          <w:sz w:val="16"/>
          <w:szCs w:val="16"/>
          <w:b w:val="1"/>
          <w:bCs w:val="1"/>
          <w:color w:val="auto"/>
        </w:rPr>
        <w:t>New products Innovation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Operations and IT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Quality</w:t>
      </w:r>
    </w:p>
    <w:p>
      <w:pPr>
        <w:spacing w:after="0" w:line="167" w:lineRule="exact"/>
        <w:rPr>
          <w:sz w:val="20"/>
          <w:szCs w:val="20"/>
          <w:color w:val="auto"/>
        </w:rPr>
      </w:pPr>
    </w:p>
    <w:p>
      <w:pPr>
        <w:ind w:left="120" w:right="320"/>
        <w:spacing w:after="0" w:line="290" w:lineRule="auto"/>
        <w:rPr>
          <w:sz w:val="20"/>
          <w:szCs w:val="20"/>
          <w:color w:val="auto"/>
        </w:rPr>
      </w:pPr>
      <w:r>
        <w:rPr>
          <w:rFonts w:ascii="Arial" w:cs="Arial" w:eastAsia="Arial" w:hAnsi="Arial"/>
          <w:sz w:val="16"/>
          <w:szCs w:val="16"/>
          <w:b w:val="1"/>
          <w:bCs w:val="1"/>
          <w:color w:val="auto"/>
        </w:rPr>
        <w:t>Ease of doing business</w:t>
      </w:r>
    </w:p>
    <w:p>
      <w:pPr>
        <w:spacing w:after="0" w:line="1" w:lineRule="exact"/>
        <w:rPr>
          <w:sz w:val="20"/>
          <w:szCs w:val="20"/>
          <w:color w:val="auto"/>
        </w:rPr>
      </w:pPr>
    </w:p>
    <w:p>
      <w:pPr>
        <w:ind w:left="120" w:right="20"/>
        <w:spacing w:after="0" w:line="376" w:lineRule="auto"/>
        <w:rPr>
          <w:sz w:val="20"/>
          <w:szCs w:val="20"/>
          <w:color w:val="auto"/>
        </w:rPr>
      </w:pPr>
      <w:r>
        <w:rPr>
          <w:rFonts w:ascii="Arial" w:cs="Arial" w:eastAsia="Arial" w:hAnsi="Arial"/>
          <w:sz w:val="16"/>
          <w:szCs w:val="16"/>
          <w:b w:val="1"/>
          <w:bCs w:val="1"/>
          <w:color w:val="auto"/>
        </w:rPr>
        <w:t>Human resources Marketing ESG</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32385</wp:posOffset>
            </wp:positionV>
            <wp:extent cx="7140575" cy="2314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2314575"/>
                    </a:xfrm>
                    <a:prstGeom prst="rect">
                      <a:avLst/>
                    </a:prstGeom>
                    <a:noFill/>
                  </pic:spPr>
                </pic:pic>
              </a:graphicData>
            </a:graphic>
          </wp:anchor>
        </w:drawing>
      </w:r>
    </w:p>
    <w:p>
      <w:pPr>
        <w:spacing w:after="0" w:line="4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Focuses management to pursue strategies that promote sustainable, long-term growth; provides clear and measurable targets important to stockholders</w:t>
      </w:r>
    </w:p>
    <w:p>
      <w:pPr>
        <w:spacing w:after="0" w:line="102" w:lineRule="exact"/>
        <w:rPr>
          <w:sz w:val="20"/>
          <w:szCs w:val="20"/>
          <w:color w:val="auto"/>
        </w:rPr>
      </w:pPr>
    </w:p>
    <w:p>
      <w:pPr>
        <w:ind w:right="960"/>
        <w:spacing w:after="0" w:line="387" w:lineRule="auto"/>
        <w:rPr>
          <w:sz w:val="20"/>
          <w:szCs w:val="20"/>
          <w:color w:val="auto"/>
        </w:rPr>
      </w:pPr>
      <w:r>
        <w:rPr>
          <w:rFonts w:ascii="Arial" w:cs="Arial" w:eastAsia="Arial" w:hAnsi="Arial"/>
          <w:sz w:val="16"/>
          <w:szCs w:val="16"/>
          <w:color w:val="auto"/>
        </w:rPr>
        <w:t>Focuses management on operational efficiency that can promote sustainable growth, and encourages cost management Ensures the company remains competitive, which can lead to revenue and profit growth</w:t>
      </w:r>
    </w:p>
    <w:p>
      <w:pPr>
        <w:spacing w:after="0" w:line="1"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Ensures the company remains competitive, and drives management to explore new markets and adapt to changing market conditions</w:t>
      </w:r>
    </w:p>
    <w:p>
      <w:pPr>
        <w:spacing w:after="0" w:line="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Focuses management on improving operational performance, aligns with our strategic goals, and provides clear and measurable indicators of performance</w:t>
      </w:r>
    </w:p>
    <w:p>
      <w:pPr>
        <w:spacing w:after="0" w:line="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Focuses management on its core principles of customer first, producing high-quality products, and providing products and services that are essential for commercial success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Focuses management on creating a more favorable business environment for our customers, enhancing our competitiveness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Focuses management on creating a healthy and positive work environment</w:t>
      </w:r>
    </w:p>
    <w:p>
      <w:pPr>
        <w:spacing w:after="0" w:line="59" w:lineRule="exact"/>
        <w:rPr>
          <w:sz w:val="20"/>
          <w:szCs w:val="20"/>
          <w:color w:val="auto"/>
        </w:rPr>
      </w:pPr>
    </w:p>
    <w:p>
      <w:pPr>
        <w:ind w:right="2640"/>
        <w:spacing w:after="0" w:line="356" w:lineRule="auto"/>
        <w:rPr>
          <w:sz w:val="20"/>
          <w:szCs w:val="20"/>
          <w:color w:val="auto"/>
        </w:rPr>
      </w:pPr>
      <w:r>
        <w:rPr>
          <w:rFonts w:ascii="Arial" w:cs="Arial" w:eastAsia="Arial" w:hAnsi="Arial"/>
          <w:sz w:val="16"/>
          <w:szCs w:val="16"/>
          <w:color w:val="auto"/>
        </w:rPr>
        <w:t>Incentivizes management to develop successful marketing strategies to drive revenue generation Aligns with our corporate mission to provide a sustainable future for all</w:t>
      </w:r>
    </w:p>
    <w:p>
      <w:pPr>
        <w:spacing w:after="0" w:line="200" w:lineRule="exact"/>
        <w:rPr>
          <w:sz w:val="20"/>
          <w:szCs w:val="20"/>
          <w:color w:val="auto"/>
        </w:rPr>
      </w:pPr>
    </w:p>
    <w:p>
      <w:pPr>
        <w:sectPr>
          <w:pgSz w:w="11900" w:h="16838" w:orient="portrait"/>
          <w:cols w:equalWidth="0" w:num="2">
            <w:col w:w="1500" w:space="160"/>
            <w:col w:w="9600"/>
          </w:cols>
          <w:pgMar w:left="320" w:top="989" w:right="319" w:bottom="1440" w:gutter="0" w:footer="0" w:header="0"/>
          <w:type w:val="continuous"/>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w:t>
      </w:r>
      <w:r>
        <w:rPr>
          <w:rFonts w:ascii="Arial" w:cs="Arial" w:eastAsia="Arial" w:hAnsi="Arial"/>
          <w:sz w:val="12"/>
          <w:szCs w:val="12"/>
          <w:color w:val="F37321"/>
        </w:rPr>
        <w:t xml:space="preserve"> </w:t>
      </w:r>
      <w:r>
        <w:rPr>
          <w:rFonts w:ascii="Arial" w:cs="Arial" w:eastAsia="Arial" w:hAnsi="Arial"/>
          <w:sz w:val="12"/>
          <w:szCs w:val="12"/>
          <w:color w:val="6D6D6D"/>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9" w:right="319" w:bottom="1440" w:gutter="0" w:footer="0" w:header="0"/>
          <w:type w:val="continuous"/>
        </w:sectPr>
      </w:pPr>
    </w:p>
    <w:bookmarkStart w:id="38" w:name="page39"/>
    <w:bookmarkEnd w:id="38"/>
    <w:p>
      <w:pPr>
        <w:jc w:val="both"/>
        <w:spacing w:after="0" w:line="306" w:lineRule="auto"/>
        <w:rPr>
          <w:sz w:val="20"/>
          <w:szCs w:val="20"/>
          <w:color w:val="auto"/>
        </w:rPr>
      </w:pPr>
      <w:r>
        <w:rPr>
          <w:rFonts w:ascii="Arial" w:cs="Arial" w:eastAsia="Arial" w:hAnsi="Arial"/>
          <w:sz w:val="16"/>
          <w:szCs w:val="16"/>
          <w:color w:val="auto"/>
        </w:rPr>
        <w:t>The Compensation Committee believes that the foregoing categories offered the appropriate mix of financial and corporate objectives to best enable our success and growth. Each of the Annual CEO SMART Goals (which served as one of the components in determining the PSU payout under the 2024 PSP) and each of the Quarterly CEO SMART Goals (which served as one of the factors in determining the payout under the 2024 Bonus Program) used the concept of the balanced scorecard to design their respective goals, as further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Short-Term Incentive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2024 Quarterly Performance Cash Bonus Program</w:t>
      </w:r>
    </w:p>
    <w:p>
      <w:pPr>
        <w:spacing w:after="0" w:line="1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Each of our NEOs was eligible for quarterly performance bonuses under the 2024 Bonus Program. The 2024 Bonus Program represented approximately three and half percent of our NEOs’ total target compensation. The 2024 Bonus Program was based on quarterly goals that were measured and paid quarterly, based upon Company and individual performance to better incentivize executives to achieve real-time goals, set at the beginning of each quarter. The Quarterly CEO SMART Goals were designed to drive revenue and gross margin growth and profitability, encourage accountability, drive execution of short-term priorities tied to long-term strategy and annual operating plan objectives, and to recognize and reward our NEOs based upon their achievement of certain individual objectives during a quarter.</w:t>
      </w:r>
    </w:p>
    <w:p>
      <w:pPr>
        <w:spacing w:after="0" w:line="1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Compensation Committee approved target bonus percentages for each NEO under the 2024 Bonus Program, which were unchanged from the 2023 calendar year (the “Bonus Percentage”). Such Bonus Percentages were consistent with our philosophy that a significant portion of each executive’s total target compensation should be tied to performance, and they reflected the Compensation Committee’s review of internal pay equity. The respective target bonus percentages for our NEOs were set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0575"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972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Badrinarayanan Kothandaraman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Mandy Yang</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David Ranhoff</w:t>
      </w:r>
      <w:r>
        <w:rPr>
          <w:rFonts w:ascii="Arial" w:cs="Arial" w:eastAsia="Arial" w:hAnsi="Arial"/>
          <w:sz w:val="21"/>
          <w:szCs w:val="21"/>
          <w:b w:val="1"/>
          <w:bCs w:val="1"/>
          <w:color w:val="auto"/>
          <w:vertAlign w:val="superscript"/>
        </w:rPr>
        <w:t>(1)</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4"/>
          <w:szCs w:val="14"/>
          <w:color w:val="7D7D7D"/>
        </w:rPr>
      </w:pPr>
      <w:r>
        <w:rPr>
          <w:rFonts w:ascii="Arial" w:cs="Arial" w:eastAsia="Arial" w:hAnsi="Arial"/>
          <w:sz w:val="14"/>
          <w:szCs w:val="14"/>
          <w:color w:val="7D7D7D"/>
        </w:rPr>
        <w:t>Target amounts are payable on the quarterly base salary and based on the performance of the quarterly goals.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FFFFFF"/>
        </w:rPr>
        <w:t>Bonus Target</w:t>
      </w:r>
    </w:p>
    <w:p>
      <w:pPr>
        <w:spacing w:after="0" w:line="20"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FFFFFF"/>
        </w:rPr>
        <w:t>(% of base salary)</w:t>
      </w:r>
      <w:r>
        <w:rPr>
          <w:rFonts w:ascii="Arial" w:cs="Arial" w:eastAsia="Arial" w:hAnsi="Arial"/>
          <w:sz w:val="18"/>
          <w:szCs w:val="18"/>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0</wp:posOffset>
            </wp:positionV>
            <wp:extent cx="8255" cy="4972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497205"/>
                    </a:xfrm>
                    <a:prstGeom prst="rect">
                      <a:avLst/>
                    </a:prstGeom>
                    <a:noFill/>
                  </pic:spPr>
                </pic:pic>
              </a:graphicData>
            </a:graphic>
          </wp:anchor>
        </w:drawing>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100</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75</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75</w:t>
      </w:r>
    </w:p>
    <w:p>
      <w:pPr>
        <w:spacing w:after="0" w:line="829" w:lineRule="exact"/>
        <w:rPr>
          <w:sz w:val="20"/>
          <w:szCs w:val="20"/>
          <w:color w:val="auto"/>
        </w:rPr>
      </w:pPr>
    </w:p>
    <w:p>
      <w:pPr>
        <w:sectPr>
          <w:pgSz w:w="11900" w:h="16838" w:orient="portrait"/>
          <w:cols w:equalWidth="0" w:num="2">
            <w:col w:w="8600" w:space="720"/>
            <w:col w:w="1920"/>
          </w:cols>
          <w:pgMar w:left="320" w:top="787" w:right="339" w:bottom="1440" w:gutter="0" w:footer="0" w:header="0"/>
          <w:type w:val="continuous"/>
        </w:sectPr>
      </w:pPr>
    </w:p>
    <w:p>
      <w:pPr>
        <w:spacing w:after="0" w:line="39"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Compensation Committee retained final discretion over and approved all payments, if any, under the 2024 Bonus Program on a quarterly basis. The Compensation Committee could, in its discretion, award all or a portion of earned 2024 bonuses to the NEOs and other employees in the form of fully vested RSUs. No bonuses were paid in the form of fully vested RSUs under the 2024 Bonus Program.</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Performance Measurements — Three Factors</w:t>
      </w:r>
    </w:p>
    <w:p>
      <w:pPr>
        <w:spacing w:after="0" w:line="13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actual bonus amount that each NEO could earn in a given quarter was determined by taking the NEO’s eligible salary on a quarterly basis, multiplied by his or her Bonus Percentage, and subsequently multiplying that amount by three performance factors: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3020" w:type="dxa"/>
            <w:vAlign w:val="bottom"/>
            <w:tcBorders>
              <w:left w:val="single" w:sz="8" w:color="3C3C3C"/>
              <w:right w:val="single" w:sz="8" w:color="3C3C3C"/>
            </w:tcBorders>
            <w:shd w:val="clear" w:color="auto" w:fill="3C3C3C"/>
          </w:tcPr>
          <w:p>
            <w:pPr>
              <w:spacing w:after="0"/>
              <w:rPr>
                <w:sz w:val="23"/>
                <w:szCs w:val="23"/>
                <w:color w:val="auto"/>
              </w:rPr>
            </w:pPr>
          </w:p>
        </w:tc>
        <w:tc>
          <w:tcPr>
            <w:tcW w:w="2360" w:type="dxa"/>
            <w:vAlign w:val="bottom"/>
            <w:tcBorders>
              <w:right w:val="single" w:sz="8" w:color="3C3C3C"/>
            </w:tcBorders>
            <w:shd w:val="clear" w:color="auto" w:fill="3C3C3C"/>
          </w:tcPr>
          <w:p>
            <w:pPr>
              <w:ind w:left="240"/>
              <w:spacing w:after="0"/>
              <w:rPr>
                <w:sz w:val="20"/>
                <w:szCs w:val="20"/>
                <w:color w:val="auto"/>
              </w:rPr>
            </w:pPr>
            <w:r>
              <w:rPr>
                <w:rFonts w:ascii="Arial" w:cs="Arial" w:eastAsia="Arial" w:hAnsi="Arial"/>
                <w:sz w:val="14"/>
                <w:szCs w:val="14"/>
                <w:b w:val="1"/>
                <w:bCs w:val="1"/>
                <w:color w:val="FFFFFF"/>
              </w:rPr>
              <w:t>Performance Factor Range</w:t>
            </w:r>
          </w:p>
        </w:tc>
        <w:tc>
          <w:tcPr>
            <w:tcW w:w="588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Overview</w:t>
            </w:r>
          </w:p>
        </w:tc>
        <w:tc>
          <w:tcPr>
            <w:tcW w:w="0" w:type="dxa"/>
            <w:vAlign w:val="bottom"/>
          </w:tcPr>
          <w:p>
            <w:pPr>
              <w:spacing w:after="0"/>
              <w:rPr>
                <w:sz w:val="1"/>
                <w:szCs w:val="1"/>
                <w:color w:val="auto"/>
              </w:rPr>
            </w:pPr>
          </w:p>
        </w:tc>
      </w:tr>
      <w:tr>
        <w:trPr>
          <w:trHeight w:val="70"/>
        </w:trPr>
        <w:tc>
          <w:tcPr>
            <w:tcW w:w="3020" w:type="dxa"/>
            <w:vAlign w:val="bottom"/>
            <w:tcBorders>
              <w:left w:val="single" w:sz="8" w:color="3C3C3C"/>
              <w:right w:val="single" w:sz="8" w:color="3C3C3C"/>
            </w:tcBorders>
            <w:shd w:val="clear" w:color="auto" w:fill="3C3C3C"/>
          </w:tcPr>
          <w:p>
            <w:pPr>
              <w:spacing w:after="0"/>
              <w:rPr>
                <w:sz w:val="6"/>
                <w:szCs w:val="6"/>
                <w:color w:val="auto"/>
              </w:rPr>
            </w:pPr>
          </w:p>
        </w:tc>
        <w:tc>
          <w:tcPr>
            <w:tcW w:w="2360" w:type="dxa"/>
            <w:vAlign w:val="bottom"/>
            <w:tcBorders>
              <w:right w:val="single" w:sz="8" w:color="3C3C3C"/>
            </w:tcBorders>
            <w:shd w:val="clear" w:color="auto" w:fill="3C3C3C"/>
          </w:tcPr>
          <w:p>
            <w:pPr>
              <w:spacing w:after="0"/>
              <w:rPr>
                <w:sz w:val="6"/>
                <w:szCs w:val="6"/>
                <w:color w:val="auto"/>
              </w:rPr>
            </w:pPr>
          </w:p>
        </w:tc>
        <w:tc>
          <w:tcPr>
            <w:tcW w:w="5880" w:type="dxa"/>
            <w:vAlign w:val="bottom"/>
            <w:tcBorders>
              <w:right w:val="single" w:sz="8" w:color="3C3C3C"/>
            </w:tcBorders>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30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Company Performance Factor</w:t>
            </w:r>
          </w:p>
        </w:tc>
        <w:tc>
          <w:tcPr>
            <w:tcW w:w="2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0 - 1.0</w:t>
            </w:r>
          </w:p>
        </w:tc>
        <w:tc>
          <w:tcPr>
            <w:tcW w:w="588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The level of achievement of the Quarterly CEO SMART Goals</w:t>
            </w:r>
          </w:p>
        </w:tc>
        <w:tc>
          <w:tcPr>
            <w:tcW w:w="0" w:type="dxa"/>
            <w:vAlign w:val="bottom"/>
          </w:tcPr>
          <w:p>
            <w:pPr>
              <w:spacing w:after="0"/>
              <w:rPr>
                <w:sz w:val="1"/>
                <w:szCs w:val="1"/>
                <w:color w:val="auto"/>
              </w:rPr>
            </w:pPr>
          </w:p>
        </w:tc>
      </w:tr>
      <w:tr>
        <w:trPr>
          <w:trHeight w:val="129"/>
        </w:trPr>
        <w:tc>
          <w:tcPr>
            <w:tcW w:w="3020" w:type="dxa"/>
            <w:vAlign w:val="bottom"/>
            <w:tcBorders>
              <w:left w:val="single" w:sz="8" w:color="929292"/>
              <w:right w:val="single" w:sz="8" w:color="929292"/>
            </w:tcBorders>
            <w:shd w:val="clear" w:color="auto" w:fill="FAF6EF"/>
          </w:tcPr>
          <w:p>
            <w:pPr>
              <w:spacing w:after="0"/>
              <w:rPr>
                <w:sz w:val="11"/>
                <w:szCs w:val="11"/>
                <w:color w:val="auto"/>
              </w:rPr>
            </w:pPr>
          </w:p>
        </w:tc>
        <w:tc>
          <w:tcPr>
            <w:tcW w:w="2360" w:type="dxa"/>
            <w:vAlign w:val="bottom"/>
            <w:tcBorders>
              <w:right w:val="single" w:sz="8" w:color="929292"/>
            </w:tcBorders>
            <w:shd w:val="clear" w:color="auto" w:fill="FAF6EF"/>
          </w:tcPr>
          <w:p>
            <w:pPr>
              <w:spacing w:after="0"/>
              <w:rPr>
                <w:sz w:val="11"/>
                <w:szCs w:val="11"/>
                <w:color w:val="auto"/>
              </w:rPr>
            </w:pPr>
          </w:p>
        </w:tc>
        <w:tc>
          <w:tcPr>
            <w:tcW w:w="5880" w:type="dxa"/>
            <w:vAlign w:val="bottom"/>
            <w:tcBorders>
              <w:right w:val="single" w:sz="8" w:color="929292"/>
            </w:tcBorders>
            <w:shd w:val="clear" w:color="auto" w:fill="FAF6EF"/>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020" w:type="dxa"/>
            <w:vAlign w:val="bottom"/>
            <w:tcBorders>
              <w:left w:val="single" w:sz="8" w:color="929292"/>
              <w:right w:val="single" w:sz="8" w:color="929292"/>
            </w:tcBorders>
          </w:tcPr>
          <w:p>
            <w:pPr>
              <w:spacing w:after="0"/>
              <w:rPr>
                <w:sz w:val="24"/>
                <w:szCs w:val="24"/>
                <w:color w:val="auto"/>
              </w:rPr>
            </w:pPr>
          </w:p>
        </w:tc>
        <w:tc>
          <w:tcPr>
            <w:tcW w:w="2360" w:type="dxa"/>
            <w:vAlign w:val="bottom"/>
            <w:tcBorders>
              <w:right w:val="single" w:sz="8" w:color="929292"/>
            </w:tcBorders>
          </w:tcPr>
          <w:p>
            <w:pPr>
              <w:spacing w:after="0"/>
              <w:rPr>
                <w:sz w:val="24"/>
                <w:szCs w:val="24"/>
                <w:color w:val="auto"/>
              </w:rPr>
            </w:pPr>
          </w:p>
        </w:tc>
        <w:tc>
          <w:tcPr>
            <w:tcW w:w="5880" w:type="dxa"/>
            <w:vAlign w:val="bottom"/>
            <w:tcBorders>
              <w:right w:val="single" w:sz="8" w:color="929292"/>
            </w:tcBorders>
          </w:tcPr>
          <w:p>
            <w:pPr>
              <w:ind w:left="80"/>
              <w:spacing w:after="0"/>
              <w:rPr>
                <w:sz w:val="20"/>
                <w:szCs w:val="20"/>
                <w:color w:val="auto"/>
              </w:rPr>
            </w:pPr>
            <w:r>
              <w:rPr>
                <w:rFonts w:ascii="Arial" w:cs="Arial" w:eastAsia="Arial" w:hAnsi="Arial"/>
                <w:sz w:val="16"/>
                <w:szCs w:val="16"/>
                <w:color w:val="auto"/>
              </w:rPr>
              <w:t>The  amount  of  actual  Company  quarterly  profit  measured  against  the</w:t>
            </w:r>
          </w:p>
        </w:tc>
        <w:tc>
          <w:tcPr>
            <w:tcW w:w="0" w:type="dxa"/>
            <w:vAlign w:val="bottom"/>
          </w:tcPr>
          <w:p>
            <w:pPr>
              <w:spacing w:after="0"/>
              <w:rPr>
                <w:sz w:val="1"/>
                <w:szCs w:val="1"/>
                <w:color w:val="auto"/>
              </w:rPr>
            </w:pPr>
          </w:p>
        </w:tc>
      </w:tr>
      <w:tr>
        <w:trPr>
          <w:trHeight w:val="190"/>
        </w:trPr>
        <w:tc>
          <w:tcPr>
            <w:tcW w:w="30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Funding Factor</w:t>
            </w:r>
          </w:p>
        </w:tc>
        <w:tc>
          <w:tcPr>
            <w:tcW w:w="2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0 - 1.5</w:t>
            </w:r>
          </w:p>
        </w:tc>
        <w:tc>
          <w:tcPr>
            <w:tcW w:w="5880" w:type="dxa"/>
            <w:vAlign w:val="bottom"/>
            <w:tcBorders>
              <w:right w:val="single" w:sz="8" w:color="929292"/>
            </w:tcBorders>
          </w:tcPr>
          <w:p>
            <w:pPr>
              <w:ind w:left="80"/>
              <w:spacing w:after="0"/>
              <w:rPr>
                <w:sz w:val="20"/>
                <w:szCs w:val="20"/>
                <w:color w:val="auto"/>
              </w:rPr>
            </w:pPr>
            <w:r>
              <w:rPr>
                <w:rFonts w:ascii="Arial" w:cs="Arial" w:eastAsia="Arial" w:hAnsi="Arial"/>
                <w:sz w:val="16"/>
                <w:szCs w:val="16"/>
                <w:color w:val="auto"/>
              </w:rPr>
              <w:t>applicable  quarterly  profit  target  that  was  established  in  January  2024.</w:t>
            </w:r>
          </w:p>
        </w:tc>
        <w:tc>
          <w:tcPr>
            <w:tcW w:w="0" w:type="dxa"/>
            <w:vAlign w:val="bottom"/>
          </w:tcPr>
          <w:p>
            <w:pPr>
              <w:spacing w:after="0"/>
              <w:rPr>
                <w:sz w:val="1"/>
                <w:szCs w:val="1"/>
                <w:color w:val="auto"/>
              </w:rPr>
            </w:pPr>
          </w:p>
        </w:tc>
      </w:tr>
      <w:tr>
        <w:trPr>
          <w:trHeight w:val="215"/>
        </w:trPr>
        <w:tc>
          <w:tcPr>
            <w:tcW w:w="3020" w:type="dxa"/>
            <w:vAlign w:val="bottom"/>
            <w:tcBorders>
              <w:left w:val="single" w:sz="8" w:color="929292"/>
              <w:right w:val="single" w:sz="8" w:color="929292"/>
            </w:tcBorders>
          </w:tcPr>
          <w:p>
            <w:pPr>
              <w:spacing w:after="0"/>
              <w:rPr>
                <w:sz w:val="18"/>
                <w:szCs w:val="18"/>
                <w:color w:val="auto"/>
              </w:rPr>
            </w:pPr>
          </w:p>
        </w:tc>
        <w:tc>
          <w:tcPr>
            <w:tcW w:w="2360" w:type="dxa"/>
            <w:vAlign w:val="bottom"/>
            <w:tcBorders>
              <w:right w:val="single" w:sz="8" w:color="929292"/>
            </w:tcBorders>
          </w:tcPr>
          <w:p>
            <w:pPr>
              <w:spacing w:after="0"/>
              <w:rPr>
                <w:sz w:val="18"/>
                <w:szCs w:val="18"/>
                <w:color w:val="auto"/>
              </w:rPr>
            </w:pPr>
          </w:p>
        </w:tc>
        <w:tc>
          <w:tcPr>
            <w:tcW w:w="5880" w:type="dxa"/>
            <w:vAlign w:val="bottom"/>
            <w:tcBorders>
              <w:right w:val="single" w:sz="8" w:color="929292"/>
            </w:tcBorders>
          </w:tcPr>
          <w:p>
            <w:pPr>
              <w:ind w:left="80"/>
              <w:spacing w:after="0"/>
              <w:rPr>
                <w:sz w:val="20"/>
                <w:szCs w:val="20"/>
                <w:color w:val="auto"/>
              </w:rPr>
            </w:pPr>
            <w:r>
              <w:rPr>
                <w:rFonts w:ascii="Arial" w:cs="Arial" w:eastAsia="Arial" w:hAnsi="Arial"/>
                <w:sz w:val="16"/>
                <w:szCs w:val="16"/>
                <w:color w:val="auto"/>
              </w:rPr>
              <w:t>Quarterly targets that were set in January were not changed during the year</w:t>
            </w:r>
          </w:p>
        </w:tc>
        <w:tc>
          <w:tcPr>
            <w:tcW w:w="0" w:type="dxa"/>
            <w:vAlign w:val="bottom"/>
          </w:tcPr>
          <w:p>
            <w:pPr>
              <w:spacing w:after="0"/>
              <w:rPr>
                <w:sz w:val="1"/>
                <w:szCs w:val="1"/>
                <w:color w:val="auto"/>
              </w:rPr>
            </w:pPr>
          </w:p>
        </w:tc>
      </w:tr>
      <w:tr>
        <w:trPr>
          <w:trHeight w:val="177"/>
        </w:trPr>
        <w:tc>
          <w:tcPr>
            <w:tcW w:w="3020" w:type="dxa"/>
            <w:vAlign w:val="bottom"/>
            <w:tcBorders>
              <w:left w:val="single" w:sz="8" w:color="929292"/>
              <w:right w:val="single" w:sz="8" w:color="929292"/>
            </w:tcBorders>
          </w:tcPr>
          <w:p>
            <w:pPr>
              <w:spacing w:after="0"/>
              <w:rPr>
                <w:sz w:val="15"/>
                <w:szCs w:val="15"/>
                <w:color w:val="auto"/>
              </w:rPr>
            </w:pPr>
          </w:p>
        </w:tc>
        <w:tc>
          <w:tcPr>
            <w:tcW w:w="2360" w:type="dxa"/>
            <w:vAlign w:val="bottom"/>
            <w:tcBorders>
              <w:right w:val="single" w:sz="8" w:color="929292"/>
            </w:tcBorders>
          </w:tcPr>
          <w:p>
            <w:pPr>
              <w:spacing w:after="0"/>
              <w:rPr>
                <w:sz w:val="15"/>
                <w:szCs w:val="15"/>
                <w:color w:val="auto"/>
              </w:rPr>
            </w:pPr>
          </w:p>
        </w:tc>
        <w:tc>
          <w:tcPr>
            <w:tcW w:w="5880" w:type="dxa"/>
            <w:vAlign w:val="bottom"/>
            <w:tcBorders>
              <w:right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3020" w:type="dxa"/>
            <w:vAlign w:val="bottom"/>
            <w:tcBorders>
              <w:left w:val="single" w:sz="8" w:color="929292"/>
              <w:right w:val="single" w:sz="8" w:color="929292"/>
            </w:tcBorders>
            <w:shd w:val="clear" w:color="auto" w:fill="FAF6EF"/>
          </w:tcPr>
          <w:p>
            <w:pPr>
              <w:spacing w:after="0"/>
              <w:rPr>
                <w:sz w:val="24"/>
                <w:szCs w:val="24"/>
                <w:color w:val="auto"/>
              </w:rPr>
            </w:pPr>
          </w:p>
        </w:tc>
        <w:tc>
          <w:tcPr>
            <w:tcW w:w="2360" w:type="dxa"/>
            <w:vAlign w:val="bottom"/>
            <w:tcBorders>
              <w:right w:val="single" w:sz="8" w:color="929292"/>
            </w:tcBorders>
            <w:shd w:val="clear" w:color="auto" w:fill="FAF6EF"/>
          </w:tcPr>
          <w:p>
            <w:pPr>
              <w:spacing w:after="0"/>
              <w:rPr>
                <w:sz w:val="24"/>
                <w:szCs w:val="24"/>
                <w:color w:val="auto"/>
              </w:rPr>
            </w:pPr>
          </w:p>
        </w:tc>
        <w:tc>
          <w:tcPr>
            <w:tcW w:w="588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Individual  performance  measured  against  quarterly  targets  set  at  the</w:t>
            </w:r>
          </w:p>
        </w:tc>
        <w:tc>
          <w:tcPr>
            <w:tcW w:w="0" w:type="dxa"/>
            <w:vAlign w:val="bottom"/>
          </w:tcPr>
          <w:p>
            <w:pPr>
              <w:spacing w:after="0"/>
              <w:rPr>
                <w:sz w:val="1"/>
                <w:szCs w:val="1"/>
                <w:color w:val="auto"/>
              </w:rPr>
            </w:pPr>
          </w:p>
        </w:tc>
      </w:tr>
      <w:tr>
        <w:trPr>
          <w:trHeight w:val="189"/>
        </w:trPr>
        <w:tc>
          <w:tcPr>
            <w:tcW w:w="3020" w:type="dxa"/>
            <w:vAlign w:val="bottom"/>
            <w:tcBorders>
              <w:left w:val="single" w:sz="8" w:color="929292"/>
              <w:right w:val="single" w:sz="8" w:color="929292"/>
            </w:tcBorders>
            <w:shd w:val="clear" w:color="auto" w:fill="FAF6EF"/>
          </w:tcPr>
          <w:p>
            <w:pPr>
              <w:spacing w:after="0"/>
              <w:rPr>
                <w:sz w:val="16"/>
                <w:szCs w:val="16"/>
                <w:color w:val="auto"/>
              </w:rPr>
            </w:pPr>
          </w:p>
        </w:tc>
        <w:tc>
          <w:tcPr>
            <w:tcW w:w="2360" w:type="dxa"/>
            <w:vAlign w:val="bottom"/>
            <w:tcBorders>
              <w:right w:val="single" w:sz="8" w:color="929292"/>
            </w:tcBorders>
            <w:shd w:val="clear" w:color="auto" w:fill="FAF6EF"/>
          </w:tcPr>
          <w:p>
            <w:pPr>
              <w:spacing w:after="0"/>
              <w:rPr>
                <w:sz w:val="16"/>
                <w:szCs w:val="16"/>
                <w:color w:val="auto"/>
              </w:rPr>
            </w:pPr>
          </w:p>
        </w:tc>
        <w:tc>
          <w:tcPr>
            <w:tcW w:w="588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beginning of each quarter and approved by the CEO in the case of the NEOs</w:t>
            </w:r>
          </w:p>
        </w:tc>
        <w:tc>
          <w:tcPr>
            <w:tcW w:w="0" w:type="dxa"/>
            <w:vAlign w:val="bottom"/>
          </w:tcPr>
          <w:p>
            <w:pPr>
              <w:spacing w:after="0"/>
              <w:rPr>
                <w:sz w:val="1"/>
                <w:szCs w:val="1"/>
                <w:color w:val="auto"/>
              </w:rPr>
            </w:pPr>
          </w:p>
        </w:tc>
      </w:tr>
      <w:tr>
        <w:trPr>
          <w:trHeight w:val="215"/>
        </w:trPr>
        <w:tc>
          <w:tcPr>
            <w:tcW w:w="3020" w:type="dxa"/>
            <w:vAlign w:val="bottom"/>
            <w:tcBorders>
              <w:left w:val="single" w:sz="8" w:color="929292"/>
              <w:righ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Individual Performance Factor</w:t>
            </w:r>
          </w:p>
        </w:tc>
        <w:tc>
          <w:tcPr>
            <w:tcW w:w="23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0 -1.2</w:t>
            </w:r>
          </w:p>
        </w:tc>
        <w:tc>
          <w:tcPr>
            <w:tcW w:w="588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other than the CEO (the “Quarterly Individual Goals”)</w:t>
            </w:r>
          </w:p>
        </w:tc>
        <w:tc>
          <w:tcPr>
            <w:tcW w:w="0" w:type="dxa"/>
            <w:vAlign w:val="bottom"/>
          </w:tcPr>
          <w:p>
            <w:pPr>
              <w:spacing w:after="0"/>
              <w:rPr>
                <w:sz w:val="1"/>
                <w:szCs w:val="1"/>
                <w:color w:val="auto"/>
              </w:rPr>
            </w:pPr>
          </w:p>
        </w:tc>
      </w:tr>
      <w:tr>
        <w:trPr>
          <w:trHeight w:val="76"/>
        </w:trPr>
        <w:tc>
          <w:tcPr>
            <w:tcW w:w="3020" w:type="dxa"/>
            <w:vAlign w:val="bottom"/>
            <w:tcBorders>
              <w:left w:val="single" w:sz="8" w:color="929292"/>
              <w:right w:val="single" w:sz="8" w:color="929292"/>
            </w:tcBorders>
            <w:vMerge w:val="continue"/>
            <w:shd w:val="clear" w:color="auto" w:fill="FAF6EF"/>
          </w:tcPr>
          <w:p>
            <w:pPr>
              <w:spacing w:after="0"/>
              <w:rPr>
                <w:sz w:val="6"/>
                <w:szCs w:val="6"/>
                <w:color w:val="auto"/>
              </w:rPr>
            </w:pPr>
          </w:p>
        </w:tc>
        <w:tc>
          <w:tcPr>
            <w:tcW w:w="2360" w:type="dxa"/>
            <w:vAlign w:val="bottom"/>
            <w:tcBorders>
              <w:right w:val="single" w:sz="8" w:color="929292"/>
            </w:tcBorders>
            <w:vMerge w:val="continue"/>
            <w:shd w:val="clear" w:color="auto" w:fill="FAF6EF"/>
          </w:tcPr>
          <w:p>
            <w:pPr>
              <w:spacing w:after="0"/>
              <w:rPr>
                <w:sz w:val="6"/>
                <w:szCs w:val="6"/>
                <w:color w:val="auto"/>
              </w:rPr>
            </w:pPr>
          </w:p>
        </w:tc>
        <w:tc>
          <w:tcPr>
            <w:tcW w:w="5880" w:type="dxa"/>
            <w:vAlign w:val="bottom"/>
            <w:tcBorders>
              <w:right w:val="single" w:sz="8" w:color="929292"/>
            </w:tcBorders>
            <w:vMerge w:val="restart"/>
            <w:shd w:val="clear" w:color="auto" w:fill="FAF6EF"/>
          </w:tcPr>
          <w:p>
            <w:pPr>
              <w:ind w:left="80"/>
              <w:spacing w:after="0"/>
              <w:rPr>
                <w:sz w:val="20"/>
                <w:szCs w:val="20"/>
                <w:color w:val="auto"/>
              </w:rPr>
            </w:pPr>
            <w:r>
              <w:rPr>
                <w:rFonts w:ascii="Arial" w:cs="Arial" w:eastAsia="Arial" w:hAnsi="Arial"/>
                <w:sz w:val="16"/>
                <w:szCs w:val="16"/>
                <w:color w:val="auto"/>
              </w:rPr>
              <w:t>For  the  CEO,  the  individual  performance  factor  reflects  the  level  of</w:t>
            </w:r>
          </w:p>
        </w:tc>
        <w:tc>
          <w:tcPr>
            <w:tcW w:w="0" w:type="dxa"/>
            <w:vAlign w:val="bottom"/>
          </w:tcPr>
          <w:p>
            <w:pPr>
              <w:spacing w:after="0"/>
              <w:rPr>
                <w:sz w:val="1"/>
                <w:szCs w:val="1"/>
                <w:color w:val="auto"/>
              </w:rPr>
            </w:pPr>
          </w:p>
        </w:tc>
      </w:tr>
      <w:tr>
        <w:trPr>
          <w:trHeight w:val="155"/>
        </w:trPr>
        <w:tc>
          <w:tcPr>
            <w:tcW w:w="3020" w:type="dxa"/>
            <w:vAlign w:val="bottom"/>
            <w:tcBorders>
              <w:left w:val="single" w:sz="8" w:color="929292"/>
              <w:right w:val="single" w:sz="8" w:color="929292"/>
            </w:tcBorders>
            <w:shd w:val="clear" w:color="auto" w:fill="FAF6EF"/>
          </w:tcPr>
          <w:p>
            <w:pPr>
              <w:spacing w:after="0"/>
              <w:rPr>
                <w:sz w:val="13"/>
                <w:szCs w:val="13"/>
                <w:color w:val="auto"/>
              </w:rPr>
            </w:pPr>
          </w:p>
        </w:tc>
        <w:tc>
          <w:tcPr>
            <w:tcW w:w="2360" w:type="dxa"/>
            <w:vAlign w:val="bottom"/>
            <w:tcBorders>
              <w:right w:val="single" w:sz="8" w:color="929292"/>
            </w:tcBorders>
            <w:shd w:val="clear" w:color="auto" w:fill="FAF6EF"/>
          </w:tcPr>
          <w:p>
            <w:pPr>
              <w:spacing w:after="0"/>
              <w:rPr>
                <w:sz w:val="13"/>
                <w:szCs w:val="13"/>
                <w:color w:val="auto"/>
              </w:rPr>
            </w:pPr>
          </w:p>
        </w:tc>
        <w:tc>
          <w:tcPr>
            <w:tcW w:w="5880" w:type="dxa"/>
            <w:vAlign w:val="bottom"/>
            <w:tcBorders>
              <w:right w:val="single" w:sz="8" w:color="929292"/>
            </w:tcBorders>
            <w:vMerge w:val="continue"/>
            <w:shd w:val="clear" w:color="auto" w:fill="FAF6E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20" w:type="dxa"/>
            <w:vAlign w:val="bottom"/>
            <w:tcBorders>
              <w:left w:val="single" w:sz="8" w:color="929292"/>
              <w:right w:val="single" w:sz="8" w:color="929292"/>
            </w:tcBorders>
            <w:shd w:val="clear" w:color="auto" w:fill="FAF6EF"/>
          </w:tcPr>
          <w:p>
            <w:pPr>
              <w:spacing w:after="0"/>
              <w:rPr>
                <w:sz w:val="18"/>
                <w:szCs w:val="18"/>
                <w:color w:val="auto"/>
              </w:rPr>
            </w:pPr>
          </w:p>
        </w:tc>
        <w:tc>
          <w:tcPr>
            <w:tcW w:w="2360" w:type="dxa"/>
            <w:vAlign w:val="bottom"/>
            <w:tcBorders>
              <w:right w:val="single" w:sz="8" w:color="929292"/>
            </w:tcBorders>
            <w:shd w:val="clear" w:color="auto" w:fill="FAF6EF"/>
          </w:tcPr>
          <w:p>
            <w:pPr>
              <w:spacing w:after="0"/>
              <w:rPr>
                <w:sz w:val="18"/>
                <w:szCs w:val="18"/>
                <w:color w:val="auto"/>
              </w:rPr>
            </w:pPr>
          </w:p>
        </w:tc>
        <w:tc>
          <w:tcPr>
            <w:tcW w:w="588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color w:val="auto"/>
              </w:rPr>
              <w:t>achievement of the Quarterly CEO SMART Goals</w:t>
            </w:r>
          </w:p>
        </w:tc>
        <w:tc>
          <w:tcPr>
            <w:tcW w:w="0" w:type="dxa"/>
            <w:vAlign w:val="bottom"/>
          </w:tcPr>
          <w:p>
            <w:pPr>
              <w:spacing w:after="0"/>
              <w:rPr>
                <w:sz w:val="1"/>
                <w:szCs w:val="1"/>
                <w:color w:val="auto"/>
              </w:rPr>
            </w:pPr>
          </w:p>
        </w:tc>
      </w:tr>
      <w:tr>
        <w:trPr>
          <w:trHeight w:val="137"/>
        </w:trPr>
        <w:tc>
          <w:tcPr>
            <w:tcW w:w="3020" w:type="dxa"/>
            <w:vAlign w:val="bottom"/>
            <w:tcBorders>
              <w:left w:val="single" w:sz="8" w:color="929292"/>
              <w:right w:val="single" w:sz="8" w:color="929292"/>
            </w:tcBorders>
            <w:shd w:val="clear" w:color="auto" w:fill="FAF6EF"/>
          </w:tcPr>
          <w:p>
            <w:pPr>
              <w:spacing w:after="0"/>
              <w:rPr>
                <w:sz w:val="11"/>
                <w:szCs w:val="11"/>
                <w:color w:val="auto"/>
              </w:rPr>
            </w:pPr>
          </w:p>
        </w:tc>
        <w:tc>
          <w:tcPr>
            <w:tcW w:w="2360" w:type="dxa"/>
            <w:vAlign w:val="bottom"/>
            <w:tcBorders>
              <w:right w:val="single" w:sz="8" w:color="929292"/>
            </w:tcBorders>
            <w:shd w:val="clear" w:color="auto" w:fill="FAF6EF"/>
          </w:tcPr>
          <w:p>
            <w:pPr>
              <w:spacing w:after="0"/>
              <w:rPr>
                <w:sz w:val="11"/>
                <w:szCs w:val="11"/>
                <w:color w:val="auto"/>
              </w:rPr>
            </w:pPr>
          </w:p>
        </w:tc>
        <w:tc>
          <w:tcPr>
            <w:tcW w:w="5880" w:type="dxa"/>
            <w:vAlign w:val="bottom"/>
            <w:tcBorders>
              <w:right w:val="single" w:sz="8" w:color="929292"/>
            </w:tcBorders>
            <w:shd w:val="clear" w:color="auto" w:fill="FAF6EF"/>
          </w:tcPr>
          <w:p>
            <w:pPr>
              <w:spacing w:after="0"/>
              <w:rPr>
                <w:sz w:val="11"/>
                <w:szCs w:val="1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Company Performance Factor</w:t>
      </w:r>
    </w:p>
    <w:p>
      <w:pPr>
        <w:spacing w:after="0" w:line="208"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The Company Performance Factor was based on the level of achievement of the Quarterly CEO SMART Goals. The Quarterly CEO SMART Goals were all forward looking. After the end of each quarter, the Compensation Committee scored the Quarterly CEO SMART Goals to determine the Company Performance Factor according to the following:</w:t>
      </w:r>
    </w:p>
    <w:p>
      <w:pPr>
        <w:spacing w:after="0" w:line="103" w:lineRule="exact"/>
        <w:rPr>
          <w:sz w:val="20"/>
          <w:szCs w:val="20"/>
          <w:color w:val="auto"/>
        </w:rPr>
      </w:pPr>
    </w:p>
    <w:p>
      <w:pPr>
        <w:ind w:left="300" w:hanging="130"/>
        <w:spacing w:after="0"/>
        <w:tabs>
          <w:tab w:leader="none" w:pos="300" w:val="left"/>
        </w:tabs>
        <w:numPr>
          <w:ilvl w:val="0"/>
          <w:numId w:val="36"/>
        </w:numPr>
        <w:rPr>
          <w:rFonts w:ascii="Arial" w:cs="Arial" w:eastAsia="Arial" w:hAnsi="Arial"/>
          <w:sz w:val="13"/>
          <w:szCs w:val="13"/>
          <w:color w:val="auto"/>
        </w:rPr>
      </w:pPr>
      <w:r>
        <w:rPr>
          <w:rFonts w:ascii="Arial" w:cs="Arial" w:eastAsia="Arial" w:hAnsi="Arial"/>
          <w:sz w:val="16"/>
          <w:szCs w:val="16"/>
          <w:color w:val="auto"/>
        </w:rPr>
        <w:t>0 for achievement of less than 65% of the Quarterly CEO SMART Goals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6"/>
        </w:numPr>
        <w:rPr>
          <w:rFonts w:ascii="Arial" w:cs="Arial" w:eastAsia="Arial" w:hAnsi="Arial"/>
          <w:sz w:val="13"/>
          <w:szCs w:val="13"/>
          <w:color w:val="auto"/>
        </w:rPr>
      </w:pPr>
      <w:r>
        <w:rPr>
          <w:rFonts w:ascii="Arial" w:cs="Arial" w:eastAsia="Arial" w:hAnsi="Arial"/>
          <w:sz w:val="16"/>
          <w:szCs w:val="16"/>
          <w:color w:val="auto"/>
        </w:rPr>
        <w:t>0.5 for achievement between 65% and 80% of the Quarterly CEO SMART Goals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36"/>
        </w:numPr>
        <w:rPr>
          <w:rFonts w:ascii="Arial" w:cs="Arial" w:eastAsia="Arial" w:hAnsi="Arial"/>
          <w:sz w:val="13"/>
          <w:szCs w:val="13"/>
          <w:color w:val="auto"/>
        </w:rPr>
      </w:pPr>
      <w:r>
        <w:rPr>
          <w:rFonts w:ascii="Arial" w:cs="Arial" w:eastAsia="Arial" w:hAnsi="Arial"/>
          <w:sz w:val="16"/>
          <w:szCs w:val="16"/>
          <w:color w:val="auto"/>
        </w:rPr>
        <w:t>1.0 for achievement greater than 80% of the Quarterly CEO SMART Goals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Under the 2024 Bonus Program, quarterly bonuses were not paid if the Quarterly CEO SMART Goals achievement was less than 65% for the quarter</w:t>
      </w:r>
      <w:r>
        <w:rPr>
          <w:rFonts w:ascii="Arial" w:cs="Arial" w:eastAsia="Arial" w:hAnsi="Arial"/>
          <w:sz w:val="17"/>
          <w:szCs w:val="17"/>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Funding Factor</w:t>
      </w:r>
    </w:p>
    <w:p>
      <w:pPr>
        <w:spacing w:after="0" w:line="15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Funding Factor for each quarter could range from 0 to 1.5, depending upon our quarterly profit before taxes measured on a non-GAAP basis excluding projected bonus (“PBB”). The quarterly PBB targets that would determine the 2024 Funding Factor for each quarter and were approved by the Board in January 2024. The quarterly PBB targets did not change during the year. The actual Funding Factor for a quarter was determined using linear interpolation between 0 and 1.5 based on the ratio of actual PBB to the targeted PBB, with the Funding Factor for quarterly bonuses being 1.0 if actual quarterly PBB equaled targeted PBB. Actual PBB that was more than targeted PBB was capped at 1.5. In determining PBB, we excluded, among others, the following items: stock-based compensation expense, acquisition related expenses and amortization, and non-cash interest expense. After the end of each quarter, the Compensation Committee calculated the Funding Factor based upon the ratio of actual PBB to targeted PBB. For the first two quarters of 2024, the Compensation Committee also provided that the funding factor would be zero if the non-GAAP earnings per share (“EPS”) of Enphase was below $1.00 per share.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Individual Performance Factor</w:t>
      </w:r>
    </w:p>
    <w:p>
      <w:pPr>
        <w:spacing w:after="0" w:line="15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Individual Performance Factor for the CEO was based on the achievement of Quarterly CEO SMART Goals; and for our other NEOs, it was based on the achievement of Quarterly Individual Goals (together with the Quarterly CEO SMART Goals, the “Quarterly Goals”). As noted above, the Quarterly CEO SMART Goals were approved by the Board in January 2024. The Quarterly Individual Goals for our NEOs (other than the CEO) were approved by the CEO at the beginning of each quarter, and were SMART goals, forward looking, and were not altered during the quarter.</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40" w:name="page41"/>
    <w:bookmarkEnd w:id="40"/>
    <w:p>
      <w:pPr>
        <w:jc w:val="both"/>
        <w:ind w:right="20"/>
        <w:spacing w:after="0" w:line="303" w:lineRule="auto"/>
        <w:rPr>
          <w:sz w:val="20"/>
          <w:szCs w:val="20"/>
          <w:color w:val="auto"/>
        </w:rPr>
      </w:pPr>
      <w:r>
        <w:rPr>
          <w:rFonts w:ascii="Arial" w:cs="Arial" w:eastAsia="Arial" w:hAnsi="Arial"/>
          <w:sz w:val="16"/>
          <w:szCs w:val="16"/>
          <w:color w:val="auto"/>
        </w:rPr>
        <w:t>The Individual Performance Factor for a quarter could be between 0 and 1.2 and was determined by taking the actual score for achievement of the Quarterly Goals, including 20 points for stretch goals, and dividing by 100. Each individual goal in the Quarterly Goals was either binary (meaning achieved or not) or based upon specific targets defined for 100% achievement and 0% achievement (“Scaled Goals”). For binary goals, all points for the goal were earned if the goal was achieved; all points were lost if the goal was not achieved. For the Scaled Goals, if the 100% target was achieved, all points assigned to that goal were earned, and if less than the 100% target was achieved, then a linear interpolation between the two targets would determine the actual number of points earned. After the end of each quarter, the Compensation Committee approved the Individual Performance Factor for the CEO based on the scores for the CEO Quarterly SMART Goals, and for the other NEOs, based on the scores for the Quarterly Individual Goals.</w:t>
      </w:r>
    </w:p>
    <w:p>
      <w:pPr>
        <w:spacing w:after="0" w:line="129"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For our NEOs other than the CEO, some of the key individual goals for 2024 are shown in the table below and were specifically tailored to the functions led by each NEO and aligned to the achievement of our overall annual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40575"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p>
      <w:pPr>
        <w:spacing w:after="0" w:line="161" w:lineRule="exact"/>
        <w:rPr>
          <w:sz w:val="20"/>
          <w:szCs w:val="20"/>
          <w:color w:val="auto"/>
        </w:rPr>
      </w:pPr>
    </w:p>
    <w:p>
      <w:pPr>
        <w:ind w:left="120"/>
        <w:spacing w:after="0" w:line="314" w:lineRule="auto"/>
        <w:rPr>
          <w:sz w:val="20"/>
          <w:szCs w:val="20"/>
          <w:color w:val="auto"/>
        </w:rPr>
      </w:pPr>
      <w:r>
        <w:rPr>
          <w:rFonts w:ascii="Arial" w:cs="Arial" w:eastAsia="Arial" w:hAnsi="Arial"/>
          <w:sz w:val="14"/>
          <w:szCs w:val="14"/>
          <w:b w:val="1"/>
          <w:bCs w:val="1"/>
          <w:color w:val="FFFFFF"/>
        </w:rPr>
        <w:t>Named Executive Officer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Mandy Yang</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David Ranhoff</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Individual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7140575" cy="685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685800"/>
                    </a:xfrm>
                    <a:prstGeom prst="rect">
                      <a:avLst/>
                    </a:prstGeom>
                    <a:noFill/>
                  </pic:spPr>
                </pic:pic>
              </a:graphicData>
            </a:graphic>
          </wp:anchor>
        </w:drawing>
      </w:r>
    </w:p>
    <w:p>
      <w:pPr>
        <w:spacing w:after="0" w:line="138"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Growing revenue; improving gross margin, operating expenses and EPS; improving forecast process for more efficient financial close; digitizing channel management; optimizing tax strategy; supporting new business strategy related to operations and maintenance services; and improving finance team employee net promoter score</w:t>
      </w:r>
    </w:p>
    <w:p>
      <w:pPr>
        <w:spacing w:after="0" w:line="2"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Growing revenue; improving gross margin and operating expenses; overseeing improvements to inventory management process; driving rollout of new products; and driving new businesses</w:t>
      </w:r>
    </w:p>
    <w:p>
      <w:pPr>
        <w:spacing w:after="0" w:line="200" w:lineRule="exact"/>
        <w:rPr>
          <w:sz w:val="20"/>
          <w:szCs w:val="20"/>
          <w:color w:val="auto"/>
        </w:rPr>
      </w:pPr>
    </w:p>
    <w:p>
      <w:pPr>
        <w:sectPr>
          <w:pgSz w:w="11900" w:h="16838" w:orient="portrait"/>
          <w:cols w:equalWidth="0" w:num="2">
            <w:col w:w="1320" w:space="520"/>
            <w:col w:w="9420"/>
          </w:cols>
          <w:pgMar w:left="320" w:top="787" w:right="3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Performance Cash Bonus — Actual Achievement by our NEOs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Company Performance Factor</w:t>
      </w:r>
    </w:p>
    <w:p>
      <w:pPr>
        <w:spacing w:after="0" w:line="154"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Compensation Committee reviewed our performance against the predetermined Quarterly CEO SMART Goals and determined that we had achieved our CEO targets as set forth in the table below. This resulted in a Company Performance Factor of 1.0 for the first quarter, 0.5 for the second and fourth quarters and zero for the third quarter.</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040" w:type="dxa"/>
            <w:vAlign w:val="bottom"/>
            <w:tcBorders>
              <w:lef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Category of Quarterly CEO SMART Goals</w:t>
            </w:r>
          </w:p>
        </w:tc>
        <w:tc>
          <w:tcPr>
            <w:tcW w:w="206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Actual Points Achieved for</w:t>
            </w:r>
          </w:p>
        </w:tc>
        <w:tc>
          <w:tcPr>
            <w:tcW w:w="206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Actual Points Achieved for</w:t>
            </w:r>
          </w:p>
        </w:tc>
        <w:tc>
          <w:tcPr>
            <w:tcW w:w="206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Actual Points Achieved for</w:t>
            </w:r>
          </w:p>
        </w:tc>
        <w:tc>
          <w:tcPr>
            <w:tcW w:w="2040" w:type="dxa"/>
            <w:vAlign w:val="bottom"/>
            <w:tcBorders>
              <w:right w:val="single" w:sz="8" w:color="3C3C3C"/>
            </w:tcBorders>
            <w:shd w:val="clear" w:color="auto" w:fill="3C3C3C"/>
          </w:tcPr>
          <w:p>
            <w:pPr>
              <w:ind w:left="80"/>
              <w:spacing w:after="0"/>
              <w:rPr>
                <w:sz w:val="20"/>
                <w:szCs w:val="20"/>
                <w:color w:val="auto"/>
              </w:rPr>
            </w:pPr>
            <w:r>
              <w:rPr>
                <w:rFonts w:ascii="Arial" w:cs="Arial" w:eastAsia="Arial" w:hAnsi="Arial"/>
                <w:sz w:val="14"/>
                <w:szCs w:val="14"/>
                <w:b w:val="1"/>
                <w:bCs w:val="1"/>
                <w:color w:val="FFFFFF"/>
              </w:rPr>
              <w:t>Actual Points Achieved for</w:t>
            </w:r>
          </w:p>
        </w:tc>
        <w:tc>
          <w:tcPr>
            <w:tcW w:w="0" w:type="dxa"/>
            <w:vAlign w:val="bottom"/>
          </w:tcPr>
          <w:p>
            <w:pPr>
              <w:spacing w:after="0"/>
              <w:rPr>
                <w:sz w:val="1"/>
                <w:szCs w:val="1"/>
                <w:color w:val="auto"/>
              </w:rPr>
            </w:pPr>
          </w:p>
        </w:tc>
      </w:tr>
      <w:tr>
        <w:trPr>
          <w:trHeight w:val="212"/>
        </w:trPr>
        <w:tc>
          <w:tcPr>
            <w:tcW w:w="3040" w:type="dxa"/>
            <w:vAlign w:val="bottom"/>
            <w:tcBorders>
              <w:lef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(Max Points)</w:t>
            </w:r>
          </w:p>
        </w:tc>
        <w:tc>
          <w:tcPr>
            <w:tcW w:w="2060" w:type="dxa"/>
            <w:vAlign w:val="bottom"/>
            <w:tcBorders>
              <w:left w:val="single" w:sz="8" w:color="3C3C3C"/>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Q1</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Q2</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6"/>
              </w:rPr>
              <w:t>Q3</w:t>
            </w:r>
          </w:p>
        </w:tc>
        <w:tc>
          <w:tcPr>
            <w:tcW w:w="20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Q4</w:t>
            </w:r>
          </w:p>
        </w:tc>
        <w:tc>
          <w:tcPr>
            <w:tcW w:w="0" w:type="dxa"/>
            <w:vAlign w:val="bottom"/>
          </w:tcPr>
          <w:p>
            <w:pPr>
              <w:spacing w:after="0"/>
              <w:rPr>
                <w:sz w:val="1"/>
                <w:szCs w:val="1"/>
                <w:color w:val="auto"/>
              </w:rPr>
            </w:pPr>
          </w:p>
        </w:tc>
      </w:tr>
      <w:tr>
        <w:trPr>
          <w:trHeight w:val="243"/>
        </w:trPr>
        <w:tc>
          <w:tcPr>
            <w:tcW w:w="30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Grow Revenue (27)</w:t>
            </w:r>
          </w:p>
        </w:tc>
        <w:tc>
          <w:tcPr>
            <w:tcW w:w="2060" w:type="dxa"/>
            <w:vAlign w:val="bottom"/>
            <w:tcBorders>
              <w:left w:val="single" w:sz="8" w:color="FAF6EF"/>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9.8</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6.7</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4.6</w:t>
            </w:r>
          </w:p>
        </w:tc>
        <w:tc>
          <w:tcPr>
            <w:tcW w:w="20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9"/>
        </w:trPr>
        <w:tc>
          <w:tcPr>
            <w:tcW w:w="3040" w:type="dxa"/>
            <w:vAlign w:val="bottom"/>
            <w:tcBorders>
              <w:left w:val="single" w:sz="8" w:color="929292"/>
            </w:tcBorders>
          </w:tcPr>
          <w:p>
            <w:pPr>
              <w:ind w:left="120"/>
              <w:spacing w:after="0"/>
              <w:rPr>
                <w:sz w:val="20"/>
                <w:szCs w:val="20"/>
                <w:color w:val="auto"/>
              </w:rPr>
            </w:pPr>
            <w:r>
              <w:rPr>
                <w:rFonts w:ascii="Arial" w:cs="Arial" w:eastAsia="Arial" w:hAnsi="Arial"/>
                <w:sz w:val="16"/>
                <w:szCs w:val="16"/>
                <w:b w:val="1"/>
                <w:bCs w:val="1"/>
                <w:color w:val="auto"/>
              </w:rPr>
              <w:t>Profit Before Taxes (24)</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21.2</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22.3</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6"/>
              </w:rPr>
              <w:t>16.8</w:t>
            </w:r>
          </w:p>
        </w:tc>
        <w:tc>
          <w:tcPr>
            <w:tcW w:w="20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47"/>
        </w:trPr>
        <w:tc>
          <w:tcPr>
            <w:tcW w:w="30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New Products (27)</w:t>
            </w:r>
          </w:p>
        </w:tc>
        <w:tc>
          <w:tcPr>
            <w:tcW w:w="2060" w:type="dxa"/>
            <w:vAlign w:val="bottom"/>
            <w:tcBorders>
              <w:left w:val="single" w:sz="8" w:color="FAF6EF"/>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23.9</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13.2</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6"/>
              </w:rPr>
              <w:t>11.0</w:t>
            </w:r>
          </w:p>
        </w:tc>
        <w:tc>
          <w:tcPr>
            <w:tcW w:w="20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9"/>
        </w:trPr>
        <w:tc>
          <w:tcPr>
            <w:tcW w:w="3040" w:type="dxa"/>
            <w:vAlign w:val="bottom"/>
            <w:tcBorders>
              <w:left w:val="single" w:sz="8" w:color="929292"/>
            </w:tcBorders>
          </w:tcPr>
          <w:p>
            <w:pPr>
              <w:ind w:left="120"/>
              <w:spacing w:after="0"/>
              <w:rPr>
                <w:sz w:val="20"/>
                <w:szCs w:val="20"/>
                <w:color w:val="auto"/>
              </w:rPr>
            </w:pPr>
            <w:r>
              <w:rPr>
                <w:rFonts w:ascii="Arial" w:cs="Arial" w:eastAsia="Arial" w:hAnsi="Arial"/>
                <w:sz w:val="16"/>
                <w:szCs w:val="16"/>
                <w:b w:val="1"/>
                <w:bCs w:val="1"/>
                <w:color w:val="auto"/>
              </w:rPr>
              <w:t>Innovation (4)</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3.0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3.0</w:t>
            </w:r>
          </w:p>
        </w:tc>
        <w:tc>
          <w:tcPr>
            <w:tcW w:w="20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7"/>
        </w:trPr>
        <w:tc>
          <w:tcPr>
            <w:tcW w:w="30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Operations (Including IT) (10)</w:t>
            </w:r>
          </w:p>
        </w:tc>
        <w:tc>
          <w:tcPr>
            <w:tcW w:w="2060" w:type="dxa"/>
            <w:vAlign w:val="bottom"/>
            <w:tcBorders>
              <w:left w:val="single" w:sz="8" w:color="FAF6EF"/>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7.5</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8.6</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7.3</w:t>
            </w:r>
          </w:p>
        </w:tc>
        <w:tc>
          <w:tcPr>
            <w:tcW w:w="20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9"/>
        </w:trPr>
        <w:tc>
          <w:tcPr>
            <w:tcW w:w="3040" w:type="dxa"/>
            <w:vAlign w:val="bottom"/>
            <w:tcBorders>
              <w:left w:val="single" w:sz="8" w:color="929292"/>
            </w:tcBorders>
          </w:tcPr>
          <w:p>
            <w:pPr>
              <w:ind w:left="120"/>
              <w:spacing w:after="0"/>
              <w:rPr>
                <w:sz w:val="20"/>
                <w:szCs w:val="20"/>
                <w:color w:val="auto"/>
              </w:rPr>
            </w:pPr>
            <w:r>
              <w:rPr>
                <w:rFonts w:ascii="Arial" w:cs="Arial" w:eastAsia="Arial" w:hAnsi="Arial"/>
                <w:sz w:val="16"/>
                <w:szCs w:val="16"/>
                <w:b w:val="1"/>
                <w:bCs w:val="1"/>
                <w:color w:val="auto"/>
              </w:rPr>
              <w:t>Quality (10)</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9.8</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7.0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6.0</w:t>
            </w:r>
          </w:p>
        </w:tc>
        <w:tc>
          <w:tcPr>
            <w:tcW w:w="20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7"/>
        </w:trPr>
        <w:tc>
          <w:tcPr>
            <w:tcW w:w="30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Ease Of Doing Business (10)</w:t>
            </w:r>
          </w:p>
        </w:tc>
        <w:tc>
          <w:tcPr>
            <w:tcW w:w="2060" w:type="dxa"/>
            <w:vAlign w:val="bottom"/>
            <w:tcBorders>
              <w:left w:val="single" w:sz="8" w:color="FAF6EF"/>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7.7</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6.0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5.5</w:t>
            </w:r>
          </w:p>
        </w:tc>
        <w:tc>
          <w:tcPr>
            <w:tcW w:w="20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9"/>
        </w:trPr>
        <w:tc>
          <w:tcPr>
            <w:tcW w:w="3040" w:type="dxa"/>
            <w:vAlign w:val="bottom"/>
            <w:tcBorders>
              <w:left w:val="single" w:sz="8" w:color="929292"/>
            </w:tcBorders>
          </w:tcPr>
          <w:p>
            <w:pPr>
              <w:ind w:left="120"/>
              <w:spacing w:after="0"/>
              <w:rPr>
                <w:sz w:val="20"/>
                <w:szCs w:val="20"/>
                <w:color w:val="auto"/>
              </w:rPr>
            </w:pPr>
            <w:r>
              <w:rPr>
                <w:rFonts w:ascii="Arial" w:cs="Arial" w:eastAsia="Arial" w:hAnsi="Arial"/>
                <w:sz w:val="16"/>
                <w:szCs w:val="16"/>
                <w:b w:val="1"/>
                <w:bCs w:val="1"/>
                <w:color w:val="auto"/>
              </w:rPr>
              <w:t>Human Resources (2)</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2.0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5.0</w:t>
            </w:r>
          </w:p>
        </w:tc>
        <w:tc>
          <w:tcPr>
            <w:tcW w:w="20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7"/>
        </w:trPr>
        <w:tc>
          <w:tcPr>
            <w:tcW w:w="30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Marketing (5)</w:t>
            </w:r>
          </w:p>
        </w:tc>
        <w:tc>
          <w:tcPr>
            <w:tcW w:w="2060" w:type="dxa"/>
            <w:vAlign w:val="bottom"/>
            <w:tcBorders>
              <w:left w:val="single" w:sz="8" w:color="FAF6EF"/>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4.0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2.0</w:t>
            </w:r>
          </w:p>
        </w:tc>
        <w:tc>
          <w:tcPr>
            <w:tcW w:w="20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9"/>
        </w:trPr>
        <w:tc>
          <w:tcPr>
            <w:tcW w:w="3040" w:type="dxa"/>
            <w:vAlign w:val="bottom"/>
            <w:tcBorders>
              <w:left w:val="single" w:sz="8" w:color="929292"/>
              <w:bottom w:val="single" w:sz="8" w:color="FAF6EF"/>
            </w:tcBorders>
          </w:tcPr>
          <w:p>
            <w:pPr>
              <w:ind w:left="120"/>
              <w:spacing w:after="0"/>
              <w:rPr>
                <w:sz w:val="20"/>
                <w:szCs w:val="20"/>
                <w:color w:val="auto"/>
              </w:rPr>
            </w:pPr>
            <w:r>
              <w:rPr>
                <w:rFonts w:ascii="Arial" w:cs="Arial" w:eastAsia="Arial" w:hAnsi="Arial"/>
                <w:sz w:val="16"/>
                <w:szCs w:val="16"/>
                <w:b w:val="1"/>
                <w:bCs w:val="1"/>
                <w:color w:val="auto"/>
              </w:rPr>
              <w:t>ESG (1)</w:t>
            </w:r>
          </w:p>
        </w:tc>
        <w:tc>
          <w:tcPr>
            <w:tcW w:w="2060" w:type="dxa"/>
            <w:vAlign w:val="bottom"/>
            <w:tcBorders>
              <w:bottom w:val="single" w:sz="8" w:color="3C3C3C"/>
              <w:right w:val="single" w:sz="8" w:color="7D7D7D"/>
            </w:tcBorders>
          </w:tcPr>
          <w:p>
            <w:pPr>
              <w:jc w:val="center"/>
              <w:spacing w:after="0"/>
              <w:rPr>
                <w:sz w:val="20"/>
                <w:szCs w:val="20"/>
                <w:color w:val="auto"/>
              </w:rPr>
            </w:pPr>
            <w:r>
              <w:rPr>
                <w:rFonts w:ascii="Arial" w:cs="Arial" w:eastAsia="Arial" w:hAnsi="Arial"/>
                <w:sz w:val="16"/>
                <w:szCs w:val="16"/>
                <w:color w:val="auto"/>
                <w:w w:val="98"/>
              </w:rPr>
              <w:t>1.0</w:t>
            </w:r>
          </w:p>
        </w:tc>
        <w:tc>
          <w:tcPr>
            <w:tcW w:w="206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color w:val="auto"/>
                <w:w w:val="98"/>
              </w:rPr>
              <w:t>1.0</w:t>
            </w:r>
          </w:p>
        </w:tc>
        <w:tc>
          <w:tcPr>
            <w:tcW w:w="204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2"/>
        </w:trPr>
        <w:tc>
          <w:tcPr>
            <w:tcW w:w="3040" w:type="dxa"/>
            <w:vAlign w:val="bottom"/>
            <w:tcBorders>
              <w:left w:val="single" w:sz="8" w:color="929292"/>
              <w:bottom w:val="single" w:sz="8" w:color="FAF6EF"/>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Total Goals Achievement</w:t>
            </w:r>
          </w:p>
        </w:tc>
        <w:tc>
          <w:tcPr>
            <w:tcW w:w="2060" w:type="dxa"/>
            <w:vAlign w:val="bottom"/>
            <w:tcBorders>
              <w:left w:val="single" w:sz="8" w:color="FAF6EF"/>
              <w:bottom w:val="single" w:sz="8" w:color="3C3C3C"/>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89.9</w:t>
            </w:r>
          </w:p>
        </w:tc>
        <w:tc>
          <w:tcPr>
            <w:tcW w:w="206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70.8</w:t>
            </w:r>
          </w:p>
        </w:tc>
        <w:tc>
          <w:tcPr>
            <w:tcW w:w="206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6"/>
              </w:rPr>
              <w:t>62.2</w:t>
            </w:r>
          </w:p>
        </w:tc>
        <w:tc>
          <w:tcPr>
            <w:tcW w:w="204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65.5</w:t>
            </w:r>
          </w:p>
        </w:tc>
        <w:tc>
          <w:tcPr>
            <w:tcW w:w="0" w:type="dxa"/>
            <w:vAlign w:val="bottom"/>
          </w:tcPr>
          <w:p>
            <w:pPr>
              <w:spacing w:after="0"/>
              <w:rPr>
                <w:sz w:val="1"/>
                <w:szCs w:val="1"/>
                <w:color w:val="auto"/>
              </w:rPr>
            </w:pPr>
          </w:p>
        </w:tc>
      </w:tr>
      <w:tr>
        <w:trPr>
          <w:trHeight w:val="20"/>
        </w:trPr>
        <w:tc>
          <w:tcPr>
            <w:tcW w:w="3040" w:type="dxa"/>
            <w:vAlign w:val="bottom"/>
            <w:tcBorders>
              <w:top w:val="single" w:sz="8" w:color="FAF6EF"/>
              <w:left w:val="single" w:sz="8" w:color="929292"/>
              <w:bottom w:val="single" w:sz="8" w:color="FAF6EF"/>
            </w:tcBorders>
            <w:vMerge w:val="restart"/>
          </w:tcPr>
          <w:p>
            <w:pPr>
              <w:ind w:left="120"/>
              <w:spacing w:after="0"/>
              <w:rPr>
                <w:sz w:val="20"/>
                <w:szCs w:val="20"/>
                <w:color w:val="auto"/>
              </w:rPr>
            </w:pPr>
            <w:r>
              <w:rPr>
                <w:rFonts w:ascii="Arial" w:cs="Arial" w:eastAsia="Arial" w:hAnsi="Arial"/>
                <w:sz w:val="16"/>
                <w:szCs w:val="16"/>
                <w:b w:val="1"/>
                <w:bCs w:val="1"/>
                <w:color w:val="auto"/>
              </w:rPr>
              <w:t>Company Performance Factor</w:t>
            </w:r>
          </w:p>
        </w:tc>
        <w:tc>
          <w:tcPr>
            <w:tcW w:w="2060" w:type="dxa"/>
            <w:vAlign w:val="bottom"/>
            <w:tcBorders>
              <w:top w:val="single" w:sz="8" w:color="FAF6EF"/>
              <w:bottom w:val="single" w:sz="8" w:color="3C3C3C"/>
            </w:tcBorders>
          </w:tcPr>
          <w:p>
            <w:pPr>
              <w:spacing w:after="0" w:line="20" w:lineRule="exact"/>
              <w:rPr>
                <w:sz w:val="1"/>
                <w:szCs w:val="1"/>
                <w:color w:val="auto"/>
              </w:rPr>
            </w:pPr>
          </w:p>
        </w:tc>
        <w:tc>
          <w:tcPr>
            <w:tcW w:w="2060" w:type="dxa"/>
            <w:vAlign w:val="bottom"/>
            <w:tcBorders>
              <w:top w:val="single" w:sz="8" w:color="FAF6EF"/>
              <w:bottom w:val="single" w:sz="8" w:color="3C3C3C"/>
            </w:tcBorders>
          </w:tcPr>
          <w:p>
            <w:pPr>
              <w:spacing w:after="0" w:line="20" w:lineRule="exact"/>
              <w:rPr>
                <w:sz w:val="1"/>
                <w:szCs w:val="1"/>
                <w:color w:val="auto"/>
              </w:rPr>
            </w:pPr>
          </w:p>
        </w:tc>
        <w:tc>
          <w:tcPr>
            <w:tcW w:w="2060" w:type="dxa"/>
            <w:vAlign w:val="bottom"/>
            <w:tcBorders>
              <w:top w:val="single" w:sz="8" w:color="FAF6EF"/>
              <w:bottom w:val="single" w:sz="8" w:color="3C3C3C"/>
            </w:tcBorders>
          </w:tcPr>
          <w:p>
            <w:pPr>
              <w:spacing w:after="0" w:line="20" w:lineRule="exact"/>
              <w:rPr>
                <w:sz w:val="1"/>
                <w:szCs w:val="1"/>
                <w:color w:val="auto"/>
              </w:rPr>
            </w:pPr>
          </w:p>
        </w:tc>
        <w:tc>
          <w:tcPr>
            <w:tcW w:w="2040" w:type="dxa"/>
            <w:vAlign w:val="bottom"/>
            <w:tcBorders>
              <w:top w:val="single" w:sz="8" w:color="FAF6EF"/>
              <w:bottom w:val="single" w:sz="8" w:color="3C3C3C"/>
              <w:right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tcBorders>
              <w:left w:val="single" w:sz="8" w:color="929292"/>
            </w:tcBorders>
            <w:vMerge w:val="continue"/>
          </w:tcPr>
          <w:p>
            <w:pPr>
              <w:spacing w:after="0"/>
              <w:rPr>
                <w:sz w:val="19"/>
                <w:szCs w:val="19"/>
                <w:color w:val="auto"/>
              </w:rPr>
            </w:pPr>
          </w:p>
        </w:tc>
        <w:tc>
          <w:tcPr>
            <w:tcW w:w="20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b w:val="1"/>
                <w:bCs w:val="1"/>
                <w:color w:val="auto"/>
                <w:w w:val="98"/>
              </w:rPr>
              <w:t>1.0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w w:val="98"/>
              </w:rPr>
              <w:t>0.5</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204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E86100"/>
        </w:rPr>
        <w:t>Funding Factor</w:t>
      </w:r>
    </w:p>
    <w:p>
      <w:pPr>
        <w:spacing w:after="0" w:line="208"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 Compensation Committee also reviewed the actual PBB for each quarter against the targeted PBB for the applicable quarter and determined the applicable Funding Factor for each quarter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42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2024 Calendar Quarter</w:t>
            </w:r>
          </w:p>
        </w:tc>
        <w:tc>
          <w:tcPr>
            <w:tcW w:w="1960" w:type="dxa"/>
            <w:vAlign w:val="bottom"/>
            <w:tcBorders>
              <w:right w:val="single" w:sz="8" w:color="3C3C3C"/>
            </w:tcBorders>
            <w:shd w:val="clear" w:color="auto" w:fill="3C3C3C"/>
          </w:tcPr>
          <w:p>
            <w:pPr>
              <w:ind w:left="380"/>
              <w:spacing w:after="0"/>
              <w:rPr>
                <w:sz w:val="20"/>
                <w:szCs w:val="20"/>
                <w:color w:val="auto"/>
              </w:rPr>
            </w:pPr>
            <w:r>
              <w:rPr>
                <w:rFonts w:ascii="Arial" w:cs="Arial" w:eastAsia="Arial" w:hAnsi="Arial"/>
                <w:sz w:val="14"/>
                <w:szCs w:val="14"/>
                <w:b w:val="1"/>
                <w:bCs w:val="1"/>
                <w:color w:val="FFFFFF"/>
              </w:rPr>
              <w:t>Targeted PBB ($)</w:t>
            </w:r>
          </w:p>
        </w:tc>
        <w:tc>
          <w:tcPr>
            <w:tcW w:w="2340" w:type="dxa"/>
            <w:vAlign w:val="bottom"/>
            <w:gridSpan w:val="2"/>
            <w:shd w:val="clear" w:color="auto" w:fill="3C3C3C"/>
          </w:tcPr>
          <w:p>
            <w:pPr>
              <w:jc w:val="center"/>
              <w:ind w:right="460"/>
              <w:spacing w:after="0"/>
              <w:rPr>
                <w:sz w:val="20"/>
                <w:szCs w:val="20"/>
                <w:color w:val="auto"/>
              </w:rPr>
            </w:pPr>
            <w:r>
              <w:rPr>
                <w:rFonts w:ascii="Arial" w:cs="Arial" w:eastAsia="Arial" w:hAnsi="Arial"/>
                <w:sz w:val="14"/>
                <w:szCs w:val="14"/>
                <w:b w:val="1"/>
                <w:bCs w:val="1"/>
                <w:color w:val="FFFFFF"/>
              </w:rPr>
              <w:t>Actual PBB ($)</w:t>
            </w:r>
          </w:p>
        </w:tc>
        <w:tc>
          <w:tcPr>
            <w:tcW w:w="1540" w:type="dxa"/>
            <w:vAlign w:val="bottom"/>
            <w:tcBorders>
              <w:right w:val="single" w:sz="8" w:color="3C3C3C"/>
            </w:tcBorders>
            <w:shd w:val="clear" w:color="auto" w:fill="3C3C3C"/>
          </w:tcPr>
          <w:p>
            <w:pPr>
              <w:ind w:left="20"/>
              <w:spacing w:after="0"/>
              <w:rPr>
                <w:sz w:val="20"/>
                <w:szCs w:val="20"/>
                <w:color w:val="auto"/>
              </w:rPr>
            </w:pPr>
            <w:r>
              <w:rPr>
                <w:rFonts w:ascii="Arial" w:cs="Arial" w:eastAsia="Arial" w:hAnsi="Arial"/>
                <w:sz w:val="14"/>
                <w:szCs w:val="14"/>
                <w:b w:val="1"/>
                <w:bCs w:val="1"/>
                <w:color w:val="FFFFFF"/>
              </w:rPr>
              <w:t>Funding Factor</w:t>
            </w:r>
          </w:p>
        </w:tc>
        <w:tc>
          <w:tcPr>
            <w:tcW w:w="0" w:type="dxa"/>
            <w:vAlign w:val="bottom"/>
          </w:tcPr>
          <w:p>
            <w:pPr>
              <w:spacing w:after="0"/>
              <w:rPr>
                <w:sz w:val="1"/>
                <w:szCs w:val="1"/>
                <w:color w:val="auto"/>
              </w:rPr>
            </w:pPr>
          </w:p>
        </w:tc>
      </w:tr>
      <w:tr>
        <w:trPr>
          <w:trHeight w:val="162"/>
        </w:trPr>
        <w:tc>
          <w:tcPr>
            <w:tcW w:w="5420" w:type="dxa"/>
            <w:vAlign w:val="bottom"/>
            <w:tcBorders>
              <w:left w:val="single" w:sz="8" w:color="3C3C3C"/>
              <w:right w:val="single" w:sz="8" w:color="3C3C3C"/>
            </w:tcBorders>
            <w:vMerge w:val="continue"/>
            <w:shd w:val="clear" w:color="auto" w:fill="3C3C3C"/>
          </w:tcPr>
          <w:p>
            <w:pPr>
              <w:spacing w:after="0"/>
              <w:rPr>
                <w:sz w:val="14"/>
                <w:szCs w:val="14"/>
                <w:color w:val="auto"/>
              </w:rPr>
            </w:pPr>
          </w:p>
        </w:tc>
        <w:tc>
          <w:tcPr>
            <w:tcW w:w="4300" w:type="dxa"/>
            <w:vAlign w:val="bottom"/>
            <w:gridSpan w:val="3"/>
            <w:vMerge w:val="restart"/>
            <w:shd w:val="clear" w:color="auto" w:fill="3C3C3C"/>
          </w:tcPr>
          <w:p>
            <w:pPr>
              <w:jc w:val="center"/>
              <w:ind w:left="1422"/>
              <w:spacing w:after="0"/>
              <w:rPr>
                <w:sz w:val="20"/>
                <w:szCs w:val="20"/>
                <w:color w:val="auto"/>
              </w:rPr>
            </w:pPr>
            <w:r>
              <w:rPr>
                <w:rFonts w:ascii="Arial" w:cs="Arial" w:eastAsia="Arial" w:hAnsi="Arial"/>
                <w:sz w:val="14"/>
                <w:szCs w:val="14"/>
                <w:b w:val="1"/>
                <w:bCs w:val="1"/>
                <w:color w:val="FFFFFF"/>
              </w:rPr>
              <w:t>(In millions, except the Funding Factors)</w:t>
            </w:r>
          </w:p>
        </w:tc>
        <w:tc>
          <w:tcPr>
            <w:tcW w:w="1540" w:type="dxa"/>
            <w:vAlign w:val="bottom"/>
            <w:tcBorders>
              <w:right w:val="single" w:sz="8" w:color="3C3C3C"/>
            </w:tcBorders>
            <w:shd w:val="clear" w:color="auto" w:fill="3C3C3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420" w:type="dxa"/>
            <w:vAlign w:val="bottom"/>
            <w:tcBorders>
              <w:left w:val="single" w:sz="8" w:color="3C3C3C"/>
              <w:bottom w:val="single" w:sz="8" w:color="3C3C3C"/>
              <w:right w:val="single" w:sz="8" w:color="3C3C3C"/>
            </w:tcBorders>
            <w:shd w:val="clear" w:color="auto" w:fill="3C3C3C"/>
          </w:tcPr>
          <w:p>
            <w:pPr>
              <w:spacing w:after="0"/>
              <w:rPr>
                <w:sz w:val="17"/>
                <w:szCs w:val="17"/>
                <w:color w:val="auto"/>
              </w:rPr>
            </w:pPr>
          </w:p>
        </w:tc>
        <w:tc>
          <w:tcPr>
            <w:tcW w:w="4300" w:type="dxa"/>
            <w:vAlign w:val="bottom"/>
            <w:tcBorders>
              <w:bottom w:val="single" w:sz="8" w:color="3C3C3C"/>
            </w:tcBorders>
            <w:gridSpan w:val="3"/>
            <w:vMerge w:val="continue"/>
            <w:shd w:val="clear" w:color="auto" w:fill="3C3C3C"/>
          </w:tcPr>
          <w:p>
            <w:pPr>
              <w:spacing w:after="0"/>
              <w:rPr>
                <w:sz w:val="17"/>
                <w:szCs w:val="17"/>
                <w:color w:val="auto"/>
              </w:rPr>
            </w:pPr>
          </w:p>
        </w:tc>
        <w:tc>
          <w:tcPr>
            <w:tcW w:w="1540" w:type="dxa"/>
            <w:vAlign w:val="bottom"/>
            <w:tcBorders>
              <w:bottom w:val="single" w:sz="8" w:color="3C3C3C"/>
              <w:right w:val="single" w:sz="8" w:color="3C3C3C"/>
            </w:tcBorders>
            <w:shd w:val="clear" w:color="auto" w:fill="3C3C3C"/>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420" w:type="dxa"/>
            <w:vAlign w:val="bottom"/>
            <w:tcBorders>
              <w:left w:val="single" w:sz="8" w:color="929292"/>
              <w:right w:val="single" w:sz="8" w:color="929292"/>
            </w:tcBorders>
            <w:shd w:val="clear" w:color="auto" w:fill="FAF6EF"/>
          </w:tcPr>
          <w:p>
            <w:pPr>
              <w:ind w:left="120"/>
              <w:spacing w:after="0" w:line="296" w:lineRule="exact"/>
              <w:rPr>
                <w:sz w:val="20"/>
                <w:szCs w:val="20"/>
                <w:color w:val="auto"/>
              </w:rPr>
            </w:pPr>
            <w:r>
              <w:rPr>
                <w:rFonts w:ascii="Arial" w:cs="Arial" w:eastAsia="Arial" w:hAnsi="Arial"/>
                <w:sz w:val="32"/>
                <w:szCs w:val="32"/>
                <w:b w:val="1"/>
                <w:bCs w:val="1"/>
                <w:color w:val="auto"/>
                <w:vertAlign w:val="subscript"/>
              </w:rPr>
              <w:t>Q1</w:t>
            </w:r>
            <w:r>
              <w:rPr>
                <w:rFonts w:ascii="Arial" w:cs="Arial" w:eastAsia="Arial" w:hAnsi="Arial"/>
                <w:sz w:val="11"/>
                <w:szCs w:val="11"/>
                <w:b w:val="1"/>
                <w:bCs w:val="1"/>
                <w:color w:val="auto"/>
              </w:rPr>
              <w:t>(1)</w:t>
            </w:r>
          </w:p>
        </w:tc>
        <w:tc>
          <w:tcPr>
            <w:tcW w:w="19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72.86</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58.70</w:t>
            </w:r>
          </w:p>
        </w:tc>
        <w:tc>
          <w:tcPr>
            <w:tcW w:w="400" w:type="dxa"/>
            <w:vAlign w:val="bottom"/>
            <w:shd w:val="clear" w:color="auto" w:fill="FAF6EF"/>
          </w:tcPr>
          <w:p>
            <w:pPr>
              <w:spacing w:after="0"/>
              <w:rPr>
                <w:sz w:val="24"/>
                <w:szCs w:val="24"/>
                <w:color w:val="auto"/>
              </w:rPr>
            </w:pPr>
          </w:p>
        </w:tc>
        <w:tc>
          <w:tcPr>
            <w:tcW w:w="1540" w:type="dxa"/>
            <w:vAlign w:val="bottom"/>
            <w:tcBorders>
              <w:right w:val="single" w:sz="8" w:color="929292"/>
            </w:tcBorders>
            <w:shd w:val="clear" w:color="auto" w:fill="FAF6EF"/>
          </w:tcPr>
          <w:p>
            <w:pPr>
              <w:jc w:val="center"/>
              <w:ind w:right="34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7"/>
        </w:trPr>
        <w:tc>
          <w:tcPr>
            <w:tcW w:w="5420" w:type="dxa"/>
            <w:vAlign w:val="bottom"/>
            <w:tcBorders>
              <w:left w:val="single" w:sz="8" w:color="929292"/>
              <w:right w:val="single" w:sz="8" w:color="929292"/>
            </w:tcBorders>
          </w:tcPr>
          <w:p>
            <w:pPr>
              <w:ind w:left="120"/>
              <w:spacing w:after="0" w:line="296" w:lineRule="exact"/>
              <w:rPr>
                <w:sz w:val="20"/>
                <w:szCs w:val="20"/>
                <w:color w:val="auto"/>
              </w:rPr>
            </w:pPr>
            <w:r>
              <w:rPr>
                <w:rFonts w:ascii="Arial" w:cs="Arial" w:eastAsia="Arial" w:hAnsi="Arial"/>
                <w:sz w:val="32"/>
                <w:szCs w:val="32"/>
                <w:b w:val="1"/>
                <w:bCs w:val="1"/>
                <w:color w:val="auto"/>
                <w:vertAlign w:val="subscript"/>
              </w:rPr>
              <w:t>Q2</w:t>
            </w:r>
            <w:r>
              <w:rPr>
                <w:rFonts w:ascii="Arial" w:cs="Arial" w:eastAsia="Arial" w:hAnsi="Arial"/>
                <w:sz w:val="11"/>
                <w:szCs w:val="11"/>
                <w:b w:val="1"/>
                <w:bCs w:val="1"/>
                <w:color w:val="auto"/>
              </w:rPr>
              <w:t>(1)</w:t>
            </w:r>
          </w:p>
        </w:tc>
        <w:tc>
          <w:tcPr>
            <w:tcW w:w="19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78.78</w:t>
            </w:r>
          </w:p>
        </w:tc>
        <w:tc>
          <w:tcPr>
            <w:tcW w:w="19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74.50</w:t>
            </w:r>
          </w:p>
        </w:tc>
        <w:tc>
          <w:tcPr>
            <w:tcW w:w="400" w:type="dxa"/>
            <w:vAlign w:val="bottom"/>
          </w:tcPr>
          <w:p>
            <w:pPr>
              <w:spacing w:after="0"/>
              <w:rPr>
                <w:sz w:val="24"/>
                <w:szCs w:val="24"/>
                <w:color w:val="auto"/>
              </w:rPr>
            </w:pPr>
          </w:p>
        </w:tc>
        <w:tc>
          <w:tcPr>
            <w:tcW w:w="1540" w:type="dxa"/>
            <w:vAlign w:val="bottom"/>
            <w:tcBorders>
              <w:right w:val="single" w:sz="8" w:color="929292"/>
            </w:tcBorders>
          </w:tcPr>
          <w:p>
            <w:pPr>
              <w:jc w:val="center"/>
              <w:ind w:right="34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54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Q3</w:t>
            </w:r>
          </w:p>
        </w:tc>
        <w:tc>
          <w:tcPr>
            <w:tcW w:w="19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158.93</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104.50</w:t>
            </w:r>
          </w:p>
        </w:tc>
        <w:tc>
          <w:tcPr>
            <w:tcW w:w="400" w:type="dxa"/>
            <w:vAlign w:val="bottom"/>
            <w:shd w:val="clear" w:color="auto" w:fill="FAF6EF"/>
          </w:tcPr>
          <w:p>
            <w:pPr>
              <w:spacing w:after="0"/>
              <w:rPr>
                <w:sz w:val="21"/>
                <w:szCs w:val="21"/>
                <w:color w:val="auto"/>
              </w:rPr>
            </w:pPr>
          </w:p>
        </w:tc>
        <w:tc>
          <w:tcPr>
            <w:tcW w:w="1540" w:type="dxa"/>
            <w:vAlign w:val="bottom"/>
            <w:tcBorders>
              <w:right w:val="single" w:sz="8" w:color="929292"/>
            </w:tcBorders>
            <w:shd w:val="clear" w:color="auto" w:fill="FAF6EF"/>
          </w:tcPr>
          <w:p>
            <w:pPr>
              <w:jc w:val="center"/>
              <w:ind w:right="341"/>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43"/>
        </w:trPr>
        <w:tc>
          <w:tcPr>
            <w:tcW w:w="54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Q4</w:t>
            </w:r>
          </w:p>
        </w:tc>
        <w:tc>
          <w:tcPr>
            <w:tcW w:w="19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223.09</w:t>
            </w:r>
          </w:p>
        </w:tc>
        <w:tc>
          <w:tcPr>
            <w:tcW w:w="19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138.83</w:t>
            </w:r>
          </w:p>
        </w:tc>
        <w:tc>
          <w:tcPr>
            <w:tcW w:w="400" w:type="dxa"/>
            <w:vAlign w:val="bottom"/>
          </w:tcPr>
          <w:p>
            <w:pPr>
              <w:spacing w:after="0"/>
              <w:rPr>
                <w:sz w:val="21"/>
                <w:szCs w:val="21"/>
                <w:color w:val="auto"/>
              </w:rPr>
            </w:pPr>
          </w:p>
        </w:tc>
        <w:tc>
          <w:tcPr>
            <w:tcW w:w="1540" w:type="dxa"/>
            <w:vAlign w:val="bottom"/>
            <w:tcBorders>
              <w:right w:val="single" w:sz="8" w:color="929292"/>
            </w:tcBorders>
          </w:tcPr>
          <w:p>
            <w:pPr>
              <w:jc w:val="center"/>
              <w:ind w:right="341"/>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60" w:right="40" w:hanging="252"/>
        <w:spacing w:after="0" w:line="305" w:lineRule="auto"/>
        <w:tabs>
          <w:tab w:leader="none" w:pos="245" w:val="left"/>
        </w:tabs>
        <w:numPr>
          <w:ilvl w:val="0"/>
          <w:numId w:val="37"/>
        </w:numPr>
        <w:rPr>
          <w:rFonts w:ascii="Arial" w:cs="Arial" w:eastAsia="Arial" w:hAnsi="Arial"/>
          <w:sz w:val="14"/>
          <w:szCs w:val="14"/>
          <w:color w:val="7D7D7D"/>
        </w:rPr>
      </w:pPr>
      <w:r>
        <w:rPr>
          <w:rFonts w:ascii="Arial" w:cs="Arial" w:eastAsia="Arial" w:hAnsi="Arial"/>
          <w:sz w:val="14"/>
          <w:szCs w:val="14"/>
          <w:color w:val="7D7D7D"/>
        </w:rPr>
        <w:t>For Q1 and Q2, the funding factor would be set at zero if the company did not achieve non-GAAP EPS of $1.00 or more. The Compensation Committee did not apply this non-GAAP EPS target to the Q3 and Q4 bonus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Individual Performance Factor</w:t>
      </w:r>
    </w:p>
    <w:p>
      <w:pPr>
        <w:spacing w:after="0" w:line="154"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At the end of each calendar quarter, the Compensation Committee scored our CEO’s individual achievement on the Quarterly CEO SMART Goals. The CEO scored each NEO’s performance (other than himself) against each of their respective Quarterly Individual Goals.</w:t>
      </w:r>
    </w:p>
    <w:p>
      <w:pPr>
        <w:spacing w:after="0" w:line="115"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Out of a possible 120 points each quarter (which included up to 20 points for stretch goals), our NEOs achieved the following individual scores on their quarterly performance goals in 2024:</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22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5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Q1 Score</w:t>
            </w:r>
          </w:p>
        </w:tc>
        <w:tc>
          <w:tcPr>
            <w:tcW w:w="15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Q2 Score</w:t>
            </w:r>
          </w:p>
        </w:tc>
        <w:tc>
          <w:tcPr>
            <w:tcW w:w="1500" w:type="dxa"/>
            <w:vAlign w:val="bottom"/>
            <w:tcBorders>
              <w:right w:val="single" w:sz="8" w:color="3C3C3C"/>
            </w:tcBorders>
            <w:shd w:val="clear" w:color="auto" w:fill="3C3C3C"/>
          </w:tcPr>
          <w:p>
            <w:pPr>
              <w:ind w:left="420"/>
              <w:spacing w:after="0"/>
              <w:rPr>
                <w:sz w:val="20"/>
                <w:szCs w:val="20"/>
                <w:color w:val="auto"/>
              </w:rPr>
            </w:pPr>
            <w:r>
              <w:rPr>
                <w:rFonts w:ascii="Arial" w:cs="Arial" w:eastAsia="Arial" w:hAnsi="Arial"/>
                <w:sz w:val="14"/>
                <w:szCs w:val="14"/>
                <w:b w:val="1"/>
                <w:bCs w:val="1"/>
                <w:color w:val="FFFFFF"/>
              </w:rPr>
              <w:t>Q3 Score</w:t>
            </w:r>
          </w:p>
        </w:tc>
        <w:tc>
          <w:tcPr>
            <w:tcW w:w="15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Q4 Score</w:t>
            </w:r>
          </w:p>
        </w:tc>
      </w:tr>
      <w:tr>
        <w:trPr>
          <w:trHeight w:val="243"/>
        </w:trPr>
        <w:tc>
          <w:tcPr>
            <w:tcW w:w="52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89.90</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70.80</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62.20</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65.50</w:t>
            </w:r>
          </w:p>
        </w:tc>
      </w:tr>
      <w:tr>
        <w:trPr>
          <w:trHeight w:val="239"/>
        </w:trPr>
        <w:tc>
          <w:tcPr>
            <w:tcW w:w="52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5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95.64</w:t>
            </w:r>
          </w:p>
        </w:tc>
        <w:tc>
          <w:tcPr>
            <w:tcW w:w="15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90.80</w:t>
            </w:r>
          </w:p>
        </w:tc>
        <w:tc>
          <w:tcPr>
            <w:tcW w:w="15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74.30</w:t>
            </w:r>
          </w:p>
        </w:tc>
        <w:tc>
          <w:tcPr>
            <w:tcW w:w="15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75.50</w:t>
            </w:r>
          </w:p>
        </w:tc>
      </w:tr>
      <w:tr>
        <w:trPr>
          <w:trHeight w:val="247"/>
        </w:trPr>
        <w:tc>
          <w:tcPr>
            <w:tcW w:w="52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93.71</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85.24</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100.14</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98.40</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2024 Quarterly Performance Cash Bonuses Earned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retained final discretion over and approved all quarterly bonus payments under the 2024 Bonus Program.</w:t>
      </w:r>
    </w:p>
    <w:p>
      <w:pPr>
        <w:spacing w:after="0" w:line="208"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As described above, the quarterly bonus payout for each NEO was determined by taking the NEO’s eligible salary on a quarterly basis, multiplied by his or her Bonus Percentage and multiplying that by the Company Performance Factor, the Funding Factor, and the Individual Performance Factor. For an example of how the quarterly cash bonus was calculated for the CEO in each quarter, please see the following table: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CEO Performance Cash Bonus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4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Performance Cash Bonus Factors</w:t>
            </w:r>
          </w:p>
        </w:tc>
        <w:tc>
          <w:tcPr>
            <w:tcW w:w="16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6"/>
              </w:rPr>
              <w:t>Q1</w:t>
            </w:r>
          </w:p>
        </w:tc>
        <w:tc>
          <w:tcPr>
            <w:tcW w:w="16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6"/>
              </w:rPr>
              <w:t>Q2</w:t>
            </w:r>
          </w:p>
        </w:tc>
        <w:tc>
          <w:tcPr>
            <w:tcW w:w="16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6"/>
              </w:rPr>
              <w:t>Q3</w:t>
            </w:r>
          </w:p>
        </w:tc>
        <w:tc>
          <w:tcPr>
            <w:tcW w:w="15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Q4</w:t>
            </w:r>
          </w:p>
        </w:tc>
      </w:tr>
      <w:tr>
        <w:trPr>
          <w:trHeight w:val="243"/>
        </w:trPr>
        <w:tc>
          <w:tcPr>
            <w:tcW w:w="48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Quarterly bonus eligible at target ($)</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112,500</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112,500</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112,500</w:t>
            </w:r>
          </w:p>
        </w:tc>
        <w:tc>
          <w:tcPr>
            <w:tcW w:w="15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112,500</w:t>
            </w:r>
          </w:p>
        </w:tc>
      </w:tr>
      <w:tr>
        <w:trPr>
          <w:trHeight w:val="239"/>
        </w:trPr>
        <w:tc>
          <w:tcPr>
            <w:tcW w:w="48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Company Performance Factor</w:t>
            </w:r>
          </w:p>
        </w:tc>
        <w:tc>
          <w:tcPr>
            <w:tcW w:w="1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1.0</w:t>
            </w:r>
          </w:p>
        </w:tc>
        <w:tc>
          <w:tcPr>
            <w:tcW w:w="1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0.5</w:t>
            </w:r>
          </w:p>
        </w:tc>
        <w:tc>
          <w:tcPr>
            <w:tcW w:w="1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0.5</w:t>
            </w:r>
          </w:p>
        </w:tc>
      </w:tr>
      <w:tr>
        <w:trPr>
          <w:trHeight w:val="301"/>
        </w:trPr>
        <w:tc>
          <w:tcPr>
            <w:tcW w:w="48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Funding Factor</w:t>
            </w:r>
            <w:r>
              <w:rPr>
                <w:rFonts w:ascii="Arial" w:cs="Arial" w:eastAsia="Arial" w:hAnsi="Arial"/>
                <w:sz w:val="21"/>
                <w:szCs w:val="21"/>
                <w:b w:val="1"/>
                <w:bCs w:val="1"/>
                <w:color w:val="auto"/>
                <w:vertAlign w:val="superscript"/>
              </w:rPr>
              <w:t>(1)</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6"/>
              </w:rPr>
              <w:t>0.66</w:t>
            </w:r>
          </w:p>
        </w:tc>
        <w:tc>
          <w:tcPr>
            <w:tcW w:w="15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0.62</w:t>
            </w:r>
          </w:p>
        </w:tc>
      </w:tr>
      <w:tr>
        <w:trPr>
          <w:trHeight w:val="239"/>
        </w:trPr>
        <w:tc>
          <w:tcPr>
            <w:tcW w:w="48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Individual Performance Factor</w:t>
            </w:r>
          </w:p>
        </w:tc>
        <w:tc>
          <w:tcPr>
            <w:tcW w:w="1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0.8990</w:t>
            </w:r>
          </w:p>
        </w:tc>
        <w:tc>
          <w:tcPr>
            <w:tcW w:w="1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0.7080</w:t>
            </w:r>
          </w:p>
        </w:tc>
        <w:tc>
          <w:tcPr>
            <w:tcW w:w="1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0.6220</w:t>
            </w:r>
          </w:p>
        </w:tc>
        <w:tc>
          <w:tcPr>
            <w:tcW w:w="15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0.6550</w:t>
            </w:r>
          </w:p>
        </w:tc>
      </w:tr>
      <w:tr>
        <w:trPr>
          <w:trHeight w:val="247"/>
        </w:trPr>
        <w:tc>
          <w:tcPr>
            <w:tcW w:w="48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Actual Bonus ($)</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22,843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60" w:right="20" w:hanging="252"/>
        <w:spacing w:after="0" w:line="305" w:lineRule="auto"/>
        <w:tabs>
          <w:tab w:leader="none" w:pos="245" w:val="left"/>
        </w:tabs>
        <w:numPr>
          <w:ilvl w:val="0"/>
          <w:numId w:val="38"/>
        </w:numPr>
        <w:rPr>
          <w:rFonts w:ascii="Arial" w:cs="Arial" w:eastAsia="Arial" w:hAnsi="Arial"/>
          <w:sz w:val="14"/>
          <w:szCs w:val="14"/>
          <w:color w:val="7D7D7D"/>
        </w:rPr>
      </w:pPr>
      <w:r>
        <w:rPr>
          <w:rFonts w:ascii="Arial" w:cs="Arial" w:eastAsia="Arial" w:hAnsi="Arial"/>
          <w:sz w:val="14"/>
          <w:szCs w:val="14"/>
          <w:color w:val="7D7D7D"/>
        </w:rPr>
        <w:t>For Q1, the funding factor was zero as we did not meet the minimum threshold to fund the Q1 bonus opportunity. For Q2, the funding factor was zero as applied to NEOs as we did not achieve non-GAAP EPS of $1.00 or more.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Based on our quarterly achievement during 2024 and the individual performance of our NEOs each quarter, the Compensation Committee awarded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NEOs the quarterly bonuses shown in the chart below:</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6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2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2024 Target</w:t>
            </w:r>
          </w:p>
        </w:tc>
        <w:tc>
          <w:tcPr>
            <w:tcW w:w="1280" w:type="dxa"/>
            <w:vAlign w:val="bottom"/>
            <w:tcBorders>
              <w:right w:val="single" w:sz="8" w:color="3C3C3C"/>
            </w:tcBorders>
            <w:shd w:val="clear" w:color="auto" w:fill="3C3C3C"/>
          </w:tcPr>
          <w:p>
            <w:pPr>
              <w:ind w:left="60"/>
              <w:spacing w:after="0"/>
              <w:rPr>
                <w:sz w:val="20"/>
                <w:szCs w:val="20"/>
                <w:color w:val="auto"/>
              </w:rPr>
            </w:pPr>
            <w:r>
              <w:rPr>
                <w:rFonts w:ascii="Arial" w:cs="Arial" w:eastAsia="Arial" w:hAnsi="Arial"/>
                <w:sz w:val="14"/>
                <w:szCs w:val="14"/>
                <w:b w:val="1"/>
                <w:bCs w:val="1"/>
                <w:color w:val="FFFFFF"/>
              </w:rPr>
              <w:t>Q1 Actual Bonus</w:t>
            </w:r>
          </w:p>
        </w:tc>
        <w:tc>
          <w:tcPr>
            <w:tcW w:w="1280" w:type="dxa"/>
            <w:vAlign w:val="bottom"/>
            <w:tcBorders>
              <w:right w:val="single" w:sz="8" w:color="3C3C3C"/>
            </w:tcBorders>
            <w:shd w:val="clear" w:color="auto" w:fill="3C3C3C"/>
          </w:tcPr>
          <w:p>
            <w:pPr>
              <w:jc w:val="right"/>
              <w:spacing w:after="0"/>
              <w:rPr>
                <w:sz w:val="20"/>
                <w:szCs w:val="20"/>
                <w:color w:val="auto"/>
              </w:rPr>
            </w:pPr>
            <w:r>
              <w:rPr>
                <w:rFonts w:ascii="Arial" w:cs="Arial" w:eastAsia="Arial" w:hAnsi="Arial"/>
                <w:sz w:val="14"/>
                <w:szCs w:val="14"/>
                <w:b w:val="1"/>
                <w:bCs w:val="1"/>
                <w:color w:val="FFFFFF"/>
              </w:rPr>
              <w:t>Q2 Actual Bonus</w:t>
            </w:r>
          </w:p>
        </w:tc>
        <w:tc>
          <w:tcPr>
            <w:tcW w:w="1300" w:type="dxa"/>
            <w:vAlign w:val="bottom"/>
            <w:tcBorders>
              <w:right w:val="single" w:sz="8" w:color="3C3C3C"/>
            </w:tcBorders>
            <w:shd w:val="clear" w:color="auto" w:fill="3C3C3C"/>
          </w:tcPr>
          <w:p>
            <w:pPr>
              <w:jc w:val="right"/>
              <w:ind w:right="3"/>
              <w:spacing w:after="0"/>
              <w:rPr>
                <w:sz w:val="20"/>
                <w:szCs w:val="20"/>
                <w:color w:val="auto"/>
              </w:rPr>
            </w:pPr>
            <w:r>
              <w:rPr>
                <w:rFonts w:ascii="Arial" w:cs="Arial" w:eastAsia="Arial" w:hAnsi="Arial"/>
                <w:sz w:val="14"/>
                <w:szCs w:val="14"/>
                <w:b w:val="1"/>
                <w:bCs w:val="1"/>
                <w:color w:val="FFFFFF"/>
              </w:rPr>
              <w:t>Q3 Actual Bonus</w:t>
            </w:r>
          </w:p>
        </w:tc>
        <w:tc>
          <w:tcPr>
            <w:tcW w:w="1300" w:type="dxa"/>
            <w:vAlign w:val="bottom"/>
            <w:tcBorders>
              <w:right w:val="single" w:sz="8" w:color="3C3C3C"/>
            </w:tcBorders>
            <w:shd w:val="clear" w:color="auto" w:fill="3C3C3C"/>
          </w:tcPr>
          <w:p>
            <w:pPr>
              <w:ind w:left="60"/>
              <w:spacing w:after="0"/>
              <w:rPr>
                <w:sz w:val="20"/>
                <w:szCs w:val="20"/>
                <w:color w:val="auto"/>
              </w:rPr>
            </w:pPr>
            <w:r>
              <w:rPr>
                <w:rFonts w:ascii="Arial" w:cs="Arial" w:eastAsia="Arial" w:hAnsi="Arial"/>
                <w:sz w:val="14"/>
                <w:szCs w:val="14"/>
                <w:b w:val="1"/>
                <w:bCs w:val="1"/>
                <w:color w:val="FFFFFF"/>
              </w:rPr>
              <w:t>Q4 Actual Bonus</w:t>
            </w:r>
          </w:p>
        </w:tc>
        <w:tc>
          <w:tcPr>
            <w:tcW w:w="12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Aggregate 2024</w:t>
            </w:r>
          </w:p>
        </w:tc>
        <w:tc>
          <w:tcPr>
            <w:tcW w:w="12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Aggregate Bonus</w:t>
            </w:r>
          </w:p>
        </w:tc>
        <w:tc>
          <w:tcPr>
            <w:tcW w:w="0" w:type="dxa"/>
            <w:vAlign w:val="bottom"/>
          </w:tcPr>
          <w:p>
            <w:pPr>
              <w:spacing w:after="0"/>
              <w:rPr>
                <w:sz w:val="1"/>
                <w:szCs w:val="1"/>
                <w:color w:val="auto"/>
              </w:rPr>
            </w:pPr>
          </w:p>
        </w:tc>
      </w:tr>
      <w:tr>
        <w:trPr>
          <w:trHeight w:val="112"/>
        </w:trPr>
        <w:tc>
          <w:tcPr>
            <w:tcW w:w="2260" w:type="dxa"/>
            <w:vAlign w:val="bottom"/>
            <w:tcBorders>
              <w:left w:val="single" w:sz="8" w:color="3C3C3C"/>
              <w:right w:val="single" w:sz="8" w:color="3C3C3C"/>
            </w:tcBorders>
            <w:vMerge w:val="continue"/>
            <w:shd w:val="clear" w:color="auto" w:fill="3C3C3C"/>
          </w:tcPr>
          <w:p>
            <w:pPr>
              <w:spacing w:after="0"/>
              <w:rPr>
                <w:sz w:val="9"/>
                <w:szCs w:val="9"/>
                <w:color w:val="auto"/>
              </w:rPr>
            </w:pPr>
          </w:p>
        </w:tc>
        <w:tc>
          <w:tcPr>
            <w:tcW w:w="1260" w:type="dxa"/>
            <w:vAlign w:val="bottom"/>
            <w:tcBorders>
              <w:right w:val="single" w:sz="8" w:color="3C3C3C"/>
            </w:tcBorders>
            <w:shd w:val="clear" w:color="auto" w:fill="3C3C3C"/>
          </w:tcPr>
          <w:p>
            <w:pPr>
              <w:jc w:val="center"/>
              <w:spacing w:after="0" w:line="113" w:lineRule="exact"/>
              <w:rPr>
                <w:sz w:val="20"/>
                <w:szCs w:val="20"/>
                <w:color w:val="auto"/>
              </w:rPr>
            </w:pPr>
            <w:r>
              <w:rPr>
                <w:rFonts w:ascii="Arial" w:cs="Arial" w:eastAsia="Arial" w:hAnsi="Arial"/>
                <w:sz w:val="13"/>
                <w:szCs w:val="13"/>
                <w:b w:val="1"/>
                <w:bCs w:val="1"/>
                <w:color w:val="FFFFFF"/>
              </w:rPr>
              <w:t>Annual Bonus</w:t>
            </w:r>
          </w:p>
        </w:tc>
        <w:tc>
          <w:tcPr>
            <w:tcW w:w="1280" w:type="dxa"/>
            <w:vAlign w:val="bottom"/>
            <w:tcBorders>
              <w:right w:val="single" w:sz="8" w:color="3C3C3C"/>
            </w:tcBorders>
            <w:vMerge w:val="restart"/>
            <w:shd w:val="clear" w:color="auto" w:fill="3C3C3C"/>
          </w:tcPr>
          <w:p>
            <w:pPr>
              <w:ind w:left="540"/>
              <w:spacing w:after="0"/>
              <w:rPr>
                <w:sz w:val="20"/>
                <w:szCs w:val="20"/>
                <w:color w:val="auto"/>
              </w:rPr>
            </w:pPr>
            <w:r>
              <w:rPr>
                <w:rFonts w:ascii="Arial" w:cs="Arial" w:eastAsia="Arial" w:hAnsi="Arial"/>
                <w:sz w:val="14"/>
                <w:szCs w:val="14"/>
                <w:b w:val="1"/>
                <w:bCs w:val="1"/>
                <w:color w:val="FFFFFF"/>
              </w:rPr>
              <w:t>($)</w:t>
            </w:r>
          </w:p>
        </w:tc>
        <w:tc>
          <w:tcPr>
            <w:tcW w:w="1280" w:type="dxa"/>
            <w:vAlign w:val="bottom"/>
            <w:tcBorders>
              <w:right w:val="single" w:sz="8" w:color="3C3C3C"/>
            </w:tcBorders>
            <w:vMerge w:val="restart"/>
            <w:shd w:val="clear" w:color="auto" w:fill="3C3C3C"/>
          </w:tcPr>
          <w:p>
            <w:pPr>
              <w:jc w:val="right"/>
              <w:ind w:right="483"/>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right w:val="single" w:sz="8" w:color="3C3C3C"/>
            </w:tcBorders>
            <w:vMerge w:val="restart"/>
            <w:shd w:val="clear" w:color="auto" w:fill="3C3C3C"/>
          </w:tcPr>
          <w:p>
            <w:pPr>
              <w:jc w:val="right"/>
              <w:ind w:right="483"/>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tcBorders>
              <w:right w:val="single" w:sz="8" w:color="3C3C3C"/>
            </w:tcBorders>
            <w:shd w:val="clear" w:color="auto" w:fill="3C3C3C"/>
          </w:tcPr>
          <w:p>
            <w:pPr>
              <w:jc w:val="center"/>
              <w:spacing w:after="0" w:line="113" w:lineRule="exact"/>
              <w:rPr>
                <w:sz w:val="20"/>
                <w:szCs w:val="20"/>
                <w:color w:val="auto"/>
              </w:rPr>
            </w:pPr>
            <w:r>
              <w:rPr>
                <w:rFonts w:ascii="Arial" w:cs="Arial" w:eastAsia="Arial" w:hAnsi="Arial"/>
                <w:sz w:val="13"/>
                <w:szCs w:val="13"/>
                <w:b w:val="1"/>
                <w:bCs w:val="1"/>
                <w:color w:val="FFFFFF"/>
              </w:rPr>
              <w:t>Bonus</w:t>
            </w: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as % of Target</w:t>
            </w:r>
          </w:p>
        </w:tc>
        <w:tc>
          <w:tcPr>
            <w:tcW w:w="0" w:type="dxa"/>
            <w:vAlign w:val="bottom"/>
          </w:tcPr>
          <w:p>
            <w:pPr>
              <w:spacing w:after="0"/>
              <w:rPr>
                <w:sz w:val="1"/>
                <w:szCs w:val="1"/>
                <w:color w:val="auto"/>
              </w:rPr>
            </w:pPr>
          </w:p>
        </w:tc>
      </w:tr>
      <w:tr>
        <w:trPr>
          <w:trHeight w:val="102"/>
        </w:trPr>
        <w:tc>
          <w:tcPr>
            <w:tcW w:w="2260" w:type="dxa"/>
            <w:vAlign w:val="bottom"/>
            <w:tcBorders>
              <w:left w:val="single" w:sz="8" w:color="3C3C3C"/>
              <w:right w:val="single" w:sz="8" w:color="3C3C3C"/>
            </w:tcBorders>
            <w:shd w:val="clear" w:color="auto" w:fill="3C3C3C"/>
          </w:tcPr>
          <w:p>
            <w:pPr>
              <w:spacing w:after="0"/>
              <w:rPr>
                <w:sz w:val="8"/>
                <w:szCs w:val="8"/>
                <w:color w:val="auto"/>
              </w:rPr>
            </w:pP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tcBorders>
              <w:right w:val="single" w:sz="8" w:color="3C3C3C"/>
            </w:tcBorders>
            <w:vMerge w:val="continue"/>
            <w:shd w:val="clear" w:color="auto" w:fill="3C3C3C"/>
          </w:tcPr>
          <w:p>
            <w:pPr>
              <w:spacing w:after="0"/>
              <w:rPr>
                <w:sz w:val="8"/>
                <w:szCs w:val="8"/>
                <w:color w:val="auto"/>
              </w:rPr>
            </w:pPr>
          </w:p>
        </w:tc>
        <w:tc>
          <w:tcPr>
            <w:tcW w:w="1280" w:type="dxa"/>
            <w:vAlign w:val="bottom"/>
            <w:tcBorders>
              <w:right w:val="single" w:sz="8" w:color="3C3C3C"/>
            </w:tcBorders>
            <w:vMerge w:val="continue"/>
            <w:shd w:val="clear" w:color="auto" w:fill="3C3C3C"/>
          </w:tcPr>
          <w:p>
            <w:pPr>
              <w:spacing w:after="0"/>
              <w:rPr>
                <w:sz w:val="8"/>
                <w:szCs w:val="8"/>
                <w:color w:val="auto"/>
              </w:rPr>
            </w:pPr>
          </w:p>
        </w:tc>
        <w:tc>
          <w:tcPr>
            <w:tcW w:w="1300" w:type="dxa"/>
            <w:vAlign w:val="bottom"/>
            <w:tcBorders>
              <w:right w:val="single" w:sz="8" w:color="3C3C3C"/>
            </w:tcBorders>
            <w:vMerge w:val="continue"/>
            <w:shd w:val="clear" w:color="auto" w:fill="3C3C3C"/>
          </w:tcPr>
          <w:p>
            <w:pPr>
              <w:spacing w:after="0"/>
              <w:rPr>
                <w:sz w:val="8"/>
                <w:szCs w:val="8"/>
                <w:color w:val="auto"/>
              </w:rPr>
            </w:pPr>
          </w:p>
        </w:tc>
        <w:tc>
          <w:tcPr>
            <w:tcW w:w="1300" w:type="dxa"/>
            <w:vAlign w:val="bottom"/>
            <w:tcBorders>
              <w:right w:val="single" w:sz="8" w:color="3C3C3C"/>
            </w:tcBorders>
            <w:vMerge w:val="continue"/>
            <w:shd w:val="clear" w:color="auto" w:fill="3C3C3C"/>
          </w:tcPr>
          <w:p>
            <w:pPr>
              <w:spacing w:after="0"/>
              <w:rPr>
                <w:sz w:val="8"/>
                <w:szCs w:val="8"/>
                <w:color w:val="auto"/>
              </w:rPr>
            </w:pPr>
          </w:p>
        </w:tc>
        <w:tc>
          <w:tcPr>
            <w:tcW w:w="12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right w:val="single" w:sz="8" w:color="3C3C3C"/>
            </w:tcBorders>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260" w:type="dxa"/>
            <w:vAlign w:val="bottom"/>
            <w:tcBorders>
              <w:left w:val="single" w:sz="8" w:color="3C3C3C"/>
              <w:right w:val="single" w:sz="8" w:color="3C3C3C"/>
            </w:tcBorders>
            <w:shd w:val="clear" w:color="auto" w:fill="3C3C3C"/>
          </w:tcPr>
          <w:p>
            <w:pPr>
              <w:spacing w:after="0"/>
              <w:rPr>
                <w:sz w:val="9"/>
                <w:szCs w:val="9"/>
                <w:color w:val="auto"/>
              </w:rPr>
            </w:pPr>
          </w:p>
        </w:tc>
        <w:tc>
          <w:tcPr>
            <w:tcW w:w="1260" w:type="dxa"/>
            <w:vAlign w:val="bottom"/>
            <w:tcBorders>
              <w:right w:val="single" w:sz="8" w:color="3C3C3C"/>
            </w:tcBorders>
            <w:vMerge w:val="continue"/>
            <w:shd w:val="clear" w:color="auto" w:fill="3C3C3C"/>
          </w:tcPr>
          <w:p>
            <w:pPr>
              <w:spacing w:after="0"/>
              <w:rPr>
                <w:sz w:val="9"/>
                <w:szCs w:val="9"/>
                <w:color w:val="auto"/>
              </w:rPr>
            </w:pPr>
          </w:p>
        </w:tc>
        <w:tc>
          <w:tcPr>
            <w:tcW w:w="1280" w:type="dxa"/>
            <w:vAlign w:val="bottom"/>
            <w:tcBorders>
              <w:right w:val="single" w:sz="8" w:color="3C3C3C"/>
            </w:tcBorders>
            <w:shd w:val="clear" w:color="auto" w:fill="3C3C3C"/>
          </w:tcPr>
          <w:p>
            <w:pPr>
              <w:spacing w:after="0"/>
              <w:rPr>
                <w:sz w:val="9"/>
                <w:szCs w:val="9"/>
                <w:color w:val="auto"/>
              </w:rPr>
            </w:pPr>
          </w:p>
        </w:tc>
        <w:tc>
          <w:tcPr>
            <w:tcW w:w="1280" w:type="dxa"/>
            <w:vAlign w:val="bottom"/>
            <w:tcBorders>
              <w:right w:val="single" w:sz="8" w:color="3C3C3C"/>
            </w:tcBorders>
            <w:shd w:val="clear" w:color="auto" w:fill="3C3C3C"/>
          </w:tcPr>
          <w:p>
            <w:pPr>
              <w:spacing w:after="0"/>
              <w:rPr>
                <w:sz w:val="9"/>
                <w:szCs w:val="9"/>
                <w:color w:val="auto"/>
              </w:rPr>
            </w:pPr>
          </w:p>
        </w:tc>
        <w:tc>
          <w:tcPr>
            <w:tcW w:w="1300" w:type="dxa"/>
            <w:vAlign w:val="bottom"/>
            <w:tcBorders>
              <w:right w:val="single" w:sz="8" w:color="3C3C3C"/>
            </w:tcBorders>
            <w:shd w:val="clear" w:color="auto" w:fill="3C3C3C"/>
          </w:tcPr>
          <w:p>
            <w:pPr>
              <w:spacing w:after="0"/>
              <w:rPr>
                <w:sz w:val="9"/>
                <w:szCs w:val="9"/>
                <w:color w:val="auto"/>
              </w:rPr>
            </w:pPr>
          </w:p>
        </w:tc>
        <w:tc>
          <w:tcPr>
            <w:tcW w:w="1300" w:type="dxa"/>
            <w:vAlign w:val="bottom"/>
            <w:tcBorders>
              <w:right w:val="single" w:sz="8" w:color="3C3C3C"/>
            </w:tcBorders>
            <w:shd w:val="clear" w:color="auto" w:fill="3C3C3C"/>
          </w:tcPr>
          <w:p>
            <w:pPr>
              <w:spacing w:after="0"/>
              <w:rPr>
                <w:sz w:val="9"/>
                <w:szCs w:val="9"/>
                <w:color w:val="auto"/>
              </w:rPr>
            </w:pPr>
          </w:p>
        </w:tc>
        <w:tc>
          <w:tcPr>
            <w:tcW w:w="1280" w:type="dxa"/>
            <w:vAlign w:val="bottom"/>
            <w:tcBorders>
              <w:right w:val="single" w:sz="8" w:color="3C3C3C"/>
            </w:tcBorders>
            <w:vMerge w:val="continue"/>
            <w:shd w:val="clear" w:color="auto" w:fill="3C3C3C"/>
          </w:tcPr>
          <w:p>
            <w:pPr>
              <w:spacing w:after="0"/>
              <w:rPr>
                <w:sz w:val="9"/>
                <w:szCs w:val="9"/>
                <w:color w:val="auto"/>
              </w:rPr>
            </w:pPr>
          </w:p>
        </w:tc>
        <w:tc>
          <w:tcPr>
            <w:tcW w:w="1260" w:type="dxa"/>
            <w:vAlign w:val="bottom"/>
            <w:tcBorders>
              <w:right w:val="single" w:sz="8" w:color="3C3C3C"/>
            </w:tcBorders>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12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450,000</w:t>
            </w:r>
          </w:p>
        </w:tc>
        <w:tc>
          <w:tcPr>
            <w:tcW w:w="1280" w:type="dxa"/>
            <w:vAlign w:val="bottom"/>
            <w:tcBorders>
              <w:right w:val="single" w:sz="8" w:color="929292"/>
            </w:tcBorders>
            <w:vMerge w:val="restart"/>
            <w:shd w:val="clear" w:color="auto" w:fill="FAF6EF"/>
          </w:tcPr>
          <w:p>
            <w:pPr>
              <w:ind w:left="56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929292"/>
            </w:tcBorders>
            <w:vMerge w:val="restart"/>
            <w:shd w:val="clear" w:color="auto" w:fill="FAF6EF"/>
          </w:tcPr>
          <w:p>
            <w:pPr>
              <w:jc w:val="right"/>
              <w:ind w:right="483"/>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929292"/>
            </w:tcBorders>
            <w:vMerge w:val="restart"/>
            <w:shd w:val="clear" w:color="auto" w:fill="FAF6EF"/>
          </w:tcPr>
          <w:p>
            <w:pPr>
              <w:jc w:val="right"/>
              <w:ind w:right="503"/>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22,843</w:t>
            </w:r>
          </w:p>
        </w:tc>
        <w:tc>
          <w:tcPr>
            <w:tcW w:w="128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22,843</w:t>
            </w:r>
          </w:p>
        </w:tc>
        <w:tc>
          <w:tcPr>
            <w:tcW w:w="12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5.1</w:t>
            </w:r>
          </w:p>
        </w:tc>
        <w:tc>
          <w:tcPr>
            <w:tcW w:w="0" w:type="dxa"/>
            <w:vAlign w:val="bottom"/>
          </w:tcPr>
          <w:p>
            <w:pPr>
              <w:spacing w:after="0"/>
              <w:rPr>
                <w:sz w:val="1"/>
                <w:szCs w:val="1"/>
                <w:color w:val="auto"/>
              </w:rPr>
            </w:pPr>
          </w:p>
        </w:tc>
      </w:tr>
      <w:tr>
        <w:trPr>
          <w:trHeight w:val="120"/>
        </w:trPr>
        <w:tc>
          <w:tcPr>
            <w:tcW w:w="2260" w:type="dxa"/>
            <w:vAlign w:val="bottom"/>
            <w:tcBorders>
              <w:left w:val="single" w:sz="8" w:color="929292"/>
              <w:righ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1260" w:type="dxa"/>
            <w:vAlign w:val="bottom"/>
            <w:tcBorders>
              <w:right w:val="single" w:sz="8" w:color="929292"/>
            </w:tcBorders>
            <w:vMerge w:val="continue"/>
            <w:shd w:val="clear" w:color="auto" w:fill="FAF6EF"/>
          </w:tcPr>
          <w:p>
            <w:pPr>
              <w:spacing w:after="0"/>
              <w:rPr>
                <w:sz w:val="10"/>
                <w:szCs w:val="10"/>
                <w:color w:val="auto"/>
              </w:rPr>
            </w:pPr>
          </w:p>
        </w:tc>
        <w:tc>
          <w:tcPr>
            <w:tcW w:w="1280" w:type="dxa"/>
            <w:vAlign w:val="bottom"/>
            <w:tcBorders>
              <w:right w:val="single" w:sz="8" w:color="929292"/>
            </w:tcBorders>
            <w:vMerge w:val="continue"/>
            <w:shd w:val="clear" w:color="auto" w:fill="FAF6EF"/>
          </w:tcPr>
          <w:p>
            <w:pPr>
              <w:spacing w:after="0"/>
              <w:rPr>
                <w:sz w:val="10"/>
                <w:szCs w:val="10"/>
                <w:color w:val="auto"/>
              </w:rPr>
            </w:pPr>
          </w:p>
        </w:tc>
        <w:tc>
          <w:tcPr>
            <w:tcW w:w="1280" w:type="dxa"/>
            <w:vAlign w:val="bottom"/>
            <w:tcBorders>
              <w:right w:val="single" w:sz="8" w:color="929292"/>
            </w:tcBorders>
            <w:vMerge w:val="continue"/>
            <w:shd w:val="clear" w:color="auto" w:fill="FAF6EF"/>
          </w:tcPr>
          <w:p>
            <w:pPr>
              <w:spacing w:after="0"/>
              <w:rPr>
                <w:sz w:val="10"/>
                <w:szCs w:val="10"/>
                <w:color w:val="auto"/>
              </w:rPr>
            </w:pPr>
          </w:p>
        </w:tc>
        <w:tc>
          <w:tcPr>
            <w:tcW w:w="1300" w:type="dxa"/>
            <w:vAlign w:val="bottom"/>
            <w:tcBorders>
              <w:right w:val="single" w:sz="8" w:color="929292"/>
            </w:tcBorders>
            <w:vMerge w:val="continue"/>
            <w:shd w:val="clear" w:color="auto" w:fill="FAF6EF"/>
          </w:tcPr>
          <w:p>
            <w:pPr>
              <w:spacing w:after="0"/>
              <w:rPr>
                <w:sz w:val="10"/>
                <w:szCs w:val="10"/>
                <w:color w:val="auto"/>
              </w:rPr>
            </w:pPr>
          </w:p>
        </w:tc>
        <w:tc>
          <w:tcPr>
            <w:tcW w:w="1300" w:type="dxa"/>
            <w:vAlign w:val="bottom"/>
            <w:tcBorders>
              <w:right w:val="single" w:sz="8" w:color="929292"/>
            </w:tcBorders>
            <w:vMerge w:val="continue"/>
            <w:shd w:val="clear" w:color="auto" w:fill="FAF6EF"/>
          </w:tcPr>
          <w:p>
            <w:pPr>
              <w:spacing w:after="0"/>
              <w:rPr>
                <w:sz w:val="10"/>
                <w:szCs w:val="10"/>
                <w:color w:val="auto"/>
              </w:rPr>
            </w:pPr>
          </w:p>
        </w:tc>
        <w:tc>
          <w:tcPr>
            <w:tcW w:w="1280" w:type="dxa"/>
            <w:vAlign w:val="bottom"/>
            <w:tcBorders>
              <w:right w:val="single" w:sz="8" w:color="929292"/>
            </w:tcBorders>
            <w:vMerge w:val="continue"/>
            <w:shd w:val="clear" w:color="auto" w:fill="FAF6EF"/>
          </w:tcPr>
          <w:p>
            <w:pPr>
              <w:spacing w:after="0"/>
              <w:rPr>
                <w:sz w:val="10"/>
                <w:szCs w:val="10"/>
                <w:color w:val="auto"/>
              </w:rPr>
            </w:pPr>
          </w:p>
        </w:tc>
        <w:tc>
          <w:tcPr>
            <w:tcW w:w="126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260" w:type="dxa"/>
            <w:vAlign w:val="bottom"/>
            <w:tcBorders>
              <w:left w:val="single" w:sz="8" w:color="929292"/>
              <w:bottom w:val="single" w:sz="8" w:color="FAF6EF"/>
              <w:right w:val="single" w:sz="8" w:color="929292"/>
            </w:tcBorders>
            <w:vMerge w:val="continue"/>
            <w:shd w:val="clear" w:color="auto" w:fill="FAF6EF"/>
          </w:tcPr>
          <w:p>
            <w:pPr>
              <w:spacing w:after="0"/>
              <w:rPr>
                <w:sz w:val="9"/>
                <w:szCs w:val="9"/>
                <w:color w:val="auto"/>
              </w:rPr>
            </w:pPr>
          </w:p>
        </w:tc>
        <w:tc>
          <w:tcPr>
            <w:tcW w:w="1260" w:type="dxa"/>
            <w:vAlign w:val="bottom"/>
            <w:tcBorders>
              <w:bottom w:val="single" w:sz="8" w:color="FAF6EF"/>
              <w:right w:val="single" w:sz="8" w:color="929292"/>
            </w:tcBorders>
            <w:shd w:val="clear" w:color="auto" w:fill="FAF6EF"/>
          </w:tcPr>
          <w:p>
            <w:pPr>
              <w:spacing w:after="0"/>
              <w:rPr>
                <w:sz w:val="9"/>
                <w:szCs w:val="9"/>
                <w:color w:val="auto"/>
              </w:rPr>
            </w:pPr>
          </w:p>
        </w:tc>
        <w:tc>
          <w:tcPr>
            <w:tcW w:w="1280" w:type="dxa"/>
            <w:vAlign w:val="bottom"/>
            <w:tcBorders>
              <w:bottom w:val="single" w:sz="8" w:color="FAF6EF"/>
              <w:right w:val="single" w:sz="8" w:color="929292"/>
            </w:tcBorders>
            <w:shd w:val="clear" w:color="auto" w:fill="FAF6EF"/>
          </w:tcPr>
          <w:p>
            <w:pPr>
              <w:spacing w:after="0"/>
              <w:rPr>
                <w:sz w:val="9"/>
                <w:szCs w:val="9"/>
                <w:color w:val="auto"/>
              </w:rPr>
            </w:pPr>
          </w:p>
        </w:tc>
        <w:tc>
          <w:tcPr>
            <w:tcW w:w="1280" w:type="dxa"/>
            <w:vAlign w:val="bottom"/>
            <w:tcBorders>
              <w:bottom w:val="single" w:sz="8" w:color="FAF6EF"/>
              <w:right w:val="single" w:sz="8" w:color="929292"/>
            </w:tcBorders>
            <w:shd w:val="clear" w:color="auto" w:fill="FAF6EF"/>
          </w:tcPr>
          <w:p>
            <w:pPr>
              <w:spacing w:after="0"/>
              <w:rPr>
                <w:sz w:val="9"/>
                <w:szCs w:val="9"/>
                <w:color w:val="auto"/>
              </w:rPr>
            </w:pPr>
          </w:p>
        </w:tc>
        <w:tc>
          <w:tcPr>
            <w:tcW w:w="1300" w:type="dxa"/>
            <w:vAlign w:val="bottom"/>
            <w:tcBorders>
              <w:bottom w:val="single" w:sz="8" w:color="FAF6EF"/>
              <w:right w:val="single" w:sz="8" w:color="929292"/>
            </w:tcBorders>
            <w:shd w:val="clear" w:color="auto" w:fill="FAF6EF"/>
          </w:tcPr>
          <w:p>
            <w:pPr>
              <w:spacing w:after="0"/>
              <w:rPr>
                <w:sz w:val="9"/>
                <w:szCs w:val="9"/>
                <w:color w:val="auto"/>
              </w:rPr>
            </w:pPr>
          </w:p>
        </w:tc>
        <w:tc>
          <w:tcPr>
            <w:tcW w:w="1300" w:type="dxa"/>
            <w:vAlign w:val="bottom"/>
            <w:tcBorders>
              <w:bottom w:val="single" w:sz="8" w:color="FAF6EF"/>
              <w:right w:val="single" w:sz="8" w:color="929292"/>
            </w:tcBorders>
            <w:shd w:val="clear" w:color="auto" w:fill="FAF6EF"/>
          </w:tcPr>
          <w:p>
            <w:pPr>
              <w:spacing w:after="0"/>
              <w:rPr>
                <w:sz w:val="9"/>
                <w:szCs w:val="9"/>
                <w:color w:val="auto"/>
              </w:rPr>
            </w:pPr>
          </w:p>
        </w:tc>
        <w:tc>
          <w:tcPr>
            <w:tcW w:w="1280" w:type="dxa"/>
            <w:vAlign w:val="bottom"/>
            <w:tcBorders>
              <w:bottom w:val="single" w:sz="8" w:color="FAF6EF"/>
              <w:right w:val="single" w:sz="8" w:color="929292"/>
            </w:tcBorders>
            <w:shd w:val="clear" w:color="auto" w:fill="FAF6EF"/>
          </w:tcPr>
          <w:p>
            <w:pPr>
              <w:spacing w:after="0"/>
              <w:rPr>
                <w:sz w:val="9"/>
                <w:szCs w:val="9"/>
                <w:color w:val="auto"/>
              </w:rPr>
            </w:pPr>
          </w:p>
        </w:tc>
        <w:tc>
          <w:tcPr>
            <w:tcW w:w="1260" w:type="dxa"/>
            <w:vAlign w:val="bottom"/>
            <w:tcBorders>
              <w:bottom w:val="single" w:sz="8" w:color="FAF6EF"/>
              <w:right w:val="single" w:sz="8" w:color="929292"/>
            </w:tcBorders>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2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2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275,625</w:t>
            </w:r>
          </w:p>
        </w:tc>
        <w:tc>
          <w:tcPr>
            <w:tcW w:w="1280" w:type="dxa"/>
            <w:vAlign w:val="bottom"/>
            <w:tcBorders>
              <w:right w:val="single" w:sz="8" w:color="929292"/>
            </w:tcBorders>
          </w:tcPr>
          <w:p>
            <w:pPr>
              <w:ind w:left="56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929292"/>
            </w:tcBorders>
          </w:tcPr>
          <w:p>
            <w:pPr>
              <w:jc w:val="right"/>
              <w:ind w:right="483"/>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929292"/>
            </w:tcBorders>
          </w:tcPr>
          <w:p>
            <w:pPr>
              <w:jc w:val="right"/>
              <w:ind w:right="503"/>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16,128</w:t>
            </w:r>
          </w:p>
        </w:tc>
        <w:tc>
          <w:tcPr>
            <w:tcW w:w="12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16,128</w:t>
            </w:r>
          </w:p>
        </w:tc>
        <w:tc>
          <w:tcPr>
            <w:tcW w:w="12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5.9</w:t>
            </w:r>
          </w:p>
        </w:tc>
        <w:tc>
          <w:tcPr>
            <w:tcW w:w="0" w:type="dxa"/>
            <w:vAlign w:val="bottom"/>
          </w:tcPr>
          <w:p>
            <w:pPr>
              <w:spacing w:after="0"/>
              <w:rPr>
                <w:sz w:val="1"/>
                <w:szCs w:val="1"/>
                <w:color w:val="auto"/>
              </w:rPr>
            </w:pPr>
          </w:p>
        </w:tc>
      </w:tr>
      <w:tr>
        <w:trPr>
          <w:trHeight w:val="301"/>
        </w:trPr>
        <w:tc>
          <w:tcPr>
            <w:tcW w:w="22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r>
              <w:rPr>
                <w:rFonts w:ascii="Arial" w:cs="Arial" w:eastAsia="Arial" w:hAnsi="Arial"/>
                <w:sz w:val="21"/>
                <w:szCs w:val="21"/>
                <w:b w:val="1"/>
                <w:bCs w:val="1"/>
                <w:color w:val="auto"/>
                <w:vertAlign w:val="superscript"/>
              </w:rPr>
              <w:t>(1)</w:t>
            </w:r>
          </w:p>
        </w:tc>
        <w:tc>
          <w:tcPr>
            <w:tcW w:w="1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225,000</w:t>
            </w:r>
          </w:p>
        </w:tc>
        <w:tc>
          <w:tcPr>
            <w:tcW w:w="1280" w:type="dxa"/>
            <w:vAlign w:val="bottom"/>
            <w:tcBorders>
              <w:right w:val="single" w:sz="8" w:color="929292"/>
            </w:tcBorders>
            <w:shd w:val="clear" w:color="auto" w:fill="FAF6EF"/>
          </w:tcPr>
          <w:p>
            <w:pPr>
              <w:ind w:left="56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929292"/>
            </w:tcBorders>
            <w:shd w:val="clear" w:color="auto" w:fill="FAF6EF"/>
          </w:tcPr>
          <w:p>
            <w:pPr>
              <w:jc w:val="right"/>
              <w:ind w:right="483"/>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929292"/>
            </w:tcBorders>
            <w:shd w:val="clear" w:color="auto" w:fill="FAF6EF"/>
          </w:tcPr>
          <w:p>
            <w:pPr>
              <w:jc w:val="right"/>
              <w:ind w:right="503"/>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11,436</w:t>
            </w:r>
          </w:p>
        </w:tc>
        <w:tc>
          <w:tcPr>
            <w:tcW w:w="12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11,436</w:t>
            </w:r>
          </w:p>
        </w:tc>
        <w:tc>
          <w:tcPr>
            <w:tcW w:w="1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5.1</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50" w:lineRule="exact"/>
        <w:rPr>
          <w:sz w:val="20"/>
          <w:szCs w:val="20"/>
          <w:color w:val="auto"/>
        </w:rPr>
      </w:pPr>
    </w:p>
    <w:p>
      <w:pPr>
        <w:ind w:left="260" w:right="140" w:hanging="252"/>
        <w:spacing w:after="0" w:line="285" w:lineRule="auto"/>
        <w:tabs>
          <w:tab w:leader="none" w:pos="245" w:val="left"/>
        </w:tabs>
        <w:numPr>
          <w:ilvl w:val="0"/>
          <w:numId w:val="39"/>
        </w:numPr>
        <w:rPr>
          <w:rFonts w:ascii="Arial" w:cs="Arial" w:eastAsia="Arial" w:hAnsi="Arial"/>
          <w:sz w:val="14"/>
          <w:szCs w:val="14"/>
          <w:color w:val="7D7D7D"/>
        </w:rPr>
      </w:pPr>
      <w:r>
        <w:rPr>
          <w:rFonts w:ascii="Arial" w:cs="Arial" w:eastAsia="Arial" w:hAnsi="Arial"/>
          <w:sz w:val="14"/>
          <w:szCs w:val="14"/>
          <w:color w:val="7D7D7D"/>
        </w:rPr>
        <w:t>Mr. Ranhoff’s target annual bonus for 2024 was based on his actual quarterly base salary in 2024, reflecting the decrease from $400,000 to $200,000 effective July 1, 2024 with his transition to part-time Commercial Advisor.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Incentive Compensation</w:t>
      </w:r>
    </w:p>
    <w:p>
      <w:pPr>
        <w:spacing w:after="0" w:line="144"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The Compensation Committee awarded equity in 2024 in the form of time-based RSUs and PSUs under the 2024 PSP to reward top talent for performance and to incentivize retention. The Compensation Committee determined an aggregate target award size for the equity incentive award for each NEO in 2024 based on our internal equity budget for all grants in 2024, internal pay equity, and for all NEOs other than the CEO, the recommendations of the CEO. In 2024, the Compensation Committee decreased the target value of annual equity awards for all NEOs, including our CEO. The 2024 PSP was designed to encourage our executive staff and other selected top talent, including our NEOs, to focus on initiatives that promoted the achievement of specific, forward-looking, annual goals that were critical to lay the foundation for our success over the longer term. Also, continuing in 2024, the Compensation Committee granted a PSU award that could be earned based on the achievement of relative TSR performance goals over a three-year performance period.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allocated the equity award value under the 2024 PSP to PSUs and RSUs, as follows:</w:t>
      </w:r>
    </w:p>
    <w:p>
      <w:pPr>
        <w:spacing w:after="0" w:line="208" w:lineRule="exact"/>
        <w:rPr>
          <w:sz w:val="20"/>
          <w:szCs w:val="20"/>
          <w:color w:val="auto"/>
        </w:rPr>
      </w:pPr>
    </w:p>
    <w:p>
      <w:pPr>
        <w:ind w:left="340" w:right="360" w:hanging="170"/>
        <w:spacing w:after="0" w:line="334" w:lineRule="auto"/>
        <w:tabs>
          <w:tab w:leader="none" w:pos="317" w:val="left"/>
        </w:tabs>
        <w:numPr>
          <w:ilvl w:val="0"/>
          <w:numId w:val="40"/>
        </w:numPr>
        <w:rPr>
          <w:rFonts w:ascii="Arial" w:cs="Arial" w:eastAsia="Arial" w:hAnsi="Arial"/>
          <w:sz w:val="13"/>
          <w:szCs w:val="13"/>
          <w:color w:val="auto"/>
        </w:rPr>
      </w:pPr>
      <w:r>
        <w:rPr>
          <w:rFonts w:ascii="Arial" w:cs="Arial" w:eastAsia="Arial" w:hAnsi="Arial"/>
          <w:sz w:val="16"/>
          <w:szCs w:val="16"/>
          <w:color w:val="auto"/>
        </w:rPr>
        <w:t>34% in the form of PSUs that vest based on the level of achievement of the TSR of Enphase relative to the TSR performance of the S&amp;P 500 over a three-year period;</w:t>
      </w:r>
    </w:p>
    <w:p>
      <w:pPr>
        <w:ind w:left="300" w:hanging="130"/>
        <w:spacing w:after="0"/>
        <w:tabs>
          <w:tab w:leader="none" w:pos="300" w:val="left"/>
        </w:tabs>
        <w:numPr>
          <w:ilvl w:val="0"/>
          <w:numId w:val="40"/>
        </w:numPr>
        <w:rPr>
          <w:rFonts w:ascii="Arial" w:cs="Arial" w:eastAsia="Arial" w:hAnsi="Arial"/>
          <w:sz w:val="13"/>
          <w:szCs w:val="13"/>
          <w:color w:val="auto"/>
        </w:rPr>
      </w:pPr>
      <w:r>
        <w:rPr>
          <w:rFonts w:ascii="Arial" w:cs="Arial" w:eastAsia="Arial" w:hAnsi="Arial"/>
          <w:sz w:val="16"/>
          <w:szCs w:val="16"/>
          <w:color w:val="auto"/>
        </w:rPr>
        <w:t>33% in the form of PSUs that vest based on the level of achievement of the Annual CEO SMART Goals; and</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40"/>
        </w:numPr>
        <w:rPr>
          <w:rFonts w:ascii="Arial" w:cs="Arial" w:eastAsia="Arial" w:hAnsi="Arial"/>
          <w:sz w:val="13"/>
          <w:szCs w:val="13"/>
          <w:color w:val="auto"/>
        </w:rPr>
      </w:pPr>
      <w:r>
        <w:rPr>
          <w:rFonts w:ascii="Arial" w:cs="Arial" w:eastAsia="Arial" w:hAnsi="Arial"/>
          <w:sz w:val="16"/>
          <w:szCs w:val="16"/>
          <w:color w:val="auto"/>
        </w:rPr>
        <w:t>33% in the form of time-based RSUs subject to a three-year vesting schedule.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RSUs Granted in 2024</w:t>
      </w:r>
    </w:p>
    <w:p>
      <w:pPr>
        <w:spacing w:after="0" w:line="133"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As described above, in January 2024, the Compensation Committee approved the grants of the following RSUs to the NEOs, which were eligible to vest based on continuous service over three years, with 1/3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vesting on each of March 1, 2025, 2026 and 2027 as follows:</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76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22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Date of Grant</w:t>
            </w:r>
          </w:p>
        </w:tc>
        <w:tc>
          <w:tcPr>
            <w:tcW w:w="22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 Underlying</w:t>
            </w:r>
          </w:p>
        </w:tc>
        <w:tc>
          <w:tcPr>
            <w:tcW w:w="0" w:type="dxa"/>
            <w:vAlign w:val="bottom"/>
          </w:tcPr>
          <w:p>
            <w:pPr>
              <w:spacing w:after="0"/>
              <w:rPr>
                <w:sz w:val="1"/>
                <w:szCs w:val="1"/>
                <w:color w:val="auto"/>
              </w:rPr>
            </w:pPr>
          </w:p>
        </w:tc>
      </w:tr>
      <w:tr>
        <w:trPr>
          <w:trHeight w:val="102"/>
        </w:trPr>
        <w:tc>
          <w:tcPr>
            <w:tcW w:w="676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2240" w:type="dxa"/>
            <w:vAlign w:val="bottom"/>
            <w:tcBorders>
              <w:right w:val="single" w:sz="8" w:color="3C3C3C"/>
            </w:tcBorders>
            <w:vMerge w:val="continue"/>
            <w:shd w:val="clear" w:color="auto" w:fill="3C3C3C"/>
          </w:tcPr>
          <w:p>
            <w:pPr>
              <w:spacing w:after="0"/>
              <w:rPr>
                <w:sz w:val="8"/>
                <w:szCs w:val="8"/>
                <w:color w:val="auto"/>
              </w:rPr>
            </w:pPr>
          </w:p>
        </w:tc>
        <w:tc>
          <w:tcPr>
            <w:tcW w:w="2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Time-Based RSUs</w:t>
            </w:r>
          </w:p>
        </w:tc>
        <w:tc>
          <w:tcPr>
            <w:tcW w:w="0" w:type="dxa"/>
            <w:vAlign w:val="bottom"/>
          </w:tcPr>
          <w:p>
            <w:pPr>
              <w:spacing w:after="0"/>
              <w:rPr>
                <w:sz w:val="1"/>
                <w:szCs w:val="1"/>
                <w:color w:val="auto"/>
              </w:rPr>
            </w:pPr>
          </w:p>
        </w:tc>
      </w:tr>
      <w:tr>
        <w:trPr>
          <w:trHeight w:val="110"/>
        </w:trPr>
        <w:tc>
          <w:tcPr>
            <w:tcW w:w="6760" w:type="dxa"/>
            <w:vAlign w:val="bottom"/>
            <w:tcBorders>
              <w:left w:val="single" w:sz="8" w:color="3C3C3C"/>
              <w:right w:val="single" w:sz="8" w:color="3C3C3C"/>
            </w:tcBorders>
            <w:shd w:val="clear" w:color="auto" w:fill="3C3C3C"/>
          </w:tcPr>
          <w:p>
            <w:pPr>
              <w:spacing w:after="0"/>
              <w:rPr>
                <w:sz w:val="9"/>
                <w:szCs w:val="9"/>
                <w:color w:val="auto"/>
              </w:rPr>
            </w:pPr>
          </w:p>
        </w:tc>
        <w:tc>
          <w:tcPr>
            <w:tcW w:w="2240" w:type="dxa"/>
            <w:vAlign w:val="bottom"/>
            <w:tcBorders>
              <w:right w:val="single" w:sz="8" w:color="3C3C3C"/>
            </w:tcBorders>
            <w:shd w:val="clear" w:color="auto" w:fill="3C3C3C"/>
          </w:tcPr>
          <w:p>
            <w:pPr>
              <w:spacing w:after="0"/>
              <w:rPr>
                <w:sz w:val="9"/>
                <w:szCs w:val="9"/>
                <w:color w:val="auto"/>
              </w:rPr>
            </w:pPr>
          </w:p>
        </w:tc>
        <w:tc>
          <w:tcPr>
            <w:tcW w:w="2260" w:type="dxa"/>
            <w:vAlign w:val="bottom"/>
            <w:tcBorders>
              <w:right w:val="single" w:sz="8" w:color="3C3C3C"/>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22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1/15/2024</w:t>
            </w:r>
          </w:p>
        </w:tc>
        <w:tc>
          <w:tcPr>
            <w:tcW w:w="2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33,000</w:t>
            </w:r>
          </w:p>
        </w:tc>
        <w:tc>
          <w:tcPr>
            <w:tcW w:w="0" w:type="dxa"/>
            <w:vAlign w:val="bottom"/>
          </w:tcPr>
          <w:p>
            <w:pPr>
              <w:spacing w:after="0"/>
              <w:rPr>
                <w:sz w:val="1"/>
                <w:szCs w:val="1"/>
                <w:color w:val="auto"/>
              </w:rPr>
            </w:pPr>
          </w:p>
        </w:tc>
      </w:tr>
      <w:tr>
        <w:trPr>
          <w:trHeight w:val="239"/>
        </w:trPr>
        <w:tc>
          <w:tcPr>
            <w:tcW w:w="67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22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1/15/2024</w:t>
            </w:r>
          </w:p>
        </w:tc>
        <w:tc>
          <w:tcPr>
            <w:tcW w:w="22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17,160</w:t>
            </w:r>
          </w:p>
        </w:tc>
        <w:tc>
          <w:tcPr>
            <w:tcW w:w="0" w:type="dxa"/>
            <w:vAlign w:val="bottom"/>
          </w:tcPr>
          <w:p>
            <w:pPr>
              <w:spacing w:after="0"/>
              <w:rPr>
                <w:sz w:val="1"/>
                <w:szCs w:val="1"/>
                <w:color w:val="auto"/>
              </w:rPr>
            </w:pPr>
          </w:p>
        </w:tc>
      </w:tr>
      <w:tr>
        <w:trPr>
          <w:trHeight w:val="247"/>
        </w:trPr>
        <w:tc>
          <w:tcPr>
            <w:tcW w:w="67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22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1/15/2024</w:t>
            </w:r>
          </w:p>
        </w:tc>
        <w:tc>
          <w:tcPr>
            <w:tcW w:w="2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17,160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PSUs Tied to Annual CEO SMART Goals</w:t>
      </w:r>
    </w:p>
    <w:p>
      <w:pPr>
        <w:spacing w:after="0" w:line="133"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PSUs based upon the achievement of Annual CEO SMART Goals were eligible to vest on March 1, 2025, measured over the period starting January 1, 2024 and ending December 31, 2024, subject to continuous service through March 1, 2025, as follows:</w:t>
      </w:r>
    </w:p>
    <w:p>
      <w:pPr>
        <w:spacing w:after="0" w:line="101" w:lineRule="exact"/>
        <w:rPr>
          <w:sz w:val="20"/>
          <w:szCs w:val="20"/>
          <w:color w:val="auto"/>
        </w:rPr>
      </w:pPr>
    </w:p>
    <w:p>
      <w:pPr>
        <w:ind w:left="300" w:hanging="130"/>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6"/>
          <w:szCs w:val="16"/>
          <w:color w:val="auto"/>
        </w:rPr>
        <w:t>0% vested if the goals score, including stretch goals, was less than 65;</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6"/>
          <w:szCs w:val="16"/>
          <w:color w:val="auto"/>
        </w:rPr>
        <w:t>50% vested if the goals score, including stretch goals, was at least 65 but less than 80;</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6"/>
          <w:szCs w:val="16"/>
          <w:color w:val="auto"/>
        </w:rPr>
        <w:t>100% vested if the goals score, including stretch goals, was at least 80 but less than 100; and</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6"/>
          <w:szCs w:val="16"/>
          <w:color w:val="auto"/>
        </w:rPr>
        <w:t>150% vested if the goals score, including stretch goals, was 100 or more.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target number of Annual CEO SMART Goal PSUs awarded to each NEO.</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320" w:type="dxa"/>
            <w:vAlign w:val="bottom"/>
            <w:tcBorders>
              <w:left w:val="single" w:sz="8" w:color="3C3C3C"/>
              <w:right w:val="single" w:sz="8" w:color="3C3C3C"/>
            </w:tcBorders>
            <w:shd w:val="clear" w:color="auto" w:fill="3C3C3C"/>
          </w:tcPr>
          <w:p>
            <w:pPr>
              <w:spacing w:after="0"/>
              <w:rPr>
                <w:sz w:val="15"/>
                <w:szCs w:val="15"/>
                <w:color w:val="auto"/>
              </w:rPr>
            </w:pPr>
          </w:p>
        </w:tc>
        <w:tc>
          <w:tcPr>
            <w:tcW w:w="1940" w:type="dxa"/>
            <w:vAlign w:val="bottom"/>
            <w:tcBorders>
              <w:right w:val="single" w:sz="8" w:color="3C3C3C"/>
            </w:tcBorders>
            <w:shd w:val="clear" w:color="auto" w:fill="3C3C3C"/>
          </w:tcPr>
          <w:p>
            <w:pPr>
              <w:spacing w:after="0"/>
              <w:rPr>
                <w:sz w:val="15"/>
                <w:szCs w:val="15"/>
                <w:color w:val="auto"/>
              </w:rPr>
            </w:pP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w:t>
            </w:r>
          </w:p>
        </w:tc>
      </w:tr>
      <w:tr>
        <w:trPr>
          <w:trHeight w:val="175"/>
        </w:trPr>
        <w:tc>
          <w:tcPr>
            <w:tcW w:w="532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Date of Grant</w:t>
            </w: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Underlying PSUs</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Underlying PSUs</w:t>
            </w:r>
          </w:p>
        </w:tc>
      </w:tr>
      <w:tr>
        <w:trPr>
          <w:trHeight w:val="212"/>
        </w:trPr>
        <w:tc>
          <w:tcPr>
            <w:tcW w:w="5320" w:type="dxa"/>
            <w:vAlign w:val="bottom"/>
            <w:tcBorders>
              <w:left w:val="single" w:sz="8" w:color="3C3C3C"/>
              <w:right w:val="single" w:sz="8" w:color="3C3C3C"/>
            </w:tcBorders>
            <w:shd w:val="clear" w:color="auto" w:fill="3C3C3C"/>
          </w:tcPr>
          <w:p>
            <w:pPr>
              <w:spacing w:after="0"/>
              <w:rPr>
                <w:sz w:val="18"/>
                <w:szCs w:val="18"/>
                <w:color w:val="auto"/>
              </w:rPr>
            </w:pPr>
          </w:p>
        </w:tc>
        <w:tc>
          <w:tcPr>
            <w:tcW w:w="1940" w:type="dxa"/>
            <w:vAlign w:val="bottom"/>
            <w:tcBorders>
              <w:right w:val="single" w:sz="8" w:color="3C3C3C"/>
            </w:tcBorders>
            <w:shd w:val="clear" w:color="auto" w:fill="3C3C3C"/>
          </w:tcPr>
          <w:p>
            <w:pPr>
              <w:spacing w:after="0"/>
              <w:rPr>
                <w:sz w:val="18"/>
                <w:szCs w:val="18"/>
                <w:color w:val="auto"/>
              </w:rPr>
            </w:pP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(Initially granted at Target)</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(at Maximum)</w:t>
            </w:r>
          </w:p>
        </w:tc>
      </w:tr>
      <w:tr>
        <w:trPr>
          <w:trHeight w:val="243"/>
        </w:trPr>
        <w:tc>
          <w:tcPr>
            <w:tcW w:w="5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1/15/2024</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33,000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49,500</w:t>
            </w:r>
          </w:p>
        </w:tc>
      </w:tr>
      <w:tr>
        <w:trPr>
          <w:trHeight w:val="239"/>
        </w:trPr>
        <w:tc>
          <w:tcPr>
            <w:tcW w:w="53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9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1/15/2024</w:t>
            </w:r>
          </w:p>
        </w:tc>
        <w:tc>
          <w:tcPr>
            <w:tcW w:w="19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17,160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25,740</w:t>
            </w:r>
          </w:p>
        </w:tc>
      </w:tr>
      <w:tr>
        <w:trPr>
          <w:trHeight w:val="247"/>
        </w:trPr>
        <w:tc>
          <w:tcPr>
            <w:tcW w:w="5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1/15/2024</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17,160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25,740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CEO SMART Goals Results</w:t>
      </w:r>
    </w:p>
    <w:p>
      <w:pPr>
        <w:spacing w:after="0" w:line="13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There were 59 Annual CEO SMART Goals, including two stretch goals that fell within the ten broad categories described above, for a maximum possible score of up to 120 points, as set forth in the table below. The number of points assigned to each category were based upon our key priorities and approved by the Compensation Committee and Board in January 2024. As discussed above, except for goals that had binary targets, each goal was assigned a 100% achievement target down to a 0% achievement target, with linear interpolation between the two targets that determined the actual achievement score. The goals were all forward looking, set to be aggressive and rigorous, but attainable with significant skill and effort, as can be seen by the final achievement scores set forth in the table below. At the time that the goals were set, the Compensation Committee and the Board believed that they were substantially uncertain to be achieved. With a score of 70.5 points, our NEOs were awarded PSUs based on the level of achievement of the Annual CEO SMART Goals at 50% of target.</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82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Category of Annual CEO SMART Goals</w:t>
            </w:r>
          </w:p>
        </w:tc>
        <w:tc>
          <w:tcPr>
            <w:tcW w:w="21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Goals in the</w:t>
            </w:r>
          </w:p>
        </w:tc>
        <w:tc>
          <w:tcPr>
            <w:tcW w:w="21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Maximum Points Assigned to</w:t>
            </w:r>
          </w:p>
        </w:tc>
        <w:tc>
          <w:tcPr>
            <w:tcW w:w="21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Actual Points Achieved in the</w:t>
            </w:r>
          </w:p>
        </w:tc>
        <w:tc>
          <w:tcPr>
            <w:tcW w:w="0" w:type="dxa"/>
            <w:vAlign w:val="bottom"/>
          </w:tcPr>
          <w:p>
            <w:pPr>
              <w:spacing w:after="0"/>
              <w:rPr>
                <w:sz w:val="1"/>
                <w:szCs w:val="1"/>
                <w:color w:val="auto"/>
              </w:rPr>
            </w:pPr>
          </w:p>
        </w:tc>
      </w:tr>
      <w:tr>
        <w:trPr>
          <w:trHeight w:val="115"/>
        </w:trPr>
        <w:tc>
          <w:tcPr>
            <w:tcW w:w="4820" w:type="dxa"/>
            <w:vAlign w:val="bottom"/>
            <w:tcBorders>
              <w:left w:val="single" w:sz="8" w:color="3C3C3C"/>
              <w:right w:val="single" w:sz="8" w:color="3C3C3C"/>
            </w:tcBorders>
            <w:vMerge w:val="continue"/>
            <w:shd w:val="clear" w:color="auto" w:fill="3C3C3C"/>
          </w:tcPr>
          <w:p>
            <w:pPr>
              <w:spacing w:after="0"/>
              <w:rPr>
                <w:sz w:val="10"/>
                <w:szCs w:val="10"/>
                <w:color w:val="auto"/>
              </w:rPr>
            </w:pPr>
          </w:p>
        </w:tc>
        <w:tc>
          <w:tcPr>
            <w:tcW w:w="21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Category</w:t>
            </w:r>
          </w:p>
        </w:tc>
        <w:tc>
          <w:tcPr>
            <w:tcW w:w="21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the Category</w:t>
            </w:r>
          </w:p>
        </w:tc>
        <w:tc>
          <w:tcPr>
            <w:tcW w:w="21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Category</w:t>
            </w:r>
          </w:p>
        </w:tc>
        <w:tc>
          <w:tcPr>
            <w:tcW w:w="0" w:type="dxa"/>
            <w:vAlign w:val="bottom"/>
          </w:tcPr>
          <w:p>
            <w:pPr>
              <w:spacing w:after="0"/>
              <w:rPr>
                <w:sz w:val="1"/>
                <w:szCs w:val="1"/>
                <w:color w:val="auto"/>
              </w:rPr>
            </w:pPr>
          </w:p>
        </w:tc>
      </w:tr>
      <w:tr>
        <w:trPr>
          <w:trHeight w:val="90"/>
        </w:trPr>
        <w:tc>
          <w:tcPr>
            <w:tcW w:w="4820" w:type="dxa"/>
            <w:vAlign w:val="bottom"/>
            <w:tcBorders>
              <w:left w:val="single" w:sz="8" w:color="3C3C3C"/>
              <w:bottom w:val="single" w:sz="8" w:color="3C3C3C"/>
              <w:right w:val="single" w:sz="8" w:color="3C3C3C"/>
            </w:tcBorders>
            <w:shd w:val="clear" w:color="auto" w:fill="3C3C3C"/>
          </w:tcPr>
          <w:p>
            <w:pPr>
              <w:spacing w:after="0"/>
              <w:rPr>
                <w:sz w:val="7"/>
                <w:szCs w:val="7"/>
                <w:color w:val="auto"/>
              </w:rPr>
            </w:pPr>
          </w:p>
        </w:tc>
        <w:tc>
          <w:tcPr>
            <w:tcW w:w="214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216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214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8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Grow Revenue</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89"/>
              </w:rPr>
              <w:t>4</w:t>
            </w:r>
          </w:p>
        </w:tc>
        <w:tc>
          <w:tcPr>
            <w:tcW w:w="21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27</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2.3</w:t>
            </w:r>
          </w:p>
        </w:tc>
        <w:tc>
          <w:tcPr>
            <w:tcW w:w="0" w:type="dxa"/>
            <w:vAlign w:val="bottom"/>
          </w:tcPr>
          <w:p>
            <w:pPr>
              <w:spacing w:after="0"/>
              <w:rPr>
                <w:sz w:val="1"/>
                <w:szCs w:val="1"/>
                <w:color w:val="auto"/>
              </w:rPr>
            </w:pPr>
          </w:p>
        </w:tc>
      </w:tr>
      <w:tr>
        <w:trPr>
          <w:trHeight w:val="239"/>
        </w:trPr>
        <w:tc>
          <w:tcPr>
            <w:tcW w:w="48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Profit Before Taxes</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89"/>
              </w:rPr>
              <w:t>7</w:t>
            </w:r>
          </w:p>
        </w:tc>
        <w:tc>
          <w:tcPr>
            <w:tcW w:w="21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24</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7"/>
        </w:trPr>
        <w:tc>
          <w:tcPr>
            <w:tcW w:w="48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New Products</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16</w:t>
            </w:r>
          </w:p>
        </w:tc>
        <w:tc>
          <w:tcPr>
            <w:tcW w:w="21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27</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9"/>
        </w:trPr>
        <w:tc>
          <w:tcPr>
            <w:tcW w:w="48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Innovation</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89"/>
              </w:rPr>
              <w:t>4</w:t>
            </w:r>
          </w:p>
        </w:tc>
        <w:tc>
          <w:tcPr>
            <w:tcW w:w="21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3.5</w:t>
            </w:r>
          </w:p>
        </w:tc>
        <w:tc>
          <w:tcPr>
            <w:tcW w:w="0" w:type="dxa"/>
            <w:vAlign w:val="bottom"/>
          </w:tcPr>
          <w:p>
            <w:pPr>
              <w:spacing w:after="0"/>
              <w:rPr>
                <w:sz w:val="1"/>
                <w:szCs w:val="1"/>
                <w:color w:val="auto"/>
              </w:rPr>
            </w:pPr>
          </w:p>
        </w:tc>
      </w:tr>
      <w:tr>
        <w:trPr>
          <w:trHeight w:val="247"/>
        </w:trPr>
        <w:tc>
          <w:tcPr>
            <w:tcW w:w="48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Operations (Including IT)</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w:t>
            </w:r>
          </w:p>
        </w:tc>
        <w:tc>
          <w:tcPr>
            <w:tcW w:w="21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7.8</w:t>
            </w:r>
          </w:p>
        </w:tc>
        <w:tc>
          <w:tcPr>
            <w:tcW w:w="0" w:type="dxa"/>
            <w:vAlign w:val="bottom"/>
          </w:tcPr>
          <w:p>
            <w:pPr>
              <w:spacing w:after="0"/>
              <w:rPr>
                <w:sz w:val="1"/>
                <w:szCs w:val="1"/>
                <w:color w:val="auto"/>
              </w:rPr>
            </w:pPr>
          </w:p>
        </w:tc>
      </w:tr>
      <w:tr>
        <w:trPr>
          <w:trHeight w:val="239"/>
        </w:trPr>
        <w:tc>
          <w:tcPr>
            <w:tcW w:w="48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Quality</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89"/>
              </w:rPr>
              <w:t>6</w:t>
            </w:r>
          </w:p>
        </w:tc>
        <w:tc>
          <w:tcPr>
            <w:tcW w:w="21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10</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8.0</w:t>
            </w:r>
          </w:p>
        </w:tc>
        <w:tc>
          <w:tcPr>
            <w:tcW w:w="0" w:type="dxa"/>
            <w:vAlign w:val="bottom"/>
          </w:tcPr>
          <w:p>
            <w:pPr>
              <w:spacing w:after="0"/>
              <w:rPr>
                <w:sz w:val="1"/>
                <w:szCs w:val="1"/>
                <w:color w:val="auto"/>
              </w:rPr>
            </w:pPr>
          </w:p>
        </w:tc>
      </w:tr>
      <w:tr>
        <w:trPr>
          <w:trHeight w:val="247"/>
        </w:trPr>
        <w:tc>
          <w:tcPr>
            <w:tcW w:w="48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Ease Of Doing Business</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89"/>
              </w:rPr>
              <w:t>6</w:t>
            </w:r>
          </w:p>
        </w:tc>
        <w:tc>
          <w:tcPr>
            <w:tcW w:w="21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239"/>
        </w:trPr>
        <w:tc>
          <w:tcPr>
            <w:tcW w:w="48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Human Resources</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89"/>
              </w:rPr>
              <w:t>1</w:t>
            </w:r>
          </w:p>
        </w:tc>
        <w:tc>
          <w:tcPr>
            <w:tcW w:w="21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w:t>
            </w:r>
          </w:p>
        </w:tc>
        <w:tc>
          <w:tcPr>
            <w:tcW w:w="21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247"/>
        </w:trPr>
        <w:tc>
          <w:tcPr>
            <w:tcW w:w="48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Marketing</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89"/>
              </w:rPr>
              <w:t>4</w:t>
            </w:r>
          </w:p>
        </w:tc>
        <w:tc>
          <w:tcPr>
            <w:tcW w:w="21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w:t>
            </w:r>
          </w:p>
        </w:tc>
        <w:tc>
          <w:tcPr>
            <w:tcW w:w="21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239"/>
        </w:trPr>
        <w:tc>
          <w:tcPr>
            <w:tcW w:w="4820" w:type="dxa"/>
            <w:vAlign w:val="bottom"/>
            <w:tcBorders>
              <w:left w:val="single" w:sz="8" w:color="929292"/>
              <w:bottom w:val="single" w:sz="8" w:color="FAF6EF"/>
              <w:right w:val="single" w:sz="8" w:color="929292"/>
            </w:tcBorders>
          </w:tcPr>
          <w:p>
            <w:pPr>
              <w:ind w:left="120"/>
              <w:spacing w:after="0"/>
              <w:rPr>
                <w:sz w:val="20"/>
                <w:szCs w:val="20"/>
                <w:color w:val="auto"/>
              </w:rPr>
            </w:pPr>
            <w:r>
              <w:rPr>
                <w:rFonts w:ascii="Arial" w:cs="Arial" w:eastAsia="Arial" w:hAnsi="Arial"/>
                <w:sz w:val="16"/>
                <w:szCs w:val="16"/>
                <w:b w:val="1"/>
                <w:bCs w:val="1"/>
                <w:color w:val="auto"/>
              </w:rPr>
              <w:t>ESG</w:t>
            </w:r>
          </w:p>
        </w:tc>
        <w:tc>
          <w:tcPr>
            <w:tcW w:w="214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color w:val="auto"/>
                <w:w w:val="89"/>
              </w:rPr>
              <w:t>1</w:t>
            </w:r>
          </w:p>
        </w:tc>
        <w:tc>
          <w:tcPr>
            <w:tcW w:w="216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color w:val="auto"/>
              </w:rPr>
              <w:t>1</w:t>
            </w:r>
          </w:p>
        </w:tc>
        <w:tc>
          <w:tcPr>
            <w:tcW w:w="214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color w:val="auto"/>
                <w:w w:val="98"/>
              </w:rPr>
              <w:t>0.5</w:t>
            </w:r>
          </w:p>
        </w:tc>
        <w:tc>
          <w:tcPr>
            <w:tcW w:w="0" w:type="dxa"/>
            <w:vAlign w:val="bottom"/>
          </w:tcPr>
          <w:p>
            <w:pPr>
              <w:spacing w:after="0"/>
              <w:rPr>
                <w:sz w:val="1"/>
                <w:szCs w:val="1"/>
                <w:color w:val="auto"/>
              </w:rPr>
            </w:pPr>
          </w:p>
        </w:tc>
      </w:tr>
      <w:tr>
        <w:trPr>
          <w:trHeight w:val="261"/>
        </w:trPr>
        <w:tc>
          <w:tcPr>
            <w:tcW w:w="4820" w:type="dxa"/>
            <w:vAlign w:val="bottom"/>
            <w:tcBorders>
              <w:left w:val="single" w:sz="8" w:color="929292"/>
              <w:bottom w:val="single" w:sz="8" w:color="FAF6EF"/>
              <w:right w:val="single" w:sz="8" w:color="929292"/>
            </w:tcBorders>
            <w:shd w:val="clear" w:color="auto" w:fill="FAF6EF"/>
          </w:tcPr>
          <w:p>
            <w:pPr>
              <w:ind w:left="360"/>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59</w:t>
            </w:r>
          </w:p>
        </w:tc>
        <w:tc>
          <w:tcPr>
            <w:tcW w:w="216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7"/>
              </w:rPr>
              <w:t>120</w:t>
            </w:r>
          </w:p>
        </w:tc>
        <w:tc>
          <w:tcPr>
            <w:tcW w:w="214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70.5</w:t>
            </w:r>
          </w:p>
        </w:tc>
        <w:tc>
          <w:tcPr>
            <w:tcW w:w="0" w:type="dxa"/>
            <w:vAlign w:val="bottom"/>
          </w:tcPr>
          <w:p>
            <w:pPr>
              <w:spacing w:after="0"/>
              <w:rPr>
                <w:sz w:val="1"/>
                <w:szCs w:val="1"/>
                <w:color w:val="auto"/>
              </w:rPr>
            </w:pPr>
          </w:p>
        </w:tc>
      </w:tr>
      <w:tr>
        <w:trPr>
          <w:trHeight w:val="20"/>
        </w:trPr>
        <w:tc>
          <w:tcPr>
            <w:tcW w:w="4820" w:type="dxa"/>
            <w:vAlign w:val="bottom"/>
            <w:tcBorders>
              <w:top w:val="single" w:sz="8" w:color="FAF6EF"/>
            </w:tcBorders>
          </w:tcPr>
          <w:p>
            <w:pPr>
              <w:spacing w:after="0" w:line="20" w:lineRule="exact"/>
              <w:rPr>
                <w:sz w:val="1"/>
                <w:szCs w:val="1"/>
                <w:color w:val="auto"/>
              </w:rPr>
            </w:pPr>
          </w:p>
        </w:tc>
        <w:tc>
          <w:tcPr>
            <w:tcW w:w="2140" w:type="dxa"/>
            <w:vAlign w:val="bottom"/>
            <w:tcBorders>
              <w:top w:val="single" w:sz="8" w:color="FAF6EF"/>
              <w:bottom w:val="single" w:sz="8" w:color="3C3C3C"/>
            </w:tcBorders>
          </w:tcPr>
          <w:p>
            <w:pPr>
              <w:spacing w:after="0" w:line="20" w:lineRule="exact"/>
              <w:rPr>
                <w:sz w:val="1"/>
                <w:szCs w:val="1"/>
                <w:color w:val="auto"/>
              </w:rPr>
            </w:pPr>
          </w:p>
        </w:tc>
        <w:tc>
          <w:tcPr>
            <w:tcW w:w="2160" w:type="dxa"/>
            <w:vAlign w:val="bottom"/>
            <w:tcBorders>
              <w:top w:val="single" w:sz="8" w:color="FAF6EF"/>
              <w:bottom w:val="single" w:sz="8" w:color="3C3C3C"/>
            </w:tcBorders>
          </w:tcPr>
          <w:p>
            <w:pPr>
              <w:spacing w:after="0" w:line="20" w:lineRule="exact"/>
              <w:rPr>
                <w:sz w:val="1"/>
                <w:szCs w:val="1"/>
                <w:color w:val="auto"/>
              </w:rPr>
            </w:pPr>
          </w:p>
        </w:tc>
        <w:tc>
          <w:tcPr>
            <w:tcW w:w="2140" w:type="dxa"/>
            <w:vAlign w:val="bottom"/>
            <w:tcBorders>
              <w:top w:val="single" w:sz="8" w:color="FAF6EF"/>
              <w:bottom w:val="single" w:sz="8" w:color="3C3C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7" w:right="31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We disclose below details about specific goals in each of the above ten categories to illustrate the rigor of the Annual CEO SMART Goals.</w:t>
      </w:r>
    </w:p>
    <w:p>
      <w:pPr>
        <w:spacing w:after="0" w:line="208" w:lineRule="exact"/>
        <w:rPr>
          <w:sz w:val="20"/>
          <w:szCs w:val="20"/>
          <w:color w:val="auto"/>
        </w:rPr>
      </w:pPr>
    </w:p>
    <w:p>
      <w:pPr>
        <w:jc w:val="both"/>
        <w:ind w:left="340" w:hanging="170"/>
        <w:spacing w:after="0" w:line="304" w:lineRule="auto"/>
        <w:tabs>
          <w:tab w:leader="none" w:pos="317" w:val="left"/>
        </w:tabs>
        <w:numPr>
          <w:ilvl w:val="0"/>
          <w:numId w:val="42"/>
        </w:numPr>
        <w:rPr>
          <w:rFonts w:ascii="Arial" w:cs="Arial" w:eastAsia="Arial" w:hAnsi="Arial"/>
          <w:sz w:val="13"/>
          <w:szCs w:val="13"/>
          <w:color w:val="auto"/>
        </w:rPr>
      </w:pPr>
      <w:r>
        <w:rPr>
          <w:rFonts w:ascii="Arial" w:cs="Arial" w:eastAsia="Arial" w:hAnsi="Arial"/>
          <w:sz w:val="16"/>
          <w:szCs w:val="16"/>
          <w:b w:val="1"/>
          <w:bCs w:val="1"/>
          <w:color w:val="auto"/>
        </w:rPr>
        <w:t>Grow Revenue</w:t>
      </w:r>
      <w:r>
        <w:rPr>
          <w:rFonts w:ascii="Arial" w:cs="Arial" w:eastAsia="Arial" w:hAnsi="Arial"/>
          <w:sz w:val="16"/>
          <w:szCs w:val="16"/>
          <w:color w:val="auto"/>
        </w:rPr>
        <w:t>. The Grow Revenue category included four goals with a possible total of 27 points. 10 out of the 27 points were assigned to achieving</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approximately $1.650 billion in 2024. The 100% target was set at approximately $1.65 billion and the 0% target was set at approximately $1.32 billion. An additional 10 points were assigned to a stretch goal to achieve revenue of approximately $1.85 billion in 2024. We also included a target to grow revenue outside the United States in international geographies and to grow storage to 444 MWh, which would be a 26% increase over the prior year. The table below shows how we performed against our goals in the Grow Revenue category.</w:t>
      </w:r>
    </w:p>
    <w:p>
      <w:pPr>
        <w:spacing w:after="0" w:line="50" w:lineRule="exact"/>
        <w:rPr>
          <w:sz w:val="20"/>
          <w:szCs w:val="20"/>
          <w:color w:val="auto"/>
        </w:rPr>
      </w:pPr>
    </w:p>
    <w:tbl>
      <w:tblPr>
        <w:tblLayout w:type="fixed"/>
        <w:tblInd w:w="350" w:type="dxa"/>
        <w:tblCellMar>
          <w:top w:w="0" w:type="dxa"/>
          <w:left w:w="0" w:type="dxa"/>
          <w:bottom w:w="0" w:type="dxa"/>
          <w:right w:w="0" w:type="dxa"/>
        </w:tblCellMar>
      </w:tblPr>
      <w:tr>
        <w:trPr>
          <w:trHeight w:val="193"/>
        </w:trPr>
        <w:tc>
          <w:tcPr>
            <w:tcW w:w="264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Grow Revenue Targets</w:t>
            </w:r>
          </w:p>
        </w:tc>
        <w:tc>
          <w:tcPr>
            <w:tcW w:w="1200" w:type="dxa"/>
            <w:vAlign w:val="bottom"/>
            <w:tcBorders>
              <w:right w:val="single" w:sz="8" w:color="3C3C3C"/>
            </w:tcBorders>
            <w:vMerge w:val="restart"/>
            <w:shd w:val="clear" w:color="auto" w:fill="3C3C3C"/>
          </w:tcPr>
          <w:p>
            <w:pPr>
              <w:ind w:left="320"/>
              <w:spacing w:after="0"/>
              <w:rPr>
                <w:sz w:val="20"/>
                <w:szCs w:val="20"/>
                <w:color w:val="auto"/>
              </w:rPr>
            </w:pPr>
            <w:r>
              <w:rPr>
                <w:rFonts w:ascii="Arial" w:cs="Arial" w:eastAsia="Arial" w:hAnsi="Arial"/>
                <w:sz w:val="14"/>
                <w:szCs w:val="14"/>
                <w:b w:val="1"/>
                <w:bCs w:val="1"/>
                <w:color w:val="FFFFFF"/>
              </w:rPr>
              <w:t>Zero PT</w:t>
            </w:r>
          </w:p>
        </w:tc>
        <w:tc>
          <w:tcPr>
            <w:tcW w:w="13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At Target</w:t>
            </w: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Stretch</w:t>
            </w:r>
          </w:p>
        </w:tc>
        <w:tc>
          <w:tcPr>
            <w:tcW w:w="1360" w:type="dxa"/>
            <w:vAlign w:val="bottom"/>
            <w:tcBorders>
              <w:right w:val="single" w:sz="8" w:color="3C3C3C"/>
            </w:tcBorders>
            <w:vMerge w:val="restart"/>
            <w:shd w:val="clear" w:color="auto" w:fill="3C3C3C"/>
          </w:tcPr>
          <w:p>
            <w:pPr>
              <w:ind w:left="260"/>
              <w:spacing w:after="0"/>
              <w:rPr>
                <w:sz w:val="20"/>
                <w:szCs w:val="20"/>
                <w:color w:val="auto"/>
              </w:rPr>
            </w:pPr>
            <w:r>
              <w:rPr>
                <w:rFonts w:ascii="Arial" w:cs="Arial" w:eastAsia="Arial" w:hAnsi="Arial"/>
                <w:sz w:val="14"/>
                <w:szCs w:val="14"/>
                <w:b w:val="1"/>
                <w:bCs w:val="1"/>
                <w:color w:val="FFFFFF"/>
              </w:rPr>
              <w:t>2024 Actual</w:t>
            </w:r>
          </w:p>
        </w:tc>
        <w:tc>
          <w:tcPr>
            <w:tcW w:w="13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Points</w:t>
            </w:r>
          </w:p>
        </w:tc>
        <w:tc>
          <w:tcPr>
            <w:tcW w:w="1420" w:type="dxa"/>
            <w:vAlign w:val="bottom"/>
            <w:tcBorders>
              <w:right w:val="single" w:sz="8" w:color="3C3C3C"/>
            </w:tcBorders>
            <w:vMerge w:val="restart"/>
            <w:shd w:val="clear" w:color="auto" w:fill="3C3C3C"/>
          </w:tcPr>
          <w:p>
            <w:pPr>
              <w:ind w:left="200"/>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02"/>
        </w:trPr>
        <w:tc>
          <w:tcPr>
            <w:tcW w:w="264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200" w:type="dxa"/>
            <w:vAlign w:val="bottom"/>
            <w:tcBorders>
              <w:right w:val="single" w:sz="8" w:color="3C3C3C"/>
            </w:tcBorders>
            <w:vMerge w:val="continue"/>
            <w:shd w:val="clear" w:color="auto" w:fill="3C3C3C"/>
          </w:tcPr>
          <w:p>
            <w:pPr>
              <w:spacing w:after="0"/>
              <w:rPr>
                <w:sz w:val="8"/>
                <w:szCs w:val="8"/>
                <w:color w:val="auto"/>
              </w:rPr>
            </w:pPr>
          </w:p>
        </w:tc>
        <w:tc>
          <w:tcPr>
            <w:tcW w:w="1360" w:type="dxa"/>
            <w:vAlign w:val="bottom"/>
            <w:tcBorders>
              <w:right w:val="single" w:sz="8" w:color="3C3C3C"/>
            </w:tcBorders>
            <w:vMerge w:val="restart"/>
            <w:shd w:val="clear" w:color="auto" w:fill="3C3C3C"/>
          </w:tcPr>
          <w:p>
            <w:pPr>
              <w:jc w:val="right"/>
              <w:ind w:right="363"/>
              <w:spacing w:after="0"/>
              <w:rPr>
                <w:sz w:val="20"/>
                <w:szCs w:val="20"/>
                <w:color w:val="auto"/>
              </w:rPr>
            </w:pPr>
            <w:r>
              <w:rPr>
                <w:rFonts w:ascii="Arial" w:cs="Arial" w:eastAsia="Arial" w:hAnsi="Arial"/>
                <w:sz w:val="14"/>
                <w:szCs w:val="14"/>
                <w:b w:val="1"/>
                <w:bCs w:val="1"/>
                <w:color w:val="FFFFFF"/>
              </w:rPr>
              <w:t>(100%)</w:t>
            </w:r>
          </w:p>
        </w:tc>
        <w:tc>
          <w:tcPr>
            <w:tcW w:w="1260" w:type="dxa"/>
            <w:vAlign w:val="bottom"/>
            <w:tcBorders>
              <w:right w:val="single" w:sz="8" w:color="3C3C3C"/>
            </w:tcBorders>
            <w:vMerge w:val="continue"/>
            <w:shd w:val="clear" w:color="auto" w:fill="3C3C3C"/>
          </w:tcPr>
          <w:p>
            <w:pPr>
              <w:spacing w:after="0"/>
              <w:rPr>
                <w:sz w:val="8"/>
                <w:szCs w:val="8"/>
                <w:color w:val="auto"/>
              </w:rPr>
            </w:pPr>
          </w:p>
        </w:tc>
        <w:tc>
          <w:tcPr>
            <w:tcW w:w="1360" w:type="dxa"/>
            <w:vAlign w:val="bottom"/>
            <w:tcBorders>
              <w:right w:val="single" w:sz="8" w:color="3C3C3C"/>
            </w:tcBorders>
            <w:vMerge w:val="continue"/>
            <w:shd w:val="clear" w:color="auto" w:fill="3C3C3C"/>
          </w:tcPr>
          <w:p>
            <w:pPr>
              <w:spacing w:after="0"/>
              <w:rPr>
                <w:sz w:val="8"/>
                <w:szCs w:val="8"/>
                <w:color w:val="auto"/>
              </w:rPr>
            </w:pP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Possible</w:t>
            </w:r>
          </w:p>
        </w:tc>
        <w:tc>
          <w:tcPr>
            <w:tcW w:w="1420" w:type="dxa"/>
            <w:vAlign w:val="bottom"/>
            <w:tcBorders>
              <w:right w:val="single" w:sz="8" w:color="3C3C3C"/>
            </w:tcBorders>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40" w:type="dxa"/>
            <w:vAlign w:val="bottom"/>
            <w:tcBorders>
              <w:left w:val="single" w:sz="8" w:color="3C3C3C"/>
              <w:right w:val="single" w:sz="8" w:color="3C3C3C"/>
            </w:tcBorders>
            <w:shd w:val="clear" w:color="auto" w:fill="3C3C3C"/>
          </w:tcPr>
          <w:p>
            <w:pPr>
              <w:spacing w:after="0"/>
              <w:rPr>
                <w:sz w:val="9"/>
                <w:szCs w:val="9"/>
                <w:color w:val="auto"/>
              </w:rPr>
            </w:pPr>
          </w:p>
        </w:tc>
        <w:tc>
          <w:tcPr>
            <w:tcW w:w="1200" w:type="dxa"/>
            <w:vAlign w:val="bottom"/>
            <w:tcBorders>
              <w:right w:val="single" w:sz="8" w:color="3C3C3C"/>
            </w:tcBorders>
            <w:shd w:val="clear" w:color="auto" w:fill="3C3C3C"/>
          </w:tcPr>
          <w:p>
            <w:pPr>
              <w:spacing w:after="0"/>
              <w:rPr>
                <w:sz w:val="9"/>
                <w:szCs w:val="9"/>
                <w:color w:val="auto"/>
              </w:rPr>
            </w:pPr>
          </w:p>
        </w:tc>
        <w:tc>
          <w:tcPr>
            <w:tcW w:w="1360" w:type="dxa"/>
            <w:vAlign w:val="bottom"/>
            <w:tcBorders>
              <w:right w:val="single" w:sz="8" w:color="3C3C3C"/>
            </w:tcBorders>
            <w:vMerge w:val="continue"/>
            <w:shd w:val="clear" w:color="auto" w:fill="3C3C3C"/>
          </w:tcPr>
          <w:p>
            <w:pPr>
              <w:spacing w:after="0"/>
              <w:rPr>
                <w:sz w:val="9"/>
                <w:szCs w:val="9"/>
                <w:color w:val="auto"/>
              </w:rPr>
            </w:pPr>
          </w:p>
        </w:tc>
        <w:tc>
          <w:tcPr>
            <w:tcW w:w="1260" w:type="dxa"/>
            <w:vAlign w:val="bottom"/>
            <w:tcBorders>
              <w:right w:val="single" w:sz="8" w:color="3C3C3C"/>
            </w:tcBorders>
            <w:shd w:val="clear" w:color="auto" w:fill="3C3C3C"/>
          </w:tcPr>
          <w:p>
            <w:pPr>
              <w:spacing w:after="0"/>
              <w:rPr>
                <w:sz w:val="9"/>
                <w:szCs w:val="9"/>
                <w:color w:val="auto"/>
              </w:rPr>
            </w:pPr>
          </w:p>
        </w:tc>
        <w:tc>
          <w:tcPr>
            <w:tcW w:w="1360" w:type="dxa"/>
            <w:vAlign w:val="bottom"/>
            <w:tcBorders>
              <w:right w:val="single" w:sz="8" w:color="3C3C3C"/>
            </w:tcBorders>
            <w:shd w:val="clear" w:color="auto" w:fill="3C3C3C"/>
          </w:tcPr>
          <w:p>
            <w:pPr>
              <w:spacing w:after="0"/>
              <w:rPr>
                <w:sz w:val="9"/>
                <w:szCs w:val="9"/>
                <w:color w:val="auto"/>
              </w:rPr>
            </w:pPr>
          </w:p>
        </w:tc>
        <w:tc>
          <w:tcPr>
            <w:tcW w:w="1300" w:type="dxa"/>
            <w:vAlign w:val="bottom"/>
            <w:tcBorders>
              <w:right w:val="single" w:sz="8" w:color="3C3C3C"/>
            </w:tcBorders>
            <w:vMerge w:val="continue"/>
            <w:shd w:val="clear" w:color="auto" w:fill="3C3C3C"/>
          </w:tcPr>
          <w:p>
            <w:pPr>
              <w:spacing w:after="0"/>
              <w:rPr>
                <w:sz w:val="9"/>
                <w:szCs w:val="9"/>
                <w:color w:val="auto"/>
              </w:rPr>
            </w:pPr>
          </w:p>
        </w:tc>
        <w:tc>
          <w:tcPr>
            <w:tcW w:w="1420" w:type="dxa"/>
            <w:vAlign w:val="bottom"/>
            <w:tcBorders>
              <w:right w:val="single" w:sz="8" w:color="3C3C3C"/>
            </w:tcBorders>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Net Revenue (in millions)</w:t>
            </w:r>
          </w:p>
        </w:tc>
        <w:tc>
          <w:tcPr>
            <w:tcW w:w="12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$1,320.2</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$1,650.3</w:t>
            </w:r>
          </w:p>
        </w:tc>
        <w:tc>
          <w:tcPr>
            <w:tcW w:w="1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$1,850.3</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$1,330.4</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20.0</w:t>
            </w:r>
          </w:p>
        </w:tc>
        <w:tc>
          <w:tcPr>
            <w:tcW w:w="14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0.3</w:t>
            </w:r>
          </w:p>
        </w:tc>
        <w:tc>
          <w:tcPr>
            <w:tcW w:w="0" w:type="dxa"/>
            <w:vAlign w:val="bottom"/>
          </w:tcPr>
          <w:p>
            <w:pPr>
              <w:spacing w:after="0"/>
              <w:rPr>
                <w:sz w:val="1"/>
                <w:szCs w:val="1"/>
                <w:color w:val="auto"/>
              </w:rPr>
            </w:pPr>
          </w:p>
        </w:tc>
      </w:tr>
      <w:tr>
        <w:trPr>
          <w:trHeight w:val="202"/>
        </w:trPr>
        <w:tc>
          <w:tcPr>
            <w:tcW w:w="264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International Revenue (in</w:t>
            </w:r>
          </w:p>
        </w:tc>
        <w:tc>
          <w:tcPr>
            <w:tcW w:w="12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8"/>
              </w:rPr>
              <w:t>$418.7</w:t>
            </w:r>
          </w:p>
        </w:tc>
        <w:tc>
          <w:tcPr>
            <w:tcW w:w="136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8"/>
              </w:rPr>
              <w:t>$523.4</w:t>
            </w:r>
          </w:p>
        </w:tc>
        <w:tc>
          <w:tcPr>
            <w:tcW w:w="126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$395.6</w:t>
            </w:r>
          </w:p>
        </w:tc>
        <w:tc>
          <w:tcPr>
            <w:tcW w:w="1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8"/>
              </w:rPr>
              <w:t>5.0</w:t>
            </w:r>
          </w:p>
        </w:tc>
        <w:tc>
          <w:tcPr>
            <w:tcW w:w="142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0"/>
        </w:trPr>
        <w:tc>
          <w:tcPr>
            <w:tcW w:w="2640" w:type="dxa"/>
            <w:vAlign w:val="bottom"/>
            <w:tcBorders>
              <w:left w:val="single" w:sz="8" w:color="929292"/>
              <w:right w:val="single" w:sz="8" w:color="929292"/>
            </w:tcBorders>
            <w:vMerge w:val="restart"/>
          </w:tcPr>
          <w:p>
            <w:pPr>
              <w:ind w:left="100"/>
              <w:spacing w:after="0"/>
              <w:rPr>
                <w:sz w:val="20"/>
                <w:szCs w:val="20"/>
                <w:color w:val="auto"/>
              </w:rPr>
            </w:pPr>
            <w:r>
              <w:rPr>
                <w:rFonts w:ascii="Arial" w:cs="Arial" w:eastAsia="Arial" w:hAnsi="Arial"/>
                <w:sz w:val="16"/>
                <w:szCs w:val="16"/>
                <w:b w:val="1"/>
                <w:bCs w:val="1"/>
                <w:color w:val="auto"/>
              </w:rPr>
              <w:t>millions)</w:t>
            </w:r>
          </w:p>
        </w:tc>
        <w:tc>
          <w:tcPr>
            <w:tcW w:w="1200" w:type="dxa"/>
            <w:vAlign w:val="bottom"/>
            <w:tcBorders>
              <w:right w:val="single" w:sz="8" w:color="929292"/>
            </w:tcBorders>
            <w:vMerge w:val="continue"/>
          </w:tcPr>
          <w:p>
            <w:pPr>
              <w:spacing w:after="0"/>
              <w:rPr>
                <w:sz w:val="10"/>
                <w:szCs w:val="10"/>
                <w:color w:val="auto"/>
              </w:rPr>
            </w:pPr>
          </w:p>
        </w:tc>
        <w:tc>
          <w:tcPr>
            <w:tcW w:w="1360" w:type="dxa"/>
            <w:vAlign w:val="bottom"/>
            <w:tcBorders>
              <w:right w:val="single" w:sz="8" w:color="929292"/>
            </w:tcBorders>
            <w:vMerge w:val="continue"/>
          </w:tcPr>
          <w:p>
            <w:pPr>
              <w:spacing w:after="0"/>
              <w:rPr>
                <w:sz w:val="10"/>
                <w:szCs w:val="10"/>
                <w:color w:val="auto"/>
              </w:rPr>
            </w:pPr>
          </w:p>
        </w:tc>
        <w:tc>
          <w:tcPr>
            <w:tcW w:w="1260" w:type="dxa"/>
            <w:vAlign w:val="bottom"/>
            <w:tcBorders>
              <w:right w:val="single" w:sz="8" w:color="929292"/>
            </w:tcBorders>
            <w:vMerge w:val="continue"/>
          </w:tcPr>
          <w:p>
            <w:pPr>
              <w:spacing w:after="0"/>
              <w:rPr>
                <w:sz w:val="10"/>
                <w:szCs w:val="10"/>
                <w:color w:val="auto"/>
              </w:rPr>
            </w:pPr>
          </w:p>
        </w:tc>
        <w:tc>
          <w:tcPr>
            <w:tcW w:w="1360" w:type="dxa"/>
            <w:vAlign w:val="bottom"/>
            <w:tcBorders>
              <w:right w:val="single" w:sz="8" w:color="929292"/>
            </w:tcBorders>
            <w:vMerge w:val="continue"/>
          </w:tcPr>
          <w:p>
            <w:pPr>
              <w:spacing w:after="0"/>
              <w:rPr>
                <w:sz w:val="10"/>
                <w:szCs w:val="10"/>
                <w:color w:val="auto"/>
              </w:rPr>
            </w:pPr>
          </w:p>
        </w:tc>
        <w:tc>
          <w:tcPr>
            <w:tcW w:w="1300" w:type="dxa"/>
            <w:vAlign w:val="bottom"/>
            <w:tcBorders>
              <w:right w:val="single" w:sz="8" w:color="929292"/>
            </w:tcBorders>
            <w:vMerge w:val="continue"/>
          </w:tcPr>
          <w:p>
            <w:pPr>
              <w:spacing w:after="0"/>
              <w:rPr>
                <w:sz w:val="10"/>
                <w:szCs w:val="10"/>
                <w:color w:val="auto"/>
              </w:rPr>
            </w:pPr>
          </w:p>
        </w:tc>
        <w:tc>
          <w:tcPr>
            <w:tcW w:w="142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640" w:type="dxa"/>
            <w:vAlign w:val="bottom"/>
            <w:tcBorders>
              <w:left w:val="single" w:sz="8" w:color="929292"/>
              <w:right w:val="single" w:sz="8" w:color="929292"/>
            </w:tcBorders>
            <w:vMerge w:val="continue"/>
          </w:tcPr>
          <w:p>
            <w:pPr>
              <w:spacing w:after="0"/>
              <w:rPr>
                <w:sz w:val="8"/>
                <w:szCs w:val="8"/>
                <w:color w:val="auto"/>
              </w:rPr>
            </w:pPr>
          </w:p>
        </w:tc>
        <w:tc>
          <w:tcPr>
            <w:tcW w:w="1200" w:type="dxa"/>
            <w:vAlign w:val="bottom"/>
            <w:tcBorders>
              <w:right w:val="single" w:sz="8" w:color="929292"/>
            </w:tcBorders>
          </w:tcPr>
          <w:p>
            <w:pPr>
              <w:spacing w:after="0"/>
              <w:rPr>
                <w:sz w:val="8"/>
                <w:szCs w:val="8"/>
                <w:color w:val="auto"/>
              </w:rPr>
            </w:pPr>
          </w:p>
        </w:tc>
        <w:tc>
          <w:tcPr>
            <w:tcW w:w="1360" w:type="dxa"/>
            <w:vAlign w:val="bottom"/>
            <w:tcBorders>
              <w:right w:val="single" w:sz="8" w:color="929292"/>
            </w:tcBorders>
          </w:tcPr>
          <w:p>
            <w:pPr>
              <w:spacing w:after="0"/>
              <w:rPr>
                <w:sz w:val="8"/>
                <w:szCs w:val="8"/>
                <w:color w:val="auto"/>
              </w:rPr>
            </w:pPr>
          </w:p>
        </w:tc>
        <w:tc>
          <w:tcPr>
            <w:tcW w:w="1260" w:type="dxa"/>
            <w:vAlign w:val="bottom"/>
            <w:tcBorders>
              <w:right w:val="single" w:sz="8" w:color="929292"/>
            </w:tcBorders>
          </w:tcPr>
          <w:p>
            <w:pPr>
              <w:spacing w:after="0"/>
              <w:rPr>
                <w:sz w:val="8"/>
                <w:szCs w:val="8"/>
                <w:color w:val="auto"/>
              </w:rPr>
            </w:pPr>
          </w:p>
        </w:tc>
        <w:tc>
          <w:tcPr>
            <w:tcW w:w="1360" w:type="dxa"/>
            <w:vAlign w:val="bottom"/>
            <w:tcBorders>
              <w:right w:val="single" w:sz="8" w:color="929292"/>
            </w:tcBorders>
          </w:tcPr>
          <w:p>
            <w:pPr>
              <w:spacing w:after="0"/>
              <w:rPr>
                <w:sz w:val="8"/>
                <w:szCs w:val="8"/>
                <w:color w:val="auto"/>
              </w:rPr>
            </w:pPr>
          </w:p>
        </w:tc>
        <w:tc>
          <w:tcPr>
            <w:tcW w:w="1300" w:type="dxa"/>
            <w:vAlign w:val="bottom"/>
            <w:tcBorders>
              <w:right w:val="single" w:sz="8" w:color="929292"/>
            </w:tcBorders>
          </w:tcPr>
          <w:p>
            <w:pPr>
              <w:spacing w:after="0"/>
              <w:rPr>
                <w:sz w:val="8"/>
                <w:szCs w:val="8"/>
                <w:color w:val="auto"/>
              </w:rPr>
            </w:pPr>
          </w:p>
        </w:tc>
        <w:tc>
          <w:tcPr>
            <w:tcW w:w="1420" w:type="dxa"/>
            <w:vAlign w:val="bottom"/>
            <w:tcBorders>
              <w:right w:val="single" w:sz="8" w:color="929292"/>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640" w:type="dxa"/>
            <w:vAlign w:val="bottom"/>
            <w:tcBorders>
              <w:left w:val="single" w:sz="8" w:color="929292"/>
              <w:right w:val="single" w:sz="8" w:color="929292"/>
            </w:tcBorders>
          </w:tcPr>
          <w:p>
            <w:pPr>
              <w:spacing w:after="0" w:line="20" w:lineRule="exact"/>
              <w:rPr>
                <w:sz w:val="1"/>
                <w:szCs w:val="1"/>
                <w:color w:val="auto"/>
              </w:rPr>
            </w:pPr>
          </w:p>
        </w:tc>
        <w:tc>
          <w:tcPr>
            <w:tcW w:w="1200" w:type="dxa"/>
            <w:vAlign w:val="bottom"/>
            <w:tcBorders>
              <w:right w:val="single" w:sz="8" w:color="929292"/>
            </w:tcBorders>
          </w:tcPr>
          <w:p>
            <w:pPr>
              <w:spacing w:after="0" w:line="20" w:lineRule="exact"/>
              <w:rPr>
                <w:sz w:val="1"/>
                <w:szCs w:val="1"/>
                <w:color w:val="auto"/>
              </w:rPr>
            </w:pPr>
          </w:p>
        </w:tc>
        <w:tc>
          <w:tcPr>
            <w:tcW w:w="1360" w:type="dxa"/>
            <w:vAlign w:val="bottom"/>
            <w:tcBorders>
              <w:right w:val="single" w:sz="8" w:color="929292"/>
            </w:tcBorders>
          </w:tcPr>
          <w:p>
            <w:pPr>
              <w:spacing w:after="0" w:line="20" w:lineRule="exact"/>
              <w:rPr>
                <w:sz w:val="1"/>
                <w:szCs w:val="1"/>
                <w:color w:val="auto"/>
              </w:rPr>
            </w:pPr>
          </w:p>
        </w:tc>
        <w:tc>
          <w:tcPr>
            <w:tcW w:w="1260" w:type="dxa"/>
            <w:vAlign w:val="bottom"/>
            <w:tcBorders>
              <w:right w:val="single" w:sz="8" w:color="929292"/>
            </w:tcBorders>
          </w:tcPr>
          <w:p>
            <w:pPr>
              <w:spacing w:after="0" w:line="20" w:lineRule="exact"/>
              <w:rPr>
                <w:sz w:val="1"/>
                <w:szCs w:val="1"/>
                <w:color w:val="auto"/>
              </w:rPr>
            </w:pPr>
          </w:p>
        </w:tc>
        <w:tc>
          <w:tcPr>
            <w:tcW w:w="1360" w:type="dxa"/>
            <w:vAlign w:val="bottom"/>
            <w:tcBorders>
              <w:right w:val="single" w:sz="8" w:color="929292"/>
            </w:tcBorders>
          </w:tcPr>
          <w:p>
            <w:pPr>
              <w:spacing w:after="0" w:line="20" w:lineRule="exact"/>
              <w:rPr>
                <w:sz w:val="1"/>
                <w:szCs w:val="1"/>
                <w:color w:val="auto"/>
              </w:rPr>
            </w:pPr>
          </w:p>
        </w:tc>
        <w:tc>
          <w:tcPr>
            <w:tcW w:w="1300" w:type="dxa"/>
            <w:vAlign w:val="bottom"/>
            <w:tcBorders>
              <w:right w:val="single" w:sz="8" w:color="929292"/>
            </w:tcBorders>
          </w:tcPr>
          <w:p>
            <w:pPr>
              <w:spacing w:after="0" w:line="20" w:lineRule="exact"/>
              <w:rPr>
                <w:sz w:val="1"/>
                <w:szCs w:val="1"/>
                <w:color w:val="auto"/>
              </w:rPr>
            </w:pPr>
          </w:p>
        </w:tc>
        <w:tc>
          <w:tcPr>
            <w:tcW w:w="1420" w:type="dxa"/>
            <w:vAlign w:val="bottom"/>
            <w:tcBorders>
              <w:right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Storage (in MWh)</w:t>
            </w:r>
          </w:p>
        </w:tc>
        <w:tc>
          <w:tcPr>
            <w:tcW w:w="12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355</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444</w:t>
            </w:r>
          </w:p>
        </w:tc>
        <w:tc>
          <w:tcPr>
            <w:tcW w:w="1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521.0</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2.0</w:t>
            </w:r>
          </w:p>
        </w:tc>
        <w:tc>
          <w:tcPr>
            <w:tcW w:w="14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243"/>
        </w:trPr>
        <w:tc>
          <w:tcPr>
            <w:tcW w:w="2640" w:type="dxa"/>
            <w:vAlign w:val="bottom"/>
            <w:tcBorders>
              <w:left w:val="single" w:sz="8" w:color="929292"/>
              <w:right w:val="single" w:sz="8" w:color="929292"/>
            </w:tcBorders>
          </w:tcPr>
          <w:p>
            <w:pPr>
              <w:spacing w:after="0"/>
              <w:rPr>
                <w:sz w:val="21"/>
                <w:szCs w:val="21"/>
                <w:color w:val="auto"/>
              </w:rPr>
            </w:pPr>
          </w:p>
        </w:tc>
        <w:tc>
          <w:tcPr>
            <w:tcW w:w="1200" w:type="dxa"/>
            <w:vAlign w:val="bottom"/>
            <w:tcBorders>
              <w:right w:val="single" w:sz="8" w:color="929292"/>
            </w:tcBorders>
          </w:tcPr>
          <w:p>
            <w:pPr>
              <w:spacing w:after="0"/>
              <w:rPr>
                <w:sz w:val="21"/>
                <w:szCs w:val="21"/>
                <w:color w:val="auto"/>
              </w:rPr>
            </w:pPr>
          </w:p>
        </w:tc>
        <w:tc>
          <w:tcPr>
            <w:tcW w:w="1360" w:type="dxa"/>
            <w:vAlign w:val="bottom"/>
            <w:tcBorders>
              <w:right w:val="single" w:sz="8" w:color="929292"/>
            </w:tcBorders>
          </w:tcPr>
          <w:p>
            <w:pPr>
              <w:spacing w:after="0"/>
              <w:rPr>
                <w:sz w:val="21"/>
                <w:szCs w:val="21"/>
                <w:color w:val="auto"/>
              </w:rPr>
            </w:pPr>
          </w:p>
        </w:tc>
        <w:tc>
          <w:tcPr>
            <w:tcW w:w="1260" w:type="dxa"/>
            <w:vAlign w:val="bottom"/>
            <w:tcBorders>
              <w:right w:val="single" w:sz="8" w:color="929292"/>
            </w:tcBorders>
          </w:tcPr>
          <w:p>
            <w:pPr>
              <w:spacing w:after="0"/>
              <w:rPr>
                <w:sz w:val="21"/>
                <w:szCs w:val="21"/>
                <w:color w:val="auto"/>
              </w:rPr>
            </w:pPr>
          </w:p>
        </w:tc>
        <w:tc>
          <w:tcPr>
            <w:tcW w:w="1360" w:type="dxa"/>
            <w:vAlign w:val="bottom"/>
            <w:tcBorders>
              <w:right w:val="single" w:sz="8" w:color="929292"/>
            </w:tcBorders>
          </w:tcPr>
          <w:p>
            <w:pPr>
              <w:spacing w:after="0"/>
              <w:rPr>
                <w:sz w:val="21"/>
                <w:szCs w:val="21"/>
                <w:color w:val="auto"/>
              </w:rPr>
            </w:pP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rPr>
              <w:t>27.0</w:t>
            </w:r>
          </w:p>
        </w:tc>
        <w:tc>
          <w:tcPr>
            <w:tcW w:w="142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w w:val="98"/>
              </w:rPr>
              <w:t>2.3</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340" w:hanging="170"/>
        <w:spacing w:after="0" w:line="309" w:lineRule="auto"/>
        <w:tabs>
          <w:tab w:leader="none" w:pos="317" w:val="left"/>
        </w:tabs>
        <w:numPr>
          <w:ilvl w:val="0"/>
          <w:numId w:val="43"/>
        </w:numPr>
        <w:rPr>
          <w:rFonts w:ascii="Arial" w:cs="Arial" w:eastAsia="Arial" w:hAnsi="Arial"/>
          <w:sz w:val="13"/>
          <w:szCs w:val="13"/>
          <w:color w:val="auto"/>
        </w:rPr>
      </w:pPr>
      <w:r>
        <w:rPr>
          <w:rFonts w:ascii="Arial" w:cs="Arial" w:eastAsia="Arial" w:hAnsi="Arial"/>
          <w:sz w:val="16"/>
          <w:szCs w:val="16"/>
          <w:b w:val="1"/>
          <w:bCs w:val="1"/>
          <w:color w:val="auto"/>
        </w:rPr>
        <w:t xml:space="preserve">Profit Before Taxes ("PBT"). </w:t>
      </w:r>
      <w:r>
        <w:rPr>
          <w:rFonts w:ascii="Arial" w:cs="Arial" w:eastAsia="Arial" w:hAnsi="Arial"/>
          <w:sz w:val="16"/>
          <w:szCs w:val="16"/>
          <w:color w:val="auto"/>
        </w:rPr>
        <w:t>The PBT category included seven goals with a possible total of 24 points, which related to non-GAAP gross margin</w:t>
      </w:r>
      <w:r>
        <w:rPr>
          <w:rFonts w:ascii="Arial" w:cs="Arial" w:eastAsia="Arial" w:hAnsi="Arial"/>
          <w:sz w:val="16"/>
          <w:szCs w:val="16"/>
          <w:b w:val="1"/>
          <w:bCs w:val="1"/>
          <w:color w:val="auto"/>
        </w:rPr>
        <w:t xml:space="preserve"> </w:t>
      </w:r>
      <w:r>
        <w:rPr>
          <w:rFonts w:ascii="Arial" w:cs="Arial" w:eastAsia="Arial" w:hAnsi="Arial"/>
          <w:sz w:val="16"/>
          <w:szCs w:val="16"/>
          <w:color w:val="auto"/>
        </w:rPr>
        <w:t>(“GM”) with and without Inflation Reduction Act (“IRA”) benefit, improving GM on battery systems with IRA benefit, non-GAAP operating expenses (“OPEX”), non-GAAP PBT, non-GAAP earnings per share (“EPS”) and adjusted free cash flow. This included a ten point stretch goal to improve non-GAAP GM by approximately 720 basis points from target with IRA benefit. The table below shows how we performed against our goals in the PBT category (other than for information on the battery systems GM, which is not disclosed separately and is deemed confidential).</w:t>
      </w:r>
    </w:p>
    <w:p>
      <w:pPr>
        <w:spacing w:after="0" w:line="31" w:lineRule="exact"/>
        <w:rPr>
          <w:sz w:val="20"/>
          <w:szCs w:val="20"/>
          <w:color w:val="auto"/>
        </w:rPr>
      </w:pPr>
    </w:p>
    <w:tbl>
      <w:tblPr>
        <w:tblLayout w:type="fixed"/>
        <w:tblInd w:w="350" w:type="dxa"/>
        <w:tblCellMar>
          <w:top w:w="0" w:type="dxa"/>
          <w:left w:w="0" w:type="dxa"/>
          <w:bottom w:w="0" w:type="dxa"/>
          <w:right w:w="0" w:type="dxa"/>
        </w:tblCellMar>
      </w:tblPr>
      <w:tr>
        <w:trPr>
          <w:trHeight w:val="193"/>
        </w:trPr>
        <w:tc>
          <w:tcPr>
            <w:tcW w:w="264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PBT Targets</w:t>
            </w:r>
          </w:p>
        </w:tc>
        <w:tc>
          <w:tcPr>
            <w:tcW w:w="1200" w:type="dxa"/>
            <w:vAlign w:val="bottom"/>
            <w:tcBorders>
              <w:right w:val="single" w:sz="8" w:color="3C3C3C"/>
            </w:tcBorders>
            <w:vMerge w:val="restart"/>
            <w:shd w:val="clear" w:color="auto" w:fill="3C3C3C"/>
          </w:tcPr>
          <w:p>
            <w:pPr>
              <w:ind w:left="320"/>
              <w:spacing w:after="0"/>
              <w:rPr>
                <w:sz w:val="20"/>
                <w:szCs w:val="20"/>
                <w:color w:val="auto"/>
              </w:rPr>
            </w:pPr>
            <w:r>
              <w:rPr>
                <w:rFonts w:ascii="Arial" w:cs="Arial" w:eastAsia="Arial" w:hAnsi="Arial"/>
                <w:sz w:val="14"/>
                <w:szCs w:val="14"/>
                <w:b w:val="1"/>
                <w:bCs w:val="1"/>
                <w:color w:val="FFFFFF"/>
              </w:rPr>
              <w:t>Zero PT</w:t>
            </w:r>
          </w:p>
        </w:tc>
        <w:tc>
          <w:tcPr>
            <w:tcW w:w="13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At Target</w:t>
            </w: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Stretch</w:t>
            </w:r>
          </w:p>
        </w:tc>
        <w:tc>
          <w:tcPr>
            <w:tcW w:w="1360" w:type="dxa"/>
            <w:vAlign w:val="bottom"/>
            <w:tcBorders>
              <w:right w:val="single" w:sz="8" w:color="3C3C3C"/>
            </w:tcBorders>
            <w:vMerge w:val="restart"/>
            <w:shd w:val="clear" w:color="auto" w:fill="3C3C3C"/>
          </w:tcPr>
          <w:p>
            <w:pPr>
              <w:ind w:left="260"/>
              <w:spacing w:after="0"/>
              <w:rPr>
                <w:sz w:val="20"/>
                <w:szCs w:val="20"/>
                <w:color w:val="auto"/>
              </w:rPr>
            </w:pPr>
            <w:r>
              <w:rPr>
                <w:rFonts w:ascii="Arial" w:cs="Arial" w:eastAsia="Arial" w:hAnsi="Arial"/>
                <w:sz w:val="14"/>
                <w:szCs w:val="14"/>
                <w:b w:val="1"/>
                <w:bCs w:val="1"/>
                <w:color w:val="FFFFFF"/>
              </w:rPr>
              <w:t>2024 Actual</w:t>
            </w:r>
          </w:p>
        </w:tc>
        <w:tc>
          <w:tcPr>
            <w:tcW w:w="13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Points</w:t>
            </w:r>
          </w:p>
        </w:tc>
        <w:tc>
          <w:tcPr>
            <w:tcW w:w="1420" w:type="dxa"/>
            <w:vAlign w:val="bottom"/>
            <w:tcBorders>
              <w:right w:val="single" w:sz="8" w:color="3C3C3C"/>
            </w:tcBorders>
            <w:vMerge w:val="restart"/>
            <w:shd w:val="clear" w:color="auto" w:fill="3C3C3C"/>
          </w:tcPr>
          <w:p>
            <w:pPr>
              <w:ind w:left="200"/>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02"/>
        </w:trPr>
        <w:tc>
          <w:tcPr>
            <w:tcW w:w="264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200" w:type="dxa"/>
            <w:vAlign w:val="bottom"/>
            <w:tcBorders>
              <w:right w:val="single" w:sz="8" w:color="3C3C3C"/>
            </w:tcBorders>
            <w:vMerge w:val="continue"/>
            <w:shd w:val="clear" w:color="auto" w:fill="3C3C3C"/>
          </w:tcPr>
          <w:p>
            <w:pPr>
              <w:spacing w:after="0"/>
              <w:rPr>
                <w:sz w:val="8"/>
                <w:szCs w:val="8"/>
                <w:color w:val="auto"/>
              </w:rPr>
            </w:pPr>
          </w:p>
        </w:tc>
        <w:tc>
          <w:tcPr>
            <w:tcW w:w="1360" w:type="dxa"/>
            <w:vAlign w:val="bottom"/>
            <w:tcBorders>
              <w:right w:val="single" w:sz="8" w:color="3C3C3C"/>
            </w:tcBorders>
            <w:vMerge w:val="restart"/>
            <w:shd w:val="clear" w:color="auto" w:fill="3C3C3C"/>
          </w:tcPr>
          <w:p>
            <w:pPr>
              <w:jc w:val="right"/>
              <w:ind w:right="361"/>
              <w:spacing w:after="0"/>
              <w:rPr>
                <w:sz w:val="20"/>
                <w:szCs w:val="20"/>
                <w:color w:val="auto"/>
              </w:rPr>
            </w:pPr>
            <w:r>
              <w:rPr>
                <w:rFonts w:ascii="Arial" w:cs="Arial" w:eastAsia="Arial" w:hAnsi="Arial"/>
                <w:sz w:val="14"/>
                <w:szCs w:val="14"/>
                <w:b w:val="1"/>
                <w:bCs w:val="1"/>
                <w:color w:val="FFFFFF"/>
              </w:rPr>
              <w:t>(100%)</w:t>
            </w:r>
          </w:p>
        </w:tc>
        <w:tc>
          <w:tcPr>
            <w:tcW w:w="1260" w:type="dxa"/>
            <w:vAlign w:val="bottom"/>
            <w:tcBorders>
              <w:right w:val="single" w:sz="8" w:color="3C3C3C"/>
            </w:tcBorders>
            <w:vMerge w:val="continue"/>
            <w:shd w:val="clear" w:color="auto" w:fill="3C3C3C"/>
          </w:tcPr>
          <w:p>
            <w:pPr>
              <w:spacing w:after="0"/>
              <w:rPr>
                <w:sz w:val="8"/>
                <w:szCs w:val="8"/>
                <w:color w:val="auto"/>
              </w:rPr>
            </w:pPr>
          </w:p>
        </w:tc>
        <w:tc>
          <w:tcPr>
            <w:tcW w:w="1360" w:type="dxa"/>
            <w:vAlign w:val="bottom"/>
            <w:tcBorders>
              <w:right w:val="single" w:sz="8" w:color="3C3C3C"/>
            </w:tcBorders>
            <w:vMerge w:val="continue"/>
            <w:shd w:val="clear" w:color="auto" w:fill="3C3C3C"/>
          </w:tcPr>
          <w:p>
            <w:pPr>
              <w:spacing w:after="0"/>
              <w:rPr>
                <w:sz w:val="8"/>
                <w:szCs w:val="8"/>
                <w:color w:val="auto"/>
              </w:rPr>
            </w:pP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Possible</w:t>
            </w:r>
          </w:p>
        </w:tc>
        <w:tc>
          <w:tcPr>
            <w:tcW w:w="1420" w:type="dxa"/>
            <w:vAlign w:val="bottom"/>
            <w:tcBorders>
              <w:right w:val="single" w:sz="8" w:color="3C3C3C"/>
            </w:tcBorders>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40" w:type="dxa"/>
            <w:vAlign w:val="bottom"/>
            <w:tcBorders>
              <w:left w:val="single" w:sz="8" w:color="3C3C3C"/>
              <w:right w:val="single" w:sz="8" w:color="3C3C3C"/>
            </w:tcBorders>
            <w:shd w:val="clear" w:color="auto" w:fill="3C3C3C"/>
          </w:tcPr>
          <w:p>
            <w:pPr>
              <w:spacing w:after="0"/>
              <w:rPr>
                <w:sz w:val="9"/>
                <w:szCs w:val="9"/>
                <w:color w:val="auto"/>
              </w:rPr>
            </w:pPr>
          </w:p>
        </w:tc>
        <w:tc>
          <w:tcPr>
            <w:tcW w:w="1200" w:type="dxa"/>
            <w:vAlign w:val="bottom"/>
            <w:tcBorders>
              <w:right w:val="single" w:sz="8" w:color="3C3C3C"/>
            </w:tcBorders>
            <w:shd w:val="clear" w:color="auto" w:fill="3C3C3C"/>
          </w:tcPr>
          <w:p>
            <w:pPr>
              <w:spacing w:after="0"/>
              <w:rPr>
                <w:sz w:val="9"/>
                <w:szCs w:val="9"/>
                <w:color w:val="auto"/>
              </w:rPr>
            </w:pPr>
          </w:p>
        </w:tc>
        <w:tc>
          <w:tcPr>
            <w:tcW w:w="1360" w:type="dxa"/>
            <w:vAlign w:val="bottom"/>
            <w:tcBorders>
              <w:right w:val="single" w:sz="8" w:color="3C3C3C"/>
            </w:tcBorders>
            <w:vMerge w:val="continue"/>
            <w:shd w:val="clear" w:color="auto" w:fill="3C3C3C"/>
          </w:tcPr>
          <w:p>
            <w:pPr>
              <w:spacing w:after="0"/>
              <w:rPr>
                <w:sz w:val="9"/>
                <w:szCs w:val="9"/>
                <w:color w:val="auto"/>
              </w:rPr>
            </w:pPr>
          </w:p>
        </w:tc>
        <w:tc>
          <w:tcPr>
            <w:tcW w:w="1260" w:type="dxa"/>
            <w:vAlign w:val="bottom"/>
            <w:tcBorders>
              <w:right w:val="single" w:sz="8" w:color="3C3C3C"/>
            </w:tcBorders>
            <w:shd w:val="clear" w:color="auto" w:fill="3C3C3C"/>
          </w:tcPr>
          <w:p>
            <w:pPr>
              <w:spacing w:after="0"/>
              <w:rPr>
                <w:sz w:val="9"/>
                <w:szCs w:val="9"/>
                <w:color w:val="auto"/>
              </w:rPr>
            </w:pPr>
          </w:p>
        </w:tc>
        <w:tc>
          <w:tcPr>
            <w:tcW w:w="1360" w:type="dxa"/>
            <w:vAlign w:val="bottom"/>
            <w:tcBorders>
              <w:right w:val="single" w:sz="8" w:color="3C3C3C"/>
            </w:tcBorders>
            <w:shd w:val="clear" w:color="auto" w:fill="3C3C3C"/>
          </w:tcPr>
          <w:p>
            <w:pPr>
              <w:spacing w:after="0"/>
              <w:rPr>
                <w:sz w:val="9"/>
                <w:szCs w:val="9"/>
                <w:color w:val="auto"/>
              </w:rPr>
            </w:pPr>
          </w:p>
        </w:tc>
        <w:tc>
          <w:tcPr>
            <w:tcW w:w="1300" w:type="dxa"/>
            <w:vAlign w:val="bottom"/>
            <w:tcBorders>
              <w:right w:val="single" w:sz="8" w:color="3C3C3C"/>
            </w:tcBorders>
            <w:vMerge w:val="continue"/>
            <w:shd w:val="clear" w:color="auto" w:fill="3C3C3C"/>
          </w:tcPr>
          <w:p>
            <w:pPr>
              <w:spacing w:after="0"/>
              <w:rPr>
                <w:sz w:val="9"/>
                <w:szCs w:val="9"/>
                <w:color w:val="auto"/>
              </w:rPr>
            </w:pPr>
          </w:p>
        </w:tc>
        <w:tc>
          <w:tcPr>
            <w:tcW w:w="1420" w:type="dxa"/>
            <w:vAlign w:val="bottom"/>
            <w:tcBorders>
              <w:right w:val="single" w:sz="8" w:color="3C3C3C"/>
            </w:tcBorders>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GM w/out IRA Benefit</w:t>
            </w:r>
          </w:p>
        </w:tc>
        <w:tc>
          <w:tcPr>
            <w:tcW w:w="12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38.4%</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40.4%</w:t>
            </w:r>
          </w:p>
        </w:tc>
        <w:tc>
          <w:tcPr>
            <w:tcW w:w="1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40.0%</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5.0</w:t>
            </w:r>
          </w:p>
        </w:tc>
        <w:tc>
          <w:tcPr>
            <w:tcW w:w="14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4.0</w:t>
            </w:r>
          </w:p>
        </w:tc>
        <w:tc>
          <w:tcPr>
            <w:tcW w:w="0" w:type="dxa"/>
            <w:vAlign w:val="bottom"/>
          </w:tcPr>
          <w:p>
            <w:pPr>
              <w:spacing w:after="0"/>
              <w:rPr>
                <w:sz w:val="1"/>
                <w:szCs w:val="1"/>
                <w:color w:val="auto"/>
              </w:rPr>
            </w:pPr>
          </w:p>
        </w:tc>
      </w:tr>
      <w:tr>
        <w:trPr>
          <w:trHeight w:val="239"/>
        </w:trPr>
        <w:tc>
          <w:tcPr>
            <w:tcW w:w="264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GM with IRA Benefit</w:t>
            </w:r>
          </w:p>
        </w:tc>
        <w:tc>
          <w:tcPr>
            <w:tcW w:w="12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40.4%</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47.6%</w:t>
            </w:r>
          </w:p>
        </w:tc>
        <w:tc>
          <w:tcPr>
            <w:tcW w:w="12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48.9%</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10.0</w:t>
            </w:r>
          </w:p>
        </w:tc>
        <w:tc>
          <w:tcPr>
            <w:tcW w:w="14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64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GM on Battery Systems with</w:t>
            </w:r>
          </w:p>
        </w:tc>
        <w:tc>
          <w:tcPr>
            <w:tcW w:w="12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5"/>
              </w:rPr>
              <w:t>*</w:t>
            </w:r>
          </w:p>
        </w:tc>
        <w:tc>
          <w:tcPr>
            <w:tcW w:w="1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5.0</w:t>
            </w:r>
          </w:p>
        </w:tc>
        <w:tc>
          <w:tcPr>
            <w:tcW w:w="142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107"/>
        </w:trPr>
        <w:tc>
          <w:tcPr>
            <w:tcW w:w="2640" w:type="dxa"/>
            <w:vAlign w:val="bottom"/>
            <w:tcBorders>
              <w:left w:val="single" w:sz="8" w:color="929292"/>
              <w:right w:val="single" w:sz="8" w:color="929292"/>
            </w:tcBorders>
            <w:vMerge w:val="restart"/>
            <w:shd w:val="clear" w:color="auto" w:fill="FAF6EF"/>
          </w:tcPr>
          <w:p>
            <w:pPr>
              <w:ind w:left="100"/>
              <w:spacing w:after="0"/>
              <w:rPr>
                <w:sz w:val="20"/>
                <w:szCs w:val="20"/>
                <w:color w:val="auto"/>
              </w:rPr>
            </w:pPr>
            <w:r>
              <w:rPr>
                <w:rFonts w:ascii="Arial" w:cs="Arial" w:eastAsia="Arial" w:hAnsi="Arial"/>
                <w:sz w:val="16"/>
                <w:szCs w:val="16"/>
                <w:b w:val="1"/>
                <w:bCs w:val="1"/>
                <w:color w:val="auto"/>
              </w:rPr>
              <w:t>IRA Benefit</w:t>
            </w:r>
          </w:p>
        </w:tc>
        <w:tc>
          <w:tcPr>
            <w:tcW w:w="1200" w:type="dxa"/>
            <w:vAlign w:val="bottom"/>
            <w:tcBorders>
              <w:right w:val="single" w:sz="8" w:color="929292"/>
            </w:tcBorders>
            <w:vMerge w:val="continue"/>
            <w:shd w:val="clear" w:color="auto" w:fill="FAF6EF"/>
          </w:tcPr>
          <w:p>
            <w:pPr>
              <w:spacing w:after="0"/>
              <w:rPr>
                <w:sz w:val="9"/>
                <w:szCs w:val="9"/>
                <w:color w:val="auto"/>
              </w:rPr>
            </w:pPr>
          </w:p>
        </w:tc>
        <w:tc>
          <w:tcPr>
            <w:tcW w:w="1360" w:type="dxa"/>
            <w:vAlign w:val="bottom"/>
            <w:tcBorders>
              <w:right w:val="single" w:sz="8" w:color="929292"/>
            </w:tcBorders>
            <w:vMerge w:val="continue"/>
            <w:shd w:val="clear" w:color="auto" w:fill="FAF6EF"/>
          </w:tcPr>
          <w:p>
            <w:pPr>
              <w:spacing w:after="0"/>
              <w:rPr>
                <w:sz w:val="9"/>
                <w:szCs w:val="9"/>
                <w:color w:val="auto"/>
              </w:rPr>
            </w:pPr>
          </w:p>
        </w:tc>
        <w:tc>
          <w:tcPr>
            <w:tcW w:w="1260" w:type="dxa"/>
            <w:vAlign w:val="bottom"/>
            <w:tcBorders>
              <w:right w:val="single" w:sz="8" w:color="929292"/>
            </w:tcBorders>
            <w:vMerge w:val="continue"/>
            <w:shd w:val="clear" w:color="auto" w:fill="FAF6EF"/>
          </w:tcPr>
          <w:p>
            <w:pPr>
              <w:spacing w:after="0"/>
              <w:rPr>
                <w:sz w:val="9"/>
                <w:szCs w:val="9"/>
                <w:color w:val="auto"/>
              </w:rPr>
            </w:pPr>
          </w:p>
        </w:tc>
        <w:tc>
          <w:tcPr>
            <w:tcW w:w="1360" w:type="dxa"/>
            <w:vAlign w:val="bottom"/>
            <w:tcBorders>
              <w:right w:val="single" w:sz="8" w:color="929292"/>
            </w:tcBorders>
            <w:vMerge w:val="continue"/>
            <w:shd w:val="clear" w:color="auto" w:fill="FAF6EF"/>
          </w:tcPr>
          <w:p>
            <w:pPr>
              <w:spacing w:after="0"/>
              <w:rPr>
                <w:sz w:val="9"/>
                <w:szCs w:val="9"/>
                <w:color w:val="auto"/>
              </w:rPr>
            </w:pPr>
          </w:p>
        </w:tc>
        <w:tc>
          <w:tcPr>
            <w:tcW w:w="1300" w:type="dxa"/>
            <w:vAlign w:val="bottom"/>
            <w:tcBorders>
              <w:right w:val="single" w:sz="8" w:color="929292"/>
            </w:tcBorders>
            <w:vMerge w:val="continue"/>
            <w:shd w:val="clear" w:color="auto" w:fill="FAF6EF"/>
          </w:tcPr>
          <w:p>
            <w:pPr>
              <w:spacing w:after="0"/>
              <w:rPr>
                <w:sz w:val="9"/>
                <w:szCs w:val="9"/>
                <w:color w:val="auto"/>
              </w:rPr>
            </w:pPr>
          </w:p>
        </w:tc>
        <w:tc>
          <w:tcPr>
            <w:tcW w:w="1420" w:type="dxa"/>
            <w:vAlign w:val="bottom"/>
            <w:tcBorders>
              <w:right w:val="single" w:sz="8" w:color="929292"/>
            </w:tcBorders>
            <w:vMerge w:val="continue"/>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640" w:type="dxa"/>
            <w:vAlign w:val="bottom"/>
            <w:tcBorders>
              <w:left w:val="single" w:sz="8" w:color="929292"/>
              <w:right w:val="single" w:sz="8" w:color="929292"/>
            </w:tcBorders>
            <w:vMerge w:val="continue"/>
            <w:shd w:val="clear" w:color="auto" w:fill="FAF6EF"/>
          </w:tcPr>
          <w:p>
            <w:pPr>
              <w:spacing w:after="0"/>
              <w:rPr>
                <w:sz w:val="10"/>
                <w:szCs w:val="10"/>
                <w:color w:val="auto"/>
              </w:rPr>
            </w:pPr>
          </w:p>
        </w:tc>
        <w:tc>
          <w:tcPr>
            <w:tcW w:w="1200" w:type="dxa"/>
            <w:vAlign w:val="bottom"/>
            <w:tcBorders>
              <w:right w:val="single" w:sz="8" w:color="929292"/>
            </w:tcBorders>
            <w:shd w:val="clear" w:color="auto" w:fill="FAF6EF"/>
          </w:tcPr>
          <w:p>
            <w:pPr>
              <w:spacing w:after="0"/>
              <w:rPr>
                <w:sz w:val="10"/>
                <w:szCs w:val="10"/>
                <w:color w:val="auto"/>
              </w:rPr>
            </w:pPr>
          </w:p>
        </w:tc>
        <w:tc>
          <w:tcPr>
            <w:tcW w:w="1360" w:type="dxa"/>
            <w:vAlign w:val="bottom"/>
            <w:tcBorders>
              <w:right w:val="single" w:sz="8" w:color="929292"/>
            </w:tcBorders>
            <w:shd w:val="clear" w:color="auto" w:fill="FAF6EF"/>
          </w:tcPr>
          <w:p>
            <w:pPr>
              <w:spacing w:after="0"/>
              <w:rPr>
                <w:sz w:val="10"/>
                <w:szCs w:val="10"/>
                <w:color w:val="auto"/>
              </w:rPr>
            </w:pPr>
          </w:p>
        </w:tc>
        <w:tc>
          <w:tcPr>
            <w:tcW w:w="1260" w:type="dxa"/>
            <w:vAlign w:val="bottom"/>
            <w:tcBorders>
              <w:right w:val="single" w:sz="8" w:color="929292"/>
            </w:tcBorders>
            <w:shd w:val="clear" w:color="auto" w:fill="FAF6EF"/>
          </w:tcPr>
          <w:p>
            <w:pPr>
              <w:spacing w:after="0"/>
              <w:rPr>
                <w:sz w:val="10"/>
                <w:szCs w:val="10"/>
                <w:color w:val="auto"/>
              </w:rPr>
            </w:pPr>
          </w:p>
        </w:tc>
        <w:tc>
          <w:tcPr>
            <w:tcW w:w="1360" w:type="dxa"/>
            <w:vAlign w:val="bottom"/>
            <w:tcBorders>
              <w:right w:val="single" w:sz="8" w:color="929292"/>
            </w:tcBorders>
            <w:shd w:val="clear" w:color="auto" w:fill="FAF6EF"/>
          </w:tcPr>
          <w:p>
            <w:pPr>
              <w:spacing w:after="0"/>
              <w:rPr>
                <w:sz w:val="10"/>
                <w:szCs w:val="10"/>
                <w:color w:val="auto"/>
              </w:rPr>
            </w:pPr>
          </w:p>
        </w:tc>
        <w:tc>
          <w:tcPr>
            <w:tcW w:w="1300" w:type="dxa"/>
            <w:vAlign w:val="bottom"/>
            <w:tcBorders>
              <w:right w:val="single" w:sz="8" w:color="929292"/>
            </w:tcBorders>
            <w:shd w:val="clear" w:color="auto" w:fill="FAF6EF"/>
          </w:tcPr>
          <w:p>
            <w:pPr>
              <w:spacing w:after="0"/>
              <w:rPr>
                <w:sz w:val="10"/>
                <w:szCs w:val="10"/>
                <w:color w:val="auto"/>
              </w:rPr>
            </w:pPr>
          </w:p>
        </w:tc>
        <w:tc>
          <w:tcPr>
            <w:tcW w:w="1420" w:type="dxa"/>
            <w:vAlign w:val="bottom"/>
            <w:tcBorders>
              <w:right w:val="single" w:sz="8" w:color="929292"/>
            </w:tcBorders>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64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Non-GAAP OPEX</w:t>
            </w:r>
          </w:p>
        </w:tc>
        <w:tc>
          <w:tcPr>
            <w:tcW w:w="12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21.3%</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19.3%</w:t>
            </w:r>
          </w:p>
        </w:tc>
        <w:tc>
          <w:tcPr>
            <w:tcW w:w="12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24.7%</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7"/>
        </w:trPr>
        <w:tc>
          <w:tcPr>
            <w:tcW w:w="264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Non-GAAP PBT (in millions)</w:t>
            </w:r>
          </w:p>
        </w:tc>
        <w:tc>
          <w:tcPr>
            <w:tcW w:w="12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$423.1</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$528.9</w:t>
            </w:r>
          </w:p>
        </w:tc>
        <w:tc>
          <w:tcPr>
            <w:tcW w:w="12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$373.4</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9"/>
        </w:trPr>
        <w:tc>
          <w:tcPr>
            <w:tcW w:w="264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Non-GAAP Diluted EPS</w:t>
            </w:r>
          </w:p>
        </w:tc>
        <w:tc>
          <w:tcPr>
            <w:tcW w:w="12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$2.44</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$3.05</w:t>
            </w:r>
          </w:p>
        </w:tc>
        <w:tc>
          <w:tcPr>
            <w:tcW w:w="12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$2.37</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64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Adjusted Free Cash Flow (in</w:t>
            </w:r>
          </w:p>
        </w:tc>
        <w:tc>
          <w:tcPr>
            <w:tcW w:w="12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$278.8</w:t>
            </w:r>
          </w:p>
        </w:tc>
        <w:tc>
          <w:tcPr>
            <w:tcW w:w="13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$348.5</w:t>
            </w:r>
          </w:p>
        </w:tc>
        <w:tc>
          <w:tcPr>
            <w:tcW w:w="12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3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$480.0</w:t>
            </w:r>
          </w:p>
        </w:tc>
        <w:tc>
          <w:tcPr>
            <w:tcW w:w="1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107"/>
        </w:trPr>
        <w:tc>
          <w:tcPr>
            <w:tcW w:w="2640" w:type="dxa"/>
            <w:vAlign w:val="bottom"/>
            <w:tcBorders>
              <w:left w:val="single" w:sz="8" w:color="929292"/>
              <w:right w:val="single" w:sz="8" w:color="929292"/>
            </w:tcBorders>
            <w:vMerge w:val="restart"/>
            <w:shd w:val="clear" w:color="auto" w:fill="FAF6EF"/>
          </w:tcPr>
          <w:p>
            <w:pPr>
              <w:ind w:left="100"/>
              <w:spacing w:after="0"/>
              <w:rPr>
                <w:sz w:val="20"/>
                <w:szCs w:val="20"/>
                <w:color w:val="auto"/>
              </w:rPr>
            </w:pPr>
            <w:r>
              <w:rPr>
                <w:rFonts w:ascii="Arial" w:cs="Arial" w:eastAsia="Arial" w:hAnsi="Arial"/>
                <w:sz w:val="16"/>
                <w:szCs w:val="16"/>
                <w:b w:val="1"/>
                <w:bCs w:val="1"/>
                <w:color w:val="auto"/>
              </w:rPr>
              <w:t>millions)</w:t>
            </w:r>
          </w:p>
        </w:tc>
        <w:tc>
          <w:tcPr>
            <w:tcW w:w="1200" w:type="dxa"/>
            <w:vAlign w:val="bottom"/>
            <w:tcBorders>
              <w:right w:val="single" w:sz="8" w:color="929292"/>
            </w:tcBorders>
            <w:vMerge w:val="continue"/>
            <w:shd w:val="clear" w:color="auto" w:fill="FAF6EF"/>
          </w:tcPr>
          <w:p>
            <w:pPr>
              <w:spacing w:after="0"/>
              <w:rPr>
                <w:sz w:val="9"/>
                <w:szCs w:val="9"/>
                <w:color w:val="auto"/>
              </w:rPr>
            </w:pPr>
          </w:p>
        </w:tc>
        <w:tc>
          <w:tcPr>
            <w:tcW w:w="1360" w:type="dxa"/>
            <w:vAlign w:val="bottom"/>
            <w:tcBorders>
              <w:right w:val="single" w:sz="8" w:color="929292"/>
            </w:tcBorders>
            <w:vMerge w:val="continue"/>
            <w:shd w:val="clear" w:color="auto" w:fill="FAF6EF"/>
          </w:tcPr>
          <w:p>
            <w:pPr>
              <w:spacing w:after="0"/>
              <w:rPr>
                <w:sz w:val="9"/>
                <w:szCs w:val="9"/>
                <w:color w:val="auto"/>
              </w:rPr>
            </w:pPr>
          </w:p>
        </w:tc>
        <w:tc>
          <w:tcPr>
            <w:tcW w:w="1260" w:type="dxa"/>
            <w:vAlign w:val="bottom"/>
            <w:tcBorders>
              <w:right w:val="single" w:sz="8" w:color="929292"/>
            </w:tcBorders>
            <w:vMerge w:val="continue"/>
            <w:shd w:val="clear" w:color="auto" w:fill="FAF6EF"/>
          </w:tcPr>
          <w:p>
            <w:pPr>
              <w:spacing w:after="0"/>
              <w:rPr>
                <w:sz w:val="9"/>
                <w:szCs w:val="9"/>
                <w:color w:val="auto"/>
              </w:rPr>
            </w:pPr>
          </w:p>
        </w:tc>
        <w:tc>
          <w:tcPr>
            <w:tcW w:w="1360" w:type="dxa"/>
            <w:vAlign w:val="bottom"/>
            <w:tcBorders>
              <w:right w:val="single" w:sz="8" w:color="929292"/>
            </w:tcBorders>
            <w:vMerge w:val="continue"/>
            <w:shd w:val="clear" w:color="auto" w:fill="FAF6EF"/>
          </w:tcPr>
          <w:p>
            <w:pPr>
              <w:spacing w:after="0"/>
              <w:rPr>
                <w:sz w:val="9"/>
                <w:szCs w:val="9"/>
                <w:color w:val="auto"/>
              </w:rPr>
            </w:pPr>
          </w:p>
        </w:tc>
        <w:tc>
          <w:tcPr>
            <w:tcW w:w="1300" w:type="dxa"/>
            <w:vAlign w:val="bottom"/>
            <w:tcBorders>
              <w:right w:val="single" w:sz="8" w:color="929292"/>
            </w:tcBorders>
            <w:vMerge w:val="continue"/>
            <w:shd w:val="clear" w:color="auto" w:fill="FAF6EF"/>
          </w:tcPr>
          <w:p>
            <w:pPr>
              <w:spacing w:after="0"/>
              <w:rPr>
                <w:sz w:val="9"/>
                <w:szCs w:val="9"/>
                <w:color w:val="auto"/>
              </w:rPr>
            </w:pPr>
          </w:p>
        </w:tc>
        <w:tc>
          <w:tcPr>
            <w:tcW w:w="1420" w:type="dxa"/>
            <w:vAlign w:val="bottom"/>
            <w:tcBorders>
              <w:right w:val="single" w:sz="8" w:color="929292"/>
            </w:tcBorders>
            <w:vMerge w:val="continue"/>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640" w:type="dxa"/>
            <w:vAlign w:val="bottom"/>
            <w:tcBorders>
              <w:left w:val="single" w:sz="8" w:color="929292"/>
              <w:right w:val="single" w:sz="8" w:color="929292"/>
            </w:tcBorders>
            <w:vMerge w:val="continue"/>
            <w:shd w:val="clear" w:color="auto" w:fill="FAF6EF"/>
          </w:tcPr>
          <w:p>
            <w:pPr>
              <w:spacing w:after="0"/>
              <w:rPr>
                <w:sz w:val="10"/>
                <w:szCs w:val="10"/>
                <w:color w:val="auto"/>
              </w:rPr>
            </w:pPr>
          </w:p>
        </w:tc>
        <w:tc>
          <w:tcPr>
            <w:tcW w:w="1200" w:type="dxa"/>
            <w:vAlign w:val="bottom"/>
            <w:tcBorders>
              <w:right w:val="single" w:sz="8" w:color="929292"/>
            </w:tcBorders>
            <w:shd w:val="clear" w:color="auto" w:fill="FAF6EF"/>
          </w:tcPr>
          <w:p>
            <w:pPr>
              <w:spacing w:after="0"/>
              <w:rPr>
                <w:sz w:val="10"/>
                <w:szCs w:val="10"/>
                <w:color w:val="auto"/>
              </w:rPr>
            </w:pPr>
          </w:p>
        </w:tc>
        <w:tc>
          <w:tcPr>
            <w:tcW w:w="1360" w:type="dxa"/>
            <w:vAlign w:val="bottom"/>
            <w:tcBorders>
              <w:right w:val="single" w:sz="8" w:color="929292"/>
            </w:tcBorders>
            <w:shd w:val="clear" w:color="auto" w:fill="FAF6EF"/>
          </w:tcPr>
          <w:p>
            <w:pPr>
              <w:spacing w:after="0"/>
              <w:rPr>
                <w:sz w:val="10"/>
                <w:szCs w:val="10"/>
                <w:color w:val="auto"/>
              </w:rPr>
            </w:pPr>
          </w:p>
        </w:tc>
        <w:tc>
          <w:tcPr>
            <w:tcW w:w="1260" w:type="dxa"/>
            <w:vAlign w:val="bottom"/>
            <w:tcBorders>
              <w:right w:val="single" w:sz="8" w:color="929292"/>
            </w:tcBorders>
            <w:shd w:val="clear" w:color="auto" w:fill="FAF6EF"/>
          </w:tcPr>
          <w:p>
            <w:pPr>
              <w:spacing w:after="0"/>
              <w:rPr>
                <w:sz w:val="10"/>
                <w:szCs w:val="10"/>
                <w:color w:val="auto"/>
              </w:rPr>
            </w:pPr>
          </w:p>
        </w:tc>
        <w:tc>
          <w:tcPr>
            <w:tcW w:w="1360" w:type="dxa"/>
            <w:vAlign w:val="bottom"/>
            <w:tcBorders>
              <w:right w:val="single" w:sz="8" w:color="929292"/>
            </w:tcBorders>
            <w:shd w:val="clear" w:color="auto" w:fill="FAF6EF"/>
          </w:tcPr>
          <w:p>
            <w:pPr>
              <w:spacing w:after="0"/>
              <w:rPr>
                <w:sz w:val="10"/>
                <w:szCs w:val="10"/>
                <w:color w:val="auto"/>
              </w:rPr>
            </w:pPr>
          </w:p>
        </w:tc>
        <w:tc>
          <w:tcPr>
            <w:tcW w:w="1300" w:type="dxa"/>
            <w:vAlign w:val="bottom"/>
            <w:tcBorders>
              <w:right w:val="single" w:sz="8" w:color="929292"/>
            </w:tcBorders>
            <w:shd w:val="clear" w:color="auto" w:fill="FAF6EF"/>
          </w:tcPr>
          <w:p>
            <w:pPr>
              <w:spacing w:after="0"/>
              <w:rPr>
                <w:sz w:val="10"/>
                <w:szCs w:val="10"/>
                <w:color w:val="auto"/>
              </w:rPr>
            </w:pPr>
          </w:p>
        </w:tc>
        <w:tc>
          <w:tcPr>
            <w:tcW w:w="1420" w:type="dxa"/>
            <w:vAlign w:val="bottom"/>
            <w:tcBorders>
              <w:right w:val="single" w:sz="8" w:color="929292"/>
            </w:tcBorders>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929292"/>
              <w:right w:val="single" w:sz="8" w:color="929292"/>
            </w:tcBorders>
          </w:tcPr>
          <w:p>
            <w:pPr>
              <w:spacing w:after="0"/>
              <w:rPr>
                <w:sz w:val="21"/>
                <w:szCs w:val="21"/>
                <w:color w:val="auto"/>
              </w:rPr>
            </w:pPr>
          </w:p>
        </w:tc>
        <w:tc>
          <w:tcPr>
            <w:tcW w:w="1200" w:type="dxa"/>
            <w:vAlign w:val="bottom"/>
            <w:tcBorders>
              <w:right w:val="single" w:sz="8" w:color="929292"/>
            </w:tcBorders>
          </w:tcPr>
          <w:p>
            <w:pPr>
              <w:spacing w:after="0"/>
              <w:rPr>
                <w:sz w:val="21"/>
                <w:szCs w:val="21"/>
                <w:color w:val="auto"/>
              </w:rPr>
            </w:pPr>
          </w:p>
        </w:tc>
        <w:tc>
          <w:tcPr>
            <w:tcW w:w="1360" w:type="dxa"/>
            <w:vAlign w:val="bottom"/>
            <w:tcBorders>
              <w:right w:val="single" w:sz="8" w:color="929292"/>
            </w:tcBorders>
          </w:tcPr>
          <w:p>
            <w:pPr>
              <w:spacing w:after="0"/>
              <w:rPr>
                <w:sz w:val="21"/>
                <w:szCs w:val="21"/>
                <w:color w:val="auto"/>
              </w:rPr>
            </w:pPr>
          </w:p>
        </w:tc>
        <w:tc>
          <w:tcPr>
            <w:tcW w:w="1260" w:type="dxa"/>
            <w:vAlign w:val="bottom"/>
            <w:tcBorders>
              <w:right w:val="single" w:sz="8" w:color="929292"/>
            </w:tcBorders>
          </w:tcPr>
          <w:p>
            <w:pPr>
              <w:spacing w:after="0"/>
              <w:rPr>
                <w:sz w:val="21"/>
                <w:szCs w:val="21"/>
                <w:color w:val="auto"/>
              </w:rPr>
            </w:pPr>
          </w:p>
        </w:tc>
        <w:tc>
          <w:tcPr>
            <w:tcW w:w="1360" w:type="dxa"/>
            <w:vAlign w:val="bottom"/>
            <w:tcBorders>
              <w:right w:val="single" w:sz="8" w:color="929292"/>
            </w:tcBorders>
          </w:tcPr>
          <w:p>
            <w:pPr>
              <w:spacing w:after="0"/>
              <w:rPr>
                <w:sz w:val="21"/>
                <w:szCs w:val="21"/>
                <w:color w:val="auto"/>
              </w:rPr>
            </w:pP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rPr>
              <w:t>24.0</w:t>
            </w:r>
          </w:p>
        </w:tc>
        <w:tc>
          <w:tcPr>
            <w:tcW w:w="1420" w:type="dxa"/>
            <w:vAlign w:val="bottom"/>
            <w:tcBorders>
              <w:right w:val="single" w:sz="8" w:color="929292"/>
            </w:tcBorders>
          </w:tcPr>
          <w:p>
            <w:pPr>
              <w:jc w:val="center"/>
              <w:spacing w:after="0"/>
              <w:rPr>
                <w:sz w:val="20"/>
                <w:szCs w:val="20"/>
                <w:color w:val="auto"/>
              </w:rPr>
            </w:pPr>
            <w:r>
              <w:rPr>
                <w:rFonts w:ascii="Arial" w:cs="Arial" w:eastAsia="Arial" w:hAnsi="Arial"/>
                <w:sz w:val="16"/>
                <w:szCs w:val="16"/>
                <w:b w:val="1"/>
                <w:bCs w:val="1"/>
                <w:color w:val="auto"/>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5" w:name="page46"/>
    <w:bookmarkEnd w:id="45"/>
    <w:p>
      <w:pPr>
        <w:ind w:left="340" w:right="100" w:hanging="170"/>
        <w:spacing w:after="0" w:line="339" w:lineRule="auto"/>
        <w:tabs>
          <w:tab w:leader="none" w:pos="317" w:val="left"/>
        </w:tabs>
        <w:numPr>
          <w:ilvl w:val="0"/>
          <w:numId w:val="44"/>
        </w:numPr>
        <w:rPr>
          <w:rFonts w:ascii="Arial" w:cs="Arial" w:eastAsia="Arial" w:hAnsi="Arial"/>
          <w:sz w:val="13"/>
          <w:szCs w:val="13"/>
          <w:color w:val="auto"/>
        </w:rPr>
      </w:pPr>
      <w:r>
        <w:rPr>
          <w:rFonts w:ascii="Arial" w:cs="Arial" w:eastAsia="Arial" w:hAnsi="Arial"/>
          <w:sz w:val="16"/>
          <w:szCs w:val="16"/>
          <w:b w:val="1"/>
          <w:bCs w:val="1"/>
          <w:color w:val="auto"/>
        </w:rPr>
        <w:t>New Products</w:t>
      </w:r>
      <w:r>
        <w:rPr>
          <w:rFonts w:ascii="Arial" w:cs="Arial" w:eastAsia="Arial" w:hAnsi="Arial"/>
          <w:sz w:val="16"/>
          <w:szCs w:val="16"/>
          <w:color w:val="auto"/>
        </w:rPr>
        <w:t>. The New Products category had 16 goals, and we scored 16.40 out of 27 points in this category. While we do not disclose all details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confidentiality reasons, key initiatives are described below.</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4740" w:type="dxa"/>
            <w:vAlign w:val="bottom"/>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New Products Targets</w:t>
            </w:r>
          </w:p>
        </w:tc>
        <w:tc>
          <w:tcPr>
            <w:tcW w:w="4460" w:type="dxa"/>
            <w:vAlign w:val="bottom"/>
            <w:shd w:val="clear" w:color="auto" w:fill="3C3C3C"/>
          </w:tcPr>
          <w:p>
            <w:pPr>
              <w:jc w:val="center"/>
              <w:ind w:left="2908"/>
              <w:spacing w:after="0"/>
              <w:rPr>
                <w:sz w:val="20"/>
                <w:szCs w:val="20"/>
                <w:color w:val="auto"/>
              </w:rPr>
            </w:pPr>
            <w:r>
              <w:rPr>
                <w:rFonts w:ascii="Arial" w:cs="Arial" w:eastAsia="Arial" w:hAnsi="Arial"/>
                <w:sz w:val="14"/>
                <w:szCs w:val="14"/>
                <w:b w:val="1"/>
                <w:bCs w:val="1"/>
                <w:color w:val="FFFFFF"/>
              </w:rPr>
              <w:t>Number of Points</w:t>
            </w:r>
          </w:p>
        </w:tc>
        <w:tc>
          <w:tcPr>
            <w:tcW w:w="1340" w:type="dxa"/>
            <w:vAlign w:val="bottom"/>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15"/>
        </w:trPr>
        <w:tc>
          <w:tcPr>
            <w:tcW w:w="4740" w:type="dxa"/>
            <w:vAlign w:val="bottom"/>
            <w:vMerge w:val="continue"/>
            <w:shd w:val="clear" w:color="auto" w:fill="3C3C3C"/>
          </w:tcPr>
          <w:p>
            <w:pPr>
              <w:spacing w:after="0"/>
              <w:rPr>
                <w:sz w:val="10"/>
                <w:szCs w:val="10"/>
                <w:color w:val="auto"/>
              </w:rPr>
            </w:pPr>
          </w:p>
        </w:tc>
        <w:tc>
          <w:tcPr>
            <w:tcW w:w="4460" w:type="dxa"/>
            <w:vAlign w:val="bottom"/>
            <w:vMerge w:val="restart"/>
            <w:shd w:val="clear" w:color="auto" w:fill="3C3C3C"/>
          </w:tcPr>
          <w:p>
            <w:pPr>
              <w:jc w:val="center"/>
              <w:ind w:left="2908"/>
              <w:spacing w:after="0"/>
              <w:rPr>
                <w:sz w:val="20"/>
                <w:szCs w:val="20"/>
                <w:color w:val="auto"/>
              </w:rPr>
            </w:pPr>
            <w:r>
              <w:rPr>
                <w:rFonts w:ascii="Arial" w:cs="Arial" w:eastAsia="Arial" w:hAnsi="Arial"/>
                <w:sz w:val="14"/>
                <w:szCs w:val="14"/>
                <w:b w:val="1"/>
                <w:bCs w:val="1"/>
                <w:color w:val="FFFFFF"/>
              </w:rPr>
              <w:t>Possible</w:t>
            </w:r>
          </w:p>
        </w:tc>
        <w:tc>
          <w:tcPr>
            <w:tcW w:w="1340" w:type="dxa"/>
            <w:vAlign w:val="bottom"/>
            <w:vMerge w:val="continue"/>
            <w:shd w:val="clear" w:color="auto" w:fill="3C3C3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740" w:type="dxa"/>
            <w:vAlign w:val="bottom"/>
            <w:shd w:val="clear" w:color="auto" w:fill="3C3C3C"/>
          </w:tcPr>
          <w:p>
            <w:pPr>
              <w:spacing w:after="0"/>
              <w:rPr>
                <w:sz w:val="7"/>
                <w:szCs w:val="7"/>
                <w:color w:val="auto"/>
              </w:rPr>
            </w:pPr>
          </w:p>
        </w:tc>
        <w:tc>
          <w:tcPr>
            <w:tcW w:w="4460" w:type="dxa"/>
            <w:vAlign w:val="bottom"/>
            <w:vMerge w:val="continue"/>
            <w:shd w:val="clear" w:color="auto" w:fill="3C3C3C"/>
          </w:tcPr>
          <w:p>
            <w:pPr>
              <w:spacing w:after="0"/>
              <w:rPr>
                <w:sz w:val="7"/>
                <w:szCs w:val="7"/>
                <w:color w:val="auto"/>
              </w:rPr>
            </w:pPr>
          </w:p>
        </w:tc>
        <w:tc>
          <w:tcPr>
            <w:tcW w:w="1340" w:type="dxa"/>
            <w:vAlign w:val="bottom"/>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740" w:type="dxa"/>
            <w:vAlign w:val="bottom"/>
            <w:shd w:val="clear" w:color="auto" w:fill="3C3C3C"/>
          </w:tcPr>
          <w:p>
            <w:pPr>
              <w:spacing w:after="0"/>
              <w:rPr>
                <w:sz w:val="2"/>
                <w:szCs w:val="2"/>
                <w:color w:val="auto"/>
              </w:rPr>
            </w:pPr>
          </w:p>
        </w:tc>
        <w:tc>
          <w:tcPr>
            <w:tcW w:w="4460" w:type="dxa"/>
            <w:vAlign w:val="bottom"/>
            <w:shd w:val="clear" w:color="auto" w:fill="3C3C3C"/>
          </w:tcPr>
          <w:p>
            <w:pPr>
              <w:spacing w:after="0"/>
              <w:rPr>
                <w:sz w:val="2"/>
                <w:szCs w:val="2"/>
                <w:color w:val="auto"/>
              </w:rPr>
            </w:pPr>
          </w:p>
        </w:tc>
        <w:tc>
          <w:tcPr>
            <w:tcW w:w="1340" w:type="dxa"/>
            <w:vAlign w:val="bottom"/>
            <w:shd w:val="clear" w:color="auto" w:fill="3C3C3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6694805" cy="1654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94805" cy="165417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1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Improving battery commissioning times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Introduction of the IQ Meter Collar</w:t>
      </w:r>
    </w:p>
    <w:p>
      <w:pPr>
        <w:spacing w:after="0" w:line="154" w:lineRule="exact"/>
        <w:rPr>
          <w:sz w:val="20"/>
          <w:szCs w:val="20"/>
          <w:color w:val="auto"/>
        </w:rPr>
      </w:pPr>
    </w:p>
    <w:p>
      <w:pPr>
        <w:ind w:left="440" w:right="100"/>
        <w:spacing w:after="0" w:line="296" w:lineRule="auto"/>
        <w:rPr>
          <w:sz w:val="20"/>
          <w:szCs w:val="20"/>
          <w:color w:val="auto"/>
        </w:rPr>
      </w:pPr>
      <w:r>
        <w:rPr>
          <w:rFonts w:ascii="Arial" w:cs="Arial" w:eastAsia="Arial" w:hAnsi="Arial"/>
          <w:sz w:val="16"/>
          <w:szCs w:val="16"/>
          <w:b w:val="1"/>
          <w:bCs w:val="1"/>
          <w:color w:val="auto"/>
        </w:rPr>
        <w:t>Launching next generation IQ Gateway, and IQ Microinverters for residential and commercial markets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Introduce three phase battery to existing and new markets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Introduction of IQ PowerPack 1500</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Work on bi-directional EV chargers</w:t>
      </w:r>
    </w:p>
    <w:p>
      <w:pPr>
        <w:spacing w:after="0" w:line="329" w:lineRule="exact"/>
        <w:rPr>
          <w:sz w:val="20"/>
          <w:szCs w:val="20"/>
          <w:color w:val="auto"/>
        </w:rPr>
      </w:pPr>
    </w:p>
    <w:p>
      <w:pPr>
        <w:ind w:left="300" w:hanging="130"/>
        <w:spacing w:after="0"/>
        <w:tabs>
          <w:tab w:leader="none" w:pos="300" w:val="left"/>
        </w:tabs>
        <w:numPr>
          <w:ilvl w:val="0"/>
          <w:numId w:val="45"/>
        </w:numPr>
        <w:rPr>
          <w:rFonts w:ascii="Arial" w:cs="Arial" w:eastAsia="Arial" w:hAnsi="Arial"/>
          <w:sz w:val="13"/>
          <w:szCs w:val="13"/>
          <w:color w:val="auto"/>
        </w:rPr>
      </w:pPr>
      <w:r>
        <w:rPr>
          <w:rFonts w:ascii="Arial" w:cs="Arial" w:eastAsia="Arial" w:hAnsi="Arial"/>
          <w:sz w:val="16"/>
          <w:szCs w:val="16"/>
          <w:b w:val="1"/>
          <w:bCs w:val="1"/>
          <w:color w:val="auto"/>
        </w:rPr>
        <w:t>Innovation</w:t>
      </w:r>
      <w:r>
        <w:rPr>
          <w:rFonts w:ascii="Arial" w:cs="Arial" w:eastAsia="Arial" w:hAnsi="Arial"/>
          <w:sz w:val="16"/>
          <w:szCs w:val="16"/>
          <w:color w:val="auto"/>
        </w:rPr>
        <w:t>. The Innovation category had four goals, and we scored 3.5 out of 4 points in this category.</w:t>
      </w:r>
    </w:p>
    <w:p>
      <w:pPr>
        <w:spacing w:after="0" w:line="225"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4"/>
          <w:szCs w:val="14"/>
          <w:b w:val="1"/>
          <w:bCs w:val="1"/>
          <w:color w:val="FFFFFF"/>
        </w:rPr>
        <w:t>Innovation Targets</w:t>
      </w:r>
    </w:p>
    <w:p>
      <w:pPr>
        <w:spacing w:after="0" w:line="252" w:lineRule="exact"/>
        <w:rPr>
          <w:rFonts w:ascii="Arial" w:cs="Arial" w:eastAsia="Arial" w:hAnsi="Arial"/>
          <w:sz w:val="13"/>
          <w:szCs w:val="13"/>
          <w:color w:val="auto"/>
        </w:rPr>
      </w:pPr>
    </w:p>
    <w:p>
      <w:pPr>
        <w:ind w:left="440" w:right="1220"/>
        <w:spacing w:after="0" w:line="563" w:lineRule="auto"/>
        <w:rPr>
          <w:rFonts w:ascii="Arial" w:cs="Arial" w:eastAsia="Arial" w:hAnsi="Arial"/>
          <w:sz w:val="13"/>
          <w:szCs w:val="13"/>
          <w:color w:val="auto"/>
        </w:rPr>
      </w:pPr>
      <w:r>
        <w:rPr>
          <w:rFonts w:ascii="Arial" w:cs="Arial" w:eastAsia="Arial" w:hAnsi="Arial"/>
          <w:sz w:val="16"/>
          <w:szCs w:val="16"/>
          <w:b w:val="1"/>
          <w:bCs w:val="1"/>
          <w:color w:val="auto"/>
        </w:rPr>
        <w:t>Development on next generation IQ Microinverters, including the IQ9 and IQ10 Development on next generation battery systems</w:t>
      </w:r>
    </w:p>
    <w:p>
      <w:pPr>
        <w:ind w:left="480"/>
        <w:spacing w:after="0"/>
        <w:rPr>
          <w:rFonts w:ascii="Arial" w:cs="Arial" w:eastAsia="Arial" w:hAnsi="Arial"/>
          <w:sz w:val="13"/>
          <w:szCs w:val="13"/>
          <w:color w:val="auto"/>
        </w:rPr>
      </w:pPr>
      <w:r>
        <w:rPr>
          <w:rFonts w:ascii="Arial" w:cs="Arial" w:eastAsia="Arial" w:hAnsi="Arial"/>
          <w:sz w:val="16"/>
          <w:szCs w:val="16"/>
          <w:b w:val="1"/>
          <w:bCs w:val="1"/>
          <w:color w:val="auto"/>
        </w:rPr>
        <w:t>IQ Gateway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-989965</wp:posOffset>
            </wp:positionV>
            <wp:extent cx="6694805" cy="10801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94805" cy="1080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6"/>
          <w:szCs w:val="16"/>
          <w:b w:val="1"/>
          <w:bCs w:val="1"/>
          <w:color w:val="auto"/>
        </w:rPr>
        <w:t>27.0</w:t>
      </w:r>
      <w:r>
        <w:rPr>
          <w:sz w:val="20"/>
          <w:szCs w:val="20"/>
          <w:color w:val="auto"/>
        </w:rPr>
        <w:tab/>
      </w:r>
      <w:r>
        <w:rPr>
          <w:rFonts w:ascii="Arial" w:cs="Arial" w:eastAsia="Arial" w:hAnsi="Arial"/>
          <w:sz w:val="16"/>
          <w:szCs w:val="16"/>
          <w:b w:val="1"/>
          <w:bCs w:val="1"/>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jc w:val="center"/>
              <w:ind w:right="68"/>
              <w:spacing w:after="0"/>
              <w:rPr>
                <w:sz w:val="20"/>
                <w:szCs w:val="20"/>
                <w:color w:val="auto"/>
              </w:rPr>
            </w:pPr>
            <w:r>
              <w:rPr>
                <w:rFonts w:ascii="Arial" w:cs="Arial" w:eastAsia="Arial" w:hAnsi="Arial"/>
                <w:sz w:val="14"/>
                <w:szCs w:val="14"/>
                <w:b w:val="1"/>
                <w:bCs w:val="1"/>
                <w:color w:val="FFFFFF"/>
              </w:rPr>
              <w:t>Number of Points</w:t>
            </w: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02"/>
        </w:trPr>
        <w:tc>
          <w:tcPr>
            <w:tcW w:w="13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FFFFFF"/>
              </w:rPr>
              <w:t>Possible</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10160</wp:posOffset>
            </wp:positionV>
            <wp:extent cx="1731645" cy="822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31645" cy="82296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5"/>
          <w:szCs w:val="15"/>
          <w:b w:val="1"/>
          <w:bCs w:val="1"/>
          <w:color w:val="auto"/>
        </w:rPr>
        <w:t>3.5</w:t>
      </w:r>
    </w:p>
    <w:p>
      <w:pPr>
        <w:spacing w:after="0" w:line="631" w:lineRule="exact"/>
        <w:rPr>
          <w:sz w:val="20"/>
          <w:szCs w:val="20"/>
          <w:color w:val="auto"/>
        </w:rPr>
      </w:pPr>
    </w:p>
    <w:p>
      <w:pPr>
        <w:sectPr>
          <w:pgSz w:w="11900" w:h="16838" w:orient="portrait"/>
          <w:cols w:equalWidth="0" w:num="2">
            <w:col w:w="7680" w:space="520"/>
            <w:col w:w="3040"/>
          </w:cols>
          <w:pgMar w:left="320" w:top="895" w:right="339" w:bottom="1440" w:gutter="0" w:footer="0" w:header="0"/>
          <w:type w:val="continuous"/>
        </w:sectPr>
      </w:pPr>
    </w:p>
    <w:p>
      <w:pPr>
        <w:spacing w:after="0" w:line="143" w:lineRule="exact"/>
        <w:rPr>
          <w:sz w:val="20"/>
          <w:szCs w:val="20"/>
          <w:color w:val="auto"/>
        </w:rPr>
      </w:pPr>
    </w:p>
    <w:p>
      <w:pPr>
        <w:ind w:left="300" w:hanging="130"/>
        <w:spacing w:after="0"/>
        <w:tabs>
          <w:tab w:leader="none" w:pos="300" w:val="left"/>
        </w:tabs>
        <w:numPr>
          <w:ilvl w:val="0"/>
          <w:numId w:val="46"/>
        </w:numPr>
        <w:rPr>
          <w:rFonts w:ascii="Arial" w:cs="Arial" w:eastAsia="Arial" w:hAnsi="Arial"/>
          <w:sz w:val="13"/>
          <w:szCs w:val="13"/>
          <w:color w:val="auto"/>
        </w:rPr>
      </w:pPr>
      <w:r>
        <w:rPr>
          <w:rFonts w:ascii="Arial" w:cs="Arial" w:eastAsia="Arial" w:hAnsi="Arial"/>
          <w:sz w:val="16"/>
          <w:szCs w:val="16"/>
          <w:b w:val="1"/>
          <w:bCs w:val="1"/>
          <w:color w:val="auto"/>
        </w:rPr>
        <w:t>Operations (including IT)</w:t>
      </w:r>
      <w:r>
        <w:rPr>
          <w:rFonts w:ascii="Arial" w:cs="Arial" w:eastAsia="Arial" w:hAnsi="Arial"/>
          <w:sz w:val="16"/>
          <w:szCs w:val="16"/>
          <w:color w:val="auto"/>
        </w:rPr>
        <w:t>. The Operations category had ten goals, and we scored 7.80 out of 10 points in this category.</w:t>
      </w:r>
    </w:p>
    <w:p>
      <w:pPr>
        <w:spacing w:after="0" w:line="127" w:lineRule="exact"/>
        <w:rPr>
          <w:sz w:val="20"/>
          <w:szCs w:val="20"/>
          <w:color w:val="auto"/>
        </w:rPr>
      </w:pPr>
    </w:p>
    <w:tbl>
      <w:tblPr>
        <w:tblLayout w:type="fixed"/>
        <w:tblInd w:w="350" w:type="dxa"/>
        <w:tblCellMar>
          <w:top w:w="0" w:type="dxa"/>
          <w:left w:w="0" w:type="dxa"/>
          <w:bottom w:w="0" w:type="dxa"/>
          <w:right w:w="0" w:type="dxa"/>
        </w:tblCellMar>
      </w:tblPr>
      <w:tr>
        <w:trPr>
          <w:trHeight w:val="180"/>
        </w:trPr>
        <w:tc>
          <w:tcPr>
            <w:tcW w:w="782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Operations (including IT) Targets</w:t>
            </w:r>
          </w:p>
        </w:tc>
        <w:tc>
          <w:tcPr>
            <w:tcW w:w="13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Points</w:t>
            </w:r>
          </w:p>
        </w:tc>
        <w:tc>
          <w:tcPr>
            <w:tcW w:w="14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15"/>
        </w:trPr>
        <w:tc>
          <w:tcPr>
            <w:tcW w:w="7820" w:type="dxa"/>
            <w:vAlign w:val="bottom"/>
            <w:tcBorders>
              <w:left w:val="single" w:sz="8" w:color="3C3C3C"/>
              <w:right w:val="single" w:sz="8" w:color="3C3C3C"/>
            </w:tcBorders>
            <w:vMerge w:val="continue"/>
            <w:shd w:val="clear" w:color="auto" w:fill="3C3C3C"/>
          </w:tcPr>
          <w:p>
            <w:pPr>
              <w:spacing w:after="0"/>
              <w:rPr>
                <w:sz w:val="10"/>
                <w:szCs w:val="10"/>
                <w:color w:val="auto"/>
              </w:rPr>
            </w:pP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Possible</w:t>
            </w:r>
          </w:p>
        </w:tc>
        <w:tc>
          <w:tcPr>
            <w:tcW w:w="1420" w:type="dxa"/>
            <w:vAlign w:val="bottom"/>
            <w:tcBorders>
              <w:right w:val="single" w:sz="8" w:color="3C3C3C"/>
            </w:tcBorders>
            <w:vMerge w:val="continue"/>
            <w:shd w:val="clear" w:color="auto" w:fill="3C3C3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820" w:type="dxa"/>
            <w:vAlign w:val="bottom"/>
            <w:tcBorders>
              <w:left w:val="single" w:sz="8" w:color="3C3C3C"/>
              <w:bottom w:val="single" w:sz="8" w:color="3C3C3C"/>
              <w:right w:val="single" w:sz="8" w:color="3C3C3C"/>
            </w:tcBorders>
            <w:shd w:val="clear" w:color="auto" w:fill="3C3C3C"/>
          </w:tcPr>
          <w:p>
            <w:pPr>
              <w:spacing w:after="0"/>
              <w:rPr>
                <w:sz w:val="7"/>
                <w:szCs w:val="7"/>
                <w:color w:val="auto"/>
              </w:rPr>
            </w:pPr>
          </w:p>
        </w:tc>
        <w:tc>
          <w:tcPr>
            <w:tcW w:w="130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1420" w:type="dxa"/>
            <w:vAlign w:val="bottom"/>
            <w:tcBorders>
              <w:bottom w:val="single" w:sz="8" w:color="3C3C3C"/>
              <w:right w:val="single" w:sz="8" w:color="3C3C3C"/>
            </w:tcBorders>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Digitizing channel management</w:t>
            </w:r>
          </w:p>
        </w:tc>
        <w:tc>
          <w:tcPr>
            <w:tcW w:w="1300" w:type="dxa"/>
            <w:vAlign w:val="bottom"/>
            <w:tcBorders>
              <w:right w:val="single" w:sz="8" w:color="929292"/>
            </w:tcBorders>
            <w:shd w:val="clear" w:color="auto" w:fill="FAF6EF"/>
          </w:tcPr>
          <w:p>
            <w:pPr>
              <w:spacing w:after="0"/>
              <w:rPr>
                <w:sz w:val="24"/>
                <w:szCs w:val="24"/>
                <w:color w:val="auto"/>
              </w:rPr>
            </w:pPr>
          </w:p>
        </w:tc>
        <w:tc>
          <w:tcPr>
            <w:tcW w:w="1420" w:type="dxa"/>
            <w:vAlign w:val="bottom"/>
            <w:tcBorders>
              <w:right w:val="single" w:sz="8" w:color="929292"/>
            </w:tcBorders>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shd w:val="clear" w:color="auto" w:fill="FAF6EF"/>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Improve security infrastructure</w:t>
            </w:r>
          </w:p>
        </w:tc>
        <w:tc>
          <w:tcPr>
            <w:tcW w:w="1300" w:type="dxa"/>
            <w:vAlign w:val="bottom"/>
            <w:tcBorders>
              <w:right w:val="single" w:sz="8" w:color="929292"/>
            </w:tcBorders>
            <w:shd w:val="clear" w:color="auto" w:fill="FAF6EF"/>
          </w:tcPr>
          <w:p>
            <w:pPr>
              <w:spacing w:after="0"/>
              <w:rPr>
                <w:sz w:val="24"/>
                <w:szCs w:val="24"/>
                <w:color w:val="auto"/>
              </w:rPr>
            </w:pPr>
          </w:p>
        </w:tc>
        <w:tc>
          <w:tcPr>
            <w:tcW w:w="1420" w:type="dxa"/>
            <w:vAlign w:val="bottom"/>
            <w:tcBorders>
              <w:right w:val="single" w:sz="8" w:color="929292"/>
            </w:tcBorders>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Improving inventory management</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10.0</w:t>
            </w:r>
          </w:p>
        </w:tc>
        <w:tc>
          <w:tcPr>
            <w:tcW w:w="1420" w:type="dxa"/>
            <w:vAlign w:val="bottom"/>
            <w:tcBorders>
              <w:right w:val="single" w:sz="8" w:color="929292"/>
            </w:tcBorders>
            <w:shd w:val="clear" w:color="auto" w:fill="FAF6EF"/>
          </w:tcPr>
          <w:p>
            <w:pPr>
              <w:jc w:val="right"/>
              <w:ind w:right="544"/>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shd w:val="clear" w:color="auto" w:fill="FAF6EF"/>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Cost reduction targets related to certain products</w:t>
            </w:r>
          </w:p>
        </w:tc>
        <w:tc>
          <w:tcPr>
            <w:tcW w:w="1300" w:type="dxa"/>
            <w:vAlign w:val="bottom"/>
            <w:tcBorders>
              <w:right w:val="single" w:sz="8" w:color="929292"/>
            </w:tcBorders>
            <w:shd w:val="clear" w:color="auto" w:fill="FAF6EF"/>
          </w:tcPr>
          <w:p>
            <w:pPr>
              <w:spacing w:after="0"/>
              <w:rPr>
                <w:sz w:val="24"/>
                <w:szCs w:val="24"/>
                <w:color w:val="auto"/>
              </w:rPr>
            </w:pPr>
          </w:p>
        </w:tc>
        <w:tc>
          <w:tcPr>
            <w:tcW w:w="1420" w:type="dxa"/>
            <w:vAlign w:val="bottom"/>
            <w:tcBorders>
              <w:right w:val="single" w:sz="8" w:color="929292"/>
            </w:tcBorders>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Improving worldwide distributor net promoter score</w:t>
            </w:r>
          </w:p>
        </w:tc>
        <w:tc>
          <w:tcPr>
            <w:tcW w:w="1300" w:type="dxa"/>
            <w:vAlign w:val="bottom"/>
            <w:tcBorders>
              <w:right w:val="single" w:sz="8" w:color="929292"/>
            </w:tcBorders>
            <w:shd w:val="clear" w:color="auto" w:fill="FAF6EF"/>
          </w:tcPr>
          <w:p>
            <w:pPr>
              <w:spacing w:after="0"/>
              <w:rPr>
                <w:sz w:val="24"/>
                <w:szCs w:val="24"/>
                <w:color w:val="auto"/>
              </w:rPr>
            </w:pPr>
          </w:p>
        </w:tc>
        <w:tc>
          <w:tcPr>
            <w:tcW w:w="1420" w:type="dxa"/>
            <w:vAlign w:val="bottom"/>
            <w:tcBorders>
              <w:right w:val="single" w:sz="8" w:color="929292"/>
            </w:tcBorders>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shd w:val="clear" w:color="auto" w:fill="FAF6EF"/>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170"/>
        <w:spacing w:after="0" w:line="339" w:lineRule="auto"/>
        <w:tabs>
          <w:tab w:leader="none" w:pos="317" w:val="left"/>
        </w:tabs>
        <w:numPr>
          <w:ilvl w:val="0"/>
          <w:numId w:val="47"/>
        </w:numPr>
        <w:rPr>
          <w:rFonts w:ascii="Arial" w:cs="Arial" w:eastAsia="Arial" w:hAnsi="Arial"/>
          <w:sz w:val="13"/>
          <w:szCs w:val="13"/>
          <w:color w:val="auto"/>
        </w:rPr>
      </w:pPr>
      <w:r>
        <w:rPr>
          <w:rFonts w:ascii="Arial" w:cs="Arial" w:eastAsia="Arial" w:hAnsi="Arial"/>
          <w:sz w:val="16"/>
          <w:szCs w:val="16"/>
          <w:b w:val="1"/>
          <w:bCs w:val="1"/>
          <w:color w:val="auto"/>
        </w:rPr>
        <w:t>Quality</w:t>
      </w:r>
      <w:r>
        <w:rPr>
          <w:rFonts w:ascii="Arial" w:cs="Arial" w:eastAsia="Arial" w:hAnsi="Arial"/>
          <w:sz w:val="16"/>
          <w:szCs w:val="16"/>
          <w:color w:val="auto"/>
        </w:rPr>
        <w:t>. The Quality category had six goals, and we scored 8 out of 10 points on the Quality goals by meeting our annual defective parts per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(“DPPM”) targets other than for the IQ Gateway.</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4520" w:type="dxa"/>
            <w:vAlign w:val="bottom"/>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Quality Targets</w:t>
            </w:r>
          </w:p>
        </w:tc>
        <w:tc>
          <w:tcPr>
            <w:tcW w:w="4680" w:type="dxa"/>
            <w:vAlign w:val="bottom"/>
            <w:shd w:val="clear" w:color="auto" w:fill="3C3C3C"/>
          </w:tcPr>
          <w:p>
            <w:pPr>
              <w:jc w:val="center"/>
              <w:ind w:left="3128"/>
              <w:spacing w:after="0"/>
              <w:rPr>
                <w:sz w:val="20"/>
                <w:szCs w:val="20"/>
                <w:color w:val="auto"/>
              </w:rPr>
            </w:pPr>
            <w:r>
              <w:rPr>
                <w:rFonts w:ascii="Arial" w:cs="Arial" w:eastAsia="Arial" w:hAnsi="Arial"/>
                <w:sz w:val="14"/>
                <w:szCs w:val="14"/>
                <w:b w:val="1"/>
                <w:bCs w:val="1"/>
                <w:color w:val="FFFFFF"/>
              </w:rPr>
              <w:t>Number of Points</w:t>
            </w:r>
          </w:p>
        </w:tc>
        <w:tc>
          <w:tcPr>
            <w:tcW w:w="1340" w:type="dxa"/>
            <w:vAlign w:val="bottom"/>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02"/>
        </w:trPr>
        <w:tc>
          <w:tcPr>
            <w:tcW w:w="4520" w:type="dxa"/>
            <w:vAlign w:val="bottom"/>
            <w:vMerge w:val="continue"/>
            <w:shd w:val="clear" w:color="auto" w:fill="3C3C3C"/>
          </w:tcPr>
          <w:p>
            <w:pPr>
              <w:spacing w:after="0"/>
              <w:rPr>
                <w:sz w:val="8"/>
                <w:szCs w:val="8"/>
                <w:color w:val="auto"/>
              </w:rPr>
            </w:pPr>
          </w:p>
        </w:tc>
        <w:tc>
          <w:tcPr>
            <w:tcW w:w="4680" w:type="dxa"/>
            <w:vAlign w:val="bottom"/>
            <w:vMerge w:val="restart"/>
            <w:shd w:val="clear" w:color="auto" w:fill="3C3C3C"/>
          </w:tcPr>
          <w:p>
            <w:pPr>
              <w:jc w:val="center"/>
              <w:ind w:left="3128"/>
              <w:spacing w:after="0"/>
              <w:rPr>
                <w:sz w:val="20"/>
                <w:szCs w:val="20"/>
                <w:color w:val="auto"/>
              </w:rPr>
            </w:pPr>
            <w:r>
              <w:rPr>
                <w:rFonts w:ascii="Arial" w:cs="Arial" w:eastAsia="Arial" w:hAnsi="Arial"/>
                <w:sz w:val="14"/>
                <w:szCs w:val="14"/>
                <w:b w:val="1"/>
                <w:bCs w:val="1"/>
                <w:color w:val="FFFFFF"/>
              </w:rPr>
              <w:t>Possible</w:t>
            </w:r>
          </w:p>
        </w:tc>
        <w:tc>
          <w:tcPr>
            <w:tcW w:w="1340" w:type="dxa"/>
            <w:vAlign w:val="bottom"/>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520" w:type="dxa"/>
            <w:vAlign w:val="bottom"/>
            <w:shd w:val="clear" w:color="auto" w:fill="3C3C3C"/>
          </w:tcPr>
          <w:p>
            <w:pPr>
              <w:spacing w:after="0"/>
              <w:rPr>
                <w:sz w:val="9"/>
                <w:szCs w:val="9"/>
                <w:color w:val="auto"/>
              </w:rPr>
            </w:pPr>
          </w:p>
        </w:tc>
        <w:tc>
          <w:tcPr>
            <w:tcW w:w="4680" w:type="dxa"/>
            <w:vAlign w:val="bottom"/>
            <w:vMerge w:val="continue"/>
            <w:shd w:val="clear" w:color="auto" w:fill="3C3C3C"/>
          </w:tcPr>
          <w:p>
            <w:pPr>
              <w:spacing w:after="0"/>
              <w:rPr>
                <w:sz w:val="9"/>
                <w:szCs w:val="9"/>
                <w:color w:val="auto"/>
              </w:rPr>
            </w:pPr>
          </w:p>
        </w:tc>
        <w:tc>
          <w:tcPr>
            <w:tcW w:w="1340" w:type="dxa"/>
            <w:vAlign w:val="bottom"/>
            <w:shd w:val="clear" w:color="auto" w:fill="3C3C3C"/>
          </w:tcPr>
          <w:p>
            <w:pPr>
              <w:spacing w:after="0"/>
              <w:rPr>
                <w:sz w:val="9"/>
                <w:szCs w:val="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Borders>
              <w:right w:val="single" w:sz="8" w:color="929292"/>
            </w:tcBorders>
          </w:tcPr>
          <w:p>
            <w:pPr>
              <w:spacing w:after="0"/>
              <w:rPr>
                <w:sz w:val="16"/>
                <w:szCs w:val="16"/>
                <w:color w:val="auto"/>
              </w:rPr>
            </w:pPr>
          </w:p>
        </w:tc>
        <w:tc>
          <w:tcPr>
            <w:tcW w:w="7800" w:type="dxa"/>
            <w:vAlign w:val="bottom"/>
            <w:tcBorders>
              <w:right w:val="single" w:sz="8" w:color="929292"/>
            </w:tcBorders>
            <w:shd w:val="clear" w:color="auto" w:fill="FAF6EF"/>
          </w:tcPr>
          <w:p>
            <w:pPr>
              <w:ind w:left="80"/>
              <w:spacing w:after="0"/>
              <w:rPr>
                <w:sz w:val="20"/>
                <w:szCs w:val="20"/>
                <w:color w:val="auto"/>
              </w:rPr>
            </w:pPr>
            <w:r>
              <w:rPr>
                <w:rFonts w:ascii="Arial" w:cs="Arial" w:eastAsia="Arial" w:hAnsi="Arial"/>
                <w:sz w:val="16"/>
                <w:szCs w:val="16"/>
                <w:b w:val="1"/>
                <w:bCs w:val="1"/>
                <w:color w:val="auto"/>
              </w:rPr>
              <w:t>Improving annual DPPM for IQ Microinverter, IQ Gateway, IQ Battery, IQ System Controller, Cell</w:t>
            </w:r>
          </w:p>
        </w:tc>
        <w:tc>
          <w:tcPr>
            <w:tcW w:w="1300" w:type="dxa"/>
            <w:vAlign w:val="bottom"/>
            <w:tcBorders>
              <w:right w:val="single" w:sz="8" w:color="929292"/>
            </w:tcBorders>
            <w:vMerge w:val="restart"/>
            <w:shd w:val="clear" w:color="auto" w:fill="FAF6EF"/>
          </w:tcPr>
          <w:p>
            <w:pPr>
              <w:jc w:val="right"/>
              <w:ind w:right="419"/>
              <w:spacing w:after="0"/>
              <w:rPr>
                <w:sz w:val="20"/>
                <w:szCs w:val="20"/>
                <w:color w:val="auto"/>
              </w:rPr>
            </w:pPr>
            <w:r>
              <w:rPr>
                <w:rFonts w:ascii="Arial" w:cs="Arial" w:eastAsia="Arial" w:hAnsi="Arial"/>
                <w:sz w:val="16"/>
                <w:szCs w:val="16"/>
                <w:b w:val="1"/>
                <w:bCs w:val="1"/>
                <w:color w:val="auto"/>
              </w:rPr>
              <w:t>10.0</w:t>
            </w:r>
          </w:p>
        </w:tc>
        <w:tc>
          <w:tcPr>
            <w:tcW w:w="1420" w:type="dxa"/>
            <w:vAlign w:val="bottom"/>
            <w:tcBorders>
              <w:right w:val="single" w:sz="8" w:color="929292"/>
            </w:tcBorders>
            <w:vMerge w:val="restart"/>
            <w:shd w:val="clear" w:color="auto" w:fill="FAF6EF"/>
          </w:tcPr>
          <w:p>
            <w:pPr>
              <w:jc w:val="right"/>
              <w:ind w:right="539"/>
              <w:spacing w:after="0"/>
              <w:rPr>
                <w:sz w:val="20"/>
                <w:szCs w:val="20"/>
                <w:color w:val="auto"/>
              </w:rPr>
            </w:pPr>
            <w:r>
              <w:rPr>
                <w:rFonts w:ascii="Arial" w:cs="Arial" w:eastAsia="Arial" w:hAnsi="Arial"/>
                <w:sz w:val="16"/>
                <w:szCs w:val="16"/>
                <w:b w:val="1"/>
                <w:bCs w:val="1"/>
                <w:color w:val="auto"/>
              </w:rPr>
              <w:t>8.0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60" w:type="dxa"/>
            <w:vAlign w:val="bottom"/>
            <w:tcBorders>
              <w:right w:val="single" w:sz="8" w:color="929292"/>
            </w:tcBorders>
          </w:tcPr>
          <w:p>
            <w:pPr>
              <w:spacing w:after="0"/>
              <w:rPr>
                <w:sz w:val="11"/>
                <w:szCs w:val="11"/>
                <w:color w:val="auto"/>
              </w:rPr>
            </w:pPr>
          </w:p>
        </w:tc>
        <w:tc>
          <w:tcPr>
            <w:tcW w:w="7800" w:type="dxa"/>
            <w:vAlign w:val="bottom"/>
            <w:tcBorders>
              <w:right w:val="single" w:sz="8" w:color="929292"/>
            </w:tcBorders>
            <w:vMerge w:val="restart"/>
            <w:shd w:val="clear" w:color="auto" w:fill="FAF6EF"/>
          </w:tcPr>
          <w:p>
            <w:pPr>
              <w:ind w:left="80"/>
              <w:spacing w:after="0"/>
              <w:rPr>
                <w:sz w:val="20"/>
                <w:szCs w:val="20"/>
                <w:color w:val="auto"/>
              </w:rPr>
            </w:pPr>
            <w:r>
              <w:rPr>
                <w:rFonts w:ascii="Arial" w:cs="Arial" w:eastAsia="Arial" w:hAnsi="Arial"/>
                <w:sz w:val="16"/>
                <w:szCs w:val="16"/>
                <w:b w:val="1"/>
                <w:bCs w:val="1"/>
                <w:color w:val="auto"/>
              </w:rPr>
              <w:t>Modem and Comms Kit</w:t>
            </w:r>
          </w:p>
        </w:tc>
        <w:tc>
          <w:tcPr>
            <w:tcW w:w="1300" w:type="dxa"/>
            <w:vAlign w:val="bottom"/>
            <w:tcBorders>
              <w:right w:val="single" w:sz="8" w:color="929292"/>
            </w:tcBorders>
            <w:vMerge w:val="continue"/>
            <w:shd w:val="clear" w:color="auto" w:fill="FAF6EF"/>
          </w:tcPr>
          <w:p>
            <w:pPr>
              <w:spacing w:after="0"/>
              <w:rPr>
                <w:sz w:val="11"/>
                <w:szCs w:val="11"/>
                <w:color w:val="auto"/>
              </w:rPr>
            </w:pPr>
          </w:p>
        </w:tc>
        <w:tc>
          <w:tcPr>
            <w:tcW w:w="1420" w:type="dxa"/>
            <w:vAlign w:val="bottom"/>
            <w:tcBorders>
              <w:right w:val="single" w:sz="8" w:color="929292"/>
            </w:tcBorders>
            <w:vMerge w:val="continue"/>
            <w:shd w:val="clear" w:color="auto" w:fill="FAF6EF"/>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0" w:type="dxa"/>
            <w:vAlign w:val="bottom"/>
            <w:tcBorders>
              <w:right w:val="single" w:sz="8" w:color="929292"/>
            </w:tcBorders>
          </w:tcPr>
          <w:p>
            <w:pPr>
              <w:spacing w:after="0"/>
              <w:rPr>
                <w:sz w:val="8"/>
                <w:szCs w:val="8"/>
                <w:color w:val="auto"/>
              </w:rPr>
            </w:pPr>
          </w:p>
        </w:tc>
        <w:tc>
          <w:tcPr>
            <w:tcW w:w="7800" w:type="dxa"/>
            <w:vAlign w:val="bottom"/>
            <w:tcBorders>
              <w:bottom w:val="single" w:sz="8" w:color="FAF6EF"/>
              <w:right w:val="single" w:sz="8" w:color="929292"/>
            </w:tcBorders>
            <w:vMerge w:val="continue"/>
            <w:shd w:val="clear" w:color="auto" w:fill="FAF6EF"/>
          </w:tcPr>
          <w:p>
            <w:pPr>
              <w:spacing w:after="0"/>
              <w:rPr>
                <w:sz w:val="8"/>
                <w:szCs w:val="8"/>
                <w:color w:val="auto"/>
              </w:rPr>
            </w:pPr>
          </w:p>
        </w:tc>
        <w:tc>
          <w:tcPr>
            <w:tcW w:w="1300" w:type="dxa"/>
            <w:vAlign w:val="bottom"/>
            <w:tcBorders>
              <w:bottom w:val="single" w:sz="8" w:color="FAF6EF"/>
              <w:right w:val="single" w:sz="8" w:color="929292"/>
            </w:tcBorders>
            <w:shd w:val="clear" w:color="auto" w:fill="FAF6EF"/>
          </w:tcPr>
          <w:p>
            <w:pPr>
              <w:spacing w:after="0"/>
              <w:rPr>
                <w:sz w:val="8"/>
                <w:szCs w:val="8"/>
                <w:color w:val="auto"/>
              </w:rPr>
            </w:pPr>
          </w:p>
        </w:tc>
        <w:tc>
          <w:tcPr>
            <w:tcW w:w="1420" w:type="dxa"/>
            <w:vAlign w:val="bottom"/>
            <w:tcBorders>
              <w:bottom w:val="single" w:sz="8" w:color="FAF6EF"/>
              <w:right w:val="single" w:sz="8" w:color="929292"/>
            </w:tcBorders>
            <w:shd w:val="clear" w:color="auto" w:fill="FAF6EF"/>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8"/>
        </w:trPr>
        <w:tc>
          <w:tcPr>
            <w:tcW w:w="360" w:type="dxa"/>
            <w:vAlign w:val="bottom"/>
          </w:tcPr>
          <w:p>
            <w:pPr>
              <w:spacing w:after="0"/>
              <w:rPr>
                <w:sz w:val="24"/>
                <w:szCs w:val="24"/>
                <w:color w:val="auto"/>
              </w:rPr>
            </w:pPr>
          </w:p>
        </w:tc>
        <w:tc>
          <w:tcPr>
            <w:tcW w:w="7800" w:type="dxa"/>
            <w:vAlign w:val="bottom"/>
          </w:tcPr>
          <w:p>
            <w:pPr>
              <w:ind w:left="388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39</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60" w:type="dxa"/>
            <w:vAlign w:val="bottom"/>
            <w:tcBorders>
              <w:bottom w:val="single" w:sz="8" w:color="9A9A9A"/>
            </w:tcBorders>
          </w:tcPr>
          <w:p>
            <w:pPr>
              <w:spacing w:after="0"/>
              <w:rPr>
                <w:sz w:val="10"/>
                <w:szCs w:val="10"/>
                <w:color w:val="auto"/>
              </w:rPr>
            </w:pPr>
          </w:p>
        </w:tc>
        <w:tc>
          <w:tcPr>
            <w:tcW w:w="7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6" w:name="page47"/>
    <w:bookmarkEnd w:id="46"/>
    <w:p>
      <w:pPr>
        <w:ind w:left="340" w:right="20" w:hanging="170"/>
        <w:spacing w:after="0" w:line="339" w:lineRule="auto"/>
        <w:tabs>
          <w:tab w:leader="none" w:pos="317" w:val="left"/>
        </w:tabs>
        <w:numPr>
          <w:ilvl w:val="0"/>
          <w:numId w:val="48"/>
        </w:numPr>
        <w:rPr>
          <w:rFonts w:ascii="Arial" w:cs="Arial" w:eastAsia="Arial" w:hAnsi="Arial"/>
          <w:sz w:val="13"/>
          <w:szCs w:val="13"/>
          <w:color w:val="auto"/>
        </w:rPr>
      </w:pPr>
      <w:r>
        <w:rPr>
          <w:rFonts w:ascii="Arial" w:cs="Arial" w:eastAsia="Arial" w:hAnsi="Arial"/>
          <w:sz w:val="16"/>
          <w:szCs w:val="16"/>
          <w:b w:val="1"/>
          <w:bCs w:val="1"/>
          <w:color w:val="auto"/>
        </w:rPr>
        <w:t>Ease of Doing Business</w:t>
      </w:r>
      <w:r>
        <w:rPr>
          <w:rFonts w:ascii="Arial" w:cs="Arial" w:eastAsia="Arial" w:hAnsi="Arial"/>
          <w:sz w:val="16"/>
          <w:szCs w:val="16"/>
          <w:color w:val="auto"/>
        </w:rPr>
        <w:t>. The Ease of Doing Business (“EODB”) category had six goals, and we scored 5.00 out of 10 points on the EODB goals for</w:t>
      </w:r>
      <w:r>
        <w:rPr>
          <w:rFonts w:ascii="Arial" w:cs="Arial" w:eastAsia="Arial" w:hAnsi="Arial"/>
          <w:sz w:val="16"/>
          <w:szCs w:val="16"/>
          <w:b w:val="1"/>
          <w:bCs w:val="1"/>
          <w:color w:val="auto"/>
        </w:rPr>
        <w:t xml:space="preserve"> </w:t>
      </w:r>
      <w:r>
        <w:rPr>
          <w:rFonts w:ascii="Arial" w:cs="Arial" w:eastAsia="Arial" w:hAnsi="Arial"/>
          <w:sz w:val="16"/>
          <w:szCs w:val="16"/>
          <w:color w:val="auto"/>
        </w:rPr>
        <w:t>exceeding the NPS targets and showing improvement on wait times.</w:t>
      </w:r>
    </w:p>
    <w:p>
      <w:pPr>
        <w:spacing w:after="0" w:line="21" w:lineRule="exact"/>
        <w:rPr>
          <w:sz w:val="20"/>
          <w:szCs w:val="20"/>
          <w:color w:val="auto"/>
        </w:rPr>
      </w:pPr>
    </w:p>
    <w:tbl>
      <w:tblPr>
        <w:tblLayout w:type="fixed"/>
        <w:tblInd w:w="350" w:type="dxa"/>
        <w:tblCellMar>
          <w:top w:w="0" w:type="dxa"/>
          <w:left w:w="0" w:type="dxa"/>
          <w:bottom w:w="0" w:type="dxa"/>
          <w:right w:w="0" w:type="dxa"/>
        </w:tblCellMar>
      </w:tblPr>
      <w:tr>
        <w:trPr>
          <w:trHeight w:val="180"/>
        </w:trPr>
        <w:tc>
          <w:tcPr>
            <w:tcW w:w="782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EODB Targets</w:t>
            </w:r>
          </w:p>
        </w:tc>
        <w:tc>
          <w:tcPr>
            <w:tcW w:w="13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Points</w:t>
            </w:r>
          </w:p>
        </w:tc>
        <w:tc>
          <w:tcPr>
            <w:tcW w:w="14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Points Earned</w:t>
            </w:r>
          </w:p>
        </w:tc>
        <w:tc>
          <w:tcPr>
            <w:tcW w:w="0" w:type="dxa"/>
            <w:vAlign w:val="bottom"/>
          </w:tcPr>
          <w:p>
            <w:pPr>
              <w:spacing w:after="0"/>
              <w:rPr>
                <w:sz w:val="1"/>
                <w:szCs w:val="1"/>
                <w:color w:val="auto"/>
              </w:rPr>
            </w:pPr>
          </w:p>
        </w:tc>
      </w:tr>
      <w:tr>
        <w:trPr>
          <w:trHeight w:val="115"/>
        </w:trPr>
        <w:tc>
          <w:tcPr>
            <w:tcW w:w="7820" w:type="dxa"/>
            <w:vAlign w:val="bottom"/>
            <w:tcBorders>
              <w:left w:val="single" w:sz="8" w:color="3C3C3C"/>
              <w:right w:val="single" w:sz="8" w:color="3C3C3C"/>
            </w:tcBorders>
            <w:vMerge w:val="continue"/>
            <w:shd w:val="clear" w:color="auto" w:fill="3C3C3C"/>
          </w:tcPr>
          <w:p>
            <w:pPr>
              <w:spacing w:after="0"/>
              <w:rPr>
                <w:sz w:val="10"/>
                <w:szCs w:val="10"/>
                <w:color w:val="auto"/>
              </w:rPr>
            </w:pP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Possible</w:t>
            </w:r>
          </w:p>
        </w:tc>
        <w:tc>
          <w:tcPr>
            <w:tcW w:w="1420" w:type="dxa"/>
            <w:vAlign w:val="bottom"/>
            <w:tcBorders>
              <w:right w:val="single" w:sz="8" w:color="3C3C3C"/>
            </w:tcBorders>
            <w:vMerge w:val="continue"/>
            <w:shd w:val="clear" w:color="auto" w:fill="3C3C3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820" w:type="dxa"/>
            <w:vAlign w:val="bottom"/>
            <w:tcBorders>
              <w:left w:val="single" w:sz="8" w:color="3C3C3C"/>
              <w:bottom w:val="single" w:sz="8" w:color="3C3C3C"/>
              <w:right w:val="single" w:sz="8" w:color="3C3C3C"/>
            </w:tcBorders>
            <w:shd w:val="clear" w:color="auto" w:fill="3C3C3C"/>
          </w:tcPr>
          <w:p>
            <w:pPr>
              <w:spacing w:after="0"/>
              <w:rPr>
                <w:sz w:val="7"/>
                <w:szCs w:val="7"/>
                <w:color w:val="auto"/>
              </w:rPr>
            </w:pPr>
          </w:p>
        </w:tc>
        <w:tc>
          <w:tcPr>
            <w:tcW w:w="130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1420" w:type="dxa"/>
            <w:vAlign w:val="bottom"/>
            <w:tcBorders>
              <w:bottom w:val="single" w:sz="8" w:color="3C3C3C"/>
              <w:right w:val="single" w:sz="8" w:color="3C3C3C"/>
            </w:tcBorders>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Maintain worldwide net promoter score at 75%</w:t>
            </w:r>
          </w:p>
        </w:tc>
        <w:tc>
          <w:tcPr>
            <w:tcW w:w="1300" w:type="dxa"/>
            <w:vAlign w:val="bottom"/>
            <w:tcBorders>
              <w:right w:val="single" w:sz="8" w:color="929292"/>
            </w:tcBorders>
            <w:shd w:val="clear" w:color="auto" w:fill="FAF6EF"/>
          </w:tcPr>
          <w:p>
            <w:pPr>
              <w:spacing w:after="0"/>
              <w:rPr>
                <w:sz w:val="24"/>
                <w:szCs w:val="24"/>
                <w:color w:val="auto"/>
              </w:rPr>
            </w:pPr>
          </w:p>
        </w:tc>
        <w:tc>
          <w:tcPr>
            <w:tcW w:w="1420" w:type="dxa"/>
            <w:vAlign w:val="bottom"/>
            <w:tcBorders>
              <w:right w:val="single" w:sz="8" w:color="929292"/>
            </w:tcBorders>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shd w:val="clear" w:color="auto" w:fill="FAF6EF"/>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Improve call wait times</w:t>
            </w:r>
          </w:p>
        </w:tc>
        <w:tc>
          <w:tcPr>
            <w:tcW w:w="1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b w:val="1"/>
                <w:bCs w:val="1"/>
                <w:color w:val="auto"/>
              </w:rPr>
              <w:t>10.0</w:t>
            </w:r>
          </w:p>
        </w:tc>
        <w:tc>
          <w:tcPr>
            <w:tcW w:w="1420" w:type="dxa"/>
            <w:vAlign w:val="bottom"/>
            <w:tcBorders>
              <w:right w:val="single" w:sz="8" w:color="929292"/>
            </w:tcBorders>
            <w:vMerge w:val="restart"/>
            <w:shd w:val="clear" w:color="auto" w:fill="FAF6EF"/>
          </w:tcPr>
          <w:p>
            <w:pPr>
              <w:jc w:val="right"/>
              <w:ind w:right="54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tcPr>
          <w:p>
            <w:pPr>
              <w:spacing w:after="0"/>
              <w:rPr>
                <w:sz w:val="8"/>
                <w:szCs w:val="8"/>
                <w:color w:val="auto"/>
              </w:rPr>
            </w:pPr>
          </w:p>
        </w:tc>
        <w:tc>
          <w:tcPr>
            <w:tcW w:w="1300" w:type="dxa"/>
            <w:vAlign w:val="bottom"/>
            <w:tcBorders>
              <w:right w:val="single" w:sz="8" w:color="929292"/>
            </w:tcBorders>
            <w:vMerge w:val="continue"/>
            <w:shd w:val="clear" w:color="auto" w:fill="FAF6EF"/>
          </w:tcPr>
          <w:p>
            <w:pPr>
              <w:spacing w:after="0"/>
              <w:rPr>
                <w:sz w:val="8"/>
                <w:szCs w:val="8"/>
                <w:color w:val="auto"/>
              </w:rPr>
            </w:pPr>
          </w:p>
        </w:tc>
        <w:tc>
          <w:tcPr>
            <w:tcW w:w="1420" w:type="dxa"/>
            <w:vAlign w:val="bottom"/>
            <w:tcBorders>
              <w:right w:val="single" w:sz="8" w:color="929292"/>
            </w:tcBorders>
            <w:vMerge w:val="continue"/>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820" w:type="dxa"/>
            <w:vAlign w:val="bottom"/>
            <w:tcBorders>
              <w:left w:val="single" w:sz="8" w:color="929292"/>
              <w:right w:val="single" w:sz="8" w:color="929292"/>
            </w:tcBorders>
            <w:vMerge w:val="restart"/>
            <w:shd w:val="clear" w:color="auto" w:fill="FAF6EF"/>
          </w:tcPr>
          <w:p>
            <w:pPr>
              <w:ind w:left="100"/>
              <w:spacing w:after="0"/>
              <w:rPr>
                <w:sz w:val="20"/>
                <w:szCs w:val="20"/>
                <w:color w:val="auto"/>
              </w:rPr>
            </w:pPr>
            <w:r>
              <w:rPr>
                <w:rFonts w:ascii="Arial" w:cs="Arial" w:eastAsia="Arial" w:hAnsi="Arial"/>
                <w:sz w:val="16"/>
                <w:szCs w:val="16"/>
                <w:b w:val="1"/>
                <w:bCs w:val="1"/>
                <w:color w:val="auto"/>
              </w:rPr>
              <w:t>Improve customer service by automation and analytics</w:t>
            </w:r>
          </w:p>
        </w:tc>
        <w:tc>
          <w:tcPr>
            <w:tcW w:w="1300" w:type="dxa"/>
            <w:vAlign w:val="bottom"/>
            <w:tcBorders>
              <w:right w:val="single" w:sz="8" w:color="929292"/>
            </w:tcBorders>
            <w:vMerge w:val="continue"/>
            <w:shd w:val="clear" w:color="auto" w:fill="FAF6EF"/>
          </w:tcPr>
          <w:p>
            <w:pPr>
              <w:spacing w:after="0"/>
              <w:rPr>
                <w:sz w:val="9"/>
                <w:szCs w:val="9"/>
                <w:color w:val="auto"/>
              </w:rPr>
            </w:pPr>
          </w:p>
        </w:tc>
        <w:tc>
          <w:tcPr>
            <w:tcW w:w="1420" w:type="dxa"/>
            <w:vAlign w:val="bottom"/>
            <w:tcBorders>
              <w:right w:val="single" w:sz="8" w:color="929292"/>
            </w:tcBorders>
            <w:vMerge w:val="continue"/>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20" w:type="dxa"/>
            <w:vAlign w:val="bottom"/>
            <w:tcBorders>
              <w:left w:val="single" w:sz="8" w:color="929292"/>
              <w:right w:val="single" w:sz="8" w:color="929292"/>
            </w:tcBorders>
            <w:vMerge w:val="continue"/>
            <w:shd w:val="clear" w:color="auto" w:fill="FAF6EF"/>
          </w:tcPr>
          <w:p>
            <w:pPr>
              <w:spacing w:after="0"/>
              <w:rPr>
                <w:sz w:val="18"/>
                <w:szCs w:val="18"/>
                <w:color w:val="auto"/>
              </w:rPr>
            </w:pPr>
          </w:p>
        </w:tc>
        <w:tc>
          <w:tcPr>
            <w:tcW w:w="1300" w:type="dxa"/>
            <w:vAlign w:val="bottom"/>
            <w:tcBorders>
              <w:right w:val="single" w:sz="8" w:color="929292"/>
            </w:tcBorders>
            <w:shd w:val="clear" w:color="auto" w:fill="FAF6EF"/>
          </w:tcPr>
          <w:p>
            <w:pPr>
              <w:spacing w:after="0"/>
              <w:rPr>
                <w:sz w:val="18"/>
                <w:szCs w:val="18"/>
                <w:color w:val="auto"/>
              </w:rPr>
            </w:pPr>
          </w:p>
        </w:tc>
        <w:tc>
          <w:tcPr>
            <w:tcW w:w="1420" w:type="dxa"/>
            <w:vAlign w:val="bottom"/>
            <w:tcBorders>
              <w:right w:val="single" w:sz="8" w:color="929292"/>
            </w:tcBorders>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shd w:val="clear" w:color="auto" w:fill="FAF6EF"/>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782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b w:val="1"/>
                <w:bCs w:val="1"/>
                <w:color w:val="auto"/>
              </w:rPr>
              <w:t>Improve serviceability and cycle time of battery systems</w:t>
            </w:r>
          </w:p>
        </w:tc>
        <w:tc>
          <w:tcPr>
            <w:tcW w:w="1300" w:type="dxa"/>
            <w:vAlign w:val="bottom"/>
            <w:tcBorders>
              <w:right w:val="single" w:sz="8" w:color="929292"/>
            </w:tcBorders>
            <w:shd w:val="clear" w:color="auto" w:fill="FAF6EF"/>
          </w:tcPr>
          <w:p>
            <w:pPr>
              <w:spacing w:after="0"/>
              <w:rPr>
                <w:sz w:val="24"/>
                <w:szCs w:val="24"/>
                <w:color w:val="auto"/>
              </w:rPr>
            </w:pPr>
          </w:p>
        </w:tc>
        <w:tc>
          <w:tcPr>
            <w:tcW w:w="1420" w:type="dxa"/>
            <w:vAlign w:val="bottom"/>
            <w:tcBorders>
              <w:right w:val="single" w:sz="8" w:color="929292"/>
            </w:tcBorders>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20" w:type="dxa"/>
            <w:vAlign w:val="bottom"/>
            <w:tcBorders>
              <w:left w:val="single" w:sz="8" w:color="929292"/>
              <w:right w:val="single" w:sz="8" w:color="929292"/>
            </w:tcBorders>
          </w:tcPr>
          <w:p>
            <w:pPr>
              <w:spacing w:after="0"/>
              <w:rPr>
                <w:sz w:val="8"/>
                <w:szCs w:val="8"/>
                <w:color w:val="auto"/>
              </w:rPr>
            </w:pPr>
          </w:p>
        </w:tc>
        <w:tc>
          <w:tcPr>
            <w:tcW w:w="1300" w:type="dxa"/>
            <w:vAlign w:val="bottom"/>
            <w:tcBorders>
              <w:right w:val="single" w:sz="8" w:color="929292"/>
            </w:tcBorders>
            <w:shd w:val="clear" w:color="auto" w:fill="FAF6EF"/>
          </w:tcPr>
          <w:p>
            <w:pPr>
              <w:spacing w:after="0"/>
              <w:rPr>
                <w:sz w:val="8"/>
                <w:szCs w:val="8"/>
                <w:color w:val="auto"/>
              </w:rPr>
            </w:pPr>
          </w:p>
        </w:tc>
        <w:tc>
          <w:tcPr>
            <w:tcW w:w="1420" w:type="dxa"/>
            <w:vAlign w:val="bottom"/>
            <w:tcBorders>
              <w:right w:val="single" w:sz="8" w:color="929292"/>
            </w:tcBorders>
            <w:shd w:val="clear" w:color="auto" w:fill="FAF6EF"/>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0" w:hanging="170"/>
        <w:spacing w:after="0" w:line="334" w:lineRule="auto"/>
        <w:tabs>
          <w:tab w:leader="none" w:pos="317" w:val="left"/>
        </w:tabs>
        <w:numPr>
          <w:ilvl w:val="0"/>
          <w:numId w:val="49"/>
        </w:numPr>
        <w:rPr>
          <w:rFonts w:ascii="Arial" w:cs="Arial" w:eastAsia="Arial" w:hAnsi="Arial"/>
          <w:sz w:val="13"/>
          <w:szCs w:val="13"/>
          <w:color w:val="auto"/>
        </w:rPr>
      </w:pPr>
      <w:r>
        <w:rPr>
          <w:rFonts w:ascii="Arial" w:cs="Arial" w:eastAsia="Arial" w:hAnsi="Arial"/>
          <w:sz w:val="16"/>
          <w:szCs w:val="16"/>
          <w:b w:val="1"/>
          <w:bCs w:val="1"/>
          <w:color w:val="auto"/>
        </w:rPr>
        <w:t>Human Resources</w:t>
      </w:r>
      <w:r>
        <w:rPr>
          <w:rFonts w:ascii="Arial" w:cs="Arial" w:eastAsia="Arial" w:hAnsi="Arial"/>
          <w:sz w:val="16"/>
          <w:szCs w:val="16"/>
          <w:color w:val="auto"/>
        </w:rPr>
        <w:t>. The Human Resources category had one goal for a possible total of 2 points related to completion of an analysis and report with</w:t>
      </w:r>
      <w:r>
        <w:rPr>
          <w:rFonts w:ascii="Arial" w:cs="Arial" w:eastAsia="Arial" w:hAnsi="Arial"/>
          <w:sz w:val="16"/>
          <w:szCs w:val="16"/>
          <w:b w:val="1"/>
          <w:bCs w:val="1"/>
          <w:color w:val="auto"/>
        </w:rPr>
        <w:t xml:space="preserve"> </w:t>
      </w:r>
      <w:r>
        <w:rPr>
          <w:rFonts w:ascii="Arial" w:cs="Arial" w:eastAsia="Arial" w:hAnsi="Arial"/>
          <w:sz w:val="16"/>
          <w:szCs w:val="16"/>
          <w:color w:val="auto"/>
        </w:rPr>
        <w:t>ways to improve employee culture, engagement and productivity that could be implemented in 2025. We scored 2 out of 2 points in this category.</w:t>
      </w:r>
    </w:p>
    <w:p>
      <w:pPr>
        <w:ind w:left="340" w:right="20" w:hanging="170"/>
        <w:spacing w:after="0" w:line="325" w:lineRule="auto"/>
        <w:tabs>
          <w:tab w:leader="none" w:pos="317" w:val="left"/>
        </w:tabs>
        <w:numPr>
          <w:ilvl w:val="0"/>
          <w:numId w:val="49"/>
        </w:numPr>
        <w:rPr>
          <w:rFonts w:ascii="Arial" w:cs="Arial" w:eastAsia="Arial" w:hAnsi="Arial"/>
          <w:sz w:val="13"/>
          <w:szCs w:val="13"/>
          <w:color w:val="auto"/>
        </w:rPr>
      </w:pPr>
      <w:r>
        <w:rPr>
          <w:rFonts w:ascii="Arial" w:cs="Arial" w:eastAsia="Arial" w:hAnsi="Arial"/>
          <w:sz w:val="16"/>
          <w:szCs w:val="16"/>
          <w:b w:val="1"/>
          <w:bCs w:val="1"/>
          <w:color w:val="auto"/>
        </w:rPr>
        <w:t>Marketing</w:t>
      </w:r>
      <w:r>
        <w:rPr>
          <w:rFonts w:ascii="Arial" w:cs="Arial" w:eastAsia="Arial" w:hAnsi="Arial"/>
          <w:sz w:val="16"/>
          <w:szCs w:val="16"/>
          <w:color w:val="auto"/>
        </w:rPr>
        <w:t>. The Marketing category had four goals for a possible total of 5 points related to website improvements, building the Enphase brand, go to</w:t>
      </w:r>
      <w:r>
        <w:rPr>
          <w:rFonts w:ascii="Arial" w:cs="Arial" w:eastAsia="Arial" w:hAnsi="Arial"/>
          <w:sz w:val="16"/>
          <w:szCs w:val="16"/>
          <w:b w:val="1"/>
          <w:bCs w:val="1"/>
          <w:color w:val="auto"/>
        </w:rPr>
        <w:t xml:space="preserve"> </w:t>
      </w:r>
      <w:r>
        <w:rPr>
          <w:rFonts w:ascii="Arial" w:cs="Arial" w:eastAsia="Arial" w:hAnsi="Arial"/>
          <w:sz w:val="16"/>
          <w:szCs w:val="16"/>
          <w:color w:val="auto"/>
        </w:rPr>
        <w:t>market improvements and increasing grid services agreements. We scored 5 out of 5 points in this category.</w:t>
      </w:r>
    </w:p>
    <w:p>
      <w:pPr>
        <w:spacing w:after="0" w:line="1" w:lineRule="exact"/>
        <w:rPr>
          <w:rFonts w:ascii="Arial" w:cs="Arial" w:eastAsia="Arial" w:hAnsi="Arial"/>
          <w:sz w:val="13"/>
          <w:szCs w:val="13"/>
          <w:color w:val="auto"/>
        </w:rPr>
      </w:pPr>
    </w:p>
    <w:p>
      <w:pPr>
        <w:ind w:left="340" w:right="20" w:hanging="170"/>
        <w:spacing w:after="0" w:line="339" w:lineRule="auto"/>
        <w:tabs>
          <w:tab w:leader="none" w:pos="317" w:val="left"/>
        </w:tabs>
        <w:numPr>
          <w:ilvl w:val="0"/>
          <w:numId w:val="49"/>
        </w:numPr>
        <w:rPr>
          <w:rFonts w:ascii="Arial" w:cs="Arial" w:eastAsia="Arial" w:hAnsi="Arial"/>
          <w:sz w:val="13"/>
          <w:szCs w:val="13"/>
          <w:color w:val="auto"/>
        </w:rPr>
      </w:pPr>
      <w:r>
        <w:rPr>
          <w:rFonts w:ascii="Arial" w:cs="Arial" w:eastAsia="Arial" w:hAnsi="Arial"/>
          <w:sz w:val="16"/>
          <w:szCs w:val="16"/>
          <w:b w:val="1"/>
          <w:bCs w:val="1"/>
          <w:color w:val="auto"/>
        </w:rPr>
        <w:t>ESG</w:t>
      </w:r>
      <w:r>
        <w:rPr>
          <w:rFonts w:ascii="Arial" w:cs="Arial" w:eastAsia="Arial" w:hAnsi="Arial"/>
          <w:sz w:val="16"/>
          <w:szCs w:val="16"/>
          <w:color w:val="auto"/>
        </w:rPr>
        <w:t>. This category had one goal for a possible total of 1 point related to the installation of solar systems on certain Enphase facilities in order to offset</w:t>
      </w:r>
      <w:r>
        <w:rPr>
          <w:rFonts w:ascii="Arial" w:cs="Arial" w:eastAsia="Arial" w:hAnsi="Arial"/>
          <w:sz w:val="16"/>
          <w:szCs w:val="16"/>
          <w:b w:val="1"/>
          <w:bCs w:val="1"/>
          <w:color w:val="auto"/>
        </w:rPr>
        <w:t xml:space="preserve"> </w:t>
      </w:r>
      <w:r>
        <w:rPr>
          <w:rFonts w:ascii="Arial" w:cs="Arial" w:eastAsia="Arial" w:hAnsi="Arial"/>
          <w:sz w:val="16"/>
          <w:szCs w:val="16"/>
          <w:color w:val="auto"/>
        </w:rPr>
        <w:t>our carbon consumption. We scored only half a point in this category because not all buildings were outfitted with solar installations.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PSUs tied to Relative TSR</w:t>
      </w:r>
    </w:p>
    <w:p>
      <w:pPr>
        <w:spacing w:after="0" w:line="133"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The Compensation Committee believes that a three-year Relative TSR award is an objective and meaningful metric to evaluate our performance against the performance of other large companies in the S&amp;P 500 and better aligns the interests of our NEOs with the interests of our stockholders in creating long-term value.</w:t>
      </w:r>
    </w:p>
    <w:p>
      <w:pPr>
        <w:spacing w:after="0" w:line="10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three-year Relative TSR award is a substantial, at-risk component of our NEOs’ compensation tied to our long-term performance. The number of PSUs that vest, if any, depends entirely on Relative TSR for the applicable performance period. To earn the target number of PSUs, we must achieve above-median performance at the 55th percentile of the S&amp;P 500. We measure Relative TSR for the applicable performance period based on the change in each company’s stock price during the applicable performance period, taking into account any dividends paid during that period, which are assumed to be reinvested in the stock. We use a 10-trading-day averaging period to determine the beginning and ending stock price to calculate our TSR and that of each company in the S&amp;P 500. This averaging period mitigates the impact of one-day or short-term stock price fluctuations at the beginning or end of the performance period on the long-term Relative TSR results. For each company, the change in stock price from the beginning to the end of the performance period is divided by the beginning stock price to determine TSR.</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2024 TSR award is eligible to vest on March 1, 2027, subject to the outcome of performance during the period starting January 1, 2024 and ending December 31, 2026. Subject to the terms of the applicable award agreements, between zero and 200% of the target number of the TSR award will vest, depending on our Relative TSR percentile ranking for the performance period and provided the NEO remains in continuous service through that date, as follows: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Relative TSR Percentile v. S&amp;P 500 Companies</w:t>
            </w:r>
          </w:p>
        </w:tc>
        <w:tc>
          <w:tcPr>
            <w:tcW w:w="5620" w:type="dxa"/>
            <w:vAlign w:val="bottom"/>
            <w:tcBorders>
              <w:right w:val="single" w:sz="8" w:color="3C3C3C"/>
            </w:tcBorders>
            <w:shd w:val="clear" w:color="auto" w:fill="3C3C3C"/>
          </w:tcPr>
          <w:p>
            <w:pPr>
              <w:ind w:left="1280"/>
              <w:spacing w:after="0"/>
              <w:rPr>
                <w:sz w:val="20"/>
                <w:szCs w:val="20"/>
                <w:color w:val="auto"/>
              </w:rPr>
            </w:pPr>
            <w:r>
              <w:rPr>
                <w:rFonts w:ascii="Arial" w:cs="Arial" w:eastAsia="Arial" w:hAnsi="Arial"/>
                <w:sz w:val="14"/>
                <w:szCs w:val="14"/>
                <w:b w:val="1"/>
                <w:bCs w:val="1"/>
                <w:color w:val="FFFFFF"/>
              </w:rPr>
              <w:t>TSR PSUs Vesting as a Percentage of Target</w:t>
            </w:r>
          </w:p>
        </w:tc>
      </w:tr>
      <w:tr>
        <w:trPr>
          <w:trHeight w:val="297"/>
        </w:trPr>
        <w:tc>
          <w:tcPr>
            <w:tcW w:w="56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85</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Percentile or above</w:t>
            </w:r>
          </w:p>
        </w:tc>
        <w:tc>
          <w:tcPr>
            <w:tcW w:w="5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7"/>
              </w:rPr>
              <w:t>200%</w:t>
            </w:r>
          </w:p>
        </w:tc>
      </w:tr>
      <w:tr>
        <w:trPr>
          <w:trHeight w:val="297"/>
        </w:trPr>
        <w:tc>
          <w:tcPr>
            <w:tcW w:w="56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55</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Percentile</w:t>
            </w:r>
          </w:p>
        </w:tc>
        <w:tc>
          <w:tcPr>
            <w:tcW w:w="56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7"/>
              </w:rPr>
              <w:t>100%</w:t>
            </w:r>
          </w:p>
        </w:tc>
      </w:tr>
      <w:tr>
        <w:trPr>
          <w:trHeight w:val="297"/>
        </w:trPr>
        <w:tc>
          <w:tcPr>
            <w:tcW w:w="56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Below the 25</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Percentile</w:t>
            </w:r>
          </w:p>
        </w:tc>
        <w:tc>
          <w:tcPr>
            <w:tcW w:w="56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r>
    </w:tbl>
    <w:p>
      <w:pPr>
        <w:spacing w:after="0" w:line="256"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If our TSR for the performance period is negative, the number of PSUs that vest will be capped at 100% of the target regardless of our percentile ranking. If our Relative TSR percentile ranking is above the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and between the other levels shown in the table above, the portion of the PSUs that vest will be linearly interpolated between the two nearest vesting percentages.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table below summarizes the target number of Relative TSR PSUs awarded to each NEO in 2024.</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32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9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Date of Grant</w:t>
            </w: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0" w:type="dxa"/>
            <w:vAlign w:val="bottom"/>
          </w:tcPr>
          <w:p>
            <w:pPr>
              <w:spacing w:after="0"/>
              <w:rPr>
                <w:sz w:val="1"/>
                <w:szCs w:val="1"/>
                <w:color w:val="auto"/>
              </w:rPr>
            </w:pPr>
          </w:p>
        </w:tc>
      </w:tr>
      <w:tr>
        <w:trPr>
          <w:trHeight w:val="162"/>
        </w:trPr>
        <w:tc>
          <w:tcPr>
            <w:tcW w:w="5320" w:type="dxa"/>
            <w:vAlign w:val="bottom"/>
            <w:tcBorders>
              <w:left w:val="single" w:sz="8" w:color="3C3C3C"/>
              <w:right w:val="single" w:sz="8" w:color="3C3C3C"/>
            </w:tcBorders>
            <w:vMerge w:val="continue"/>
            <w:shd w:val="clear" w:color="auto" w:fill="3C3C3C"/>
          </w:tcPr>
          <w:p>
            <w:pPr>
              <w:spacing w:after="0"/>
              <w:rPr>
                <w:sz w:val="14"/>
                <w:szCs w:val="14"/>
                <w:color w:val="auto"/>
              </w:rPr>
            </w:pPr>
          </w:p>
        </w:tc>
        <w:tc>
          <w:tcPr>
            <w:tcW w:w="1940" w:type="dxa"/>
            <w:vAlign w:val="bottom"/>
            <w:tcBorders>
              <w:right w:val="single" w:sz="8" w:color="3C3C3C"/>
            </w:tcBorders>
            <w:vMerge w:val="continue"/>
            <w:shd w:val="clear" w:color="auto" w:fill="3C3C3C"/>
          </w:tcPr>
          <w:p>
            <w:pPr>
              <w:spacing w:after="0"/>
              <w:rPr>
                <w:sz w:val="14"/>
                <w:szCs w:val="14"/>
                <w:color w:val="auto"/>
              </w:rPr>
            </w:pP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Underlying PSUs</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Underlying PSUs</w:t>
            </w:r>
          </w:p>
        </w:tc>
        <w:tc>
          <w:tcPr>
            <w:tcW w:w="0" w:type="dxa"/>
            <w:vAlign w:val="bottom"/>
          </w:tcPr>
          <w:p>
            <w:pPr>
              <w:spacing w:after="0"/>
              <w:rPr>
                <w:sz w:val="1"/>
                <w:szCs w:val="1"/>
                <w:color w:val="auto"/>
              </w:rPr>
            </w:pPr>
          </w:p>
        </w:tc>
      </w:tr>
      <w:tr>
        <w:trPr>
          <w:trHeight w:val="212"/>
        </w:trPr>
        <w:tc>
          <w:tcPr>
            <w:tcW w:w="5320" w:type="dxa"/>
            <w:vAlign w:val="bottom"/>
            <w:tcBorders>
              <w:left w:val="single" w:sz="8" w:color="3C3C3C"/>
              <w:right w:val="single" w:sz="8" w:color="3C3C3C"/>
            </w:tcBorders>
            <w:shd w:val="clear" w:color="auto" w:fill="3C3C3C"/>
          </w:tcPr>
          <w:p>
            <w:pPr>
              <w:spacing w:after="0"/>
              <w:rPr>
                <w:sz w:val="18"/>
                <w:szCs w:val="18"/>
                <w:color w:val="auto"/>
              </w:rPr>
            </w:pPr>
          </w:p>
        </w:tc>
        <w:tc>
          <w:tcPr>
            <w:tcW w:w="1940" w:type="dxa"/>
            <w:vAlign w:val="bottom"/>
            <w:tcBorders>
              <w:right w:val="single" w:sz="8" w:color="3C3C3C"/>
            </w:tcBorders>
            <w:shd w:val="clear" w:color="auto" w:fill="3C3C3C"/>
          </w:tcPr>
          <w:p>
            <w:pPr>
              <w:spacing w:after="0"/>
              <w:rPr>
                <w:sz w:val="18"/>
                <w:szCs w:val="18"/>
                <w:color w:val="auto"/>
              </w:rPr>
            </w:pP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(Initially granted at Target)</w:t>
            </w:r>
          </w:p>
        </w:tc>
        <w:tc>
          <w:tcPr>
            <w:tcW w:w="20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(at Maximum)</w:t>
            </w:r>
          </w:p>
        </w:tc>
        <w:tc>
          <w:tcPr>
            <w:tcW w:w="0" w:type="dxa"/>
            <w:vAlign w:val="bottom"/>
          </w:tcPr>
          <w:p>
            <w:pPr>
              <w:spacing w:after="0"/>
              <w:rPr>
                <w:sz w:val="1"/>
                <w:szCs w:val="1"/>
                <w:color w:val="auto"/>
              </w:rPr>
            </w:pPr>
          </w:p>
        </w:tc>
      </w:tr>
      <w:tr>
        <w:trPr>
          <w:trHeight w:val="243"/>
        </w:trPr>
        <w:tc>
          <w:tcPr>
            <w:tcW w:w="5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1/15/2024</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34,000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68,000</w:t>
            </w:r>
          </w:p>
        </w:tc>
        <w:tc>
          <w:tcPr>
            <w:tcW w:w="0" w:type="dxa"/>
            <w:vAlign w:val="bottom"/>
          </w:tcPr>
          <w:p>
            <w:pPr>
              <w:spacing w:after="0"/>
              <w:rPr>
                <w:sz w:val="1"/>
                <w:szCs w:val="1"/>
                <w:color w:val="auto"/>
              </w:rPr>
            </w:pPr>
          </w:p>
        </w:tc>
      </w:tr>
      <w:tr>
        <w:trPr>
          <w:trHeight w:val="239"/>
        </w:trPr>
        <w:tc>
          <w:tcPr>
            <w:tcW w:w="53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9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1/15/2024</w:t>
            </w:r>
          </w:p>
        </w:tc>
        <w:tc>
          <w:tcPr>
            <w:tcW w:w="194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17,680</w:t>
            </w:r>
          </w:p>
        </w:tc>
        <w:tc>
          <w:tcPr>
            <w:tcW w:w="2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35,360</w:t>
            </w:r>
          </w:p>
        </w:tc>
        <w:tc>
          <w:tcPr>
            <w:tcW w:w="0" w:type="dxa"/>
            <w:vAlign w:val="bottom"/>
          </w:tcPr>
          <w:p>
            <w:pPr>
              <w:spacing w:after="0"/>
              <w:rPr>
                <w:sz w:val="1"/>
                <w:szCs w:val="1"/>
                <w:color w:val="auto"/>
              </w:rPr>
            </w:pPr>
          </w:p>
        </w:tc>
      </w:tr>
      <w:tr>
        <w:trPr>
          <w:trHeight w:val="247"/>
        </w:trPr>
        <w:tc>
          <w:tcPr>
            <w:tcW w:w="5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1/15/2024</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17,680</w:t>
            </w:r>
          </w:p>
        </w:tc>
        <w:tc>
          <w:tcPr>
            <w:tcW w:w="2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8"/>
              </w:rPr>
              <w:t>35,360</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Payout of 2024 PSUs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On January 23, 2025, the Compensation Committee approved the vesting and settlement of PSUs eligible to vest on March 1, 2025. Accordingly, each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NEO’s PSUs were paid out as follows: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340" w:type="dxa"/>
            <w:vAlign w:val="bottom"/>
            <w:tcBorders>
              <w:left w:val="single" w:sz="8" w:color="3C3C3C"/>
              <w:right w:val="single" w:sz="8" w:color="3C3C3C"/>
            </w:tcBorders>
            <w:shd w:val="clear" w:color="auto" w:fill="3C3C3C"/>
          </w:tcPr>
          <w:p>
            <w:pPr>
              <w:spacing w:after="0"/>
              <w:rPr>
                <w:sz w:val="16"/>
                <w:szCs w:val="16"/>
                <w:color w:val="auto"/>
              </w:rPr>
            </w:pPr>
          </w:p>
        </w:tc>
        <w:tc>
          <w:tcPr>
            <w:tcW w:w="2020" w:type="dxa"/>
            <w:vAlign w:val="bottom"/>
            <w:tcBorders>
              <w:right w:val="single" w:sz="8" w:color="3C3C3C"/>
            </w:tcBorders>
            <w:shd w:val="clear" w:color="auto" w:fill="3C3C3C"/>
          </w:tcPr>
          <w:p>
            <w:pPr>
              <w:jc w:val="center"/>
              <w:ind w:right="44"/>
              <w:spacing w:after="0"/>
              <w:rPr>
                <w:sz w:val="20"/>
                <w:szCs w:val="20"/>
                <w:color w:val="auto"/>
              </w:rPr>
            </w:pPr>
            <w:r>
              <w:rPr>
                <w:rFonts w:ascii="Arial" w:cs="Arial" w:eastAsia="Arial" w:hAnsi="Arial"/>
                <w:sz w:val="14"/>
                <w:szCs w:val="14"/>
                <w:b w:val="1"/>
                <w:bCs w:val="1"/>
                <w:color w:val="FFFFFF"/>
              </w:rPr>
              <w:t>Number of Shares Eligible</w:t>
            </w:r>
          </w:p>
        </w:tc>
        <w:tc>
          <w:tcPr>
            <w:tcW w:w="2000" w:type="dxa"/>
            <w:vAlign w:val="bottom"/>
            <w:tcBorders>
              <w:right w:val="single" w:sz="8" w:color="3C3C3C"/>
            </w:tcBorders>
            <w:vMerge w:val="restart"/>
            <w:shd w:val="clear" w:color="auto" w:fill="3C3C3C"/>
          </w:tcPr>
          <w:p>
            <w:pPr>
              <w:jc w:val="center"/>
              <w:ind w:right="64"/>
              <w:spacing w:after="0"/>
              <w:rPr>
                <w:sz w:val="20"/>
                <w:szCs w:val="20"/>
                <w:color w:val="auto"/>
              </w:rPr>
            </w:pPr>
            <w:r>
              <w:rPr>
                <w:rFonts w:ascii="Arial" w:cs="Arial" w:eastAsia="Arial" w:hAnsi="Arial"/>
                <w:sz w:val="14"/>
                <w:szCs w:val="14"/>
                <w:b w:val="1"/>
                <w:bCs w:val="1"/>
                <w:color w:val="FFFFFF"/>
              </w:rPr>
              <w:t>Number of Shares Paid</w:t>
            </w:r>
          </w:p>
        </w:tc>
        <w:tc>
          <w:tcPr>
            <w:tcW w:w="19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Total Number of Shares</w:t>
            </w:r>
          </w:p>
        </w:tc>
        <w:tc>
          <w:tcPr>
            <w:tcW w:w="0" w:type="dxa"/>
            <w:vAlign w:val="bottom"/>
          </w:tcPr>
          <w:p>
            <w:pPr>
              <w:spacing w:after="0"/>
              <w:rPr>
                <w:sz w:val="1"/>
                <w:szCs w:val="1"/>
                <w:color w:val="auto"/>
              </w:rPr>
            </w:pPr>
          </w:p>
        </w:tc>
      </w:tr>
      <w:tr>
        <w:trPr>
          <w:trHeight w:val="81"/>
        </w:trPr>
        <w:tc>
          <w:tcPr>
            <w:tcW w:w="5340" w:type="dxa"/>
            <w:vAlign w:val="bottom"/>
            <w:tcBorders>
              <w:left w:val="single" w:sz="8" w:color="3C3C3C"/>
              <w:right w:val="single" w:sz="8" w:color="3C3C3C"/>
            </w:tcBorders>
            <w:shd w:val="clear" w:color="auto" w:fill="3C3C3C"/>
          </w:tcPr>
          <w:p>
            <w:pPr>
              <w:spacing w:after="0"/>
              <w:rPr>
                <w:sz w:val="7"/>
                <w:szCs w:val="7"/>
                <w:color w:val="auto"/>
              </w:rPr>
            </w:pPr>
          </w:p>
        </w:tc>
        <w:tc>
          <w:tcPr>
            <w:tcW w:w="2020" w:type="dxa"/>
            <w:vAlign w:val="bottom"/>
            <w:tcBorders>
              <w:right w:val="single" w:sz="8" w:color="3C3C3C"/>
            </w:tcBorders>
            <w:vMerge w:val="restart"/>
            <w:shd w:val="clear" w:color="auto" w:fill="3C3C3C"/>
          </w:tcPr>
          <w:p>
            <w:pPr>
              <w:jc w:val="center"/>
              <w:ind w:right="44"/>
              <w:spacing w:after="0"/>
              <w:rPr>
                <w:sz w:val="20"/>
                <w:szCs w:val="20"/>
                <w:color w:val="auto"/>
              </w:rPr>
            </w:pPr>
            <w:r>
              <w:rPr>
                <w:rFonts w:ascii="Arial" w:cs="Arial" w:eastAsia="Arial" w:hAnsi="Arial"/>
                <w:sz w:val="14"/>
                <w:szCs w:val="14"/>
                <w:b w:val="1"/>
                <w:bCs w:val="1"/>
                <w:color w:val="FFFFFF"/>
              </w:rPr>
              <w:t>to Vest for CEO Goals</w:t>
            </w:r>
          </w:p>
        </w:tc>
        <w:tc>
          <w:tcPr>
            <w:tcW w:w="2000" w:type="dxa"/>
            <w:vAlign w:val="bottom"/>
            <w:tcBorders>
              <w:right w:val="single" w:sz="8" w:color="3C3C3C"/>
            </w:tcBorders>
            <w:vMerge w:val="continue"/>
            <w:shd w:val="clear" w:color="auto" w:fill="3C3C3C"/>
          </w:tcPr>
          <w:p>
            <w:pPr>
              <w:spacing w:after="0"/>
              <w:rPr>
                <w:sz w:val="7"/>
                <w:szCs w:val="7"/>
                <w:color w:val="auto"/>
              </w:rPr>
            </w:pPr>
          </w:p>
        </w:tc>
        <w:tc>
          <w:tcPr>
            <w:tcW w:w="190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34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2020" w:type="dxa"/>
            <w:vAlign w:val="bottom"/>
            <w:tcBorders>
              <w:right w:val="single" w:sz="8" w:color="3C3C3C"/>
            </w:tcBorders>
            <w:vMerge w:val="continue"/>
            <w:shd w:val="clear" w:color="auto" w:fill="3C3C3C"/>
          </w:tcPr>
          <w:p>
            <w:pPr>
              <w:spacing w:after="0"/>
              <w:rPr>
                <w:sz w:val="8"/>
                <w:szCs w:val="8"/>
                <w:color w:val="auto"/>
              </w:rPr>
            </w:pPr>
          </w:p>
        </w:tc>
        <w:tc>
          <w:tcPr>
            <w:tcW w:w="2000" w:type="dxa"/>
            <w:vAlign w:val="bottom"/>
            <w:tcBorders>
              <w:right w:val="single" w:sz="8" w:color="3C3C3C"/>
            </w:tcBorders>
            <w:vMerge w:val="restart"/>
            <w:shd w:val="clear" w:color="auto" w:fill="3C3C3C"/>
          </w:tcPr>
          <w:p>
            <w:pPr>
              <w:jc w:val="center"/>
              <w:ind w:right="64"/>
              <w:spacing w:after="0"/>
              <w:rPr>
                <w:sz w:val="20"/>
                <w:szCs w:val="20"/>
                <w:color w:val="auto"/>
              </w:rPr>
            </w:pPr>
            <w:r>
              <w:rPr>
                <w:rFonts w:ascii="Arial" w:cs="Arial" w:eastAsia="Arial" w:hAnsi="Arial"/>
                <w:sz w:val="14"/>
                <w:szCs w:val="14"/>
                <w:b w:val="1"/>
                <w:bCs w:val="1"/>
                <w:color w:val="FFFFFF"/>
              </w:rPr>
              <w:t>out for TSR Award</w:t>
            </w:r>
          </w:p>
        </w:tc>
        <w:tc>
          <w:tcPr>
            <w:tcW w:w="19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Actually Paid out for 2024</w:t>
            </w:r>
          </w:p>
        </w:tc>
        <w:tc>
          <w:tcPr>
            <w:tcW w:w="0" w:type="dxa"/>
            <w:vAlign w:val="bottom"/>
          </w:tcPr>
          <w:p>
            <w:pPr>
              <w:spacing w:after="0"/>
              <w:rPr>
                <w:sz w:val="1"/>
                <w:szCs w:val="1"/>
                <w:color w:val="auto"/>
              </w:rPr>
            </w:pPr>
          </w:p>
        </w:tc>
      </w:tr>
      <w:tr>
        <w:trPr>
          <w:trHeight w:val="79"/>
        </w:trPr>
        <w:tc>
          <w:tcPr>
            <w:tcW w:w="5340" w:type="dxa"/>
            <w:vAlign w:val="bottom"/>
            <w:tcBorders>
              <w:left w:val="single" w:sz="8" w:color="3C3C3C"/>
              <w:right w:val="single" w:sz="8" w:color="3C3C3C"/>
            </w:tcBorders>
            <w:vMerge w:val="continue"/>
            <w:shd w:val="clear" w:color="auto" w:fill="3C3C3C"/>
          </w:tcPr>
          <w:p>
            <w:pPr>
              <w:spacing w:after="0"/>
              <w:rPr>
                <w:sz w:val="6"/>
                <w:szCs w:val="6"/>
                <w:color w:val="auto"/>
              </w:rPr>
            </w:pPr>
          </w:p>
        </w:tc>
        <w:tc>
          <w:tcPr>
            <w:tcW w:w="2020" w:type="dxa"/>
            <w:vAlign w:val="bottom"/>
            <w:tcBorders>
              <w:right w:val="single" w:sz="8" w:color="3C3C3C"/>
            </w:tcBorders>
            <w:vMerge w:val="restart"/>
            <w:shd w:val="clear" w:color="auto" w:fill="3C3C3C"/>
          </w:tcPr>
          <w:p>
            <w:pPr>
              <w:jc w:val="center"/>
              <w:ind w:right="64"/>
              <w:spacing w:after="0"/>
              <w:rPr>
                <w:sz w:val="20"/>
                <w:szCs w:val="20"/>
                <w:color w:val="auto"/>
              </w:rPr>
            </w:pPr>
            <w:r>
              <w:rPr>
                <w:rFonts w:ascii="Arial" w:cs="Arial" w:eastAsia="Arial" w:hAnsi="Arial"/>
                <w:sz w:val="14"/>
                <w:szCs w:val="14"/>
                <w:b w:val="1"/>
                <w:bCs w:val="1"/>
                <w:color w:val="FFFFFF"/>
              </w:rPr>
              <w:t>Performance</w:t>
            </w:r>
          </w:p>
        </w:tc>
        <w:tc>
          <w:tcPr>
            <w:tcW w:w="2000" w:type="dxa"/>
            <w:vAlign w:val="bottom"/>
            <w:tcBorders>
              <w:right w:val="single" w:sz="8" w:color="3C3C3C"/>
            </w:tcBorders>
            <w:vMerge w:val="continue"/>
            <w:shd w:val="clear" w:color="auto" w:fill="3C3C3C"/>
          </w:tcPr>
          <w:p>
            <w:pPr>
              <w:spacing w:after="0"/>
              <w:rPr>
                <w:sz w:val="6"/>
                <w:szCs w:val="6"/>
                <w:color w:val="auto"/>
              </w:rPr>
            </w:pPr>
          </w:p>
        </w:tc>
        <w:tc>
          <w:tcPr>
            <w:tcW w:w="1900" w:type="dxa"/>
            <w:vAlign w:val="bottom"/>
            <w:tcBorders>
              <w:right w:val="single" w:sz="8" w:color="3C3C3C"/>
            </w:tcBorders>
            <w:vMerge w:val="continue"/>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340" w:type="dxa"/>
            <w:vAlign w:val="bottom"/>
            <w:tcBorders>
              <w:left w:val="single" w:sz="8" w:color="3C3C3C"/>
              <w:right w:val="single" w:sz="8" w:color="3C3C3C"/>
            </w:tcBorders>
            <w:shd w:val="clear" w:color="auto" w:fill="3C3C3C"/>
          </w:tcPr>
          <w:p>
            <w:pPr>
              <w:spacing w:after="0"/>
              <w:rPr>
                <w:sz w:val="12"/>
                <w:szCs w:val="12"/>
                <w:color w:val="auto"/>
              </w:rPr>
            </w:pPr>
          </w:p>
        </w:tc>
        <w:tc>
          <w:tcPr>
            <w:tcW w:w="2020" w:type="dxa"/>
            <w:vAlign w:val="bottom"/>
            <w:tcBorders>
              <w:right w:val="single" w:sz="8" w:color="3C3C3C"/>
            </w:tcBorders>
            <w:vMerge w:val="continue"/>
            <w:shd w:val="clear" w:color="auto" w:fill="3C3C3C"/>
          </w:tcPr>
          <w:p>
            <w:pPr>
              <w:spacing w:after="0"/>
              <w:rPr>
                <w:sz w:val="12"/>
                <w:szCs w:val="12"/>
                <w:color w:val="auto"/>
              </w:rPr>
            </w:pPr>
          </w:p>
        </w:tc>
        <w:tc>
          <w:tcPr>
            <w:tcW w:w="2000" w:type="dxa"/>
            <w:vAlign w:val="bottom"/>
            <w:tcBorders>
              <w:right w:val="single" w:sz="8" w:color="3C3C3C"/>
            </w:tcBorders>
            <w:shd w:val="clear" w:color="auto" w:fill="3C3C3C"/>
          </w:tcPr>
          <w:p>
            <w:pPr>
              <w:jc w:val="center"/>
              <w:ind w:right="64"/>
              <w:spacing w:after="0" w:line="147" w:lineRule="exact"/>
              <w:rPr>
                <w:sz w:val="20"/>
                <w:szCs w:val="20"/>
                <w:color w:val="auto"/>
              </w:rPr>
            </w:pPr>
            <w:r>
              <w:rPr>
                <w:rFonts w:ascii="Arial" w:cs="Arial" w:eastAsia="Arial" w:hAnsi="Arial"/>
                <w:sz w:val="14"/>
                <w:szCs w:val="14"/>
                <w:b w:val="1"/>
                <w:bCs w:val="1"/>
                <w:color w:val="FFFFFF"/>
                <w:w w:val="99"/>
              </w:rPr>
              <w:t>(at Target)</w:t>
            </w:r>
            <w:r>
              <w:rPr>
                <w:rFonts w:ascii="Arial" w:cs="Arial" w:eastAsia="Arial" w:hAnsi="Arial"/>
                <w:sz w:val="17"/>
                <w:szCs w:val="17"/>
                <w:b w:val="1"/>
                <w:bCs w:val="1"/>
                <w:color w:val="FFFFFF"/>
                <w:w w:val="99"/>
                <w:vertAlign w:val="superscript"/>
              </w:rPr>
              <w:t>(1)</w:t>
            </w:r>
          </w:p>
        </w:tc>
        <w:tc>
          <w:tcPr>
            <w:tcW w:w="1900" w:type="dxa"/>
            <w:vAlign w:val="bottom"/>
            <w:tcBorders>
              <w:right w:val="single" w:sz="8" w:color="3C3C3C"/>
            </w:tcBorders>
            <w:shd w:val="clear" w:color="auto" w:fill="3C3C3C"/>
          </w:tcPr>
          <w:p>
            <w:pPr>
              <w:jc w:val="center"/>
              <w:spacing w:after="0" w:line="147" w:lineRule="exact"/>
              <w:rPr>
                <w:sz w:val="20"/>
                <w:szCs w:val="20"/>
                <w:color w:val="auto"/>
              </w:rPr>
            </w:pPr>
            <w:r>
              <w:rPr>
                <w:rFonts w:ascii="Arial" w:cs="Arial" w:eastAsia="Arial" w:hAnsi="Arial"/>
                <w:sz w:val="14"/>
                <w:szCs w:val="14"/>
                <w:b w:val="1"/>
                <w:bCs w:val="1"/>
                <w:color w:val="FFFFFF"/>
              </w:rPr>
              <w:t>Performance</w:t>
            </w:r>
            <w:r>
              <w:rPr>
                <w:rFonts w:ascii="Arial" w:cs="Arial" w:eastAsia="Arial" w:hAnsi="Arial"/>
                <w:sz w:val="17"/>
                <w:szCs w:val="17"/>
                <w:b w:val="1"/>
                <w:bCs w:val="1"/>
                <w:color w:val="FFFFFF"/>
                <w:vertAlign w:val="superscript"/>
              </w:rPr>
              <w:t>(2)</w:t>
            </w:r>
          </w:p>
        </w:tc>
        <w:tc>
          <w:tcPr>
            <w:tcW w:w="0" w:type="dxa"/>
            <w:vAlign w:val="bottom"/>
          </w:tcPr>
          <w:p>
            <w:pPr>
              <w:spacing w:after="0"/>
              <w:rPr>
                <w:sz w:val="1"/>
                <w:szCs w:val="1"/>
                <w:color w:val="auto"/>
              </w:rPr>
            </w:pPr>
          </w:p>
        </w:tc>
      </w:tr>
      <w:tr>
        <w:trPr>
          <w:trHeight w:val="148"/>
        </w:trPr>
        <w:tc>
          <w:tcPr>
            <w:tcW w:w="5340" w:type="dxa"/>
            <w:vAlign w:val="bottom"/>
            <w:tcBorders>
              <w:left w:val="single" w:sz="8" w:color="3C3C3C"/>
              <w:right w:val="single" w:sz="8" w:color="3C3C3C"/>
            </w:tcBorders>
            <w:shd w:val="clear" w:color="auto" w:fill="3C3C3C"/>
          </w:tcPr>
          <w:p>
            <w:pPr>
              <w:spacing w:after="0"/>
              <w:rPr>
                <w:sz w:val="12"/>
                <w:szCs w:val="12"/>
                <w:color w:val="auto"/>
              </w:rPr>
            </w:pPr>
          </w:p>
        </w:tc>
        <w:tc>
          <w:tcPr>
            <w:tcW w:w="2020" w:type="dxa"/>
            <w:vAlign w:val="bottom"/>
            <w:tcBorders>
              <w:right w:val="single" w:sz="8" w:color="3C3C3C"/>
            </w:tcBorders>
            <w:shd w:val="clear" w:color="auto" w:fill="3C3C3C"/>
          </w:tcPr>
          <w:p>
            <w:pPr>
              <w:jc w:val="center"/>
              <w:ind w:right="44"/>
              <w:spacing w:after="0" w:line="149" w:lineRule="exact"/>
              <w:rPr>
                <w:sz w:val="20"/>
                <w:szCs w:val="20"/>
                <w:color w:val="auto"/>
              </w:rPr>
            </w:pPr>
            <w:r>
              <w:rPr>
                <w:rFonts w:ascii="Arial" w:cs="Arial" w:eastAsia="Arial" w:hAnsi="Arial"/>
                <w:sz w:val="14"/>
                <w:szCs w:val="14"/>
                <w:b w:val="1"/>
                <w:bCs w:val="1"/>
                <w:color w:val="FFFFFF"/>
              </w:rPr>
              <w:t>(at Target)</w:t>
            </w:r>
          </w:p>
        </w:tc>
        <w:tc>
          <w:tcPr>
            <w:tcW w:w="2000" w:type="dxa"/>
            <w:vAlign w:val="bottom"/>
            <w:tcBorders>
              <w:right w:val="single" w:sz="8" w:color="3C3C3C"/>
            </w:tcBorders>
            <w:shd w:val="clear" w:color="auto" w:fill="3C3C3C"/>
          </w:tcPr>
          <w:p>
            <w:pPr>
              <w:spacing w:after="0"/>
              <w:rPr>
                <w:sz w:val="12"/>
                <w:szCs w:val="12"/>
                <w:color w:val="auto"/>
              </w:rPr>
            </w:pPr>
          </w:p>
        </w:tc>
        <w:tc>
          <w:tcPr>
            <w:tcW w:w="1900" w:type="dxa"/>
            <w:vAlign w:val="bottom"/>
            <w:tcBorders>
              <w:right w:val="single" w:sz="8" w:color="3C3C3C"/>
            </w:tcBorders>
            <w:shd w:val="clear" w:color="auto" w:fill="3C3C3C"/>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202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rPr>
              <w:t>33,000</w:t>
            </w:r>
          </w:p>
        </w:tc>
        <w:tc>
          <w:tcPr>
            <w:tcW w:w="2000" w:type="dxa"/>
            <w:vAlign w:val="bottom"/>
            <w:tcBorders>
              <w:right w:val="single" w:sz="8" w:color="929292"/>
            </w:tcBorders>
            <w:shd w:val="clear" w:color="auto" w:fill="FAF6EF"/>
          </w:tcPr>
          <w:p>
            <w:pPr>
              <w:jc w:val="center"/>
              <w:ind w:right="64"/>
              <w:spacing w:after="0"/>
              <w:rPr>
                <w:sz w:val="20"/>
                <w:szCs w:val="20"/>
                <w:color w:val="auto"/>
              </w:rPr>
            </w:pPr>
            <w:r>
              <w:rPr>
                <w:rFonts w:ascii="Arial" w:cs="Arial" w:eastAsia="Arial" w:hAnsi="Arial"/>
                <w:sz w:val="16"/>
                <w:szCs w:val="16"/>
                <w:color w:val="auto"/>
                <w:w w:val="97"/>
              </w:rPr>
              <w:t>N/A</w:t>
            </w:r>
          </w:p>
        </w:tc>
        <w:tc>
          <w:tcPr>
            <w:tcW w:w="19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16,500</w:t>
            </w:r>
          </w:p>
        </w:tc>
        <w:tc>
          <w:tcPr>
            <w:tcW w:w="0" w:type="dxa"/>
            <w:vAlign w:val="bottom"/>
          </w:tcPr>
          <w:p>
            <w:pPr>
              <w:spacing w:after="0"/>
              <w:rPr>
                <w:sz w:val="1"/>
                <w:szCs w:val="1"/>
                <w:color w:val="auto"/>
              </w:rPr>
            </w:pPr>
          </w:p>
        </w:tc>
      </w:tr>
      <w:tr>
        <w:trPr>
          <w:trHeight w:val="239"/>
        </w:trPr>
        <w:tc>
          <w:tcPr>
            <w:tcW w:w="534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2020" w:type="dxa"/>
            <w:vAlign w:val="bottom"/>
            <w:tcBorders>
              <w:right w:val="single" w:sz="8" w:color="929292"/>
            </w:tcBorders>
          </w:tcPr>
          <w:p>
            <w:pPr>
              <w:jc w:val="center"/>
              <w:ind w:right="44"/>
              <w:spacing w:after="0"/>
              <w:rPr>
                <w:sz w:val="20"/>
                <w:szCs w:val="20"/>
                <w:color w:val="auto"/>
              </w:rPr>
            </w:pPr>
            <w:r>
              <w:rPr>
                <w:rFonts w:ascii="Arial" w:cs="Arial" w:eastAsia="Arial" w:hAnsi="Arial"/>
                <w:sz w:val="16"/>
                <w:szCs w:val="16"/>
                <w:color w:val="auto"/>
              </w:rPr>
              <w:t>17,160</w:t>
            </w:r>
          </w:p>
        </w:tc>
        <w:tc>
          <w:tcPr>
            <w:tcW w:w="2000" w:type="dxa"/>
            <w:vAlign w:val="bottom"/>
            <w:tcBorders>
              <w:right w:val="single" w:sz="8" w:color="929292"/>
            </w:tcBorders>
          </w:tcPr>
          <w:p>
            <w:pPr>
              <w:jc w:val="center"/>
              <w:ind w:right="64"/>
              <w:spacing w:after="0"/>
              <w:rPr>
                <w:sz w:val="20"/>
                <w:szCs w:val="20"/>
                <w:color w:val="auto"/>
              </w:rPr>
            </w:pPr>
            <w:r>
              <w:rPr>
                <w:rFonts w:ascii="Arial" w:cs="Arial" w:eastAsia="Arial" w:hAnsi="Arial"/>
                <w:sz w:val="16"/>
                <w:szCs w:val="16"/>
                <w:color w:val="auto"/>
                <w:w w:val="97"/>
              </w:rPr>
              <w:t>N/A</w:t>
            </w:r>
          </w:p>
        </w:tc>
        <w:tc>
          <w:tcPr>
            <w:tcW w:w="19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8,580</w:t>
            </w:r>
          </w:p>
        </w:tc>
        <w:tc>
          <w:tcPr>
            <w:tcW w:w="0" w:type="dxa"/>
            <w:vAlign w:val="bottom"/>
          </w:tcPr>
          <w:p>
            <w:pPr>
              <w:spacing w:after="0"/>
              <w:rPr>
                <w:sz w:val="1"/>
                <w:szCs w:val="1"/>
                <w:color w:val="auto"/>
              </w:rPr>
            </w:pPr>
          </w:p>
        </w:tc>
      </w:tr>
      <w:tr>
        <w:trPr>
          <w:trHeight w:val="247"/>
        </w:trPr>
        <w:tc>
          <w:tcPr>
            <w:tcW w:w="534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202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rPr>
              <w:t>17,160</w:t>
            </w:r>
          </w:p>
        </w:tc>
        <w:tc>
          <w:tcPr>
            <w:tcW w:w="2000" w:type="dxa"/>
            <w:vAlign w:val="bottom"/>
            <w:tcBorders>
              <w:right w:val="single" w:sz="8" w:color="929292"/>
            </w:tcBorders>
            <w:shd w:val="clear" w:color="auto" w:fill="FAF6EF"/>
          </w:tcPr>
          <w:p>
            <w:pPr>
              <w:jc w:val="center"/>
              <w:ind w:right="64"/>
              <w:spacing w:after="0"/>
              <w:rPr>
                <w:sz w:val="20"/>
                <w:szCs w:val="20"/>
                <w:color w:val="auto"/>
              </w:rPr>
            </w:pPr>
            <w:r>
              <w:rPr>
                <w:rFonts w:ascii="Arial" w:cs="Arial" w:eastAsia="Arial" w:hAnsi="Arial"/>
                <w:sz w:val="16"/>
                <w:szCs w:val="16"/>
                <w:color w:val="auto"/>
                <w:w w:val="97"/>
              </w:rPr>
              <w:t>N/A</w:t>
            </w:r>
          </w:p>
        </w:tc>
        <w:tc>
          <w:tcPr>
            <w:tcW w:w="19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8,580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40" w:hanging="232"/>
        <w:spacing w:after="0"/>
        <w:tabs>
          <w:tab w:leader="none" w:pos="240" w:val="left"/>
        </w:tabs>
        <w:numPr>
          <w:ilvl w:val="0"/>
          <w:numId w:val="50"/>
        </w:numPr>
        <w:rPr>
          <w:rFonts w:ascii="Arial" w:cs="Arial" w:eastAsia="Arial" w:hAnsi="Arial"/>
          <w:sz w:val="14"/>
          <w:szCs w:val="14"/>
          <w:color w:val="7D7D7D"/>
        </w:rPr>
      </w:pPr>
      <w:r>
        <w:rPr>
          <w:rFonts w:ascii="Arial" w:cs="Arial" w:eastAsia="Arial" w:hAnsi="Arial"/>
          <w:sz w:val="14"/>
          <w:szCs w:val="14"/>
          <w:color w:val="7D7D7D"/>
        </w:rPr>
        <w:t>Relative TSR award is not eligible to vest until March 1, 2027.</w:t>
      </w:r>
    </w:p>
    <w:p>
      <w:pPr>
        <w:spacing w:after="0" w:line="69" w:lineRule="exact"/>
        <w:rPr>
          <w:sz w:val="20"/>
          <w:szCs w:val="20"/>
          <w:color w:val="auto"/>
        </w:rPr>
      </w:pPr>
    </w:p>
    <w:p>
      <w:pPr>
        <w:jc w:val="both"/>
        <w:ind w:left="260" w:right="20" w:hanging="252"/>
        <w:spacing w:after="0" w:line="273" w:lineRule="auto"/>
        <w:tabs>
          <w:tab w:leader="none" w:pos="245" w:val="left"/>
        </w:tabs>
        <w:numPr>
          <w:ilvl w:val="0"/>
          <w:numId w:val="51"/>
        </w:numPr>
        <w:rPr>
          <w:rFonts w:ascii="Arial" w:cs="Arial" w:eastAsia="Arial" w:hAnsi="Arial"/>
          <w:sz w:val="14"/>
          <w:szCs w:val="14"/>
          <w:color w:val="7D7D7D"/>
        </w:rPr>
      </w:pPr>
      <w:r>
        <w:rPr>
          <w:rFonts w:ascii="Arial" w:cs="Arial" w:eastAsia="Arial" w:hAnsi="Arial"/>
          <w:sz w:val="14"/>
          <w:szCs w:val="14"/>
          <w:color w:val="7D7D7D"/>
        </w:rPr>
        <w:t>Represents number of underlying PSUs actually received based on achievement of the 2024 Annual Smart CEO SMART Goals as described above. The Compensation Committee determined the achievement of the performance factors on January 23, 2025. As described above, our NEOs were awarded PSUs based on the level of achievement of the 2024 Annual CEO SMART Goals at 50% of target.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Features of Our Executive Compensation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Offer Letters and Severance and Change in Control Benefits</w:t>
      </w:r>
    </w:p>
    <w:p>
      <w:pPr>
        <w:spacing w:after="0" w:line="13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We have entered into offer letter agreements with each of our NEOs upon their initial commencement of employment with us. Each of our NEOs is employed at will and may be terminated at any time for any reason.</w:t>
      </w:r>
    </w:p>
    <w:p>
      <w:pPr>
        <w:spacing w:after="0" w:line="101"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Each of our NEOs is a participant in our Severance and Change in Control Benefit Plan (the “Severance Plan”), under which our NEOs are eligible to receive severance payments and benefits upon a termination of employment without “cause” or the resignation by a participant for “good reason” or upon such a termination in connection a change in control transaction. The adoption of the Severance Plan reflects our desire to have a consistent set of benefits across the executive team. The Compensation Committee considers these severance benefits critical to attracting and retaining high-caliber executives. Additionally, the Compensation Committee believes that additional change-in-control severance benefits minimize the distractions to an executive in connection with a corporate transaction and reduce the risk that an NEO departs our Company before a transaction is completed. We believe that the Severance Plan allows our NEOs to focus on continuing normal business operations and, in the case of change-in-control benefits, on the success of a potential business combination, rather than worry about how business decisions that may be in our best interest will impact their own financial security. The Compensation Committee periodically reviews the severance and change in control payments and benefits that we provide, including by reference to market data as appropriate, to ensure they remain appropriately structured and at reasonable levels.</w:t>
      </w:r>
    </w:p>
    <w:p>
      <w:pPr>
        <w:spacing w:after="0" w:line="138"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A more detailed description of the employment offer letters, the Severance Plan and each of our NEO’s payment and benefit levels thereunder and other severance and change in control payments and benefits is provided below under the section titled “Employment Contracts and Termination of Employment and Change of Control Arrangements.”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Stock Ownership Guidelines</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 help ensure a strong alignment between the interests of our executives and stockholders, in October 2022, we adopted Stock Ownership Guidelines for our directors and executive officers. We require our non-employee directors and our NEOs to have an equity ownership interest in accordance with the following schedule by the end of the calendar year that is three years after the later of (1) the October 22, 2022 effective date of the Stock Ownership Guidelines or (2) the date the individual becomes a non-employee director subject to these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4057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Title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Directors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Chief Executive Officer</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Chief Financial Officer</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All other officers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Ownership Guideline Multiple of</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Annual Base Salary or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23495</wp:posOffset>
            </wp:positionV>
            <wp:extent cx="7140575" cy="6172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617220"/>
                    </a:xfrm>
                    <a:prstGeom prst="rect">
                      <a:avLst/>
                    </a:prstGeom>
                    <a:noFill/>
                  </pic:spPr>
                </pic:pic>
              </a:graphicData>
            </a:graphic>
          </wp:anchor>
        </w:drawing>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5x</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6x</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2x</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2x</w:t>
      </w:r>
    </w:p>
    <w:p>
      <w:pPr>
        <w:spacing w:after="0" w:line="200" w:lineRule="exact"/>
        <w:rPr>
          <w:sz w:val="20"/>
          <w:szCs w:val="20"/>
          <w:color w:val="auto"/>
        </w:rPr>
      </w:pPr>
    </w:p>
    <w:p>
      <w:pPr>
        <w:sectPr>
          <w:pgSz w:w="11900" w:h="16838" w:orient="portrait"/>
          <w:cols w:equalWidth="0" w:num="2">
            <w:col w:w="6860" w:space="720"/>
            <w:col w:w="3660"/>
          </w:cols>
          <w:pgMar w:left="320" w:top="764" w:right="339" w:bottom="1440" w:gutter="0" w:footer="0" w:header="0"/>
          <w:type w:val="continuous"/>
        </w:sectPr>
      </w:pPr>
    </w:p>
    <w:p>
      <w:pPr>
        <w:spacing w:after="0" w:line="89"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As of December 31, 2024, each of our NEOs had achieved his or her required ownership level, and each of our non-employee directors had achieved his or her required ownership level.</w:t>
      </w:r>
    </w:p>
    <w:p>
      <w:pPr>
        <w:spacing w:after="0" w:line="101"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following shares of our common stock are included in the calculation of each individual’s stock ownership, whether or not purchased on the open market or obtained through the exercise of stock options or the vesting of equity awards granted by us to such individual:</w:t>
      </w:r>
    </w:p>
    <w:p>
      <w:pPr>
        <w:spacing w:after="0" w:line="61" w:lineRule="exact"/>
        <w:rPr>
          <w:sz w:val="20"/>
          <w:szCs w:val="20"/>
          <w:color w:val="auto"/>
        </w:rPr>
      </w:pPr>
    </w:p>
    <w:p>
      <w:pPr>
        <w:ind w:left="340" w:right="500" w:hanging="170"/>
        <w:spacing w:after="0" w:line="321" w:lineRule="auto"/>
        <w:tabs>
          <w:tab w:leader="none" w:pos="317" w:val="left"/>
        </w:tabs>
        <w:numPr>
          <w:ilvl w:val="0"/>
          <w:numId w:val="52"/>
        </w:numPr>
        <w:rPr>
          <w:rFonts w:ascii="Arial" w:cs="Arial" w:eastAsia="Arial" w:hAnsi="Arial"/>
          <w:sz w:val="13"/>
          <w:szCs w:val="13"/>
          <w:color w:val="auto"/>
        </w:rPr>
      </w:pPr>
      <w:r>
        <w:rPr>
          <w:rFonts w:ascii="Arial" w:cs="Arial" w:eastAsia="Arial" w:hAnsi="Arial"/>
          <w:sz w:val="16"/>
          <w:szCs w:val="16"/>
          <w:color w:val="auto"/>
        </w:rPr>
        <w:t>shares owned outright and by members of his or her immediate family (as defined in Rule 16a-1(e) under the Securities Exchange Act of 1934, as amended) (a “Family Member”);</w:t>
      </w:r>
    </w:p>
    <w:p>
      <w:pPr>
        <w:spacing w:after="0" w:line="7" w:lineRule="exact"/>
        <w:rPr>
          <w:rFonts w:ascii="Arial" w:cs="Arial" w:eastAsia="Arial" w:hAnsi="Arial"/>
          <w:sz w:val="13"/>
          <w:szCs w:val="13"/>
          <w:color w:val="auto"/>
        </w:rPr>
      </w:pPr>
    </w:p>
    <w:p>
      <w:pPr>
        <w:ind w:left="300" w:hanging="130"/>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6"/>
          <w:szCs w:val="16"/>
          <w:color w:val="auto"/>
        </w:rPr>
        <w:t>shares held in trust for the benefit of such individual, or for the benefit of a Family Member of such individual;</w:t>
      </w:r>
    </w:p>
    <w:p>
      <w:pPr>
        <w:spacing w:after="0" w:line="86" w:lineRule="exact"/>
        <w:rPr>
          <w:rFonts w:ascii="Arial" w:cs="Arial" w:eastAsia="Arial" w:hAnsi="Arial"/>
          <w:sz w:val="13"/>
          <w:szCs w:val="13"/>
          <w:color w:val="auto"/>
        </w:rPr>
      </w:pPr>
    </w:p>
    <w:p>
      <w:pPr>
        <w:jc w:val="both"/>
        <w:ind w:left="340" w:right="220" w:hanging="170"/>
        <w:spacing w:after="0" w:line="310" w:lineRule="auto"/>
        <w:tabs>
          <w:tab w:leader="none" w:pos="317" w:val="left"/>
        </w:tabs>
        <w:numPr>
          <w:ilvl w:val="0"/>
          <w:numId w:val="52"/>
        </w:numPr>
        <w:rPr>
          <w:rFonts w:ascii="Arial" w:cs="Arial" w:eastAsia="Arial" w:hAnsi="Arial"/>
          <w:sz w:val="13"/>
          <w:szCs w:val="13"/>
          <w:color w:val="auto"/>
        </w:rPr>
      </w:pPr>
      <w:r>
        <w:rPr>
          <w:rFonts w:ascii="Arial" w:cs="Arial" w:eastAsia="Arial" w:hAnsi="Arial"/>
          <w:sz w:val="16"/>
          <w:szCs w:val="16"/>
          <w:color w:val="auto"/>
        </w:rPr>
        <w:t>shares owed by an entity for which such individual serves as a partner or is otherwise materially affiliated with (as determined in the sole discretion of the Board), if such entity beneficially owns 2% or more of the outstanding shares of Enphase (as determined in accordance with applicable SEC rules and regulations);</w:t>
      </w:r>
    </w:p>
    <w:p>
      <w:pPr>
        <w:spacing w:after="0" w:line="16" w:lineRule="exact"/>
        <w:rPr>
          <w:rFonts w:ascii="Arial" w:cs="Arial" w:eastAsia="Arial" w:hAnsi="Arial"/>
          <w:sz w:val="13"/>
          <w:szCs w:val="13"/>
          <w:color w:val="auto"/>
        </w:rPr>
      </w:pPr>
    </w:p>
    <w:p>
      <w:pPr>
        <w:ind w:left="300" w:hanging="130"/>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6"/>
          <w:szCs w:val="16"/>
          <w:color w:val="auto"/>
        </w:rPr>
        <w:t>vested shares under any outstanding RSU awards; and</w:t>
      </w:r>
    </w:p>
    <w:p>
      <w:pPr>
        <w:spacing w:after="0" w:line="86" w:lineRule="exact"/>
        <w:rPr>
          <w:rFonts w:ascii="Arial" w:cs="Arial" w:eastAsia="Arial" w:hAnsi="Arial"/>
          <w:sz w:val="13"/>
          <w:szCs w:val="13"/>
          <w:color w:val="auto"/>
        </w:rPr>
      </w:pPr>
    </w:p>
    <w:p>
      <w:pPr>
        <w:ind w:left="300" w:hanging="130"/>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6"/>
          <w:szCs w:val="16"/>
          <w:color w:val="auto"/>
        </w:rPr>
        <w:t>vested shares under any deferred compensation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provided above, unvested equity awards and unexercised options do not count toward compliance.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Awards and Grant Administration</w:t>
      </w:r>
    </w:p>
    <w:p>
      <w:pPr>
        <w:spacing w:after="0" w:line="13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Board has designated the Compensation Committee as the administrator of our 2021 Equity Incentive Plan (the “2021 Plan”). The Compensation Committee, among other things, selects award recipients under the 2021 Plan, approves the form of grant agreements, determines the terms and restrictions applicable to the equity awards and adopts sub-plans for particular locations, if and as required.</w:t>
      </w:r>
    </w:p>
    <w:p>
      <w:pPr>
        <w:spacing w:after="0" w:line="12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accordance with the 2021 Plan, the Compensation Committee has delegated to our CEO the authority to approve a capped number of routine equity grants to new hires and consultants. Equity awards approved by the CEO are granted on or about the 15th (or first trading day thereafter) of each month. In addition, the Compensation Committee may consider additional grants to key employees for retention purposes on an ad hoc basis</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Because we believe equity awards are an important part of our compensation program, we also grant equity awards on an annual basis to eligible employees, including our NEOs. The Compensation Committee generally approves these annual equity grants in the first quarter of each year for the NEOs and certain other key employees (through the PSP or other equivalent program), and in the third quarter of each year for all other eligible employees. Employees, including NEOS, in the PSP do not receive additional equity grants in the third quarter.</w:t>
      </w:r>
    </w:p>
    <w:p>
      <w:pPr>
        <w:spacing w:after="0" w:line="12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do not grant stock options, stock appreciation rights, or similar instruments with option-like features and have no policies or practices to disclose pursuant to Item 402(x)(1) of Regulation S-K. We do not take material nonpublic information into account when determining the timing and terms of equity awards, and do not time the disclosure of material nonpublic information for the purpose of affecting the value of executive compensation. We have not granted stock options, stock appreciation rights or similar instruments with option-like features in many years. We did not make any awards of stock options, stock appreciation rights or similar instruments with option-like features in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401(k) Plan, ESPP, Welfare and Health Benefits</w:t>
      </w:r>
    </w:p>
    <w:p>
      <w:pPr>
        <w:spacing w:after="0" w:line="14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maintain a tax-qualified retirement plan that provides eligible U.S. employees, including our NEOs, with an opportunity to save for retirement on a tax-advantaged basis. Eligible employees may make voluntary contributions from their eligible pay, up to certain annual limits set by the Internal Revenue Code of 1986, as amended (the “Code”). In 2024, we used a matching formula for all participants in the 401(k) plan, including our NEOs, under which we matched $0.50 for each dollar contributed by a participant up to the first 6% of the participant’s deferral, to a maximum of $3,000 annually. The 401(k) plan is intended to be qualified under Section 401(a) of the Code with the 401(k) plan’s related trust intended to be tax exempt under Section 501(a) of the Code.</w:t>
      </w:r>
    </w:p>
    <w:p>
      <w:pPr>
        <w:spacing w:after="0" w:line="13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also offer our employees, including our NEOs, the opportunity to purchase shares of our common stock at a discount under our 2011 Employee Stock Purchase Plan (the “ESPP”). Under the ESPP, all eligible employees, including the NEOs, may allocate up to 15% of total compensation for that year to purchase our stock at a 15% discount to the market price, subject to specified limits.</w:t>
      </w:r>
    </w:p>
    <w:p>
      <w:pPr>
        <w:spacing w:after="0" w:line="12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addition, we provide other benefits to our NEOs, on the same basis as to all of our full-time employees. These benefits include medical, dental and vision insurance plans, medical and dependent care flexible spending accounts, group life, short-term and long-term disability and accidental death and dismemberment insurance plans.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 and Other Personal Benefits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Historically, we have not provided perquisites or other personal benefits to our NEOs. However, in the future we may provide such items in limited circumstances, such as when we believe it is appropriate to assist an individual in the performance of their duties, to make our executives more efficient and effective, and to recruit, motivate or retain executives. All future practices with respect to perquisites or other personal benefits for executives must be approved and subject to periodic review by the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and Accounting Implications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3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Under ASC 718, we are required to estimate and record an expense for each award of equity compensation over the vesting period of the award. We record share-based compensation expense on an ongoing basis according to ASC 718.</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Deductibility of Executive Compensation</w:t>
      </w:r>
    </w:p>
    <w:p>
      <w:pPr>
        <w:spacing w:after="0" w:line="14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Section 162(m) of the Code generally places a $1 million annual deduction limit on compensation paid to “covered employees,” which includes our NEOs. The Compensation Committee makes compensation decisions based on our overall compensation philosophy and the interests of stockholders, even if such compensation is non-deductible by Enphase.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Policies and Practices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3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Effective October 2, 2023, the Compensation Committee approved a new Executive Compensation Clawback Policy (the “Required Clawback Policy”), which is designed to comply with, and will be interpreted in a manner consistent with, Section 10D of the Exchange Act and the applicable Nasdaq rules. Under the Required Clawback Policy, in the event of an accounting restatement due to our material noncompliance with any financial reporting requirement under applicable securities laws, including any required accounting restatement to correct a material error in previously issued financial statements, or that would result in a material misstatement if the error was corrected in the current period or left uncorrected in the current period, we must recover erroneously awarded performance-based compensation previously paid to our executive officers in accordance with the terms of the Required Clawback Policy. Furthermore, under the Required Clawback Policy, we are prohibited from indemnifying any executive officer or former executive officer against the loss of erroneously awarded performance-based compensation and from paying or reimbursing an executive officer for purchasing insurance to cover any such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0" w:name="page51"/>
    <w:bookmarkEnd w:id="50"/>
    <w:p>
      <w:pPr>
        <w:jc w:val="both"/>
        <w:spacing w:after="0" w:line="299" w:lineRule="auto"/>
        <w:rPr>
          <w:sz w:val="20"/>
          <w:szCs w:val="20"/>
          <w:color w:val="auto"/>
        </w:rPr>
      </w:pPr>
      <w:r>
        <w:rPr>
          <w:rFonts w:ascii="Arial" w:cs="Arial" w:eastAsia="Arial" w:hAnsi="Arial"/>
          <w:sz w:val="16"/>
          <w:szCs w:val="16"/>
          <w:color w:val="auto"/>
        </w:rPr>
        <w:t>In addition, we also maintain clawback provisions that apply to all employees, including our NEOs, that receive equity awards under the 2024 PSP that allows the Board to recover any incentive-based compensation that was paid based on erroneous financial information reported under securities laws. Specifically, we may recoup any incentive compensation from any employee in the 2024 PSP if: (i) the employee engages in intentional misconduct pertaining to any financial reporting policy; (ii) there is a material negative revision of a financial or operating measure on the basis of which incentive compensation was awarded or paid to the employee; or (iii) the employee engages in any fraud, theft, misappropriation, embezzlement or dishonesty. Any recoupment will be made irrespective of whether the employee’s conduct contributed to the need for the restatement and/or revision. If triggered, to the fullest extent permitted by law we may require the employee to reimburse us for all or a portion of any incentive compensation received within the last 12 months from the date that the erroneous financial information was reported. The employee may also be required to remit to us any profits realized from the sale of our common stock within the last 12 months from the date the erroneous financial data was reported. The clawback amount will be calculated as the excess amount paid on the basis of the erroneous results.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Prohibiting Hedging and Pledging of Our Equity Securities</w:t>
      </w:r>
    </w:p>
    <w:p>
      <w:pPr>
        <w:spacing w:after="0" w:line="14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insider trading policy prohibits our directors, NEOs and any other employee required to comply with the blackout periods and pre-clearance requirements from engaging in short sales, transactions in put or call options, hedging transactions, pledges, or other inherently speculative transactions relating to our common stock. In addition, our directors, NEOs and any person required to comply with the blackout periods and pre-clearance requirements under our insider trading policy are prohibited from pledging our securities as collateral for loans and may not hold our securities in margin accounts unless permitted by the Clearing Officer with the approval of the Chair of the Board, Chair of the Audit Committee, or the Board.</w:t>
      </w:r>
    </w:p>
    <w:p>
      <w:pPr>
        <w:spacing w:after="0" w:line="13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Consistent with the terms of our insider trading policy, Mr. Rodgers has received permission to use our securities on an ongoing basis to secure a margin account(s), and Mr. Kothandaraman has received permission to use our securities as collateral to secure a credit line.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Risks Presented by Our Compensation Policies and Programs</w:t>
      </w:r>
    </w:p>
    <w:p>
      <w:pPr>
        <w:spacing w:after="0" w:line="14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Compensation Committee has reviewed our compensation policies and practices to assess whether they encourage employees to take inappropriate risks. After reviewing and assessing our compensation philosophy, terms and practices, including the mix of fixed and variable, short- and long-term incentives and overall pay, incentive plan structures, and the checks and balances built into, and oversight of, each plan and practice,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risks; rather, it believes the mix of short-term compensation (in the form of salary and quarterly bonuses, if any, which are based on a variety of performance factors) and long-term compensation (in the form of PSU and time-based RSU grants) prevents undue focus on short-term results and helps align the interests of our NEOs with the interests of our stockholders. In addition, our insider trading policy and prohibition against hedging and pledging of our stock protects against short-term decision making by our NEOs, directors and others identified as covered insiders under our insider trading policy. The Compensation Committee intends to conduct an annual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1" w:name="page52"/>
    <w:bookmarkEnd w:id="51"/>
    <w:p>
      <w:pPr>
        <w:spacing w:after="0"/>
        <w:rPr>
          <w:sz w:val="20"/>
          <w:szCs w:val="20"/>
          <w:color w:val="auto"/>
        </w:rPr>
      </w:pPr>
      <w:r>
        <w:rPr>
          <w:rFonts w:ascii="Arial" w:cs="Arial" w:eastAsia="Arial" w:hAnsi="Arial"/>
          <w:sz w:val="32"/>
          <w:szCs w:val="32"/>
          <w:b w:val="1"/>
          <w:bCs w:val="1"/>
          <w:color w:val="auto"/>
        </w:rPr>
        <w:t>Compensation Committee Report*</w:t>
      </w:r>
    </w:p>
    <w:p>
      <w:pPr>
        <w:spacing w:after="0" w:line="269"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of the Board recommended to the Board that the Compensation Discussion and Analysis be included in this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Thurman John Rodgers, Chair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Mora, Member</w:t>
      </w:r>
    </w:p>
    <w:p>
      <w:pPr>
        <w:spacing w:after="0" w:line="200" w:lineRule="exact"/>
        <w:rPr>
          <w:sz w:val="20"/>
          <w:szCs w:val="20"/>
          <w:color w:val="auto"/>
        </w:rPr>
      </w:pPr>
    </w:p>
    <w:p>
      <w:pPr>
        <w:spacing w:after="0" w:line="388" w:lineRule="exact"/>
        <w:rPr>
          <w:sz w:val="20"/>
          <w:szCs w:val="20"/>
          <w:color w:val="auto"/>
        </w:rPr>
      </w:pPr>
    </w:p>
    <w:p>
      <w:pPr>
        <w:jc w:val="both"/>
        <w:spacing w:after="0" w:line="305" w:lineRule="auto"/>
        <w:rPr>
          <w:sz w:val="20"/>
          <w:szCs w:val="20"/>
          <w:color w:val="auto"/>
        </w:rPr>
      </w:pPr>
      <w:r>
        <w:rPr>
          <w:rFonts w:ascii="Arial" w:cs="Arial" w:eastAsia="Arial" w:hAnsi="Arial"/>
          <w:sz w:val="16"/>
          <w:szCs w:val="16"/>
          <w:i w:val="1"/>
          <w:iCs w:val="1"/>
          <w:color w:val="auto"/>
        </w:rPr>
        <w:t>*The material in this report is not “soliciting material,” is furnished to, but not deemed “filed” with, the SEC and is not deemed to be incorporated by reference in any of our filings under the Securities Act of 1933, as amended (the “Securities Act”), or the Exchange Act, other than our Annual Report on Form 10-K for the fiscal year ended December 31, 2024, as filed with the SEC on February 10, 2025,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2" w:name="page53"/>
    <w:bookmarkEnd w:id="52"/>
    <w:p>
      <w:pPr>
        <w:spacing w:after="0"/>
        <w:rPr>
          <w:sz w:val="20"/>
          <w:szCs w:val="20"/>
          <w:color w:val="auto"/>
        </w:rPr>
      </w:pPr>
      <w:r>
        <w:rPr>
          <w:rFonts w:ascii="Arial" w:cs="Arial" w:eastAsia="Arial" w:hAnsi="Arial"/>
          <w:sz w:val="43"/>
          <w:szCs w:val="43"/>
          <w:b w:val="1"/>
          <w:bCs w:val="1"/>
          <w:color w:val="auto"/>
        </w:rPr>
        <w:t>Executive Compensation Tables</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footnotes show information regarding the total compensation of each NEO for 2024, 2023 and 2022.</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560" w:type="dxa"/>
            <w:vAlign w:val="bottom"/>
            <w:tcBorders>
              <w:left w:val="single" w:sz="8" w:color="3C3C3C"/>
              <w:right w:val="single" w:sz="8" w:color="3C3C3C"/>
            </w:tcBorders>
            <w:shd w:val="clear" w:color="auto" w:fill="3C3C3C"/>
          </w:tcPr>
          <w:p>
            <w:pPr>
              <w:spacing w:after="0"/>
              <w:rPr>
                <w:sz w:val="16"/>
                <w:szCs w:val="16"/>
                <w:color w:val="auto"/>
              </w:rPr>
            </w:pPr>
          </w:p>
        </w:tc>
        <w:tc>
          <w:tcPr>
            <w:tcW w:w="80" w:type="dxa"/>
            <w:vAlign w:val="bottom"/>
            <w:shd w:val="clear" w:color="auto" w:fill="3C3C3C"/>
          </w:tcPr>
          <w:p>
            <w:pPr>
              <w:spacing w:after="0"/>
              <w:rPr>
                <w:sz w:val="16"/>
                <w:szCs w:val="16"/>
                <w:color w:val="auto"/>
              </w:rPr>
            </w:pPr>
          </w:p>
        </w:tc>
        <w:tc>
          <w:tcPr>
            <w:tcW w:w="580" w:type="dxa"/>
            <w:vAlign w:val="bottom"/>
            <w:shd w:val="clear" w:color="auto" w:fill="3C3C3C"/>
          </w:tcPr>
          <w:p>
            <w:pPr>
              <w:spacing w:after="0"/>
              <w:rPr>
                <w:sz w:val="16"/>
                <w:szCs w:val="16"/>
                <w:color w:val="auto"/>
              </w:rPr>
            </w:pPr>
          </w:p>
        </w:tc>
        <w:tc>
          <w:tcPr>
            <w:tcW w:w="120" w:type="dxa"/>
            <w:vAlign w:val="bottom"/>
            <w:tcBorders>
              <w:right w:val="single" w:sz="8" w:color="3C3C3C"/>
            </w:tcBorders>
            <w:shd w:val="clear" w:color="auto" w:fill="3C3C3C"/>
          </w:tcPr>
          <w:p>
            <w:pPr>
              <w:spacing w:after="0"/>
              <w:rPr>
                <w:sz w:val="16"/>
                <w:szCs w:val="16"/>
                <w:color w:val="auto"/>
              </w:rPr>
            </w:pPr>
          </w:p>
        </w:tc>
        <w:tc>
          <w:tcPr>
            <w:tcW w:w="1140" w:type="dxa"/>
            <w:vAlign w:val="bottom"/>
            <w:tcBorders>
              <w:right w:val="single" w:sz="8" w:color="3C3C3C"/>
            </w:tcBorders>
            <w:vMerge w:val="restart"/>
            <w:shd w:val="clear" w:color="auto" w:fill="3C3C3C"/>
          </w:tcPr>
          <w:p>
            <w:pPr>
              <w:ind w:left="300"/>
              <w:spacing w:after="0"/>
              <w:rPr>
                <w:sz w:val="20"/>
                <w:szCs w:val="20"/>
                <w:color w:val="auto"/>
              </w:rPr>
            </w:pPr>
            <w:r>
              <w:rPr>
                <w:rFonts w:ascii="Arial" w:cs="Arial" w:eastAsia="Arial" w:hAnsi="Arial"/>
                <w:sz w:val="14"/>
                <w:szCs w:val="14"/>
                <w:b w:val="1"/>
                <w:bCs w:val="1"/>
                <w:color w:val="FFFFFF"/>
              </w:rPr>
              <w:t>Salary</w:t>
            </w:r>
          </w:p>
        </w:tc>
        <w:tc>
          <w:tcPr>
            <w:tcW w:w="920" w:type="dxa"/>
            <w:vAlign w:val="bottom"/>
            <w:tcBorders>
              <w:right w:val="single" w:sz="8" w:color="3C3C3C"/>
            </w:tcBorders>
            <w:vMerge w:val="restart"/>
            <w:shd w:val="clear" w:color="auto" w:fill="3C3C3C"/>
          </w:tcPr>
          <w:p>
            <w:pPr>
              <w:jc w:val="right"/>
              <w:ind w:right="221"/>
              <w:spacing w:after="0"/>
              <w:rPr>
                <w:sz w:val="20"/>
                <w:szCs w:val="20"/>
                <w:color w:val="auto"/>
              </w:rPr>
            </w:pPr>
            <w:r>
              <w:rPr>
                <w:rFonts w:ascii="Arial" w:cs="Arial" w:eastAsia="Arial" w:hAnsi="Arial"/>
                <w:sz w:val="14"/>
                <w:szCs w:val="14"/>
                <w:b w:val="1"/>
                <w:bCs w:val="1"/>
                <w:color w:val="FFFFFF"/>
              </w:rPr>
              <w:t>Bonus</w:t>
            </w:r>
          </w:p>
        </w:tc>
        <w:tc>
          <w:tcPr>
            <w:tcW w:w="1480" w:type="dxa"/>
            <w:vAlign w:val="bottom"/>
            <w:tcBorders>
              <w:right w:val="single" w:sz="8" w:color="3C3C3C"/>
            </w:tcBorders>
            <w:vMerge w:val="restart"/>
            <w:shd w:val="clear" w:color="auto" w:fill="3C3C3C"/>
          </w:tcPr>
          <w:p>
            <w:pPr>
              <w:jc w:val="right"/>
              <w:ind w:right="244"/>
              <w:spacing w:after="0"/>
              <w:rPr>
                <w:sz w:val="20"/>
                <w:szCs w:val="20"/>
                <w:color w:val="auto"/>
              </w:rPr>
            </w:pPr>
            <w:r>
              <w:rPr>
                <w:rFonts w:ascii="Arial" w:cs="Arial" w:eastAsia="Arial" w:hAnsi="Arial"/>
                <w:sz w:val="14"/>
                <w:szCs w:val="14"/>
                <w:b w:val="1"/>
                <w:bCs w:val="1"/>
                <w:color w:val="FFFFFF"/>
              </w:rPr>
              <w:t>Stock Awards</w:t>
            </w:r>
          </w:p>
        </w:tc>
        <w:tc>
          <w:tcPr>
            <w:tcW w:w="1580" w:type="dxa"/>
            <w:vAlign w:val="bottom"/>
            <w:tcBorders>
              <w:right w:val="single" w:sz="8" w:color="3C3C3C"/>
            </w:tcBorders>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rPr>
              <w:t>Non-Equity</w:t>
            </w:r>
          </w:p>
        </w:tc>
        <w:tc>
          <w:tcPr>
            <w:tcW w:w="1500" w:type="dxa"/>
            <w:vAlign w:val="bottom"/>
            <w:tcBorders>
              <w:right w:val="single" w:sz="8" w:color="3C3C3C"/>
            </w:tcBorders>
            <w:vMerge w:val="restart"/>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rPr>
              <w:t>All Other</w:t>
            </w:r>
          </w:p>
        </w:tc>
        <w:tc>
          <w:tcPr>
            <w:tcW w:w="1300" w:type="dxa"/>
            <w:vAlign w:val="bottom"/>
            <w:tcBorders>
              <w:right w:val="single" w:sz="8" w:color="3C3C3C"/>
            </w:tcBorders>
            <w:vMerge w:val="restart"/>
            <w:shd w:val="clear" w:color="auto" w:fill="3C3C3C"/>
          </w:tcPr>
          <w:p>
            <w:pPr>
              <w:ind w:left="4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2560" w:type="dxa"/>
            <w:vAlign w:val="bottom"/>
            <w:tcBorders>
              <w:left w:val="single" w:sz="8" w:color="3C3C3C"/>
              <w:right w:val="single" w:sz="8" w:color="3C3C3C"/>
            </w:tcBorders>
            <w:shd w:val="clear" w:color="auto" w:fill="3C3C3C"/>
          </w:tcPr>
          <w:p>
            <w:pPr>
              <w:spacing w:after="0"/>
              <w:rPr>
                <w:sz w:val="7"/>
                <w:szCs w:val="7"/>
                <w:color w:val="auto"/>
              </w:rPr>
            </w:pPr>
          </w:p>
        </w:tc>
        <w:tc>
          <w:tcPr>
            <w:tcW w:w="80" w:type="dxa"/>
            <w:vAlign w:val="bottom"/>
            <w:shd w:val="clear" w:color="auto" w:fill="3C3C3C"/>
          </w:tcPr>
          <w:p>
            <w:pPr>
              <w:spacing w:after="0"/>
              <w:rPr>
                <w:sz w:val="7"/>
                <w:szCs w:val="7"/>
                <w:color w:val="auto"/>
              </w:rPr>
            </w:pPr>
          </w:p>
        </w:tc>
        <w:tc>
          <w:tcPr>
            <w:tcW w:w="580" w:type="dxa"/>
            <w:vAlign w:val="bottom"/>
            <w:shd w:val="clear" w:color="auto" w:fill="3C3C3C"/>
          </w:tcPr>
          <w:p>
            <w:pPr>
              <w:spacing w:after="0"/>
              <w:rPr>
                <w:sz w:val="7"/>
                <w:szCs w:val="7"/>
                <w:color w:val="auto"/>
              </w:rPr>
            </w:pPr>
          </w:p>
        </w:tc>
        <w:tc>
          <w:tcPr>
            <w:tcW w:w="120" w:type="dxa"/>
            <w:vAlign w:val="bottom"/>
            <w:tcBorders>
              <w:right w:val="single" w:sz="8" w:color="3C3C3C"/>
            </w:tcBorders>
            <w:shd w:val="clear" w:color="auto" w:fill="3C3C3C"/>
          </w:tcPr>
          <w:p>
            <w:pPr>
              <w:spacing w:after="0"/>
              <w:rPr>
                <w:sz w:val="7"/>
                <w:szCs w:val="7"/>
                <w:color w:val="auto"/>
              </w:rPr>
            </w:pPr>
          </w:p>
        </w:tc>
        <w:tc>
          <w:tcPr>
            <w:tcW w:w="1140" w:type="dxa"/>
            <w:vAlign w:val="bottom"/>
            <w:tcBorders>
              <w:right w:val="single" w:sz="8" w:color="3C3C3C"/>
            </w:tcBorders>
            <w:vMerge w:val="continue"/>
            <w:shd w:val="clear" w:color="auto" w:fill="3C3C3C"/>
          </w:tcPr>
          <w:p>
            <w:pPr>
              <w:spacing w:after="0"/>
              <w:rPr>
                <w:sz w:val="7"/>
                <w:szCs w:val="7"/>
                <w:color w:val="auto"/>
              </w:rPr>
            </w:pPr>
          </w:p>
        </w:tc>
        <w:tc>
          <w:tcPr>
            <w:tcW w:w="920" w:type="dxa"/>
            <w:vAlign w:val="bottom"/>
            <w:tcBorders>
              <w:right w:val="single" w:sz="8" w:color="3C3C3C"/>
            </w:tcBorders>
            <w:vMerge w:val="continue"/>
            <w:shd w:val="clear" w:color="auto" w:fill="3C3C3C"/>
          </w:tcPr>
          <w:p>
            <w:pPr>
              <w:spacing w:after="0"/>
              <w:rPr>
                <w:sz w:val="7"/>
                <w:szCs w:val="7"/>
                <w:color w:val="auto"/>
              </w:rPr>
            </w:pPr>
          </w:p>
        </w:tc>
        <w:tc>
          <w:tcPr>
            <w:tcW w:w="1480" w:type="dxa"/>
            <w:vAlign w:val="bottom"/>
            <w:tcBorders>
              <w:right w:val="single" w:sz="8" w:color="3C3C3C"/>
            </w:tcBorders>
            <w:vMerge w:val="continue"/>
            <w:shd w:val="clear" w:color="auto" w:fill="3C3C3C"/>
          </w:tcPr>
          <w:p>
            <w:pPr>
              <w:spacing w:after="0"/>
              <w:rPr>
                <w:sz w:val="7"/>
                <w:szCs w:val="7"/>
                <w:color w:val="auto"/>
              </w:rPr>
            </w:pPr>
          </w:p>
        </w:tc>
        <w:tc>
          <w:tcPr>
            <w:tcW w:w="1580" w:type="dxa"/>
            <w:vAlign w:val="bottom"/>
            <w:tcBorders>
              <w:right w:val="single" w:sz="8" w:color="3C3C3C"/>
            </w:tcBorders>
            <w:vMerge w:val="restart"/>
            <w:shd w:val="clear" w:color="auto" w:fill="3C3C3C"/>
          </w:tcPr>
          <w:p>
            <w:pPr>
              <w:jc w:val="center"/>
              <w:ind w:right="62"/>
              <w:spacing w:after="0" w:line="159" w:lineRule="exact"/>
              <w:rPr>
                <w:sz w:val="20"/>
                <w:szCs w:val="20"/>
                <w:color w:val="auto"/>
              </w:rPr>
            </w:pPr>
            <w:r>
              <w:rPr>
                <w:rFonts w:ascii="Arial" w:cs="Arial" w:eastAsia="Arial" w:hAnsi="Arial"/>
                <w:sz w:val="14"/>
                <w:szCs w:val="14"/>
                <w:b w:val="1"/>
                <w:bCs w:val="1"/>
                <w:color w:val="FFFFFF"/>
              </w:rPr>
              <w:t>Incentive Plan</w:t>
            </w:r>
          </w:p>
        </w:tc>
        <w:tc>
          <w:tcPr>
            <w:tcW w:w="1500" w:type="dxa"/>
            <w:vAlign w:val="bottom"/>
            <w:tcBorders>
              <w:right w:val="single" w:sz="8" w:color="3C3C3C"/>
            </w:tcBorders>
            <w:vMerge w:val="continue"/>
            <w:shd w:val="clear" w:color="auto" w:fill="3C3C3C"/>
          </w:tcPr>
          <w:p>
            <w:pPr>
              <w:spacing w:after="0"/>
              <w:rPr>
                <w:sz w:val="7"/>
                <w:szCs w:val="7"/>
                <w:color w:val="auto"/>
              </w:rPr>
            </w:pPr>
          </w:p>
        </w:tc>
        <w:tc>
          <w:tcPr>
            <w:tcW w:w="130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560" w:type="dxa"/>
            <w:vAlign w:val="bottom"/>
            <w:tcBorders>
              <w:left w:val="single" w:sz="8" w:color="3C3C3C"/>
              <w:right w:val="single" w:sz="8" w:color="3C3C3C"/>
            </w:tcBorders>
            <w:vMerge w:val="restart"/>
            <w:shd w:val="clear" w:color="auto" w:fill="3C3C3C"/>
          </w:tcPr>
          <w:p>
            <w:pPr>
              <w:ind w:left="140"/>
              <w:spacing w:after="0" w:line="145" w:lineRule="exact"/>
              <w:rPr>
                <w:sz w:val="20"/>
                <w:szCs w:val="20"/>
                <w:color w:val="auto"/>
              </w:rPr>
            </w:pPr>
            <w:r>
              <w:rPr>
                <w:rFonts w:ascii="Arial" w:cs="Arial" w:eastAsia="Arial" w:hAnsi="Arial"/>
                <w:sz w:val="14"/>
                <w:szCs w:val="14"/>
                <w:b w:val="1"/>
                <w:bCs w:val="1"/>
                <w:color w:val="FFFFFF"/>
              </w:rPr>
              <w:t>Name and Principal Position</w:t>
            </w:r>
          </w:p>
        </w:tc>
        <w:tc>
          <w:tcPr>
            <w:tcW w:w="80" w:type="dxa"/>
            <w:vAlign w:val="bottom"/>
            <w:shd w:val="clear" w:color="auto" w:fill="3C3C3C"/>
          </w:tcPr>
          <w:p>
            <w:pPr>
              <w:spacing w:after="0"/>
              <w:rPr>
                <w:sz w:val="6"/>
                <w:szCs w:val="6"/>
                <w:color w:val="auto"/>
              </w:rPr>
            </w:pPr>
          </w:p>
        </w:tc>
        <w:tc>
          <w:tcPr>
            <w:tcW w:w="580" w:type="dxa"/>
            <w:vAlign w:val="bottom"/>
            <w:vMerge w:val="restart"/>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w w:val="98"/>
              </w:rPr>
              <w:t>Year</w:t>
            </w:r>
          </w:p>
        </w:tc>
        <w:tc>
          <w:tcPr>
            <w:tcW w:w="120" w:type="dxa"/>
            <w:vAlign w:val="bottom"/>
            <w:tcBorders>
              <w:right w:val="single" w:sz="8" w:color="3C3C3C"/>
            </w:tcBorders>
            <w:shd w:val="clear" w:color="auto" w:fill="3C3C3C"/>
          </w:tcPr>
          <w:p>
            <w:pPr>
              <w:spacing w:after="0"/>
              <w:rPr>
                <w:sz w:val="6"/>
                <w:szCs w:val="6"/>
                <w:color w:val="auto"/>
              </w:rPr>
            </w:pPr>
          </w:p>
        </w:tc>
        <w:tc>
          <w:tcPr>
            <w:tcW w:w="1140" w:type="dxa"/>
            <w:vAlign w:val="bottom"/>
            <w:tcBorders>
              <w:right w:val="single" w:sz="8" w:color="3C3C3C"/>
            </w:tcBorders>
            <w:vMerge w:val="continue"/>
            <w:shd w:val="clear" w:color="auto" w:fill="3C3C3C"/>
          </w:tcPr>
          <w:p>
            <w:pPr>
              <w:spacing w:after="0"/>
              <w:rPr>
                <w:sz w:val="6"/>
                <w:szCs w:val="6"/>
                <w:color w:val="auto"/>
              </w:rPr>
            </w:pPr>
          </w:p>
        </w:tc>
        <w:tc>
          <w:tcPr>
            <w:tcW w:w="920" w:type="dxa"/>
            <w:vAlign w:val="bottom"/>
            <w:tcBorders>
              <w:right w:val="single" w:sz="8" w:color="3C3C3C"/>
            </w:tcBorders>
            <w:vMerge w:val="continue"/>
            <w:shd w:val="clear" w:color="auto" w:fill="3C3C3C"/>
          </w:tcPr>
          <w:p>
            <w:pPr>
              <w:spacing w:after="0"/>
              <w:rPr>
                <w:sz w:val="6"/>
                <w:szCs w:val="6"/>
                <w:color w:val="auto"/>
              </w:rPr>
            </w:pPr>
          </w:p>
        </w:tc>
        <w:tc>
          <w:tcPr>
            <w:tcW w:w="1480" w:type="dxa"/>
            <w:vAlign w:val="bottom"/>
            <w:tcBorders>
              <w:right w:val="single" w:sz="8" w:color="3C3C3C"/>
            </w:tcBorders>
            <w:vMerge w:val="continue"/>
            <w:shd w:val="clear" w:color="auto" w:fill="3C3C3C"/>
          </w:tcPr>
          <w:p>
            <w:pPr>
              <w:spacing w:after="0"/>
              <w:rPr>
                <w:sz w:val="6"/>
                <w:szCs w:val="6"/>
                <w:color w:val="auto"/>
              </w:rPr>
            </w:pPr>
          </w:p>
        </w:tc>
        <w:tc>
          <w:tcPr>
            <w:tcW w:w="1580" w:type="dxa"/>
            <w:vAlign w:val="bottom"/>
            <w:tcBorders>
              <w:right w:val="single" w:sz="8" w:color="3C3C3C"/>
            </w:tcBorders>
            <w:vMerge w:val="continue"/>
            <w:shd w:val="clear" w:color="auto" w:fill="3C3C3C"/>
          </w:tcPr>
          <w:p>
            <w:pPr>
              <w:spacing w:after="0"/>
              <w:rPr>
                <w:sz w:val="6"/>
                <w:szCs w:val="6"/>
                <w:color w:val="auto"/>
              </w:rPr>
            </w:pPr>
          </w:p>
        </w:tc>
        <w:tc>
          <w:tcPr>
            <w:tcW w:w="1500" w:type="dxa"/>
            <w:vAlign w:val="bottom"/>
            <w:tcBorders>
              <w:right w:val="single" w:sz="8" w:color="3C3C3C"/>
            </w:tcBorders>
            <w:vMerge w:val="restart"/>
            <w:shd w:val="clear" w:color="auto" w:fill="3C3C3C"/>
          </w:tcPr>
          <w:p>
            <w:pPr>
              <w:jc w:val="center"/>
              <w:ind w:right="62"/>
              <w:spacing w:after="0" w:line="145" w:lineRule="exact"/>
              <w:rPr>
                <w:sz w:val="20"/>
                <w:szCs w:val="20"/>
                <w:color w:val="auto"/>
              </w:rPr>
            </w:pPr>
            <w:r>
              <w:rPr>
                <w:rFonts w:ascii="Arial" w:cs="Arial" w:eastAsia="Arial" w:hAnsi="Arial"/>
                <w:sz w:val="14"/>
                <w:szCs w:val="14"/>
                <w:b w:val="1"/>
                <w:bCs w:val="1"/>
                <w:color w:val="FFFFFF"/>
              </w:rPr>
              <w:t>Compensation</w:t>
            </w:r>
          </w:p>
        </w:tc>
        <w:tc>
          <w:tcPr>
            <w:tcW w:w="1300" w:type="dxa"/>
            <w:vAlign w:val="bottom"/>
            <w:tcBorders>
              <w:right w:val="single" w:sz="8" w:color="3C3C3C"/>
            </w:tcBorders>
            <w:vMerge w:val="continue"/>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560" w:type="dxa"/>
            <w:vAlign w:val="bottom"/>
            <w:tcBorders>
              <w:left w:val="single" w:sz="8" w:color="3C3C3C"/>
              <w:right w:val="single" w:sz="8" w:color="3C3C3C"/>
            </w:tcBorders>
            <w:vMerge w:val="continue"/>
            <w:shd w:val="clear" w:color="auto" w:fill="3C3C3C"/>
          </w:tcPr>
          <w:p>
            <w:pPr>
              <w:spacing w:after="0"/>
              <w:rPr>
                <w:sz w:val="5"/>
                <w:szCs w:val="5"/>
                <w:color w:val="auto"/>
              </w:rPr>
            </w:pPr>
          </w:p>
        </w:tc>
        <w:tc>
          <w:tcPr>
            <w:tcW w:w="80" w:type="dxa"/>
            <w:vAlign w:val="bottom"/>
            <w:shd w:val="clear" w:color="auto" w:fill="3C3C3C"/>
          </w:tcPr>
          <w:p>
            <w:pPr>
              <w:spacing w:after="0"/>
              <w:rPr>
                <w:sz w:val="5"/>
                <w:szCs w:val="5"/>
                <w:color w:val="auto"/>
              </w:rPr>
            </w:pPr>
          </w:p>
        </w:tc>
        <w:tc>
          <w:tcPr>
            <w:tcW w:w="580" w:type="dxa"/>
            <w:vAlign w:val="bottom"/>
            <w:vMerge w:val="continue"/>
            <w:shd w:val="clear" w:color="auto" w:fill="3C3C3C"/>
          </w:tcPr>
          <w:p>
            <w:pPr>
              <w:spacing w:after="0"/>
              <w:rPr>
                <w:sz w:val="5"/>
                <w:szCs w:val="5"/>
                <w:color w:val="auto"/>
              </w:rPr>
            </w:pPr>
          </w:p>
        </w:tc>
        <w:tc>
          <w:tcPr>
            <w:tcW w:w="1260" w:type="dxa"/>
            <w:vAlign w:val="bottom"/>
            <w:tcBorders>
              <w:righ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right w:val="single" w:sz="8" w:color="3C3C3C"/>
            </w:tcBorders>
            <w:vMerge w:val="restart"/>
            <w:shd w:val="clear" w:color="auto" w:fill="3C3C3C"/>
          </w:tcPr>
          <w:p>
            <w:pPr>
              <w:jc w:val="right"/>
              <w:ind w:right="361"/>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right w:val="single" w:sz="8" w:color="3C3C3C"/>
            </w:tcBorders>
            <w:shd w:val="clear" w:color="auto" w:fill="3C3C3C"/>
          </w:tcPr>
          <w:p>
            <w:pPr>
              <w:jc w:val="right"/>
              <w:ind w:right="584"/>
              <w:spacing w:after="0" w:line="66" w:lineRule="exact"/>
              <w:rPr>
                <w:sz w:val="20"/>
                <w:szCs w:val="20"/>
                <w:color w:val="auto"/>
              </w:rPr>
            </w:pPr>
            <w:r>
              <w:rPr>
                <w:rFonts w:ascii="Arial" w:cs="Arial" w:eastAsia="Arial" w:hAnsi="Arial"/>
                <w:sz w:val="7"/>
                <w:szCs w:val="7"/>
                <w:b w:val="1"/>
                <w:bCs w:val="1"/>
                <w:color w:val="FFFFFF"/>
              </w:rPr>
              <w:t>(1)</w:t>
            </w:r>
          </w:p>
        </w:tc>
        <w:tc>
          <w:tcPr>
            <w:tcW w:w="1580" w:type="dxa"/>
            <w:vAlign w:val="bottom"/>
            <w:tcBorders>
              <w:right w:val="single" w:sz="8" w:color="3C3C3C"/>
            </w:tcBorders>
            <w:vMerge w:val="restart"/>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rPr>
              <w:t>Compensation</w:t>
            </w:r>
          </w:p>
        </w:tc>
        <w:tc>
          <w:tcPr>
            <w:tcW w:w="1500" w:type="dxa"/>
            <w:vAlign w:val="bottom"/>
            <w:tcBorders>
              <w:right w:val="single" w:sz="8" w:color="3C3C3C"/>
            </w:tcBorders>
            <w:vMerge w:val="continue"/>
            <w:shd w:val="clear" w:color="auto" w:fill="3C3C3C"/>
          </w:tcPr>
          <w:p>
            <w:pPr>
              <w:spacing w:after="0"/>
              <w:rPr>
                <w:sz w:val="5"/>
                <w:szCs w:val="5"/>
                <w:color w:val="auto"/>
              </w:rPr>
            </w:pP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40"/>
        </w:trPr>
        <w:tc>
          <w:tcPr>
            <w:tcW w:w="2560" w:type="dxa"/>
            <w:vAlign w:val="bottom"/>
            <w:tcBorders>
              <w:left w:val="single" w:sz="8" w:color="3C3C3C"/>
              <w:right w:val="single" w:sz="8" w:color="3C3C3C"/>
            </w:tcBorders>
            <w:shd w:val="clear" w:color="auto" w:fill="3C3C3C"/>
          </w:tcPr>
          <w:p>
            <w:pPr>
              <w:spacing w:after="0"/>
              <w:rPr>
                <w:sz w:val="12"/>
                <w:szCs w:val="12"/>
                <w:color w:val="auto"/>
              </w:rPr>
            </w:pPr>
          </w:p>
        </w:tc>
        <w:tc>
          <w:tcPr>
            <w:tcW w:w="80" w:type="dxa"/>
            <w:vAlign w:val="bottom"/>
            <w:shd w:val="clear" w:color="auto" w:fill="3C3C3C"/>
          </w:tcPr>
          <w:p>
            <w:pPr>
              <w:spacing w:after="0"/>
              <w:rPr>
                <w:sz w:val="12"/>
                <w:szCs w:val="12"/>
                <w:color w:val="auto"/>
              </w:rPr>
            </w:pPr>
          </w:p>
        </w:tc>
        <w:tc>
          <w:tcPr>
            <w:tcW w:w="580" w:type="dxa"/>
            <w:vAlign w:val="bottom"/>
            <w:shd w:val="clear" w:color="auto" w:fill="3C3C3C"/>
          </w:tcPr>
          <w:p>
            <w:pPr>
              <w:spacing w:after="0"/>
              <w:rPr>
                <w:sz w:val="12"/>
                <w:szCs w:val="12"/>
                <w:color w:val="auto"/>
              </w:rPr>
            </w:pPr>
          </w:p>
        </w:tc>
        <w:tc>
          <w:tcPr>
            <w:tcW w:w="1260" w:type="dxa"/>
            <w:vAlign w:val="bottom"/>
            <w:tcBorders>
              <w:right w:val="single" w:sz="8" w:color="3C3C3C"/>
            </w:tcBorders>
            <w:gridSpan w:val="2"/>
            <w:vMerge w:val="continue"/>
            <w:shd w:val="clear" w:color="auto" w:fill="3C3C3C"/>
          </w:tcPr>
          <w:p>
            <w:pPr>
              <w:spacing w:after="0"/>
              <w:rPr>
                <w:sz w:val="12"/>
                <w:szCs w:val="12"/>
                <w:color w:val="auto"/>
              </w:rPr>
            </w:pPr>
          </w:p>
        </w:tc>
        <w:tc>
          <w:tcPr>
            <w:tcW w:w="920" w:type="dxa"/>
            <w:vAlign w:val="bottom"/>
            <w:tcBorders>
              <w:right w:val="single" w:sz="8" w:color="3C3C3C"/>
            </w:tcBorders>
            <w:vMerge w:val="continue"/>
            <w:shd w:val="clear" w:color="auto" w:fill="3C3C3C"/>
          </w:tcPr>
          <w:p>
            <w:pPr>
              <w:spacing w:after="0"/>
              <w:rPr>
                <w:sz w:val="12"/>
                <w:szCs w:val="12"/>
                <w:color w:val="auto"/>
              </w:rPr>
            </w:pPr>
          </w:p>
        </w:tc>
        <w:tc>
          <w:tcPr>
            <w:tcW w:w="1480" w:type="dxa"/>
            <w:vAlign w:val="bottom"/>
            <w:tcBorders>
              <w:right w:val="single" w:sz="8" w:color="3C3C3C"/>
            </w:tcBorders>
            <w:shd w:val="clear" w:color="auto" w:fill="3C3C3C"/>
          </w:tcPr>
          <w:p>
            <w:pPr>
              <w:jc w:val="right"/>
              <w:ind w:right="704"/>
              <w:spacing w:after="0" w:line="140" w:lineRule="exact"/>
              <w:rPr>
                <w:sz w:val="20"/>
                <w:szCs w:val="20"/>
                <w:color w:val="auto"/>
              </w:rPr>
            </w:pPr>
            <w:r>
              <w:rPr>
                <w:rFonts w:ascii="Arial" w:cs="Arial" w:eastAsia="Arial" w:hAnsi="Arial"/>
                <w:sz w:val="14"/>
                <w:szCs w:val="14"/>
                <w:b w:val="1"/>
                <w:bCs w:val="1"/>
                <w:color w:val="FFFFFF"/>
              </w:rPr>
              <w:t>($)</w:t>
            </w:r>
          </w:p>
        </w:tc>
        <w:tc>
          <w:tcPr>
            <w:tcW w:w="1580" w:type="dxa"/>
            <w:vAlign w:val="bottom"/>
            <w:tcBorders>
              <w:right w:val="single" w:sz="8" w:color="3C3C3C"/>
            </w:tcBorders>
            <w:vMerge w:val="continue"/>
            <w:shd w:val="clear" w:color="auto" w:fill="3C3C3C"/>
          </w:tcPr>
          <w:p>
            <w:pPr>
              <w:spacing w:after="0"/>
              <w:rPr>
                <w:sz w:val="12"/>
                <w:szCs w:val="12"/>
                <w:color w:val="auto"/>
              </w:rPr>
            </w:pPr>
          </w:p>
        </w:tc>
        <w:tc>
          <w:tcPr>
            <w:tcW w:w="1500" w:type="dxa"/>
            <w:vAlign w:val="bottom"/>
            <w:tcBorders>
              <w:right w:val="single" w:sz="8" w:color="3C3C3C"/>
            </w:tcBorders>
            <w:shd w:val="clear" w:color="auto" w:fill="3C3C3C"/>
          </w:tcPr>
          <w:p>
            <w:pPr>
              <w:jc w:val="center"/>
              <w:ind w:right="82"/>
              <w:spacing w:after="0" w:line="140"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1300" w:type="dxa"/>
            <w:vAlign w:val="bottom"/>
            <w:tcBorders>
              <w:right w:val="single" w:sz="8" w:color="3C3C3C"/>
            </w:tcBorders>
            <w:vMerge w:val="continue"/>
            <w:shd w:val="clear" w:color="auto" w:fill="3C3C3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560" w:type="dxa"/>
            <w:vAlign w:val="bottom"/>
            <w:tcBorders>
              <w:left w:val="single" w:sz="8" w:color="3C3C3C"/>
              <w:right w:val="single" w:sz="8" w:color="3C3C3C"/>
            </w:tcBorders>
            <w:shd w:val="clear" w:color="auto" w:fill="3C3C3C"/>
          </w:tcPr>
          <w:p>
            <w:pPr>
              <w:spacing w:after="0"/>
              <w:rPr>
                <w:sz w:val="16"/>
                <w:szCs w:val="16"/>
                <w:color w:val="auto"/>
              </w:rPr>
            </w:pPr>
          </w:p>
        </w:tc>
        <w:tc>
          <w:tcPr>
            <w:tcW w:w="80" w:type="dxa"/>
            <w:vAlign w:val="bottom"/>
            <w:shd w:val="clear" w:color="auto" w:fill="3C3C3C"/>
          </w:tcPr>
          <w:p>
            <w:pPr>
              <w:spacing w:after="0"/>
              <w:rPr>
                <w:sz w:val="16"/>
                <w:szCs w:val="16"/>
                <w:color w:val="auto"/>
              </w:rPr>
            </w:pPr>
          </w:p>
        </w:tc>
        <w:tc>
          <w:tcPr>
            <w:tcW w:w="580" w:type="dxa"/>
            <w:vAlign w:val="bottom"/>
            <w:shd w:val="clear" w:color="auto" w:fill="3C3C3C"/>
          </w:tcPr>
          <w:p>
            <w:pPr>
              <w:spacing w:after="0"/>
              <w:rPr>
                <w:sz w:val="16"/>
                <w:szCs w:val="16"/>
                <w:color w:val="auto"/>
              </w:rPr>
            </w:pPr>
          </w:p>
        </w:tc>
        <w:tc>
          <w:tcPr>
            <w:tcW w:w="120" w:type="dxa"/>
            <w:vAlign w:val="bottom"/>
            <w:tcBorders>
              <w:right w:val="single" w:sz="8" w:color="3C3C3C"/>
            </w:tcBorders>
            <w:shd w:val="clear" w:color="auto" w:fill="3C3C3C"/>
          </w:tcPr>
          <w:p>
            <w:pPr>
              <w:spacing w:after="0"/>
              <w:rPr>
                <w:sz w:val="16"/>
                <w:szCs w:val="16"/>
                <w:color w:val="auto"/>
              </w:rPr>
            </w:pPr>
          </w:p>
        </w:tc>
        <w:tc>
          <w:tcPr>
            <w:tcW w:w="1140" w:type="dxa"/>
            <w:vAlign w:val="bottom"/>
            <w:tcBorders>
              <w:right w:val="single" w:sz="8" w:color="3C3C3C"/>
            </w:tcBorders>
            <w:shd w:val="clear" w:color="auto" w:fill="3C3C3C"/>
          </w:tcPr>
          <w:p>
            <w:pPr>
              <w:spacing w:after="0"/>
              <w:rPr>
                <w:sz w:val="16"/>
                <w:szCs w:val="16"/>
                <w:color w:val="auto"/>
              </w:rPr>
            </w:pPr>
          </w:p>
        </w:tc>
        <w:tc>
          <w:tcPr>
            <w:tcW w:w="920" w:type="dxa"/>
            <w:vAlign w:val="bottom"/>
            <w:tcBorders>
              <w:right w:val="single" w:sz="8" w:color="3C3C3C"/>
            </w:tcBorders>
            <w:shd w:val="clear" w:color="auto" w:fill="3C3C3C"/>
          </w:tcPr>
          <w:p>
            <w:pPr>
              <w:spacing w:after="0"/>
              <w:rPr>
                <w:sz w:val="16"/>
                <w:szCs w:val="16"/>
                <w:color w:val="auto"/>
              </w:rPr>
            </w:pPr>
          </w:p>
        </w:tc>
        <w:tc>
          <w:tcPr>
            <w:tcW w:w="1480" w:type="dxa"/>
            <w:vAlign w:val="bottom"/>
            <w:tcBorders>
              <w:right w:val="single" w:sz="8" w:color="3C3C3C"/>
            </w:tcBorders>
            <w:shd w:val="clear" w:color="auto" w:fill="3C3C3C"/>
          </w:tcPr>
          <w:p>
            <w:pPr>
              <w:spacing w:after="0"/>
              <w:rPr>
                <w:sz w:val="16"/>
                <w:szCs w:val="16"/>
                <w:color w:val="auto"/>
              </w:rPr>
            </w:pPr>
          </w:p>
        </w:tc>
        <w:tc>
          <w:tcPr>
            <w:tcW w:w="1580" w:type="dxa"/>
            <w:vAlign w:val="bottom"/>
            <w:tcBorders>
              <w:right w:val="single" w:sz="8" w:color="3C3C3C"/>
            </w:tcBorders>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w w:val="93"/>
              </w:rPr>
              <w:t>($)</w:t>
            </w:r>
          </w:p>
        </w:tc>
        <w:tc>
          <w:tcPr>
            <w:tcW w:w="1500" w:type="dxa"/>
            <w:vAlign w:val="bottom"/>
            <w:tcBorders>
              <w:right w:val="single" w:sz="8" w:color="3C3C3C"/>
            </w:tcBorders>
            <w:shd w:val="clear" w:color="auto" w:fill="3C3C3C"/>
          </w:tcPr>
          <w:p>
            <w:pPr>
              <w:spacing w:after="0"/>
              <w:rPr>
                <w:sz w:val="16"/>
                <w:szCs w:val="16"/>
                <w:color w:val="auto"/>
              </w:rPr>
            </w:pPr>
          </w:p>
        </w:tc>
        <w:tc>
          <w:tcPr>
            <w:tcW w:w="1300" w:type="dxa"/>
            <w:vAlign w:val="bottom"/>
            <w:tcBorders>
              <w:right w:val="single" w:sz="8" w:color="3C3C3C"/>
            </w:tcBorders>
            <w:shd w:val="clear" w:color="auto" w:fill="3C3C3C"/>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560" w:type="dxa"/>
            <w:vAlign w:val="bottom"/>
            <w:tcBorders>
              <w:left w:val="single" w:sz="8" w:color="929292"/>
              <w:righ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80" w:type="dxa"/>
            <w:vAlign w:val="bottom"/>
            <w:shd w:val="clear" w:color="auto" w:fill="FAF6EF"/>
          </w:tcPr>
          <w:p>
            <w:pPr>
              <w:spacing w:after="0"/>
              <w:rPr>
                <w:sz w:val="24"/>
                <w:szCs w:val="24"/>
                <w:color w:val="auto"/>
              </w:rPr>
            </w:pPr>
          </w:p>
        </w:tc>
        <w:tc>
          <w:tcPr>
            <w:tcW w:w="58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2024</w:t>
            </w:r>
          </w:p>
        </w:tc>
        <w:tc>
          <w:tcPr>
            <w:tcW w:w="120" w:type="dxa"/>
            <w:vAlign w:val="bottom"/>
            <w:tcBorders>
              <w:right w:val="single" w:sz="8" w:color="929292"/>
            </w:tcBorders>
            <w:shd w:val="clear" w:color="auto" w:fill="FAF6EF"/>
          </w:tcPr>
          <w:p>
            <w:pPr>
              <w:spacing w:after="0"/>
              <w:rPr>
                <w:sz w:val="24"/>
                <w:szCs w:val="24"/>
                <w:color w:val="auto"/>
              </w:rPr>
            </w:pPr>
          </w:p>
        </w:tc>
        <w:tc>
          <w:tcPr>
            <w:tcW w:w="1140" w:type="dxa"/>
            <w:vAlign w:val="bottom"/>
            <w:tcBorders>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450,000</w:t>
            </w:r>
          </w:p>
        </w:tc>
        <w:tc>
          <w:tcPr>
            <w:tcW w:w="920" w:type="dxa"/>
            <w:vAlign w:val="bottom"/>
            <w:tcBorders>
              <w:right w:val="single" w:sz="8" w:color="929292"/>
            </w:tcBorders>
            <w:shd w:val="clear" w:color="auto" w:fill="FAF6EF"/>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w w:val="99"/>
              </w:rPr>
              <w:t>12,156,580</w:t>
            </w:r>
          </w:p>
        </w:tc>
        <w:tc>
          <w:tcPr>
            <w:tcW w:w="158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w w:val="98"/>
              </w:rPr>
              <w:t>22,843</w:t>
            </w:r>
          </w:p>
        </w:tc>
        <w:tc>
          <w:tcPr>
            <w:tcW w:w="1500" w:type="dxa"/>
            <w:vAlign w:val="bottom"/>
            <w:tcBorders>
              <w:right w:val="single" w:sz="8" w:color="929292"/>
            </w:tcBorders>
            <w:shd w:val="clear" w:color="auto" w:fill="FAF6EF"/>
          </w:tcPr>
          <w:p>
            <w:pPr>
              <w:jc w:val="center"/>
              <w:ind w:right="82"/>
              <w:spacing w:after="0"/>
              <w:rPr>
                <w:sz w:val="20"/>
                <w:szCs w:val="20"/>
                <w:color w:val="auto"/>
              </w:rPr>
            </w:pPr>
            <w:r>
              <w:rPr>
                <w:rFonts w:ascii="Arial" w:cs="Arial" w:eastAsia="Arial" w:hAnsi="Arial"/>
                <w:sz w:val="16"/>
                <w:szCs w:val="16"/>
                <w:color w:val="auto"/>
                <w:w w:val="97"/>
              </w:rPr>
              <w:t>582</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12,630,005</w:t>
            </w:r>
          </w:p>
        </w:tc>
        <w:tc>
          <w:tcPr>
            <w:tcW w:w="0" w:type="dxa"/>
            <w:vAlign w:val="bottom"/>
          </w:tcPr>
          <w:p>
            <w:pPr>
              <w:spacing w:after="0"/>
              <w:rPr>
                <w:sz w:val="1"/>
                <w:szCs w:val="1"/>
                <w:color w:val="auto"/>
              </w:rPr>
            </w:pPr>
          </w:p>
        </w:tc>
      </w:tr>
      <w:tr>
        <w:trPr>
          <w:trHeight w:val="83"/>
        </w:trPr>
        <w:tc>
          <w:tcPr>
            <w:tcW w:w="2560" w:type="dxa"/>
            <w:vAlign w:val="bottom"/>
            <w:tcBorders>
              <w:left w:val="single" w:sz="8" w:color="929292"/>
              <w:right w:val="single" w:sz="8" w:color="929292"/>
            </w:tcBorders>
            <w:vMerge w:val="continue"/>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580" w:type="dxa"/>
            <w:vAlign w:val="bottom"/>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shd w:val="clear" w:color="auto" w:fill="FAF6EF"/>
          </w:tcPr>
          <w:p>
            <w:pPr>
              <w:spacing w:after="0"/>
              <w:rPr>
                <w:sz w:val="7"/>
                <w:szCs w:val="7"/>
                <w:color w:val="auto"/>
              </w:rPr>
            </w:pPr>
          </w:p>
        </w:tc>
        <w:tc>
          <w:tcPr>
            <w:tcW w:w="920" w:type="dxa"/>
            <w:vAlign w:val="bottom"/>
            <w:tcBorders>
              <w:right w:val="single" w:sz="8" w:color="929292"/>
            </w:tcBorders>
            <w:shd w:val="clear" w:color="auto" w:fill="FAF6EF"/>
          </w:tcPr>
          <w:p>
            <w:pPr>
              <w:spacing w:after="0"/>
              <w:rPr>
                <w:sz w:val="7"/>
                <w:szCs w:val="7"/>
                <w:color w:val="auto"/>
              </w:rPr>
            </w:pPr>
          </w:p>
        </w:tc>
        <w:tc>
          <w:tcPr>
            <w:tcW w:w="1480" w:type="dxa"/>
            <w:vAlign w:val="bottom"/>
            <w:tcBorders>
              <w:right w:val="single" w:sz="8" w:color="929292"/>
            </w:tcBorders>
            <w:shd w:val="clear" w:color="auto" w:fill="FAF6EF"/>
          </w:tcPr>
          <w:p>
            <w:pPr>
              <w:spacing w:after="0"/>
              <w:rPr>
                <w:sz w:val="7"/>
                <w:szCs w:val="7"/>
                <w:color w:val="auto"/>
              </w:rPr>
            </w:pPr>
          </w:p>
        </w:tc>
        <w:tc>
          <w:tcPr>
            <w:tcW w:w="1580" w:type="dxa"/>
            <w:vAlign w:val="bottom"/>
            <w:tcBorders>
              <w:right w:val="single" w:sz="8" w:color="929292"/>
            </w:tcBorders>
            <w:shd w:val="clear" w:color="auto" w:fill="FAF6EF"/>
          </w:tcPr>
          <w:p>
            <w:pPr>
              <w:spacing w:after="0"/>
              <w:rPr>
                <w:sz w:val="7"/>
                <w:szCs w:val="7"/>
                <w:color w:val="auto"/>
              </w:rPr>
            </w:pPr>
          </w:p>
        </w:tc>
        <w:tc>
          <w:tcPr>
            <w:tcW w:w="1500" w:type="dxa"/>
            <w:vAlign w:val="bottom"/>
            <w:tcBorders>
              <w:right w:val="single" w:sz="8" w:color="929292"/>
            </w:tcBorders>
            <w:shd w:val="clear" w:color="auto" w:fill="FAF6EF"/>
          </w:tcPr>
          <w:p>
            <w:pPr>
              <w:spacing w:after="0"/>
              <w:rPr>
                <w:sz w:val="7"/>
                <w:szCs w:val="7"/>
                <w:color w:val="auto"/>
              </w:rPr>
            </w:pPr>
          </w:p>
        </w:tc>
        <w:tc>
          <w:tcPr>
            <w:tcW w:w="1300" w:type="dxa"/>
            <w:vAlign w:val="bottom"/>
            <w:tcBorders>
              <w:right w:val="single" w:sz="8" w:color="929292"/>
            </w:tcBorders>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5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80" w:type="dxa"/>
            <w:vAlign w:val="bottom"/>
            <w:shd w:val="clear" w:color="auto" w:fill="FAF6EF"/>
          </w:tcPr>
          <w:p>
            <w:pPr>
              <w:spacing w:after="0"/>
              <w:rPr>
                <w:sz w:val="23"/>
                <w:szCs w:val="23"/>
                <w:color w:val="auto"/>
              </w:rPr>
            </w:pPr>
          </w:p>
        </w:tc>
        <w:tc>
          <w:tcPr>
            <w:tcW w:w="58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929292"/>
            </w:tcBorders>
            <w:shd w:val="clear" w:color="auto" w:fill="FAF6EF"/>
          </w:tcPr>
          <w:p>
            <w:pPr>
              <w:spacing w:after="0"/>
              <w:rPr>
                <w:sz w:val="23"/>
                <w:szCs w:val="23"/>
                <w:color w:val="auto"/>
              </w:rPr>
            </w:pPr>
          </w:p>
        </w:tc>
        <w:tc>
          <w:tcPr>
            <w:tcW w:w="1140" w:type="dxa"/>
            <w:vAlign w:val="bottom"/>
            <w:tcBorders>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450,000</w:t>
            </w:r>
          </w:p>
        </w:tc>
        <w:tc>
          <w:tcPr>
            <w:tcW w:w="920" w:type="dxa"/>
            <w:vAlign w:val="bottom"/>
            <w:tcBorders>
              <w:right w:val="single" w:sz="8" w:color="929292"/>
            </w:tcBorders>
            <w:shd w:val="clear" w:color="auto" w:fill="FAF6EF"/>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w w:val="99"/>
              </w:rPr>
              <w:t>18,804,672</w:t>
            </w:r>
          </w:p>
        </w:tc>
        <w:tc>
          <w:tcPr>
            <w:tcW w:w="158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rPr>
              <w:t>270,750</w:t>
            </w:r>
          </w:p>
        </w:tc>
        <w:tc>
          <w:tcPr>
            <w:tcW w:w="150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w w:val="99"/>
              </w:rPr>
              <w:t>2,112</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19,527,534</w:t>
            </w:r>
          </w:p>
        </w:tc>
        <w:tc>
          <w:tcPr>
            <w:tcW w:w="0" w:type="dxa"/>
            <w:vAlign w:val="bottom"/>
          </w:tcPr>
          <w:p>
            <w:pPr>
              <w:spacing w:after="0"/>
              <w:rPr>
                <w:sz w:val="1"/>
                <w:szCs w:val="1"/>
                <w:color w:val="auto"/>
              </w:rPr>
            </w:pPr>
          </w:p>
        </w:tc>
      </w:tr>
      <w:tr>
        <w:trPr>
          <w:trHeight w:val="223"/>
        </w:trPr>
        <w:tc>
          <w:tcPr>
            <w:tcW w:w="25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President and CEO</w:t>
            </w:r>
          </w:p>
        </w:tc>
        <w:tc>
          <w:tcPr>
            <w:tcW w:w="80" w:type="dxa"/>
            <w:vAlign w:val="bottom"/>
            <w:shd w:val="clear" w:color="auto" w:fill="FAF6EF"/>
          </w:tcPr>
          <w:p>
            <w:pPr>
              <w:spacing w:after="0"/>
              <w:rPr>
                <w:sz w:val="19"/>
                <w:szCs w:val="19"/>
                <w:color w:val="auto"/>
              </w:rPr>
            </w:pPr>
          </w:p>
        </w:tc>
        <w:tc>
          <w:tcPr>
            <w:tcW w:w="58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929292"/>
            </w:tcBorders>
            <w:shd w:val="clear" w:color="auto" w:fill="FAF6EF"/>
          </w:tcPr>
          <w:p>
            <w:pPr>
              <w:spacing w:after="0"/>
              <w:rPr>
                <w:sz w:val="19"/>
                <w:szCs w:val="19"/>
                <w:color w:val="auto"/>
              </w:rPr>
            </w:pPr>
          </w:p>
        </w:tc>
        <w:tc>
          <w:tcPr>
            <w:tcW w:w="1140" w:type="dxa"/>
            <w:vAlign w:val="bottom"/>
            <w:tcBorders>
              <w:right w:val="single" w:sz="8" w:color="929292"/>
            </w:tcBorders>
            <w:vMerge w:val="restart"/>
            <w:shd w:val="clear" w:color="auto" w:fill="FAF6EF"/>
          </w:tcPr>
          <w:p>
            <w:pPr>
              <w:jc w:val="center"/>
              <w:ind w:right="40"/>
              <w:spacing w:after="0"/>
              <w:rPr>
                <w:sz w:val="20"/>
                <w:szCs w:val="20"/>
                <w:color w:val="auto"/>
              </w:rPr>
            </w:pPr>
            <w:r>
              <w:rPr>
                <w:rFonts w:ascii="Arial" w:cs="Arial" w:eastAsia="Arial" w:hAnsi="Arial"/>
                <w:sz w:val="16"/>
                <w:szCs w:val="16"/>
                <w:color w:val="auto"/>
              </w:rPr>
              <w:t>450,000</w:t>
            </w:r>
          </w:p>
        </w:tc>
        <w:tc>
          <w:tcPr>
            <w:tcW w:w="920" w:type="dxa"/>
            <w:vAlign w:val="bottom"/>
            <w:tcBorders>
              <w:right w:val="single" w:sz="8" w:color="929292"/>
            </w:tcBorders>
            <w:vMerge w:val="restart"/>
            <w:shd w:val="clear" w:color="auto" w:fill="FAF6EF"/>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vMerge w:val="restart"/>
            <w:shd w:val="clear" w:color="auto" w:fill="FAF6EF"/>
          </w:tcPr>
          <w:p>
            <w:pPr>
              <w:jc w:val="center"/>
              <w:ind w:right="44"/>
              <w:spacing w:after="0"/>
              <w:rPr>
                <w:sz w:val="20"/>
                <w:szCs w:val="20"/>
                <w:color w:val="auto"/>
              </w:rPr>
            </w:pPr>
            <w:r>
              <w:rPr>
                <w:rFonts w:ascii="Arial" w:cs="Arial" w:eastAsia="Arial" w:hAnsi="Arial"/>
                <w:sz w:val="16"/>
                <w:szCs w:val="16"/>
                <w:color w:val="auto"/>
                <w:w w:val="99"/>
              </w:rPr>
              <w:t>15,611,200</w:t>
            </w:r>
          </w:p>
        </w:tc>
        <w:tc>
          <w:tcPr>
            <w:tcW w:w="1580" w:type="dxa"/>
            <w:vAlign w:val="bottom"/>
            <w:tcBorders>
              <w:right w:val="single" w:sz="8" w:color="929292"/>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rPr>
              <w:t>564,665</w:t>
            </w:r>
          </w:p>
        </w:tc>
        <w:tc>
          <w:tcPr>
            <w:tcW w:w="1500" w:type="dxa"/>
            <w:vAlign w:val="bottom"/>
            <w:tcBorders>
              <w:right w:val="single" w:sz="8" w:color="929292"/>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w w:val="99"/>
              </w:rPr>
              <w:t>2,112</w:t>
            </w:r>
          </w:p>
        </w:tc>
        <w:tc>
          <w:tcPr>
            <w:tcW w:w="1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16,627,977</w:t>
            </w:r>
          </w:p>
        </w:tc>
        <w:tc>
          <w:tcPr>
            <w:tcW w:w="0" w:type="dxa"/>
            <w:vAlign w:val="bottom"/>
          </w:tcPr>
          <w:p>
            <w:pPr>
              <w:spacing w:after="0"/>
              <w:rPr>
                <w:sz w:val="1"/>
                <w:szCs w:val="1"/>
                <w:color w:val="auto"/>
              </w:rPr>
            </w:pPr>
          </w:p>
        </w:tc>
      </w:tr>
      <w:tr>
        <w:trPr>
          <w:trHeight w:val="154"/>
        </w:trPr>
        <w:tc>
          <w:tcPr>
            <w:tcW w:w="2560" w:type="dxa"/>
            <w:vAlign w:val="bottom"/>
            <w:tcBorders>
              <w:left w:val="single" w:sz="8" w:color="929292"/>
              <w:right w:val="single" w:sz="8" w:color="929292"/>
            </w:tcBorders>
            <w:shd w:val="clear" w:color="auto" w:fill="FAF6EF"/>
          </w:tcPr>
          <w:p>
            <w:pPr>
              <w:spacing w:after="0"/>
              <w:rPr>
                <w:sz w:val="13"/>
                <w:szCs w:val="13"/>
                <w:color w:val="auto"/>
              </w:rPr>
            </w:pPr>
          </w:p>
        </w:tc>
        <w:tc>
          <w:tcPr>
            <w:tcW w:w="80" w:type="dxa"/>
            <w:vAlign w:val="bottom"/>
            <w:shd w:val="clear" w:color="auto" w:fill="FAF6EF"/>
          </w:tcPr>
          <w:p>
            <w:pPr>
              <w:spacing w:after="0"/>
              <w:rPr>
                <w:sz w:val="13"/>
                <w:szCs w:val="13"/>
                <w:color w:val="auto"/>
              </w:rPr>
            </w:pPr>
          </w:p>
        </w:tc>
        <w:tc>
          <w:tcPr>
            <w:tcW w:w="580" w:type="dxa"/>
            <w:vAlign w:val="bottom"/>
            <w:vMerge w:val="continue"/>
            <w:shd w:val="clear" w:color="auto" w:fill="FAF6EF"/>
          </w:tcPr>
          <w:p>
            <w:pPr>
              <w:spacing w:after="0"/>
              <w:rPr>
                <w:sz w:val="13"/>
                <w:szCs w:val="13"/>
                <w:color w:val="auto"/>
              </w:rPr>
            </w:pPr>
          </w:p>
        </w:tc>
        <w:tc>
          <w:tcPr>
            <w:tcW w:w="120" w:type="dxa"/>
            <w:vAlign w:val="bottom"/>
            <w:tcBorders>
              <w:right w:val="single" w:sz="8" w:color="929292"/>
            </w:tcBorders>
            <w:shd w:val="clear" w:color="auto" w:fill="FAF6EF"/>
          </w:tcPr>
          <w:p>
            <w:pPr>
              <w:spacing w:after="0"/>
              <w:rPr>
                <w:sz w:val="13"/>
                <w:szCs w:val="13"/>
                <w:color w:val="auto"/>
              </w:rPr>
            </w:pPr>
          </w:p>
        </w:tc>
        <w:tc>
          <w:tcPr>
            <w:tcW w:w="1140" w:type="dxa"/>
            <w:vAlign w:val="bottom"/>
            <w:tcBorders>
              <w:right w:val="single" w:sz="8" w:color="929292"/>
            </w:tcBorders>
            <w:vMerge w:val="continue"/>
            <w:shd w:val="clear" w:color="auto" w:fill="FAF6EF"/>
          </w:tcPr>
          <w:p>
            <w:pPr>
              <w:spacing w:after="0"/>
              <w:rPr>
                <w:sz w:val="13"/>
                <w:szCs w:val="13"/>
                <w:color w:val="auto"/>
              </w:rPr>
            </w:pPr>
          </w:p>
        </w:tc>
        <w:tc>
          <w:tcPr>
            <w:tcW w:w="920" w:type="dxa"/>
            <w:vAlign w:val="bottom"/>
            <w:tcBorders>
              <w:right w:val="single" w:sz="8" w:color="929292"/>
            </w:tcBorders>
            <w:vMerge w:val="continue"/>
            <w:shd w:val="clear" w:color="auto" w:fill="FAF6EF"/>
          </w:tcPr>
          <w:p>
            <w:pPr>
              <w:spacing w:after="0"/>
              <w:rPr>
                <w:sz w:val="13"/>
                <w:szCs w:val="13"/>
                <w:color w:val="auto"/>
              </w:rPr>
            </w:pPr>
          </w:p>
        </w:tc>
        <w:tc>
          <w:tcPr>
            <w:tcW w:w="1480" w:type="dxa"/>
            <w:vAlign w:val="bottom"/>
            <w:tcBorders>
              <w:right w:val="single" w:sz="8" w:color="929292"/>
            </w:tcBorders>
            <w:vMerge w:val="continue"/>
            <w:shd w:val="clear" w:color="auto" w:fill="FAF6EF"/>
          </w:tcPr>
          <w:p>
            <w:pPr>
              <w:spacing w:after="0"/>
              <w:rPr>
                <w:sz w:val="13"/>
                <w:szCs w:val="13"/>
                <w:color w:val="auto"/>
              </w:rPr>
            </w:pPr>
          </w:p>
        </w:tc>
        <w:tc>
          <w:tcPr>
            <w:tcW w:w="1580" w:type="dxa"/>
            <w:vAlign w:val="bottom"/>
            <w:tcBorders>
              <w:right w:val="single" w:sz="8" w:color="929292"/>
            </w:tcBorders>
            <w:vMerge w:val="continue"/>
            <w:shd w:val="clear" w:color="auto" w:fill="FAF6EF"/>
          </w:tcPr>
          <w:p>
            <w:pPr>
              <w:spacing w:after="0"/>
              <w:rPr>
                <w:sz w:val="13"/>
                <w:szCs w:val="13"/>
                <w:color w:val="auto"/>
              </w:rPr>
            </w:pPr>
          </w:p>
        </w:tc>
        <w:tc>
          <w:tcPr>
            <w:tcW w:w="1500" w:type="dxa"/>
            <w:vAlign w:val="bottom"/>
            <w:tcBorders>
              <w:right w:val="single" w:sz="8" w:color="929292"/>
            </w:tcBorders>
            <w:vMerge w:val="continue"/>
            <w:shd w:val="clear" w:color="auto" w:fill="FAF6EF"/>
          </w:tcPr>
          <w:p>
            <w:pPr>
              <w:spacing w:after="0"/>
              <w:rPr>
                <w:sz w:val="13"/>
                <w:szCs w:val="13"/>
                <w:color w:val="auto"/>
              </w:rPr>
            </w:pPr>
          </w:p>
        </w:tc>
        <w:tc>
          <w:tcPr>
            <w:tcW w:w="1300" w:type="dxa"/>
            <w:vAlign w:val="bottom"/>
            <w:tcBorders>
              <w:right w:val="single" w:sz="8" w:color="929292"/>
            </w:tcBorders>
            <w:vMerge w:val="continue"/>
            <w:shd w:val="clear" w:color="auto" w:fill="FAF6EF"/>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560" w:type="dxa"/>
            <w:vAlign w:val="bottom"/>
            <w:tcBorders>
              <w:left w:val="single" w:sz="8" w:color="929292"/>
              <w:right w:val="single" w:sz="8" w:color="929292"/>
            </w:tcBorders>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580" w:type="dxa"/>
            <w:vAlign w:val="bottom"/>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shd w:val="clear" w:color="auto" w:fill="FAF6EF"/>
          </w:tcPr>
          <w:p>
            <w:pPr>
              <w:spacing w:after="0"/>
              <w:rPr>
                <w:sz w:val="7"/>
                <w:szCs w:val="7"/>
                <w:color w:val="auto"/>
              </w:rPr>
            </w:pPr>
          </w:p>
        </w:tc>
        <w:tc>
          <w:tcPr>
            <w:tcW w:w="920" w:type="dxa"/>
            <w:vAlign w:val="bottom"/>
            <w:tcBorders>
              <w:right w:val="single" w:sz="8" w:color="929292"/>
            </w:tcBorders>
            <w:shd w:val="clear" w:color="auto" w:fill="FAF6EF"/>
          </w:tcPr>
          <w:p>
            <w:pPr>
              <w:spacing w:after="0"/>
              <w:rPr>
                <w:sz w:val="7"/>
                <w:szCs w:val="7"/>
                <w:color w:val="auto"/>
              </w:rPr>
            </w:pPr>
          </w:p>
        </w:tc>
        <w:tc>
          <w:tcPr>
            <w:tcW w:w="1480" w:type="dxa"/>
            <w:vAlign w:val="bottom"/>
            <w:tcBorders>
              <w:right w:val="single" w:sz="8" w:color="929292"/>
            </w:tcBorders>
            <w:shd w:val="clear" w:color="auto" w:fill="FAF6EF"/>
          </w:tcPr>
          <w:p>
            <w:pPr>
              <w:spacing w:after="0"/>
              <w:rPr>
                <w:sz w:val="7"/>
                <w:szCs w:val="7"/>
                <w:color w:val="auto"/>
              </w:rPr>
            </w:pPr>
          </w:p>
        </w:tc>
        <w:tc>
          <w:tcPr>
            <w:tcW w:w="1580" w:type="dxa"/>
            <w:vAlign w:val="bottom"/>
            <w:tcBorders>
              <w:right w:val="single" w:sz="8" w:color="929292"/>
            </w:tcBorders>
            <w:shd w:val="clear" w:color="auto" w:fill="FAF6EF"/>
          </w:tcPr>
          <w:p>
            <w:pPr>
              <w:spacing w:after="0"/>
              <w:rPr>
                <w:sz w:val="7"/>
                <w:szCs w:val="7"/>
                <w:color w:val="auto"/>
              </w:rPr>
            </w:pPr>
          </w:p>
        </w:tc>
        <w:tc>
          <w:tcPr>
            <w:tcW w:w="1500" w:type="dxa"/>
            <w:vAlign w:val="bottom"/>
            <w:tcBorders>
              <w:right w:val="single" w:sz="8" w:color="929292"/>
            </w:tcBorders>
            <w:shd w:val="clear" w:color="auto" w:fill="FAF6EF"/>
          </w:tcPr>
          <w:p>
            <w:pPr>
              <w:spacing w:after="0"/>
              <w:rPr>
                <w:sz w:val="7"/>
                <w:szCs w:val="7"/>
                <w:color w:val="auto"/>
              </w:rPr>
            </w:pPr>
          </w:p>
        </w:tc>
        <w:tc>
          <w:tcPr>
            <w:tcW w:w="1300" w:type="dxa"/>
            <w:vAlign w:val="bottom"/>
            <w:tcBorders>
              <w:right w:val="single" w:sz="8" w:color="929292"/>
            </w:tcBorders>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560" w:type="dxa"/>
            <w:vAlign w:val="bottom"/>
            <w:tcBorders>
              <w:left w:val="single" w:sz="8" w:color="929292"/>
              <w:right w:val="single" w:sz="8" w:color="929292"/>
            </w:tcBorders>
          </w:tcPr>
          <w:p>
            <w:pPr>
              <w:spacing w:after="0"/>
              <w:rPr>
                <w:sz w:val="24"/>
                <w:szCs w:val="24"/>
                <w:color w:val="auto"/>
              </w:rPr>
            </w:pPr>
          </w:p>
        </w:tc>
        <w:tc>
          <w:tcPr>
            <w:tcW w:w="660" w:type="dxa"/>
            <w:vAlign w:val="bottom"/>
            <w:gridSpan w:val="2"/>
          </w:tcPr>
          <w:p>
            <w:pPr>
              <w:jc w:val="center"/>
              <w:ind w:left="19"/>
              <w:spacing w:after="0"/>
              <w:rPr>
                <w:sz w:val="20"/>
                <w:szCs w:val="20"/>
                <w:color w:val="auto"/>
              </w:rPr>
            </w:pPr>
            <w:r>
              <w:rPr>
                <w:rFonts w:ascii="Arial" w:cs="Arial" w:eastAsia="Arial" w:hAnsi="Arial"/>
                <w:sz w:val="16"/>
                <w:szCs w:val="16"/>
                <w:color w:val="auto"/>
              </w:rPr>
              <w:t>2024</w:t>
            </w:r>
          </w:p>
        </w:tc>
        <w:tc>
          <w:tcPr>
            <w:tcW w:w="120" w:type="dxa"/>
            <w:vAlign w:val="bottom"/>
            <w:tcBorders>
              <w:right w:val="single" w:sz="8" w:color="929292"/>
            </w:tcBorders>
          </w:tcPr>
          <w:p>
            <w:pPr>
              <w:spacing w:after="0"/>
              <w:rPr>
                <w:sz w:val="24"/>
                <w:szCs w:val="24"/>
                <w:color w:val="auto"/>
              </w:rPr>
            </w:pPr>
          </w:p>
        </w:tc>
        <w:tc>
          <w:tcPr>
            <w:tcW w:w="1140" w:type="dxa"/>
            <w:vAlign w:val="bottom"/>
            <w:tcBorders>
              <w:right w:val="single" w:sz="8" w:color="929292"/>
            </w:tcBorders>
          </w:tcPr>
          <w:p>
            <w:pPr>
              <w:jc w:val="center"/>
              <w:ind w:right="40"/>
              <w:spacing w:after="0"/>
              <w:rPr>
                <w:sz w:val="20"/>
                <w:szCs w:val="20"/>
                <w:color w:val="auto"/>
              </w:rPr>
            </w:pPr>
            <w:r>
              <w:rPr>
                <w:rFonts w:ascii="Arial" w:cs="Arial" w:eastAsia="Arial" w:hAnsi="Arial"/>
                <w:sz w:val="16"/>
                <w:szCs w:val="16"/>
                <w:color w:val="auto"/>
              </w:rPr>
              <w:t>367,500</w:t>
            </w:r>
          </w:p>
        </w:tc>
        <w:tc>
          <w:tcPr>
            <w:tcW w:w="920" w:type="dxa"/>
            <w:vAlign w:val="bottom"/>
            <w:tcBorders>
              <w:right w:val="single" w:sz="8" w:color="929292"/>
            </w:tcBorders>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tcPr>
          <w:p>
            <w:pPr>
              <w:jc w:val="center"/>
              <w:ind w:right="44"/>
              <w:spacing w:after="0"/>
              <w:rPr>
                <w:sz w:val="20"/>
                <w:szCs w:val="20"/>
                <w:color w:val="auto"/>
              </w:rPr>
            </w:pPr>
            <w:r>
              <w:rPr>
                <w:rFonts w:ascii="Arial" w:cs="Arial" w:eastAsia="Arial" w:hAnsi="Arial"/>
                <w:sz w:val="16"/>
                <w:szCs w:val="16"/>
                <w:color w:val="auto"/>
              </w:rPr>
              <w:t>6,321,421</w:t>
            </w:r>
          </w:p>
        </w:tc>
        <w:tc>
          <w:tcPr>
            <w:tcW w:w="1580" w:type="dxa"/>
            <w:vAlign w:val="bottom"/>
            <w:tcBorders>
              <w:right w:val="single" w:sz="8" w:color="929292"/>
            </w:tcBorders>
          </w:tcPr>
          <w:p>
            <w:pPr>
              <w:jc w:val="center"/>
              <w:ind w:right="62"/>
              <w:spacing w:after="0"/>
              <w:rPr>
                <w:sz w:val="20"/>
                <w:szCs w:val="20"/>
                <w:color w:val="auto"/>
              </w:rPr>
            </w:pPr>
            <w:r>
              <w:rPr>
                <w:rFonts w:ascii="Arial" w:cs="Arial" w:eastAsia="Arial" w:hAnsi="Arial"/>
                <w:sz w:val="16"/>
                <w:szCs w:val="16"/>
                <w:color w:val="auto"/>
                <w:w w:val="98"/>
              </w:rPr>
              <w:t>16,128</w:t>
            </w:r>
          </w:p>
        </w:tc>
        <w:tc>
          <w:tcPr>
            <w:tcW w:w="1500" w:type="dxa"/>
            <w:vAlign w:val="bottom"/>
            <w:tcBorders>
              <w:right w:val="single" w:sz="8" w:color="929292"/>
            </w:tcBorders>
          </w:tcPr>
          <w:p>
            <w:pPr>
              <w:jc w:val="center"/>
              <w:ind w:right="62"/>
              <w:spacing w:after="0"/>
              <w:rPr>
                <w:sz w:val="20"/>
                <w:szCs w:val="20"/>
                <w:color w:val="auto"/>
              </w:rPr>
            </w:pPr>
            <w:r>
              <w:rPr>
                <w:rFonts w:ascii="Arial" w:cs="Arial" w:eastAsia="Arial" w:hAnsi="Arial"/>
                <w:sz w:val="16"/>
                <w:szCs w:val="16"/>
                <w:color w:val="auto"/>
                <w:w w:val="99"/>
              </w:rPr>
              <w:t>3,582</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6,708,631</w:t>
            </w:r>
          </w:p>
        </w:tc>
        <w:tc>
          <w:tcPr>
            <w:tcW w:w="0" w:type="dxa"/>
            <w:vAlign w:val="bottom"/>
          </w:tcPr>
          <w:p>
            <w:pPr>
              <w:spacing w:after="0"/>
              <w:rPr>
                <w:sz w:val="1"/>
                <w:szCs w:val="1"/>
                <w:color w:val="auto"/>
              </w:rPr>
            </w:pPr>
          </w:p>
        </w:tc>
      </w:tr>
      <w:tr>
        <w:trPr>
          <w:trHeight w:val="224"/>
        </w:trPr>
        <w:tc>
          <w:tcPr>
            <w:tcW w:w="256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6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929292"/>
            </w:tcBorders>
          </w:tcPr>
          <w:p>
            <w:pPr>
              <w:spacing w:after="0"/>
              <w:rPr>
                <w:sz w:val="19"/>
                <w:szCs w:val="19"/>
                <w:color w:val="auto"/>
              </w:rPr>
            </w:pPr>
          </w:p>
        </w:tc>
        <w:tc>
          <w:tcPr>
            <w:tcW w:w="1140" w:type="dxa"/>
            <w:vAlign w:val="bottom"/>
            <w:tcBorders>
              <w:right w:val="single" w:sz="8" w:color="929292"/>
            </w:tcBorders>
            <w:vMerge w:val="restart"/>
          </w:tcPr>
          <w:p>
            <w:pPr>
              <w:jc w:val="center"/>
              <w:ind w:right="40"/>
              <w:spacing w:after="0"/>
              <w:rPr>
                <w:sz w:val="20"/>
                <w:szCs w:val="20"/>
                <w:color w:val="auto"/>
              </w:rPr>
            </w:pPr>
            <w:r>
              <w:rPr>
                <w:rFonts w:ascii="Arial" w:cs="Arial" w:eastAsia="Arial" w:hAnsi="Arial"/>
                <w:sz w:val="16"/>
                <w:szCs w:val="16"/>
                <w:color w:val="auto"/>
              </w:rPr>
              <w:t>363,125</w:t>
            </w:r>
          </w:p>
        </w:tc>
        <w:tc>
          <w:tcPr>
            <w:tcW w:w="920" w:type="dxa"/>
            <w:vAlign w:val="bottom"/>
            <w:tcBorders>
              <w:right w:val="single" w:sz="8" w:color="929292"/>
            </w:tcBorders>
            <w:vMerge w:val="restart"/>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vMerge w:val="restart"/>
          </w:tcPr>
          <w:p>
            <w:pPr>
              <w:jc w:val="center"/>
              <w:ind w:right="64"/>
              <w:spacing w:after="0"/>
              <w:rPr>
                <w:sz w:val="20"/>
                <w:szCs w:val="20"/>
                <w:color w:val="auto"/>
              </w:rPr>
            </w:pPr>
            <w:r>
              <w:rPr>
                <w:rFonts w:ascii="Arial" w:cs="Arial" w:eastAsia="Arial" w:hAnsi="Arial"/>
                <w:sz w:val="16"/>
                <w:szCs w:val="16"/>
                <w:color w:val="auto"/>
                <w:w w:val="98"/>
              </w:rPr>
              <w:t>6,111,519</w:t>
            </w:r>
          </w:p>
        </w:tc>
        <w:tc>
          <w:tcPr>
            <w:tcW w:w="1580" w:type="dxa"/>
            <w:vAlign w:val="bottom"/>
            <w:tcBorders>
              <w:right w:val="single" w:sz="8" w:color="929292"/>
            </w:tcBorders>
            <w:vMerge w:val="restart"/>
          </w:tcPr>
          <w:p>
            <w:pPr>
              <w:jc w:val="center"/>
              <w:ind w:right="62"/>
              <w:spacing w:after="0"/>
              <w:rPr>
                <w:sz w:val="20"/>
                <w:szCs w:val="20"/>
                <w:color w:val="auto"/>
              </w:rPr>
            </w:pPr>
            <w:r>
              <w:rPr>
                <w:rFonts w:ascii="Arial" w:cs="Arial" w:eastAsia="Arial" w:hAnsi="Arial"/>
                <w:sz w:val="16"/>
                <w:szCs w:val="16"/>
                <w:color w:val="auto"/>
                <w:w w:val="98"/>
              </w:rPr>
              <w:t>16,128</w:t>
            </w:r>
          </w:p>
        </w:tc>
        <w:tc>
          <w:tcPr>
            <w:tcW w:w="1500" w:type="dxa"/>
            <w:vAlign w:val="bottom"/>
            <w:tcBorders>
              <w:right w:val="single" w:sz="8" w:color="929292"/>
            </w:tcBorders>
            <w:vMerge w:val="restart"/>
          </w:tcPr>
          <w:p>
            <w:pPr>
              <w:jc w:val="center"/>
              <w:ind w:right="62"/>
              <w:spacing w:after="0"/>
              <w:rPr>
                <w:sz w:val="20"/>
                <w:szCs w:val="20"/>
                <w:color w:val="auto"/>
              </w:rPr>
            </w:pPr>
            <w:r>
              <w:rPr>
                <w:rFonts w:ascii="Arial" w:cs="Arial" w:eastAsia="Arial" w:hAnsi="Arial"/>
                <w:sz w:val="16"/>
                <w:szCs w:val="16"/>
                <w:color w:val="auto"/>
                <w:w w:val="99"/>
              </w:rPr>
              <w:t>4,920</w:t>
            </w:r>
          </w:p>
        </w:tc>
        <w:tc>
          <w:tcPr>
            <w:tcW w:w="1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6,495,692</w:t>
            </w:r>
          </w:p>
        </w:tc>
        <w:tc>
          <w:tcPr>
            <w:tcW w:w="0" w:type="dxa"/>
            <w:vAlign w:val="bottom"/>
          </w:tcPr>
          <w:p>
            <w:pPr>
              <w:spacing w:after="0"/>
              <w:rPr>
                <w:sz w:val="1"/>
                <w:szCs w:val="1"/>
                <w:color w:val="auto"/>
              </w:rPr>
            </w:pPr>
          </w:p>
        </w:tc>
      </w:tr>
      <w:tr>
        <w:trPr>
          <w:trHeight w:val="140"/>
        </w:trPr>
        <w:tc>
          <w:tcPr>
            <w:tcW w:w="2560" w:type="dxa"/>
            <w:vAlign w:val="bottom"/>
            <w:tcBorders>
              <w:left w:val="single" w:sz="8" w:color="929292"/>
              <w:right w:val="single" w:sz="8" w:color="929292"/>
            </w:tcBorders>
            <w:vMerge w:val="restart"/>
          </w:tcPr>
          <w:p>
            <w:pPr>
              <w:ind w:left="120"/>
              <w:spacing w:after="0"/>
              <w:rPr>
                <w:sz w:val="20"/>
                <w:szCs w:val="20"/>
                <w:color w:val="auto"/>
              </w:rPr>
            </w:pPr>
            <w:r>
              <w:rPr>
                <w:rFonts w:ascii="Arial" w:cs="Arial" w:eastAsia="Arial" w:hAnsi="Arial"/>
                <w:sz w:val="16"/>
                <w:szCs w:val="16"/>
                <w:b w:val="1"/>
                <w:bCs w:val="1"/>
                <w:color w:val="auto"/>
              </w:rPr>
              <w:t>EVP and CFO</w:t>
            </w:r>
            <w:r>
              <w:rPr>
                <w:rFonts w:ascii="Arial" w:cs="Arial" w:eastAsia="Arial" w:hAnsi="Arial"/>
                <w:sz w:val="21"/>
                <w:szCs w:val="21"/>
                <w:b w:val="1"/>
                <w:bCs w:val="1"/>
                <w:color w:val="auto"/>
                <w:vertAlign w:val="superscript"/>
              </w:rPr>
              <w:t>(3)</w:t>
            </w:r>
          </w:p>
        </w:tc>
        <w:tc>
          <w:tcPr>
            <w:tcW w:w="660" w:type="dxa"/>
            <w:vAlign w:val="bottom"/>
            <w:gridSpan w:val="2"/>
            <w:vMerge w:val="continue"/>
          </w:tcPr>
          <w:p>
            <w:pPr>
              <w:spacing w:after="0"/>
              <w:rPr>
                <w:sz w:val="12"/>
                <w:szCs w:val="12"/>
                <w:color w:val="auto"/>
              </w:rPr>
            </w:pPr>
          </w:p>
        </w:tc>
        <w:tc>
          <w:tcPr>
            <w:tcW w:w="120" w:type="dxa"/>
            <w:vAlign w:val="bottom"/>
            <w:tcBorders>
              <w:right w:val="single" w:sz="8" w:color="929292"/>
            </w:tcBorders>
          </w:tcPr>
          <w:p>
            <w:pPr>
              <w:spacing w:after="0"/>
              <w:rPr>
                <w:sz w:val="12"/>
                <w:szCs w:val="12"/>
                <w:color w:val="auto"/>
              </w:rPr>
            </w:pPr>
          </w:p>
        </w:tc>
        <w:tc>
          <w:tcPr>
            <w:tcW w:w="1140" w:type="dxa"/>
            <w:vAlign w:val="bottom"/>
            <w:tcBorders>
              <w:right w:val="single" w:sz="8" w:color="929292"/>
            </w:tcBorders>
            <w:vMerge w:val="continue"/>
          </w:tcPr>
          <w:p>
            <w:pPr>
              <w:spacing w:after="0"/>
              <w:rPr>
                <w:sz w:val="12"/>
                <w:szCs w:val="12"/>
                <w:color w:val="auto"/>
              </w:rPr>
            </w:pPr>
          </w:p>
        </w:tc>
        <w:tc>
          <w:tcPr>
            <w:tcW w:w="920" w:type="dxa"/>
            <w:vAlign w:val="bottom"/>
            <w:tcBorders>
              <w:right w:val="single" w:sz="8" w:color="929292"/>
            </w:tcBorders>
            <w:vMerge w:val="continue"/>
          </w:tcPr>
          <w:p>
            <w:pPr>
              <w:spacing w:after="0"/>
              <w:rPr>
                <w:sz w:val="12"/>
                <w:szCs w:val="12"/>
                <w:color w:val="auto"/>
              </w:rPr>
            </w:pPr>
          </w:p>
        </w:tc>
        <w:tc>
          <w:tcPr>
            <w:tcW w:w="1480" w:type="dxa"/>
            <w:vAlign w:val="bottom"/>
            <w:tcBorders>
              <w:right w:val="single" w:sz="8" w:color="929292"/>
            </w:tcBorders>
            <w:vMerge w:val="continue"/>
          </w:tcPr>
          <w:p>
            <w:pPr>
              <w:spacing w:after="0"/>
              <w:rPr>
                <w:sz w:val="12"/>
                <w:szCs w:val="12"/>
                <w:color w:val="auto"/>
              </w:rPr>
            </w:pPr>
          </w:p>
        </w:tc>
        <w:tc>
          <w:tcPr>
            <w:tcW w:w="1580" w:type="dxa"/>
            <w:vAlign w:val="bottom"/>
            <w:tcBorders>
              <w:right w:val="single" w:sz="8" w:color="929292"/>
            </w:tcBorders>
            <w:vMerge w:val="continue"/>
          </w:tcPr>
          <w:p>
            <w:pPr>
              <w:spacing w:after="0"/>
              <w:rPr>
                <w:sz w:val="12"/>
                <w:szCs w:val="12"/>
                <w:color w:val="auto"/>
              </w:rPr>
            </w:pPr>
          </w:p>
        </w:tc>
        <w:tc>
          <w:tcPr>
            <w:tcW w:w="1500" w:type="dxa"/>
            <w:vAlign w:val="bottom"/>
            <w:tcBorders>
              <w:right w:val="single" w:sz="8" w:color="929292"/>
            </w:tcBorders>
            <w:vMerge w:val="continue"/>
          </w:tcPr>
          <w:p>
            <w:pPr>
              <w:spacing w:after="0"/>
              <w:rPr>
                <w:sz w:val="12"/>
                <w:szCs w:val="12"/>
                <w:color w:val="auto"/>
              </w:rPr>
            </w:pPr>
          </w:p>
        </w:tc>
        <w:tc>
          <w:tcPr>
            <w:tcW w:w="1300" w:type="dxa"/>
            <w:vAlign w:val="bottom"/>
            <w:tcBorders>
              <w:right w:val="single" w:sz="8" w:color="929292"/>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60" w:type="dxa"/>
            <w:vAlign w:val="bottom"/>
            <w:tcBorders>
              <w:left w:val="single" w:sz="8" w:color="929292"/>
              <w:right w:val="single" w:sz="8" w:color="929292"/>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1140" w:type="dxa"/>
            <w:vAlign w:val="bottom"/>
            <w:tcBorders>
              <w:right w:val="single" w:sz="8" w:color="929292"/>
            </w:tcBorders>
          </w:tcPr>
          <w:p>
            <w:pPr>
              <w:spacing w:after="0"/>
              <w:rPr>
                <w:sz w:val="13"/>
                <w:szCs w:val="13"/>
                <w:color w:val="auto"/>
              </w:rPr>
            </w:pPr>
          </w:p>
        </w:tc>
        <w:tc>
          <w:tcPr>
            <w:tcW w:w="920" w:type="dxa"/>
            <w:vAlign w:val="bottom"/>
            <w:tcBorders>
              <w:right w:val="single" w:sz="8" w:color="929292"/>
            </w:tcBorders>
          </w:tcPr>
          <w:p>
            <w:pPr>
              <w:spacing w:after="0"/>
              <w:rPr>
                <w:sz w:val="13"/>
                <w:szCs w:val="13"/>
                <w:color w:val="auto"/>
              </w:rPr>
            </w:pPr>
          </w:p>
        </w:tc>
        <w:tc>
          <w:tcPr>
            <w:tcW w:w="1480" w:type="dxa"/>
            <w:vAlign w:val="bottom"/>
            <w:tcBorders>
              <w:right w:val="single" w:sz="8" w:color="929292"/>
            </w:tcBorders>
          </w:tcPr>
          <w:p>
            <w:pPr>
              <w:spacing w:after="0"/>
              <w:rPr>
                <w:sz w:val="13"/>
                <w:szCs w:val="13"/>
                <w:color w:val="auto"/>
              </w:rPr>
            </w:pPr>
          </w:p>
        </w:tc>
        <w:tc>
          <w:tcPr>
            <w:tcW w:w="1580" w:type="dxa"/>
            <w:vAlign w:val="bottom"/>
            <w:tcBorders>
              <w:right w:val="single" w:sz="8" w:color="929292"/>
            </w:tcBorders>
          </w:tcPr>
          <w:p>
            <w:pPr>
              <w:spacing w:after="0"/>
              <w:rPr>
                <w:sz w:val="13"/>
                <w:szCs w:val="13"/>
                <w:color w:val="auto"/>
              </w:rPr>
            </w:pPr>
          </w:p>
        </w:tc>
        <w:tc>
          <w:tcPr>
            <w:tcW w:w="1500" w:type="dxa"/>
            <w:vAlign w:val="bottom"/>
            <w:tcBorders>
              <w:right w:val="single" w:sz="8" w:color="929292"/>
            </w:tcBorders>
          </w:tcPr>
          <w:p>
            <w:pPr>
              <w:spacing w:after="0"/>
              <w:rPr>
                <w:sz w:val="13"/>
                <w:szCs w:val="13"/>
                <w:color w:val="auto"/>
              </w:rPr>
            </w:pPr>
          </w:p>
        </w:tc>
        <w:tc>
          <w:tcPr>
            <w:tcW w:w="1300" w:type="dxa"/>
            <w:vAlign w:val="bottom"/>
            <w:tcBorders>
              <w:right w:val="single" w:sz="8" w:color="929292"/>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Borders>
              <w:left w:val="single" w:sz="8" w:color="929292"/>
              <w:right w:val="single" w:sz="8" w:color="929292"/>
            </w:tcBorders>
          </w:tcPr>
          <w:p>
            <w:pPr>
              <w:spacing w:after="0"/>
              <w:rPr>
                <w:sz w:val="18"/>
                <w:szCs w:val="18"/>
                <w:color w:val="auto"/>
              </w:rPr>
            </w:pPr>
          </w:p>
        </w:tc>
        <w:tc>
          <w:tcPr>
            <w:tcW w:w="660" w:type="dxa"/>
            <w:vAlign w:val="bottom"/>
            <w:gridSpan w:val="2"/>
          </w:tcPr>
          <w:p>
            <w:pPr>
              <w:jc w:val="center"/>
              <w:ind w:left="19"/>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929292"/>
            </w:tcBorders>
          </w:tcPr>
          <w:p>
            <w:pPr>
              <w:spacing w:after="0"/>
              <w:rPr>
                <w:sz w:val="18"/>
                <w:szCs w:val="18"/>
                <w:color w:val="auto"/>
              </w:rPr>
            </w:pPr>
          </w:p>
        </w:tc>
        <w:tc>
          <w:tcPr>
            <w:tcW w:w="1140" w:type="dxa"/>
            <w:vAlign w:val="bottom"/>
            <w:tcBorders>
              <w:right w:val="single" w:sz="8" w:color="929292"/>
            </w:tcBorders>
          </w:tcPr>
          <w:p>
            <w:pPr>
              <w:jc w:val="center"/>
              <w:ind w:right="40"/>
              <w:spacing w:after="0"/>
              <w:rPr>
                <w:sz w:val="20"/>
                <w:szCs w:val="20"/>
                <w:color w:val="auto"/>
              </w:rPr>
            </w:pPr>
            <w:r>
              <w:rPr>
                <w:rFonts w:ascii="Arial" w:cs="Arial" w:eastAsia="Arial" w:hAnsi="Arial"/>
                <w:sz w:val="16"/>
                <w:szCs w:val="16"/>
                <w:color w:val="auto"/>
              </w:rPr>
              <w:t>350,000</w:t>
            </w:r>
          </w:p>
        </w:tc>
        <w:tc>
          <w:tcPr>
            <w:tcW w:w="920" w:type="dxa"/>
            <w:vAlign w:val="bottom"/>
            <w:tcBorders>
              <w:right w:val="single" w:sz="8" w:color="929292"/>
            </w:tcBorders>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tcPr>
          <w:p>
            <w:pPr>
              <w:jc w:val="center"/>
              <w:ind w:right="44"/>
              <w:spacing w:after="0"/>
              <w:rPr>
                <w:sz w:val="20"/>
                <w:szCs w:val="20"/>
                <w:color w:val="auto"/>
              </w:rPr>
            </w:pPr>
            <w:r>
              <w:rPr>
                <w:rFonts w:ascii="Arial" w:cs="Arial" w:eastAsia="Arial" w:hAnsi="Arial"/>
                <w:sz w:val="16"/>
                <w:szCs w:val="16"/>
                <w:color w:val="auto"/>
                <w:w w:val="99"/>
              </w:rPr>
              <w:t>11,245,240</w:t>
            </w:r>
          </w:p>
        </w:tc>
        <w:tc>
          <w:tcPr>
            <w:tcW w:w="1580" w:type="dxa"/>
            <w:vAlign w:val="bottom"/>
            <w:tcBorders>
              <w:right w:val="single" w:sz="8" w:color="929292"/>
            </w:tcBorders>
          </w:tcPr>
          <w:p>
            <w:pPr>
              <w:jc w:val="center"/>
              <w:ind w:right="62"/>
              <w:spacing w:after="0"/>
              <w:rPr>
                <w:sz w:val="20"/>
                <w:szCs w:val="20"/>
                <w:color w:val="auto"/>
              </w:rPr>
            </w:pPr>
            <w:r>
              <w:rPr>
                <w:rFonts w:ascii="Arial" w:cs="Arial" w:eastAsia="Arial" w:hAnsi="Arial"/>
                <w:sz w:val="16"/>
                <w:szCs w:val="16"/>
                <w:color w:val="auto"/>
              </w:rPr>
              <w:t>391,921</w:t>
            </w:r>
          </w:p>
        </w:tc>
        <w:tc>
          <w:tcPr>
            <w:tcW w:w="1500" w:type="dxa"/>
            <w:vAlign w:val="bottom"/>
            <w:tcBorders>
              <w:right w:val="single" w:sz="8" w:color="929292"/>
            </w:tcBorders>
          </w:tcPr>
          <w:p>
            <w:pPr>
              <w:jc w:val="center"/>
              <w:ind w:right="62"/>
              <w:spacing w:after="0"/>
              <w:rPr>
                <w:sz w:val="20"/>
                <w:szCs w:val="20"/>
                <w:color w:val="auto"/>
              </w:rPr>
            </w:pPr>
            <w:r>
              <w:rPr>
                <w:rFonts w:ascii="Arial" w:cs="Arial" w:eastAsia="Arial" w:hAnsi="Arial"/>
                <w:sz w:val="16"/>
                <w:szCs w:val="16"/>
                <w:color w:val="auto"/>
                <w:w w:val="99"/>
              </w:rPr>
              <w:t>3,420</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11,990,581</w:t>
            </w:r>
          </w:p>
        </w:tc>
        <w:tc>
          <w:tcPr>
            <w:tcW w:w="0" w:type="dxa"/>
            <w:vAlign w:val="bottom"/>
          </w:tcPr>
          <w:p>
            <w:pPr>
              <w:spacing w:after="0"/>
              <w:rPr>
                <w:sz w:val="1"/>
                <w:szCs w:val="1"/>
                <w:color w:val="auto"/>
              </w:rPr>
            </w:pPr>
          </w:p>
        </w:tc>
      </w:tr>
      <w:tr>
        <w:trPr>
          <w:trHeight w:val="83"/>
        </w:trPr>
        <w:tc>
          <w:tcPr>
            <w:tcW w:w="2560" w:type="dxa"/>
            <w:vAlign w:val="bottom"/>
            <w:tcBorders>
              <w:left w:val="single" w:sz="8" w:color="929292"/>
              <w:right w:val="single" w:sz="8" w:color="929292"/>
            </w:tcBorders>
          </w:tcPr>
          <w:p>
            <w:pPr>
              <w:spacing w:after="0"/>
              <w:rPr>
                <w:sz w:val="7"/>
                <w:szCs w:val="7"/>
                <w:color w:val="auto"/>
              </w:rPr>
            </w:pPr>
          </w:p>
        </w:tc>
        <w:tc>
          <w:tcPr>
            <w:tcW w:w="660" w:type="dxa"/>
            <w:vAlign w:val="bottom"/>
            <w:gridSpan w:val="2"/>
          </w:tcPr>
          <w:p>
            <w:pPr>
              <w:spacing w:after="0"/>
              <w:rPr>
                <w:sz w:val="7"/>
                <w:szCs w:val="7"/>
                <w:color w:val="auto"/>
              </w:rPr>
            </w:pPr>
          </w:p>
        </w:tc>
        <w:tc>
          <w:tcPr>
            <w:tcW w:w="120" w:type="dxa"/>
            <w:vAlign w:val="bottom"/>
            <w:tcBorders>
              <w:right w:val="single" w:sz="8" w:color="929292"/>
            </w:tcBorders>
          </w:tcPr>
          <w:p>
            <w:pPr>
              <w:spacing w:after="0"/>
              <w:rPr>
                <w:sz w:val="7"/>
                <w:szCs w:val="7"/>
                <w:color w:val="auto"/>
              </w:rPr>
            </w:pPr>
          </w:p>
        </w:tc>
        <w:tc>
          <w:tcPr>
            <w:tcW w:w="1140" w:type="dxa"/>
            <w:vAlign w:val="bottom"/>
            <w:tcBorders>
              <w:right w:val="single" w:sz="8" w:color="929292"/>
            </w:tcBorders>
          </w:tcPr>
          <w:p>
            <w:pPr>
              <w:spacing w:after="0"/>
              <w:rPr>
                <w:sz w:val="7"/>
                <w:szCs w:val="7"/>
                <w:color w:val="auto"/>
              </w:rPr>
            </w:pPr>
          </w:p>
        </w:tc>
        <w:tc>
          <w:tcPr>
            <w:tcW w:w="920" w:type="dxa"/>
            <w:vAlign w:val="bottom"/>
            <w:tcBorders>
              <w:right w:val="single" w:sz="8" w:color="929292"/>
            </w:tcBorders>
          </w:tcPr>
          <w:p>
            <w:pPr>
              <w:spacing w:after="0"/>
              <w:rPr>
                <w:sz w:val="7"/>
                <w:szCs w:val="7"/>
                <w:color w:val="auto"/>
              </w:rPr>
            </w:pPr>
          </w:p>
        </w:tc>
        <w:tc>
          <w:tcPr>
            <w:tcW w:w="1480" w:type="dxa"/>
            <w:vAlign w:val="bottom"/>
            <w:tcBorders>
              <w:right w:val="single" w:sz="8" w:color="929292"/>
            </w:tcBorders>
          </w:tcPr>
          <w:p>
            <w:pPr>
              <w:spacing w:after="0"/>
              <w:rPr>
                <w:sz w:val="7"/>
                <w:szCs w:val="7"/>
                <w:color w:val="auto"/>
              </w:rPr>
            </w:pPr>
          </w:p>
        </w:tc>
        <w:tc>
          <w:tcPr>
            <w:tcW w:w="1580" w:type="dxa"/>
            <w:vAlign w:val="bottom"/>
            <w:tcBorders>
              <w:right w:val="single" w:sz="8" w:color="929292"/>
            </w:tcBorders>
          </w:tcPr>
          <w:p>
            <w:pPr>
              <w:spacing w:after="0"/>
              <w:rPr>
                <w:sz w:val="7"/>
                <w:szCs w:val="7"/>
                <w:color w:val="auto"/>
              </w:rPr>
            </w:pPr>
          </w:p>
        </w:tc>
        <w:tc>
          <w:tcPr>
            <w:tcW w:w="1500" w:type="dxa"/>
            <w:vAlign w:val="bottom"/>
            <w:tcBorders>
              <w:right w:val="single" w:sz="8" w:color="929292"/>
            </w:tcBorders>
          </w:tcPr>
          <w:p>
            <w:pPr>
              <w:spacing w:after="0"/>
              <w:rPr>
                <w:sz w:val="7"/>
                <w:szCs w:val="7"/>
                <w:color w:val="auto"/>
              </w:rPr>
            </w:pPr>
          </w:p>
        </w:tc>
        <w:tc>
          <w:tcPr>
            <w:tcW w:w="1300" w:type="dxa"/>
            <w:vAlign w:val="bottom"/>
            <w:tcBorders>
              <w:right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560" w:type="dxa"/>
            <w:vAlign w:val="bottom"/>
            <w:tcBorders>
              <w:left w:val="single" w:sz="8" w:color="929292"/>
              <w:righ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80" w:type="dxa"/>
            <w:vAlign w:val="bottom"/>
            <w:shd w:val="clear" w:color="auto" w:fill="FAF6EF"/>
          </w:tcPr>
          <w:p>
            <w:pPr>
              <w:spacing w:after="0"/>
              <w:rPr>
                <w:sz w:val="24"/>
                <w:szCs w:val="24"/>
                <w:color w:val="auto"/>
              </w:rPr>
            </w:pPr>
          </w:p>
        </w:tc>
        <w:tc>
          <w:tcPr>
            <w:tcW w:w="58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2024</w:t>
            </w:r>
          </w:p>
        </w:tc>
        <w:tc>
          <w:tcPr>
            <w:tcW w:w="120" w:type="dxa"/>
            <w:vAlign w:val="bottom"/>
            <w:tcBorders>
              <w:right w:val="single" w:sz="8" w:color="929292"/>
            </w:tcBorders>
            <w:shd w:val="clear" w:color="auto" w:fill="FAF6EF"/>
          </w:tcPr>
          <w:p>
            <w:pPr>
              <w:spacing w:after="0"/>
              <w:rPr>
                <w:sz w:val="24"/>
                <w:szCs w:val="24"/>
                <w:color w:val="auto"/>
              </w:rPr>
            </w:pPr>
          </w:p>
        </w:tc>
        <w:tc>
          <w:tcPr>
            <w:tcW w:w="1140" w:type="dxa"/>
            <w:vAlign w:val="bottom"/>
            <w:tcBorders>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300,000</w:t>
            </w:r>
          </w:p>
        </w:tc>
        <w:tc>
          <w:tcPr>
            <w:tcW w:w="920" w:type="dxa"/>
            <w:vAlign w:val="bottom"/>
            <w:tcBorders>
              <w:right w:val="single" w:sz="8" w:color="929292"/>
            </w:tcBorders>
            <w:shd w:val="clear" w:color="auto" w:fill="FAF6EF"/>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rPr>
              <w:t>6,321,421</w:t>
            </w:r>
          </w:p>
        </w:tc>
        <w:tc>
          <w:tcPr>
            <w:tcW w:w="158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w w:val="98"/>
              </w:rPr>
              <w:t>11,436</w:t>
            </w:r>
          </w:p>
        </w:tc>
        <w:tc>
          <w:tcPr>
            <w:tcW w:w="150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w w:val="99"/>
              </w:rPr>
              <w:t>3,582</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6,636,439</w:t>
            </w:r>
          </w:p>
        </w:tc>
        <w:tc>
          <w:tcPr>
            <w:tcW w:w="0" w:type="dxa"/>
            <w:vAlign w:val="bottom"/>
          </w:tcPr>
          <w:p>
            <w:pPr>
              <w:spacing w:after="0"/>
              <w:rPr>
                <w:sz w:val="1"/>
                <w:szCs w:val="1"/>
                <w:color w:val="auto"/>
              </w:rPr>
            </w:pPr>
          </w:p>
        </w:tc>
      </w:tr>
      <w:tr>
        <w:trPr>
          <w:trHeight w:val="83"/>
        </w:trPr>
        <w:tc>
          <w:tcPr>
            <w:tcW w:w="2560" w:type="dxa"/>
            <w:vAlign w:val="bottom"/>
            <w:tcBorders>
              <w:left w:val="single" w:sz="8" w:color="929292"/>
              <w:right w:val="single" w:sz="8" w:color="929292"/>
            </w:tcBorders>
            <w:vMerge w:val="continue"/>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580" w:type="dxa"/>
            <w:vAlign w:val="bottom"/>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shd w:val="clear" w:color="auto" w:fill="FAF6EF"/>
          </w:tcPr>
          <w:p>
            <w:pPr>
              <w:spacing w:after="0"/>
              <w:rPr>
                <w:sz w:val="7"/>
                <w:szCs w:val="7"/>
                <w:color w:val="auto"/>
              </w:rPr>
            </w:pPr>
          </w:p>
        </w:tc>
        <w:tc>
          <w:tcPr>
            <w:tcW w:w="920" w:type="dxa"/>
            <w:vAlign w:val="bottom"/>
            <w:tcBorders>
              <w:right w:val="single" w:sz="8" w:color="929292"/>
            </w:tcBorders>
            <w:shd w:val="clear" w:color="auto" w:fill="FAF6EF"/>
          </w:tcPr>
          <w:p>
            <w:pPr>
              <w:spacing w:after="0"/>
              <w:rPr>
                <w:sz w:val="7"/>
                <w:szCs w:val="7"/>
                <w:color w:val="auto"/>
              </w:rPr>
            </w:pPr>
          </w:p>
        </w:tc>
        <w:tc>
          <w:tcPr>
            <w:tcW w:w="1480" w:type="dxa"/>
            <w:vAlign w:val="bottom"/>
            <w:tcBorders>
              <w:right w:val="single" w:sz="8" w:color="929292"/>
            </w:tcBorders>
            <w:shd w:val="clear" w:color="auto" w:fill="FAF6EF"/>
          </w:tcPr>
          <w:p>
            <w:pPr>
              <w:spacing w:after="0"/>
              <w:rPr>
                <w:sz w:val="7"/>
                <w:szCs w:val="7"/>
                <w:color w:val="auto"/>
              </w:rPr>
            </w:pPr>
          </w:p>
        </w:tc>
        <w:tc>
          <w:tcPr>
            <w:tcW w:w="1580" w:type="dxa"/>
            <w:vAlign w:val="bottom"/>
            <w:tcBorders>
              <w:right w:val="single" w:sz="8" w:color="929292"/>
            </w:tcBorders>
            <w:shd w:val="clear" w:color="auto" w:fill="FAF6EF"/>
          </w:tcPr>
          <w:p>
            <w:pPr>
              <w:spacing w:after="0"/>
              <w:rPr>
                <w:sz w:val="7"/>
                <w:szCs w:val="7"/>
                <w:color w:val="auto"/>
              </w:rPr>
            </w:pPr>
          </w:p>
        </w:tc>
        <w:tc>
          <w:tcPr>
            <w:tcW w:w="1500" w:type="dxa"/>
            <w:vAlign w:val="bottom"/>
            <w:tcBorders>
              <w:right w:val="single" w:sz="8" w:color="929292"/>
            </w:tcBorders>
            <w:shd w:val="clear" w:color="auto" w:fill="FAF6EF"/>
          </w:tcPr>
          <w:p>
            <w:pPr>
              <w:spacing w:after="0"/>
              <w:rPr>
                <w:sz w:val="7"/>
                <w:szCs w:val="7"/>
                <w:color w:val="auto"/>
              </w:rPr>
            </w:pPr>
          </w:p>
        </w:tc>
        <w:tc>
          <w:tcPr>
            <w:tcW w:w="1300" w:type="dxa"/>
            <w:vAlign w:val="bottom"/>
            <w:tcBorders>
              <w:right w:val="single" w:sz="8" w:color="929292"/>
            </w:tcBorders>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5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Commercial Advisor; Former</w:t>
            </w:r>
          </w:p>
        </w:tc>
        <w:tc>
          <w:tcPr>
            <w:tcW w:w="80" w:type="dxa"/>
            <w:vAlign w:val="bottom"/>
            <w:shd w:val="clear" w:color="auto" w:fill="FAF6EF"/>
          </w:tcPr>
          <w:p>
            <w:pPr>
              <w:spacing w:after="0"/>
              <w:rPr>
                <w:sz w:val="23"/>
                <w:szCs w:val="23"/>
                <w:color w:val="auto"/>
              </w:rPr>
            </w:pPr>
          </w:p>
        </w:tc>
        <w:tc>
          <w:tcPr>
            <w:tcW w:w="58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929292"/>
            </w:tcBorders>
            <w:shd w:val="clear" w:color="auto" w:fill="FAF6EF"/>
          </w:tcPr>
          <w:p>
            <w:pPr>
              <w:spacing w:after="0"/>
              <w:rPr>
                <w:sz w:val="23"/>
                <w:szCs w:val="23"/>
                <w:color w:val="auto"/>
              </w:rPr>
            </w:pPr>
          </w:p>
        </w:tc>
        <w:tc>
          <w:tcPr>
            <w:tcW w:w="1140" w:type="dxa"/>
            <w:vAlign w:val="bottom"/>
            <w:tcBorders>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400,000</w:t>
            </w:r>
          </w:p>
        </w:tc>
        <w:tc>
          <w:tcPr>
            <w:tcW w:w="920" w:type="dxa"/>
            <w:vAlign w:val="bottom"/>
            <w:tcBorders>
              <w:right w:val="single" w:sz="8" w:color="929292"/>
            </w:tcBorders>
            <w:shd w:val="clear" w:color="auto" w:fill="FAF6EF"/>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w w:val="99"/>
              </w:rPr>
              <w:t>15,765,197</w:t>
            </w:r>
          </w:p>
        </w:tc>
        <w:tc>
          <w:tcPr>
            <w:tcW w:w="158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rPr>
              <w:t>158,455</w:t>
            </w:r>
          </w:p>
        </w:tc>
        <w:tc>
          <w:tcPr>
            <w:tcW w:w="1500" w:type="dxa"/>
            <w:vAlign w:val="bottom"/>
            <w:tcBorders>
              <w:right w:val="single" w:sz="8" w:color="929292"/>
            </w:tcBorders>
            <w:shd w:val="clear" w:color="auto" w:fill="FAF6EF"/>
          </w:tcPr>
          <w:p>
            <w:pPr>
              <w:jc w:val="center"/>
              <w:ind w:right="62"/>
              <w:spacing w:after="0"/>
              <w:rPr>
                <w:sz w:val="20"/>
                <w:szCs w:val="20"/>
                <w:color w:val="auto"/>
              </w:rPr>
            </w:pPr>
            <w:r>
              <w:rPr>
                <w:rFonts w:ascii="Arial" w:cs="Arial" w:eastAsia="Arial" w:hAnsi="Arial"/>
                <w:sz w:val="16"/>
                <w:szCs w:val="16"/>
                <w:color w:val="auto"/>
                <w:w w:val="99"/>
              </w:rPr>
              <w:t>7,608</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16,331,260</w:t>
            </w:r>
          </w:p>
        </w:tc>
        <w:tc>
          <w:tcPr>
            <w:tcW w:w="0" w:type="dxa"/>
            <w:vAlign w:val="bottom"/>
          </w:tcPr>
          <w:p>
            <w:pPr>
              <w:spacing w:after="0"/>
              <w:rPr>
                <w:sz w:val="1"/>
                <w:szCs w:val="1"/>
                <w:color w:val="auto"/>
              </w:rPr>
            </w:pPr>
          </w:p>
        </w:tc>
      </w:tr>
      <w:tr>
        <w:trPr>
          <w:trHeight w:val="290"/>
        </w:trPr>
        <w:tc>
          <w:tcPr>
            <w:tcW w:w="256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EVP and CCO</w:t>
            </w:r>
            <w:r>
              <w:rPr>
                <w:rFonts w:ascii="Arial" w:cs="Arial" w:eastAsia="Arial" w:hAnsi="Arial"/>
                <w:sz w:val="21"/>
                <w:szCs w:val="21"/>
                <w:b w:val="1"/>
                <w:bCs w:val="1"/>
                <w:color w:val="auto"/>
                <w:vertAlign w:val="superscript"/>
              </w:rPr>
              <w:t>(4)</w:t>
            </w:r>
          </w:p>
        </w:tc>
        <w:tc>
          <w:tcPr>
            <w:tcW w:w="80" w:type="dxa"/>
            <w:vAlign w:val="bottom"/>
            <w:shd w:val="clear" w:color="auto" w:fill="FAF6EF"/>
          </w:tcPr>
          <w:p>
            <w:pPr>
              <w:spacing w:after="0"/>
              <w:rPr>
                <w:sz w:val="24"/>
                <w:szCs w:val="24"/>
                <w:color w:val="auto"/>
              </w:rPr>
            </w:pPr>
          </w:p>
        </w:tc>
        <w:tc>
          <w:tcPr>
            <w:tcW w:w="58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929292"/>
            </w:tcBorders>
            <w:shd w:val="clear" w:color="auto" w:fill="FAF6EF"/>
          </w:tcPr>
          <w:p>
            <w:pPr>
              <w:spacing w:after="0"/>
              <w:rPr>
                <w:sz w:val="24"/>
                <w:szCs w:val="24"/>
                <w:color w:val="auto"/>
              </w:rPr>
            </w:pPr>
          </w:p>
        </w:tc>
        <w:tc>
          <w:tcPr>
            <w:tcW w:w="1140" w:type="dxa"/>
            <w:vAlign w:val="bottom"/>
            <w:tcBorders>
              <w:right w:val="single" w:sz="8" w:color="929292"/>
            </w:tcBorders>
            <w:vMerge w:val="restart"/>
            <w:shd w:val="clear" w:color="auto" w:fill="FAF6EF"/>
          </w:tcPr>
          <w:p>
            <w:pPr>
              <w:jc w:val="center"/>
              <w:ind w:right="40"/>
              <w:spacing w:after="0"/>
              <w:rPr>
                <w:sz w:val="20"/>
                <w:szCs w:val="20"/>
                <w:color w:val="auto"/>
              </w:rPr>
            </w:pPr>
            <w:r>
              <w:rPr>
                <w:rFonts w:ascii="Arial" w:cs="Arial" w:eastAsia="Arial" w:hAnsi="Arial"/>
                <w:sz w:val="16"/>
                <w:szCs w:val="16"/>
                <w:color w:val="auto"/>
              </w:rPr>
              <w:t>400,000</w:t>
            </w:r>
          </w:p>
        </w:tc>
        <w:tc>
          <w:tcPr>
            <w:tcW w:w="920" w:type="dxa"/>
            <w:vAlign w:val="bottom"/>
            <w:tcBorders>
              <w:right w:val="single" w:sz="8" w:color="929292"/>
            </w:tcBorders>
            <w:vMerge w:val="restart"/>
            <w:shd w:val="clear" w:color="auto" w:fill="FAF6EF"/>
          </w:tcPr>
          <w:p>
            <w:pPr>
              <w:jc w:val="right"/>
              <w:ind w:right="361"/>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929292"/>
            </w:tcBorders>
            <w:vMerge w:val="restart"/>
            <w:shd w:val="clear" w:color="auto" w:fill="FAF6EF"/>
          </w:tcPr>
          <w:p>
            <w:pPr>
              <w:jc w:val="center"/>
              <w:ind w:right="44"/>
              <w:spacing w:after="0"/>
              <w:rPr>
                <w:sz w:val="20"/>
                <w:szCs w:val="20"/>
                <w:color w:val="auto"/>
              </w:rPr>
            </w:pPr>
            <w:r>
              <w:rPr>
                <w:rFonts w:ascii="Arial" w:cs="Arial" w:eastAsia="Arial" w:hAnsi="Arial"/>
                <w:sz w:val="16"/>
                <w:szCs w:val="16"/>
                <w:color w:val="auto"/>
              </w:rPr>
              <w:t>6,244,480</w:t>
            </w:r>
          </w:p>
        </w:tc>
        <w:tc>
          <w:tcPr>
            <w:tcW w:w="1580" w:type="dxa"/>
            <w:vAlign w:val="bottom"/>
            <w:tcBorders>
              <w:right w:val="single" w:sz="8" w:color="929292"/>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rPr>
              <w:t>387,787</w:t>
            </w:r>
          </w:p>
        </w:tc>
        <w:tc>
          <w:tcPr>
            <w:tcW w:w="1500" w:type="dxa"/>
            <w:vAlign w:val="bottom"/>
            <w:tcBorders>
              <w:right w:val="single" w:sz="8" w:color="929292"/>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w w:val="99"/>
              </w:rPr>
              <w:t>6,108</w:t>
            </w:r>
          </w:p>
        </w:tc>
        <w:tc>
          <w:tcPr>
            <w:tcW w:w="1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7,038,375</w:t>
            </w:r>
          </w:p>
        </w:tc>
        <w:tc>
          <w:tcPr>
            <w:tcW w:w="0" w:type="dxa"/>
            <w:vAlign w:val="bottom"/>
          </w:tcPr>
          <w:p>
            <w:pPr>
              <w:spacing w:after="0"/>
              <w:rPr>
                <w:sz w:val="1"/>
                <w:szCs w:val="1"/>
                <w:color w:val="auto"/>
              </w:rPr>
            </w:pPr>
          </w:p>
        </w:tc>
      </w:tr>
      <w:tr>
        <w:trPr>
          <w:trHeight w:val="87"/>
        </w:trPr>
        <w:tc>
          <w:tcPr>
            <w:tcW w:w="2560" w:type="dxa"/>
            <w:vAlign w:val="bottom"/>
            <w:tcBorders>
              <w:left w:val="single" w:sz="8" w:color="929292"/>
              <w:right w:val="single" w:sz="8" w:color="929292"/>
            </w:tcBorders>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580" w:type="dxa"/>
            <w:vAlign w:val="bottom"/>
            <w:vMerge w:val="continue"/>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vMerge w:val="continue"/>
            <w:shd w:val="clear" w:color="auto" w:fill="FAF6EF"/>
          </w:tcPr>
          <w:p>
            <w:pPr>
              <w:spacing w:after="0"/>
              <w:rPr>
                <w:sz w:val="7"/>
                <w:szCs w:val="7"/>
                <w:color w:val="auto"/>
              </w:rPr>
            </w:pPr>
          </w:p>
        </w:tc>
        <w:tc>
          <w:tcPr>
            <w:tcW w:w="920" w:type="dxa"/>
            <w:vAlign w:val="bottom"/>
            <w:tcBorders>
              <w:right w:val="single" w:sz="8" w:color="929292"/>
            </w:tcBorders>
            <w:vMerge w:val="continue"/>
            <w:shd w:val="clear" w:color="auto" w:fill="FAF6EF"/>
          </w:tcPr>
          <w:p>
            <w:pPr>
              <w:spacing w:after="0"/>
              <w:rPr>
                <w:sz w:val="7"/>
                <w:szCs w:val="7"/>
                <w:color w:val="auto"/>
              </w:rPr>
            </w:pPr>
          </w:p>
        </w:tc>
        <w:tc>
          <w:tcPr>
            <w:tcW w:w="1480" w:type="dxa"/>
            <w:vAlign w:val="bottom"/>
            <w:tcBorders>
              <w:right w:val="single" w:sz="8" w:color="929292"/>
            </w:tcBorders>
            <w:vMerge w:val="continue"/>
            <w:shd w:val="clear" w:color="auto" w:fill="FAF6EF"/>
          </w:tcPr>
          <w:p>
            <w:pPr>
              <w:spacing w:after="0"/>
              <w:rPr>
                <w:sz w:val="7"/>
                <w:szCs w:val="7"/>
                <w:color w:val="auto"/>
              </w:rPr>
            </w:pPr>
          </w:p>
        </w:tc>
        <w:tc>
          <w:tcPr>
            <w:tcW w:w="1580" w:type="dxa"/>
            <w:vAlign w:val="bottom"/>
            <w:tcBorders>
              <w:right w:val="single" w:sz="8" w:color="929292"/>
            </w:tcBorders>
            <w:vMerge w:val="continue"/>
            <w:shd w:val="clear" w:color="auto" w:fill="FAF6EF"/>
          </w:tcPr>
          <w:p>
            <w:pPr>
              <w:spacing w:after="0"/>
              <w:rPr>
                <w:sz w:val="7"/>
                <w:szCs w:val="7"/>
                <w:color w:val="auto"/>
              </w:rPr>
            </w:pPr>
          </w:p>
        </w:tc>
        <w:tc>
          <w:tcPr>
            <w:tcW w:w="1500" w:type="dxa"/>
            <w:vAlign w:val="bottom"/>
            <w:tcBorders>
              <w:right w:val="single" w:sz="8" w:color="929292"/>
            </w:tcBorders>
            <w:vMerge w:val="continue"/>
            <w:shd w:val="clear" w:color="auto" w:fill="FAF6EF"/>
          </w:tcPr>
          <w:p>
            <w:pPr>
              <w:spacing w:after="0"/>
              <w:rPr>
                <w:sz w:val="7"/>
                <w:szCs w:val="7"/>
                <w:color w:val="auto"/>
              </w:rPr>
            </w:pPr>
          </w:p>
        </w:tc>
        <w:tc>
          <w:tcPr>
            <w:tcW w:w="1300" w:type="dxa"/>
            <w:vAlign w:val="bottom"/>
            <w:tcBorders>
              <w:right w:val="single" w:sz="8" w:color="929292"/>
            </w:tcBorders>
            <w:vMerge w:val="continue"/>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560" w:type="dxa"/>
            <w:vAlign w:val="bottom"/>
            <w:tcBorders>
              <w:left w:val="single" w:sz="8" w:color="929292"/>
              <w:right w:val="single" w:sz="8" w:color="929292"/>
            </w:tcBorders>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580" w:type="dxa"/>
            <w:vAlign w:val="bottom"/>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shd w:val="clear" w:color="auto" w:fill="FAF6EF"/>
          </w:tcPr>
          <w:p>
            <w:pPr>
              <w:spacing w:after="0"/>
              <w:rPr>
                <w:sz w:val="7"/>
                <w:szCs w:val="7"/>
                <w:color w:val="auto"/>
              </w:rPr>
            </w:pPr>
          </w:p>
        </w:tc>
        <w:tc>
          <w:tcPr>
            <w:tcW w:w="920" w:type="dxa"/>
            <w:vAlign w:val="bottom"/>
            <w:tcBorders>
              <w:right w:val="single" w:sz="8" w:color="929292"/>
            </w:tcBorders>
            <w:shd w:val="clear" w:color="auto" w:fill="FAF6EF"/>
          </w:tcPr>
          <w:p>
            <w:pPr>
              <w:spacing w:after="0"/>
              <w:rPr>
                <w:sz w:val="7"/>
                <w:szCs w:val="7"/>
                <w:color w:val="auto"/>
              </w:rPr>
            </w:pPr>
          </w:p>
        </w:tc>
        <w:tc>
          <w:tcPr>
            <w:tcW w:w="1480" w:type="dxa"/>
            <w:vAlign w:val="bottom"/>
            <w:tcBorders>
              <w:right w:val="single" w:sz="8" w:color="929292"/>
            </w:tcBorders>
            <w:shd w:val="clear" w:color="auto" w:fill="FAF6EF"/>
          </w:tcPr>
          <w:p>
            <w:pPr>
              <w:spacing w:after="0"/>
              <w:rPr>
                <w:sz w:val="7"/>
                <w:szCs w:val="7"/>
                <w:color w:val="auto"/>
              </w:rPr>
            </w:pPr>
          </w:p>
        </w:tc>
        <w:tc>
          <w:tcPr>
            <w:tcW w:w="1580" w:type="dxa"/>
            <w:vAlign w:val="bottom"/>
            <w:tcBorders>
              <w:right w:val="single" w:sz="8" w:color="929292"/>
            </w:tcBorders>
            <w:shd w:val="clear" w:color="auto" w:fill="FAF6EF"/>
          </w:tcPr>
          <w:p>
            <w:pPr>
              <w:spacing w:after="0"/>
              <w:rPr>
                <w:sz w:val="7"/>
                <w:szCs w:val="7"/>
                <w:color w:val="auto"/>
              </w:rPr>
            </w:pPr>
          </w:p>
        </w:tc>
        <w:tc>
          <w:tcPr>
            <w:tcW w:w="1500" w:type="dxa"/>
            <w:vAlign w:val="bottom"/>
            <w:tcBorders>
              <w:right w:val="single" w:sz="8" w:color="929292"/>
            </w:tcBorders>
            <w:shd w:val="clear" w:color="auto" w:fill="FAF6EF"/>
          </w:tcPr>
          <w:p>
            <w:pPr>
              <w:spacing w:after="0"/>
              <w:rPr>
                <w:sz w:val="7"/>
                <w:szCs w:val="7"/>
                <w:color w:val="auto"/>
              </w:rPr>
            </w:pPr>
          </w:p>
        </w:tc>
        <w:tc>
          <w:tcPr>
            <w:tcW w:w="1300" w:type="dxa"/>
            <w:vAlign w:val="bottom"/>
            <w:tcBorders>
              <w:right w:val="single" w:sz="8" w:color="929292"/>
            </w:tcBorders>
            <w:shd w:val="clear" w:color="auto" w:fill="FAF6EF"/>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jc w:val="both"/>
        <w:ind w:left="260" w:right="20" w:hanging="252"/>
        <w:spacing w:after="0" w:line="176" w:lineRule="exact"/>
        <w:tabs>
          <w:tab w:leader="none" w:pos="245" w:val="left"/>
        </w:tabs>
        <w:numPr>
          <w:ilvl w:val="0"/>
          <w:numId w:val="53"/>
        </w:numPr>
        <w:rPr>
          <w:rFonts w:ascii="Arial" w:cs="Arial" w:eastAsia="Arial" w:hAnsi="Arial"/>
          <w:sz w:val="14"/>
          <w:szCs w:val="14"/>
          <w:color w:val="7D7D7D"/>
        </w:rPr>
      </w:pPr>
      <w:r>
        <w:rPr>
          <w:rFonts w:ascii="Arial" w:cs="Arial" w:eastAsia="Arial" w:hAnsi="Arial"/>
          <w:sz w:val="14"/>
          <w:szCs w:val="14"/>
          <w:color w:val="7D7D7D"/>
        </w:rPr>
        <w:t>The dollar amounts in this column represent the aggregate grant date fair value of time-based RSU awards and PSU awards granted for the years indicated calculated in accordance with ASC 718, disregarding the estimate for forfeitures. For a discussion of the valuation methodology used, see Note 16, “Stock-Based Compensation” of the notes to consolidated financial statements included in Item 8 of the Annual Report on Form 10</w:t>
      </w:r>
      <w:r>
        <w:rPr>
          <w:rFonts w:ascii="MS PGothic" w:cs="MS PGothic" w:eastAsia="MS PGothic" w:hAnsi="MS PGothic"/>
          <w:sz w:val="14"/>
          <w:szCs w:val="14"/>
          <w:color w:val="7D7D7D"/>
        </w:rPr>
        <w:t>‑</w:t>
      </w:r>
      <w:r>
        <w:rPr>
          <w:rFonts w:ascii="Arial" w:cs="Arial" w:eastAsia="Arial" w:hAnsi="Arial"/>
          <w:sz w:val="14"/>
          <w:szCs w:val="14"/>
          <w:color w:val="7D7D7D"/>
        </w:rPr>
        <w:t>K. Assuming that maximum performance is achieved, the value of the PSU awards subject to 2024 Annual CEO SMART Goals at the date of grant would have been as follows: Mr. Kothandaraman - $5,455,890; Ms. Yang- $2,837,063; and Mr. Ranhoff - $2,837,063. With respect to the 2024 Annual CEO SMART Goal PSUs, grant date fair values, as computed in accordance with ASC 718 and presented in the table above and below under “2024 Grants of Plan Based Awards” are based upon the then probable outcome of the performance condition. The amounts reported in this column do not necessarily correspond to the actual value that may be realized from the awards by the NEOs.</w:t>
      </w:r>
    </w:p>
    <w:p>
      <w:pPr>
        <w:spacing w:after="0" w:line="43" w:lineRule="exact"/>
        <w:rPr>
          <w:sz w:val="20"/>
          <w:szCs w:val="20"/>
          <w:color w:val="auto"/>
        </w:rPr>
      </w:pPr>
    </w:p>
    <w:p>
      <w:pPr>
        <w:ind w:left="260" w:right="20" w:hanging="252"/>
        <w:spacing w:after="0" w:line="285" w:lineRule="auto"/>
        <w:tabs>
          <w:tab w:leader="none" w:pos="245" w:val="left"/>
        </w:tabs>
        <w:numPr>
          <w:ilvl w:val="0"/>
          <w:numId w:val="54"/>
        </w:numPr>
        <w:rPr>
          <w:rFonts w:ascii="Arial" w:cs="Arial" w:eastAsia="Arial" w:hAnsi="Arial"/>
          <w:sz w:val="14"/>
          <w:szCs w:val="14"/>
          <w:color w:val="7D7D7D"/>
        </w:rPr>
      </w:pPr>
      <w:r>
        <w:rPr>
          <w:rFonts w:ascii="Arial" w:cs="Arial" w:eastAsia="Arial" w:hAnsi="Arial"/>
          <w:sz w:val="14"/>
          <w:szCs w:val="14"/>
          <w:color w:val="7D7D7D"/>
        </w:rPr>
        <w:t>The amounts in this column for 2024, consist of $3,000 in matching 401(k) contributions for each of our NEOs (except for Mr. Kothandaraman, who did not participate in the 401(k) plan), and group term life insurance payments for each NEO as follows: Mr. Kothandaraman - $582; Ms. Yang - $582; and Mr. Ranhoff - $582.</w:t>
      </w:r>
    </w:p>
    <w:p>
      <w:pPr>
        <w:spacing w:after="0" w:line="9"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4"/>
          <w:szCs w:val="14"/>
          <w:color w:val="7D7D7D"/>
        </w:rPr>
      </w:pPr>
      <w:r>
        <w:rPr>
          <w:rFonts w:ascii="Arial" w:cs="Arial" w:eastAsia="Arial" w:hAnsi="Arial"/>
          <w:sz w:val="14"/>
          <w:szCs w:val="14"/>
          <w:color w:val="7D7D7D"/>
        </w:rPr>
        <w:t>Ms. Yang’s base salary was increased from $350,000 to $367,500 effective as of April 1, 2023.</w:t>
      </w:r>
    </w:p>
    <w:p>
      <w:pPr>
        <w:spacing w:after="0" w:line="69" w:lineRule="exact"/>
        <w:rPr>
          <w:sz w:val="20"/>
          <w:szCs w:val="20"/>
          <w:color w:val="auto"/>
        </w:rPr>
      </w:pPr>
    </w:p>
    <w:p>
      <w:pPr>
        <w:ind w:left="260" w:right="20" w:hanging="252"/>
        <w:spacing w:after="0" w:line="305" w:lineRule="auto"/>
        <w:tabs>
          <w:tab w:leader="none" w:pos="245" w:val="left"/>
        </w:tabs>
        <w:numPr>
          <w:ilvl w:val="0"/>
          <w:numId w:val="56"/>
        </w:numPr>
        <w:rPr>
          <w:rFonts w:ascii="Arial" w:cs="Arial" w:eastAsia="Arial" w:hAnsi="Arial"/>
          <w:sz w:val="14"/>
          <w:szCs w:val="14"/>
          <w:color w:val="7D7D7D"/>
        </w:rPr>
      </w:pPr>
      <w:r>
        <w:rPr>
          <w:rFonts w:ascii="Arial" w:cs="Arial" w:eastAsia="Arial" w:hAnsi="Arial"/>
          <w:sz w:val="14"/>
          <w:szCs w:val="14"/>
          <w:color w:val="7D7D7D"/>
        </w:rPr>
        <w:t>Mr. Ranhoff’s base salary was decreased from $400,000 to $200,000 effective as of July 1, 2024 in connection with his transition from CCO to a part-time role as Commercial Advisor.</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53" w:name="page54"/>
    <w:bookmarkEnd w:id="53"/>
    <w:p>
      <w:pPr>
        <w:spacing w:after="0"/>
        <w:rPr>
          <w:sz w:val="20"/>
          <w:szCs w:val="20"/>
          <w:color w:val="auto"/>
        </w:rPr>
      </w:pPr>
      <w:r>
        <w:rPr>
          <w:rFonts w:ascii="Arial" w:cs="Arial" w:eastAsia="Arial" w:hAnsi="Arial"/>
          <w:sz w:val="32"/>
          <w:szCs w:val="32"/>
          <w:b w:val="1"/>
          <w:bCs w:val="1"/>
          <w:color w:val="auto"/>
        </w:rPr>
        <w:t>Grants of Plan-Based Awards - 2024</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incentive awards granted to our NEOs for 2024.</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Borders>
              <w:top w:val="single" w:sz="8" w:color="3C3C3C"/>
            </w:tcBorders>
            <w:gridSpan w:val="2"/>
          </w:tcPr>
          <w:p>
            <w:pPr>
              <w:jc w:val="center"/>
              <w:spacing w:after="0"/>
              <w:rPr>
                <w:sz w:val="20"/>
                <w:szCs w:val="20"/>
                <w:color w:val="auto"/>
              </w:rPr>
            </w:pPr>
            <w:r>
              <w:rPr>
                <w:rFonts w:ascii="Arial" w:cs="Arial" w:eastAsia="Arial" w:hAnsi="Arial"/>
                <w:sz w:val="14"/>
                <w:szCs w:val="14"/>
                <w:b w:val="1"/>
                <w:bCs w:val="1"/>
                <w:color w:val="3C3C3C"/>
              </w:rPr>
              <w:t>Estimated Possible Payouts</w:t>
            </w:r>
          </w:p>
        </w:tc>
        <w:tc>
          <w:tcPr>
            <w:tcW w:w="80" w:type="dxa"/>
            <w:vAlign w:val="bottom"/>
          </w:tcPr>
          <w:p>
            <w:pPr>
              <w:spacing w:after="0"/>
              <w:rPr>
                <w:sz w:val="24"/>
                <w:szCs w:val="24"/>
                <w:color w:val="auto"/>
              </w:rPr>
            </w:pPr>
          </w:p>
        </w:tc>
        <w:tc>
          <w:tcPr>
            <w:tcW w:w="1080" w:type="dxa"/>
            <w:vAlign w:val="bottom"/>
            <w:tcBorders>
              <w:top w:val="single" w:sz="8" w:color="3C3C3C"/>
            </w:tcBorders>
          </w:tcPr>
          <w:p>
            <w:pPr>
              <w:spacing w:after="0"/>
              <w:rPr>
                <w:sz w:val="24"/>
                <w:szCs w:val="24"/>
                <w:color w:val="auto"/>
              </w:rPr>
            </w:pPr>
          </w:p>
        </w:tc>
        <w:tc>
          <w:tcPr>
            <w:tcW w:w="1140" w:type="dxa"/>
            <w:vAlign w:val="bottom"/>
            <w:tcBorders>
              <w:top w:val="single" w:sz="8" w:color="3C3C3C"/>
            </w:tcBorders>
          </w:tcPr>
          <w:p>
            <w:pPr>
              <w:spacing w:after="0"/>
              <w:rPr>
                <w:sz w:val="24"/>
                <w:szCs w:val="24"/>
                <w:color w:val="auto"/>
              </w:rPr>
            </w:pPr>
          </w:p>
        </w:tc>
        <w:tc>
          <w:tcPr>
            <w:tcW w:w="1040" w:type="dxa"/>
            <w:vAlign w:val="bottom"/>
            <w:tcBorders>
              <w:top w:val="single" w:sz="8" w:color="3C3C3C"/>
            </w:tcBorders>
          </w:tcPr>
          <w:p>
            <w:pPr>
              <w:spacing w:after="0"/>
              <w:rPr>
                <w:sz w:val="24"/>
                <w:szCs w:val="24"/>
                <w:color w:val="auto"/>
              </w:rPr>
            </w:pPr>
          </w:p>
        </w:tc>
        <w:tc>
          <w:tcPr>
            <w:tcW w:w="120" w:type="dxa"/>
            <w:vAlign w:val="bottom"/>
            <w:tcBorders>
              <w:right w:val="single" w:sz="8" w:color="3C3C3C"/>
            </w:tcBorders>
          </w:tcPr>
          <w:p>
            <w:pPr>
              <w:spacing w:after="0"/>
              <w:rPr>
                <w:sz w:val="24"/>
                <w:szCs w:val="24"/>
                <w:color w:val="auto"/>
              </w:rPr>
            </w:pPr>
          </w:p>
        </w:tc>
        <w:tc>
          <w:tcPr>
            <w:tcW w:w="1600" w:type="dxa"/>
            <w:vAlign w:val="bottom"/>
            <w:tcBorders>
              <w:top w:val="single" w:sz="8" w:color="3C3C3C"/>
              <w:right w:val="single" w:sz="8" w:color="3C3C3C"/>
            </w:tcBorders>
            <w:gridSpan w:val="2"/>
            <w:shd w:val="clear" w:color="auto" w:fill="3C3C3C"/>
          </w:tcPr>
          <w:p>
            <w:pPr>
              <w:jc w:val="center"/>
              <w:ind w:right="67"/>
              <w:spacing w:after="0"/>
              <w:rPr>
                <w:sz w:val="20"/>
                <w:szCs w:val="20"/>
                <w:color w:val="auto"/>
              </w:rPr>
            </w:pPr>
            <w:r>
              <w:rPr>
                <w:rFonts w:ascii="Arial" w:cs="Arial" w:eastAsia="Arial" w:hAnsi="Arial"/>
                <w:sz w:val="14"/>
                <w:szCs w:val="14"/>
                <w:b w:val="1"/>
                <w:bCs w:val="1"/>
                <w:color w:val="FFFFFF"/>
              </w:rPr>
              <w:t>All Other Stock</w:t>
            </w:r>
          </w:p>
        </w:tc>
        <w:tc>
          <w:tcPr>
            <w:tcW w:w="1060" w:type="dxa"/>
            <w:vAlign w:val="bottom"/>
            <w:tcBorders>
              <w:top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Grant Date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3C3C3C"/>
              </w:rPr>
              <w:t>Under Non-Equity Incentive</w:t>
            </w:r>
          </w:p>
        </w:tc>
        <w:tc>
          <w:tcPr>
            <w:tcW w:w="80" w:type="dxa"/>
            <w:vAlign w:val="bottom"/>
          </w:tcPr>
          <w:p>
            <w:pPr>
              <w:spacing w:after="0"/>
              <w:rPr>
                <w:sz w:val="9"/>
                <w:szCs w:val="9"/>
                <w:color w:val="auto"/>
              </w:rPr>
            </w:pPr>
          </w:p>
        </w:tc>
        <w:tc>
          <w:tcPr>
            <w:tcW w:w="3380" w:type="dxa"/>
            <w:vAlign w:val="bottom"/>
            <w:tcBorders>
              <w:right w:val="single" w:sz="8" w:color="3C3C3C"/>
            </w:tcBorders>
            <w:gridSpan w:val="4"/>
            <w:vMerge w:val="restart"/>
          </w:tcPr>
          <w:p>
            <w:pPr>
              <w:jc w:val="center"/>
              <w:ind w:right="120"/>
              <w:spacing w:after="0"/>
              <w:rPr>
                <w:sz w:val="20"/>
                <w:szCs w:val="20"/>
                <w:color w:val="auto"/>
              </w:rPr>
            </w:pPr>
            <w:r>
              <w:rPr>
                <w:rFonts w:ascii="Arial" w:cs="Arial" w:eastAsia="Arial" w:hAnsi="Arial"/>
                <w:sz w:val="14"/>
                <w:szCs w:val="14"/>
                <w:b w:val="1"/>
                <w:bCs w:val="1"/>
                <w:color w:val="3C3C3C"/>
              </w:rPr>
              <w:t>Estimated Possible Payouts Under Equity</w:t>
            </w:r>
          </w:p>
        </w:tc>
        <w:tc>
          <w:tcPr>
            <w:tcW w:w="1080" w:type="dxa"/>
            <w:vAlign w:val="bottom"/>
            <w:vMerge w:val="restart"/>
            <w:shd w:val="clear" w:color="auto" w:fill="3C3C3C"/>
          </w:tcPr>
          <w:p>
            <w:pPr>
              <w:jc w:val="center"/>
              <w:ind w:left="322"/>
              <w:spacing w:after="0"/>
              <w:rPr>
                <w:sz w:val="20"/>
                <w:szCs w:val="20"/>
                <w:color w:val="auto"/>
              </w:rPr>
            </w:pPr>
            <w:r>
              <w:rPr>
                <w:rFonts w:ascii="Arial" w:cs="Arial" w:eastAsia="Arial" w:hAnsi="Arial"/>
                <w:sz w:val="14"/>
                <w:szCs w:val="14"/>
                <w:b w:val="1"/>
                <w:bCs w:val="1"/>
                <w:color w:val="FFFFFF"/>
              </w:rPr>
              <w:t>Awards:</w:t>
            </w:r>
          </w:p>
        </w:tc>
        <w:tc>
          <w:tcPr>
            <w:tcW w:w="520" w:type="dxa"/>
            <w:vAlign w:val="bottom"/>
            <w:tcBorders>
              <w:right w:val="single" w:sz="8" w:color="3C3C3C"/>
            </w:tcBorders>
            <w:shd w:val="clear" w:color="auto" w:fill="3C3C3C"/>
          </w:tcPr>
          <w:p>
            <w:pPr>
              <w:spacing w:after="0"/>
              <w:rPr>
                <w:sz w:val="9"/>
                <w:szCs w:val="9"/>
                <w:color w:val="auto"/>
              </w:rPr>
            </w:pPr>
          </w:p>
        </w:tc>
        <w:tc>
          <w:tcPr>
            <w:tcW w:w="106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tcBorders>
              <w:right w:val="single" w:sz="8" w:color="3C3C3C"/>
            </w:tcBorders>
            <w:gridSpan w:val="4"/>
            <w:vMerge w:val="continue"/>
          </w:tcPr>
          <w:p>
            <w:pPr>
              <w:spacing w:after="0"/>
              <w:rPr>
                <w:sz w:val="5"/>
                <w:szCs w:val="5"/>
                <w:color w:val="auto"/>
              </w:rPr>
            </w:pPr>
          </w:p>
        </w:tc>
        <w:tc>
          <w:tcPr>
            <w:tcW w:w="1080" w:type="dxa"/>
            <w:vAlign w:val="bottom"/>
            <w:vMerge w:val="continue"/>
            <w:shd w:val="clear" w:color="auto" w:fill="3C3C3C"/>
          </w:tcPr>
          <w:p>
            <w:pPr>
              <w:spacing w:after="0"/>
              <w:rPr>
                <w:sz w:val="5"/>
                <w:szCs w:val="5"/>
                <w:color w:val="auto"/>
              </w:rPr>
            </w:pPr>
          </w:p>
        </w:tc>
        <w:tc>
          <w:tcPr>
            <w:tcW w:w="520" w:type="dxa"/>
            <w:vAlign w:val="bottom"/>
            <w:tcBorders>
              <w:right w:val="single" w:sz="8" w:color="3C3C3C"/>
            </w:tcBorders>
            <w:shd w:val="clear" w:color="auto" w:fill="3C3C3C"/>
          </w:tcPr>
          <w:p>
            <w:pPr>
              <w:spacing w:after="0"/>
              <w:rPr>
                <w:sz w:val="5"/>
                <w:szCs w:val="5"/>
                <w:color w:val="auto"/>
              </w:rPr>
            </w:pPr>
          </w:p>
        </w:tc>
        <w:tc>
          <w:tcPr>
            <w:tcW w:w="106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Fair Value of</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2"/>
          </w:tcPr>
          <w:p>
            <w:pPr>
              <w:jc w:val="center"/>
              <w:spacing w:after="0" w:line="176" w:lineRule="exact"/>
              <w:rPr>
                <w:sz w:val="20"/>
                <w:szCs w:val="20"/>
                <w:color w:val="auto"/>
              </w:rPr>
            </w:pPr>
            <w:r>
              <w:rPr>
                <w:rFonts w:ascii="Arial" w:cs="Arial" w:eastAsia="Arial" w:hAnsi="Arial"/>
                <w:sz w:val="14"/>
                <w:szCs w:val="14"/>
                <w:b w:val="1"/>
                <w:bCs w:val="1"/>
                <w:color w:val="3C3C3C"/>
                <w:w w:val="99"/>
              </w:rPr>
              <w:t>Plan Awards</w:t>
            </w:r>
            <w:r>
              <w:rPr>
                <w:rFonts w:ascii="Arial" w:cs="Arial" w:eastAsia="Arial" w:hAnsi="Arial"/>
                <w:sz w:val="18"/>
                <w:szCs w:val="18"/>
                <w:b w:val="1"/>
                <w:bCs w:val="1"/>
                <w:color w:val="3C3C3C"/>
                <w:w w:val="99"/>
                <w:vertAlign w:val="superscript"/>
              </w:rPr>
              <w:t>(1)</w:t>
            </w:r>
          </w:p>
        </w:tc>
        <w:tc>
          <w:tcPr>
            <w:tcW w:w="80" w:type="dxa"/>
            <w:vAlign w:val="bottom"/>
          </w:tcPr>
          <w:p>
            <w:pPr>
              <w:spacing w:after="0"/>
              <w:rPr>
                <w:sz w:val="15"/>
                <w:szCs w:val="15"/>
                <w:color w:val="auto"/>
              </w:rPr>
            </w:pPr>
          </w:p>
        </w:tc>
        <w:tc>
          <w:tcPr>
            <w:tcW w:w="3380" w:type="dxa"/>
            <w:vAlign w:val="bottom"/>
            <w:tcBorders>
              <w:right w:val="single" w:sz="8" w:color="3C3C3C"/>
            </w:tcBorders>
            <w:gridSpan w:val="4"/>
          </w:tcPr>
          <w:p>
            <w:pPr>
              <w:jc w:val="center"/>
              <w:ind w:right="140"/>
              <w:spacing w:after="0"/>
              <w:rPr>
                <w:sz w:val="20"/>
                <w:szCs w:val="20"/>
                <w:color w:val="auto"/>
              </w:rPr>
            </w:pPr>
            <w:r>
              <w:rPr>
                <w:rFonts w:ascii="Arial" w:cs="Arial" w:eastAsia="Arial" w:hAnsi="Arial"/>
                <w:sz w:val="14"/>
                <w:szCs w:val="14"/>
                <w:b w:val="1"/>
                <w:bCs w:val="1"/>
                <w:color w:val="3C3C3C"/>
              </w:rPr>
              <w:t>Incentive Plan Awards</w:t>
            </w:r>
            <w:r>
              <w:rPr>
                <w:rFonts w:ascii="Arial" w:cs="Arial" w:eastAsia="Arial" w:hAnsi="Arial"/>
                <w:sz w:val="9"/>
                <w:szCs w:val="9"/>
                <w:b w:val="1"/>
                <w:bCs w:val="1"/>
                <w:color w:val="3C3C3C"/>
              </w:rPr>
              <w:t>(2)</w:t>
            </w:r>
          </w:p>
        </w:tc>
        <w:tc>
          <w:tcPr>
            <w:tcW w:w="1600" w:type="dxa"/>
            <w:vAlign w:val="bottom"/>
            <w:tcBorders>
              <w:right w:val="single" w:sz="8" w:color="3C3C3C"/>
            </w:tcBorders>
            <w:gridSpan w:val="2"/>
            <w:shd w:val="clear" w:color="auto" w:fill="3C3C3C"/>
          </w:tcPr>
          <w:p>
            <w:pPr>
              <w:jc w:val="center"/>
              <w:ind w:right="47"/>
              <w:spacing w:after="0"/>
              <w:rPr>
                <w:sz w:val="20"/>
                <w:szCs w:val="20"/>
                <w:color w:val="auto"/>
              </w:rPr>
            </w:pPr>
            <w:r>
              <w:rPr>
                <w:rFonts w:ascii="Arial" w:cs="Arial" w:eastAsia="Arial" w:hAnsi="Arial"/>
                <w:sz w:val="14"/>
                <w:szCs w:val="14"/>
                <w:b w:val="1"/>
                <w:bCs w:val="1"/>
                <w:color w:val="FFFFFF"/>
              </w:rPr>
              <w:t>Number of Shares of</w:t>
            </w:r>
          </w:p>
        </w:tc>
        <w:tc>
          <w:tcPr>
            <w:tcW w:w="1060" w:type="dxa"/>
            <w:vAlign w:val="bottom"/>
            <w:vMerge w:val="continue"/>
            <w:shd w:val="clear" w:color="auto" w:fill="3C3C3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Borders>
              <w:right w:val="single" w:sz="8" w:color="3C3C3C"/>
            </w:tcBorders>
          </w:tcPr>
          <w:p>
            <w:pPr>
              <w:spacing w:after="0"/>
              <w:rPr>
                <w:sz w:val="3"/>
                <w:szCs w:val="3"/>
                <w:color w:val="auto"/>
              </w:rPr>
            </w:pPr>
          </w:p>
        </w:tc>
        <w:tc>
          <w:tcPr>
            <w:tcW w:w="1600" w:type="dxa"/>
            <w:vAlign w:val="bottom"/>
            <w:tcBorders>
              <w:right w:val="single" w:sz="8" w:color="3C3C3C"/>
            </w:tcBorders>
            <w:gridSpan w:val="2"/>
            <w:vMerge w:val="restart"/>
            <w:shd w:val="clear" w:color="auto" w:fill="3C3C3C"/>
          </w:tcPr>
          <w:p>
            <w:pPr>
              <w:jc w:val="center"/>
              <w:ind w:right="47"/>
              <w:spacing w:after="0"/>
              <w:rPr>
                <w:sz w:val="20"/>
                <w:szCs w:val="20"/>
                <w:color w:val="auto"/>
              </w:rPr>
            </w:pPr>
            <w:r>
              <w:rPr>
                <w:rFonts w:ascii="Arial" w:cs="Arial" w:eastAsia="Arial" w:hAnsi="Arial"/>
                <w:sz w:val="14"/>
                <w:szCs w:val="14"/>
                <w:b w:val="1"/>
                <w:bCs w:val="1"/>
                <w:color w:val="FFFFFF"/>
              </w:rPr>
              <w:t>Stock or Units</w:t>
            </w:r>
          </w:p>
        </w:tc>
        <w:tc>
          <w:tcPr>
            <w:tcW w:w="1060" w:type="dxa"/>
            <w:vAlign w:val="bottom"/>
            <w:vMerge w:val="restart"/>
            <w:shd w:val="clear" w:color="auto" w:fill="3C3C3C"/>
          </w:tcPr>
          <w:p>
            <w:pPr>
              <w:jc w:val="center"/>
              <w:spacing w:after="0" w:line="110" w:lineRule="exact"/>
              <w:rPr>
                <w:sz w:val="20"/>
                <w:szCs w:val="20"/>
                <w:color w:val="auto"/>
              </w:rPr>
            </w:pPr>
            <w:r>
              <w:rPr>
                <w:rFonts w:ascii="Arial" w:cs="Arial" w:eastAsia="Arial" w:hAnsi="Arial"/>
                <w:sz w:val="12"/>
                <w:szCs w:val="12"/>
                <w:b w:val="1"/>
                <w:bCs w:val="1"/>
                <w:color w:val="FFFFFF"/>
              </w:rPr>
              <w:t>Stock Awards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1640" w:type="dxa"/>
            <w:vAlign w:val="bottom"/>
            <w:tcBorders>
              <w:left w:val="single" w:sz="8" w:color="3C3C3C"/>
            </w:tcBorders>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020" w:type="dxa"/>
            <w:vAlign w:val="bottom"/>
            <w:shd w:val="clear" w:color="auto" w:fill="3C3C3C"/>
          </w:tcPr>
          <w:p>
            <w:pPr>
              <w:spacing w:after="0"/>
              <w:rPr>
                <w:sz w:val="6"/>
                <w:szCs w:val="6"/>
                <w:color w:val="auto"/>
              </w:rPr>
            </w:pPr>
          </w:p>
        </w:tc>
        <w:tc>
          <w:tcPr>
            <w:tcW w:w="140" w:type="dxa"/>
            <w:vAlign w:val="bottom"/>
            <w:tcBorders>
              <w:right w:val="single" w:sz="8" w:color="3C3C3C"/>
            </w:tcBorders>
            <w:shd w:val="clear" w:color="auto" w:fill="3C3C3C"/>
          </w:tcPr>
          <w:p>
            <w:pPr>
              <w:spacing w:after="0"/>
              <w:rPr>
                <w:sz w:val="6"/>
                <w:szCs w:val="6"/>
                <w:color w:val="auto"/>
              </w:rPr>
            </w:pPr>
          </w:p>
        </w:tc>
        <w:tc>
          <w:tcPr>
            <w:tcW w:w="1100" w:type="dxa"/>
            <w:vAlign w:val="bottom"/>
            <w:tcBorders>
              <w:right w:val="single" w:sz="8" w:color="3C3C3C"/>
            </w:tcBorders>
            <w:shd w:val="clear" w:color="auto" w:fill="3C3C3C"/>
          </w:tcPr>
          <w:p>
            <w:pPr>
              <w:spacing w:after="0"/>
              <w:rPr>
                <w:sz w:val="6"/>
                <w:szCs w:val="6"/>
                <w:color w:val="auto"/>
              </w:rPr>
            </w:pPr>
          </w:p>
        </w:tc>
        <w:tc>
          <w:tcPr>
            <w:tcW w:w="1100" w:type="dxa"/>
            <w:vAlign w:val="bottom"/>
            <w:tcBorders>
              <w:right w:val="single" w:sz="8" w:color="3C3C3C"/>
            </w:tcBorders>
            <w:shd w:val="clear" w:color="auto" w:fill="3C3C3C"/>
          </w:tcPr>
          <w:p>
            <w:pPr>
              <w:spacing w:after="0"/>
              <w:rPr>
                <w:sz w:val="6"/>
                <w:szCs w:val="6"/>
                <w:color w:val="auto"/>
              </w:rPr>
            </w:pPr>
          </w:p>
        </w:tc>
        <w:tc>
          <w:tcPr>
            <w:tcW w:w="80" w:type="dxa"/>
            <w:vAlign w:val="bottom"/>
            <w:shd w:val="clear" w:color="auto" w:fill="3C3C3C"/>
          </w:tcPr>
          <w:p>
            <w:pPr>
              <w:spacing w:after="0"/>
              <w:rPr>
                <w:sz w:val="6"/>
                <w:szCs w:val="6"/>
                <w:color w:val="auto"/>
              </w:rPr>
            </w:pPr>
          </w:p>
        </w:tc>
        <w:tc>
          <w:tcPr>
            <w:tcW w:w="1080" w:type="dxa"/>
            <w:vAlign w:val="bottom"/>
            <w:tcBorders>
              <w:right w:val="single" w:sz="8" w:color="3C3C3C"/>
            </w:tcBorders>
            <w:shd w:val="clear" w:color="auto" w:fill="3C3C3C"/>
          </w:tcPr>
          <w:p>
            <w:pPr>
              <w:spacing w:after="0"/>
              <w:rPr>
                <w:sz w:val="6"/>
                <w:szCs w:val="6"/>
                <w:color w:val="auto"/>
              </w:rPr>
            </w:pPr>
          </w:p>
        </w:tc>
        <w:tc>
          <w:tcPr>
            <w:tcW w:w="1140" w:type="dxa"/>
            <w:vAlign w:val="bottom"/>
            <w:tcBorders>
              <w:right w:val="single" w:sz="8" w:color="3C3C3C"/>
            </w:tcBorders>
            <w:shd w:val="clear" w:color="auto" w:fill="3C3C3C"/>
          </w:tcPr>
          <w:p>
            <w:pPr>
              <w:spacing w:after="0"/>
              <w:rPr>
                <w:sz w:val="6"/>
                <w:szCs w:val="6"/>
                <w:color w:val="auto"/>
              </w:rPr>
            </w:pPr>
          </w:p>
        </w:tc>
        <w:tc>
          <w:tcPr>
            <w:tcW w:w="1040" w:type="dxa"/>
            <w:vAlign w:val="bottom"/>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600" w:type="dxa"/>
            <w:vAlign w:val="bottom"/>
            <w:tcBorders>
              <w:right w:val="single" w:sz="8" w:color="3C3C3C"/>
            </w:tcBorders>
            <w:gridSpan w:val="2"/>
            <w:vMerge w:val="continue"/>
            <w:shd w:val="clear" w:color="auto" w:fill="3C3C3C"/>
          </w:tcPr>
          <w:p>
            <w:pPr>
              <w:spacing w:after="0"/>
              <w:rPr>
                <w:sz w:val="6"/>
                <w:szCs w:val="6"/>
                <w:color w:val="auto"/>
              </w:rPr>
            </w:pPr>
          </w:p>
        </w:tc>
        <w:tc>
          <w:tcPr>
            <w:tcW w:w="106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640" w:type="dxa"/>
            <w:vAlign w:val="bottom"/>
            <w:tcBorders>
              <w:lef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w:t>
            </w:r>
          </w:p>
        </w:tc>
        <w:tc>
          <w:tcPr>
            <w:tcW w:w="120" w:type="dxa"/>
            <w:vAlign w:val="bottom"/>
            <w:tcBorders>
              <w:right w:val="single" w:sz="8" w:color="3C3C3C"/>
            </w:tcBorders>
            <w:shd w:val="clear" w:color="auto" w:fill="3C3C3C"/>
          </w:tcPr>
          <w:p>
            <w:pPr>
              <w:spacing w:after="0"/>
              <w:rPr>
                <w:sz w:val="13"/>
                <w:szCs w:val="13"/>
                <w:color w:val="auto"/>
              </w:rPr>
            </w:pPr>
          </w:p>
        </w:tc>
        <w:tc>
          <w:tcPr>
            <w:tcW w:w="1020" w:type="dxa"/>
            <w:vAlign w:val="bottom"/>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Grant Date</w:t>
            </w:r>
          </w:p>
        </w:tc>
        <w:tc>
          <w:tcPr>
            <w:tcW w:w="140" w:type="dxa"/>
            <w:vAlign w:val="bottom"/>
            <w:tcBorders>
              <w:right w:val="single" w:sz="8" w:color="3C3C3C"/>
            </w:tcBorders>
            <w:shd w:val="clear" w:color="auto" w:fill="3C3C3C"/>
          </w:tcPr>
          <w:p>
            <w:pPr>
              <w:spacing w:after="0"/>
              <w:rPr>
                <w:sz w:val="13"/>
                <w:szCs w:val="13"/>
                <w:color w:val="auto"/>
              </w:rPr>
            </w:pPr>
          </w:p>
        </w:tc>
        <w:tc>
          <w:tcPr>
            <w:tcW w:w="1100" w:type="dxa"/>
            <w:vAlign w:val="bottom"/>
            <w:tcBorders>
              <w:right w:val="single" w:sz="8" w:color="3C3C3C"/>
            </w:tcBorders>
            <w:shd w:val="clear" w:color="auto" w:fill="3C3C3C"/>
          </w:tcPr>
          <w:p>
            <w:pPr>
              <w:ind w:left="260"/>
              <w:spacing w:after="0"/>
              <w:rPr>
                <w:sz w:val="20"/>
                <w:szCs w:val="20"/>
                <w:color w:val="auto"/>
              </w:rPr>
            </w:pPr>
            <w:r>
              <w:rPr>
                <w:rFonts w:ascii="Arial" w:cs="Arial" w:eastAsia="Arial" w:hAnsi="Arial"/>
                <w:sz w:val="14"/>
                <w:szCs w:val="14"/>
                <w:b w:val="1"/>
                <w:bCs w:val="1"/>
                <w:color w:val="FFFFFF"/>
              </w:rPr>
              <w:t>Target</w:t>
            </w:r>
          </w:p>
        </w:tc>
        <w:tc>
          <w:tcPr>
            <w:tcW w:w="1100" w:type="dxa"/>
            <w:vAlign w:val="bottom"/>
            <w:tcBorders>
              <w:right w:val="single" w:sz="8" w:color="3C3C3C"/>
            </w:tcBorders>
            <w:shd w:val="clear" w:color="auto" w:fill="3C3C3C"/>
          </w:tcPr>
          <w:p>
            <w:pPr>
              <w:ind w:left="200"/>
              <w:spacing w:after="0"/>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3C3C3C"/>
          </w:tcPr>
          <w:p>
            <w:pPr>
              <w:spacing w:after="0"/>
              <w:rPr>
                <w:sz w:val="13"/>
                <w:szCs w:val="13"/>
                <w:color w:val="auto"/>
              </w:rPr>
            </w:pPr>
          </w:p>
        </w:tc>
        <w:tc>
          <w:tcPr>
            <w:tcW w:w="1080" w:type="dxa"/>
            <w:vAlign w:val="bottom"/>
            <w:tcBorders>
              <w:right w:val="single" w:sz="8" w:color="3C3C3C"/>
            </w:tcBorders>
            <w:shd w:val="clear" w:color="auto" w:fill="3C3C3C"/>
          </w:tcPr>
          <w:p>
            <w:pPr>
              <w:ind w:left="140"/>
              <w:spacing w:after="0"/>
              <w:rPr>
                <w:sz w:val="20"/>
                <w:szCs w:val="20"/>
                <w:color w:val="auto"/>
              </w:rPr>
            </w:pPr>
            <w:r>
              <w:rPr>
                <w:rFonts w:ascii="Arial" w:cs="Arial" w:eastAsia="Arial" w:hAnsi="Arial"/>
                <w:sz w:val="14"/>
                <w:szCs w:val="14"/>
                <w:b w:val="1"/>
                <w:bCs w:val="1"/>
                <w:color w:val="FFFFFF"/>
              </w:rPr>
              <w:t>Threshold</w:t>
            </w:r>
          </w:p>
        </w:tc>
        <w:tc>
          <w:tcPr>
            <w:tcW w:w="1140" w:type="dxa"/>
            <w:vAlign w:val="bottom"/>
            <w:tcBorders>
              <w:right w:val="single" w:sz="8" w:color="3C3C3C"/>
            </w:tcBorders>
            <w:shd w:val="clear" w:color="auto" w:fill="3C3C3C"/>
          </w:tcPr>
          <w:p>
            <w:pPr>
              <w:ind w:left="300"/>
              <w:spacing w:after="0"/>
              <w:rPr>
                <w:sz w:val="20"/>
                <w:szCs w:val="20"/>
                <w:color w:val="auto"/>
              </w:rPr>
            </w:pPr>
            <w:r>
              <w:rPr>
                <w:rFonts w:ascii="Arial" w:cs="Arial" w:eastAsia="Arial" w:hAnsi="Arial"/>
                <w:sz w:val="14"/>
                <w:szCs w:val="14"/>
                <w:b w:val="1"/>
                <w:bCs w:val="1"/>
                <w:color w:val="FFFFFF"/>
              </w:rPr>
              <w:t>Target</w:t>
            </w:r>
          </w:p>
        </w:tc>
        <w:tc>
          <w:tcPr>
            <w:tcW w:w="1160" w:type="dxa"/>
            <w:vAlign w:val="bottom"/>
            <w:tcBorders>
              <w:right w:val="single" w:sz="8" w:color="3C3C3C"/>
            </w:tcBorders>
            <w:gridSpan w:val="2"/>
            <w:shd w:val="clear" w:color="auto" w:fill="3C3C3C"/>
          </w:tcPr>
          <w:p>
            <w:pPr>
              <w:ind w:left="180"/>
              <w:spacing w:after="0"/>
              <w:rPr>
                <w:sz w:val="20"/>
                <w:szCs w:val="20"/>
                <w:color w:val="auto"/>
              </w:rPr>
            </w:pPr>
            <w:r>
              <w:rPr>
                <w:rFonts w:ascii="Arial" w:cs="Arial" w:eastAsia="Arial" w:hAnsi="Arial"/>
                <w:sz w:val="14"/>
                <w:szCs w:val="14"/>
                <w:b w:val="1"/>
                <w:bCs w:val="1"/>
                <w:color w:val="FFFFFF"/>
              </w:rPr>
              <w:t>Maximum</w:t>
            </w:r>
          </w:p>
        </w:tc>
        <w:tc>
          <w:tcPr>
            <w:tcW w:w="1600" w:type="dxa"/>
            <w:vAlign w:val="bottom"/>
            <w:tcBorders>
              <w:right w:val="single" w:sz="8" w:color="3C3C3C"/>
            </w:tcBorders>
            <w:gridSpan w:val="2"/>
            <w:vMerge w:val="continue"/>
            <w:shd w:val="clear" w:color="auto" w:fill="3C3C3C"/>
          </w:tcPr>
          <w:p>
            <w:pPr>
              <w:spacing w:after="0"/>
              <w:rPr>
                <w:sz w:val="13"/>
                <w:szCs w:val="13"/>
                <w:color w:val="auto"/>
              </w:rPr>
            </w:pPr>
          </w:p>
        </w:tc>
        <w:tc>
          <w:tcPr>
            <w:tcW w:w="1060" w:type="dxa"/>
            <w:vAlign w:val="bottom"/>
            <w:shd w:val="clear" w:color="auto" w:fill="3C3C3C"/>
          </w:tcPr>
          <w:p>
            <w:pPr>
              <w:jc w:val="center"/>
              <w:spacing w:after="0" w:line="160"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40" w:type="dxa"/>
            <w:vAlign w:val="bottom"/>
            <w:tcBorders>
              <w:lef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Officer</w:t>
            </w:r>
          </w:p>
        </w:tc>
        <w:tc>
          <w:tcPr>
            <w:tcW w:w="120" w:type="dxa"/>
            <w:vAlign w:val="bottom"/>
            <w:tcBorders>
              <w:right w:val="single" w:sz="8" w:color="3C3C3C"/>
            </w:tcBorders>
            <w:shd w:val="clear" w:color="auto" w:fill="3C3C3C"/>
          </w:tcPr>
          <w:p>
            <w:pPr>
              <w:spacing w:after="0"/>
              <w:rPr>
                <w:sz w:val="14"/>
                <w:szCs w:val="14"/>
                <w:color w:val="auto"/>
              </w:rPr>
            </w:pPr>
          </w:p>
        </w:tc>
        <w:tc>
          <w:tcPr>
            <w:tcW w:w="1020" w:type="dxa"/>
            <w:vAlign w:val="bottom"/>
            <w:vMerge w:val="continue"/>
            <w:shd w:val="clear" w:color="auto" w:fill="3C3C3C"/>
          </w:tcPr>
          <w:p>
            <w:pPr>
              <w:spacing w:after="0"/>
              <w:rPr>
                <w:sz w:val="14"/>
                <w:szCs w:val="14"/>
                <w:color w:val="auto"/>
              </w:rPr>
            </w:pPr>
          </w:p>
        </w:tc>
        <w:tc>
          <w:tcPr>
            <w:tcW w:w="1240" w:type="dxa"/>
            <w:vAlign w:val="bottom"/>
            <w:tcBorders>
              <w:righ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tcBorders>
              <w:right w:val="single" w:sz="8" w:color="3C3C3C"/>
            </w:tcBorders>
            <w:vMerge w:val="restart"/>
            <w:shd w:val="clear" w:color="auto" w:fill="3C3C3C"/>
          </w:tcPr>
          <w:p>
            <w:pPr>
              <w:jc w:val="center"/>
              <w:ind w:right="40"/>
              <w:spacing w:after="0"/>
              <w:rPr>
                <w:sz w:val="20"/>
                <w:szCs w:val="20"/>
                <w:color w:val="auto"/>
              </w:rPr>
            </w:pPr>
            <w:r>
              <w:rPr>
                <w:rFonts w:ascii="Arial" w:cs="Arial" w:eastAsia="Arial" w:hAnsi="Arial"/>
                <w:sz w:val="14"/>
                <w:szCs w:val="14"/>
                <w:b w:val="1"/>
                <w:bCs w:val="1"/>
                <w:color w:val="FFFFFF"/>
              </w:rPr>
              <w:t>(#)</w:t>
            </w:r>
          </w:p>
        </w:tc>
        <w:tc>
          <w:tcPr>
            <w:tcW w:w="10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right w:val="single" w:sz="8" w:color="3C3C3C"/>
            </w:tcBorders>
            <w:shd w:val="clear" w:color="auto" w:fill="3C3C3C"/>
          </w:tcPr>
          <w:p>
            <w:pPr>
              <w:spacing w:after="0"/>
              <w:rPr>
                <w:sz w:val="14"/>
                <w:szCs w:val="14"/>
                <w:color w:val="auto"/>
              </w:rPr>
            </w:pPr>
          </w:p>
        </w:tc>
        <w:tc>
          <w:tcPr>
            <w:tcW w:w="1080" w:type="dxa"/>
            <w:vAlign w:val="bottom"/>
            <w:shd w:val="clear" w:color="auto" w:fill="3C3C3C"/>
          </w:tcPr>
          <w:p>
            <w:pPr>
              <w:jc w:val="center"/>
              <w:ind w:left="342"/>
              <w:spacing w:after="0"/>
              <w:rPr>
                <w:sz w:val="20"/>
                <w:szCs w:val="20"/>
                <w:color w:val="auto"/>
              </w:rPr>
            </w:pPr>
            <w:r>
              <w:rPr>
                <w:rFonts w:ascii="Arial" w:cs="Arial" w:eastAsia="Arial" w:hAnsi="Arial"/>
                <w:sz w:val="14"/>
                <w:szCs w:val="14"/>
                <w:b w:val="1"/>
                <w:bCs w:val="1"/>
                <w:color w:val="FFFFFF"/>
              </w:rPr>
              <w:t>(#)</w:t>
            </w:r>
          </w:p>
        </w:tc>
        <w:tc>
          <w:tcPr>
            <w:tcW w:w="520" w:type="dxa"/>
            <w:vAlign w:val="bottom"/>
            <w:tcBorders>
              <w:right w:val="single" w:sz="8" w:color="3C3C3C"/>
            </w:tcBorders>
            <w:shd w:val="clear" w:color="auto" w:fill="3C3C3C"/>
          </w:tcPr>
          <w:p>
            <w:pPr>
              <w:spacing w:after="0"/>
              <w:rPr>
                <w:sz w:val="14"/>
                <w:szCs w:val="14"/>
                <w:color w:val="auto"/>
              </w:rPr>
            </w:pPr>
          </w:p>
        </w:tc>
        <w:tc>
          <w:tcPr>
            <w:tcW w:w="1060" w:type="dxa"/>
            <w:vAlign w:val="bottom"/>
            <w:shd w:val="clear" w:color="auto" w:fill="3C3C3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640" w:type="dxa"/>
            <w:vAlign w:val="bottom"/>
            <w:tcBorders>
              <w:left w:val="single" w:sz="8" w:color="3C3C3C"/>
            </w:tcBorders>
            <w:vMerge w:val="continue"/>
            <w:shd w:val="clear" w:color="auto" w:fill="3C3C3C"/>
          </w:tcPr>
          <w:p>
            <w:pPr>
              <w:spacing w:after="0"/>
              <w:rPr>
                <w:sz w:val="4"/>
                <w:szCs w:val="4"/>
                <w:color w:val="auto"/>
              </w:rPr>
            </w:pPr>
          </w:p>
        </w:tc>
        <w:tc>
          <w:tcPr>
            <w:tcW w:w="120" w:type="dxa"/>
            <w:vAlign w:val="bottom"/>
            <w:tcBorders>
              <w:right w:val="single" w:sz="8" w:color="3C3C3C"/>
            </w:tcBorders>
            <w:shd w:val="clear" w:color="auto" w:fill="3C3C3C"/>
          </w:tcPr>
          <w:p>
            <w:pPr>
              <w:spacing w:after="0"/>
              <w:rPr>
                <w:sz w:val="4"/>
                <w:szCs w:val="4"/>
                <w:color w:val="auto"/>
              </w:rPr>
            </w:pPr>
          </w:p>
        </w:tc>
        <w:tc>
          <w:tcPr>
            <w:tcW w:w="1020" w:type="dxa"/>
            <w:vAlign w:val="bottom"/>
            <w:shd w:val="clear" w:color="auto" w:fill="3C3C3C"/>
          </w:tcPr>
          <w:p>
            <w:pPr>
              <w:spacing w:after="0"/>
              <w:rPr>
                <w:sz w:val="4"/>
                <w:szCs w:val="4"/>
                <w:color w:val="auto"/>
              </w:rPr>
            </w:pPr>
          </w:p>
        </w:tc>
        <w:tc>
          <w:tcPr>
            <w:tcW w:w="1240" w:type="dxa"/>
            <w:vAlign w:val="bottom"/>
            <w:tcBorders>
              <w:right w:val="single" w:sz="8" w:color="3C3C3C"/>
            </w:tcBorders>
            <w:gridSpan w:val="2"/>
            <w:vMerge w:val="continue"/>
            <w:shd w:val="clear" w:color="auto" w:fill="3C3C3C"/>
          </w:tcPr>
          <w:p>
            <w:pPr>
              <w:spacing w:after="0"/>
              <w:rPr>
                <w:sz w:val="4"/>
                <w:szCs w:val="4"/>
                <w:color w:val="auto"/>
              </w:rPr>
            </w:pPr>
          </w:p>
        </w:tc>
        <w:tc>
          <w:tcPr>
            <w:tcW w:w="1100" w:type="dxa"/>
            <w:vAlign w:val="bottom"/>
            <w:tcBorders>
              <w:right w:val="single" w:sz="8" w:color="3C3C3C"/>
            </w:tcBorders>
            <w:vMerge w:val="continue"/>
            <w:shd w:val="clear" w:color="auto" w:fill="3C3C3C"/>
          </w:tcPr>
          <w:p>
            <w:pPr>
              <w:spacing w:after="0"/>
              <w:rPr>
                <w:sz w:val="4"/>
                <w:szCs w:val="4"/>
                <w:color w:val="auto"/>
              </w:rPr>
            </w:pPr>
          </w:p>
        </w:tc>
        <w:tc>
          <w:tcPr>
            <w:tcW w:w="1160" w:type="dxa"/>
            <w:vAlign w:val="bottom"/>
            <w:tcBorders>
              <w:right w:val="single" w:sz="8" w:color="3C3C3C"/>
            </w:tcBorders>
            <w:gridSpan w:val="2"/>
            <w:vMerge w:val="continue"/>
            <w:shd w:val="clear" w:color="auto" w:fill="3C3C3C"/>
          </w:tcPr>
          <w:p>
            <w:pPr>
              <w:spacing w:after="0"/>
              <w:rPr>
                <w:sz w:val="4"/>
                <w:szCs w:val="4"/>
                <w:color w:val="auto"/>
              </w:rPr>
            </w:pPr>
          </w:p>
        </w:tc>
        <w:tc>
          <w:tcPr>
            <w:tcW w:w="1140" w:type="dxa"/>
            <w:vAlign w:val="bottom"/>
            <w:tcBorders>
              <w:right w:val="single" w:sz="8" w:color="3C3C3C"/>
            </w:tcBorders>
            <w:vMerge w:val="continue"/>
            <w:shd w:val="clear" w:color="auto" w:fill="3C3C3C"/>
          </w:tcPr>
          <w:p>
            <w:pPr>
              <w:spacing w:after="0"/>
              <w:rPr>
                <w:sz w:val="4"/>
                <w:szCs w:val="4"/>
                <w:color w:val="auto"/>
              </w:rPr>
            </w:pPr>
          </w:p>
        </w:tc>
        <w:tc>
          <w:tcPr>
            <w:tcW w:w="1040" w:type="dxa"/>
            <w:vAlign w:val="bottom"/>
            <w:vMerge w:val="continue"/>
            <w:shd w:val="clear" w:color="auto" w:fill="3C3C3C"/>
          </w:tcPr>
          <w:p>
            <w:pPr>
              <w:spacing w:after="0"/>
              <w:rPr>
                <w:sz w:val="4"/>
                <w:szCs w:val="4"/>
                <w:color w:val="auto"/>
              </w:rPr>
            </w:pPr>
          </w:p>
        </w:tc>
        <w:tc>
          <w:tcPr>
            <w:tcW w:w="120" w:type="dxa"/>
            <w:vAlign w:val="bottom"/>
            <w:tcBorders>
              <w:right w:val="single" w:sz="8" w:color="3C3C3C"/>
            </w:tcBorders>
            <w:shd w:val="clear" w:color="auto" w:fill="3C3C3C"/>
          </w:tcPr>
          <w:p>
            <w:pPr>
              <w:spacing w:after="0"/>
              <w:rPr>
                <w:sz w:val="4"/>
                <w:szCs w:val="4"/>
                <w:color w:val="auto"/>
              </w:rPr>
            </w:pPr>
          </w:p>
        </w:tc>
        <w:tc>
          <w:tcPr>
            <w:tcW w:w="1080" w:type="dxa"/>
            <w:vAlign w:val="bottom"/>
            <w:shd w:val="clear" w:color="auto" w:fill="3C3C3C"/>
          </w:tcPr>
          <w:p>
            <w:pPr>
              <w:spacing w:after="0"/>
              <w:rPr>
                <w:sz w:val="4"/>
                <w:szCs w:val="4"/>
                <w:color w:val="auto"/>
              </w:rPr>
            </w:pPr>
          </w:p>
        </w:tc>
        <w:tc>
          <w:tcPr>
            <w:tcW w:w="520" w:type="dxa"/>
            <w:vAlign w:val="bottom"/>
            <w:tcBorders>
              <w:right w:val="single" w:sz="8" w:color="3C3C3C"/>
            </w:tcBorders>
            <w:shd w:val="clear" w:color="auto" w:fill="3C3C3C"/>
          </w:tcPr>
          <w:p>
            <w:pPr>
              <w:spacing w:after="0"/>
              <w:rPr>
                <w:sz w:val="4"/>
                <w:szCs w:val="4"/>
                <w:color w:val="auto"/>
              </w:rPr>
            </w:pPr>
          </w:p>
        </w:tc>
        <w:tc>
          <w:tcPr>
            <w:tcW w:w="1060" w:type="dxa"/>
            <w:vAlign w:val="bottom"/>
            <w:shd w:val="clear" w:color="auto" w:fill="3C3C3C"/>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640" w:type="dxa"/>
            <w:vAlign w:val="bottom"/>
            <w:tcBorders>
              <w:left w:val="single" w:sz="8" w:color="3C3C3C"/>
            </w:tcBorders>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1020" w:type="dxa"/>
            <w:vAlign w:val="bottom"/>
            <w:shd w:val="clear" w:color="auto" w:fill="3C3C3C"/>
          </w:tcPr>
          <w:p>
            <w:pPr>
              <w:spacing w:after="0"/>
              <w:rPr>
                <w:sz w:val="8"/>
                <w:szCs w:val="8"/>
                <w:color w:val="auto"/>
              </w:rPr>
            </w:pPr>
          </w:p>
        </w:tc>
        <w:tc>
          <w:tcPr>
            <w:tcW w:w="140" w:type="dxa"/>
            <w:vAlign w:val="bottom"/>
            <w:tcBorders>
              <w:right w:val="single" w:sz="8" w:color="3C3C3C"/>
            </w:tcBorders>
            <w:shd w:val="clear" w:color="auto" w:fill="3C3C3C"/>
          </w:tcPr>
          <w:p>
            <w:pPr>
              <w:spacing w:after="0"/>
              <w:rPr>
                <w:sz w:val="8"/>
                <w:szCs w:val="8"/>
                <w:color w:val="auto"/>
              </w:rPr>
            </w:pPr>
          </w:p>
        </w:tc>
        <w:tc>
          <w:tcPr>
            <w:tcW w:w="1100" w:type="dxa"/>
            <w:vAlign w:val="bottom"/>
            <w:tcBorders>
              <w:right w:val="single" w:sz="8" w:color="3C3C3C"/>
            </w:tcBorders>
            <w:shd w:val="clear" w:color="auto" w:fill="3C3C3C"/>
          </w:tcPr>
          <w:p>
            <w:pPr>
              <w:spacing w:after="0"/>
              <w:rPr>
                <w:sz w:val="8"/>
                <w:szCs w:val="8"/>
                <w:color w:val="auto"/>
              </w:rPr>
            </w:pPr>
          </w:p>
        </w:tc>
        <w:tc>
          <w:tcPr>
            <w:tcW w:w="1100" w:type="dxa"/>
            <w:vAlign w:val="bottom"/>
            <w:tcBorders>
              <w:right w:val="single" w:sz="8" w:color="3C3C3C"/>
            </w:tcBorders>
            <w:shd w:val="clear" w:color="auto" w:fill="3C3C3C"/>
          </w:tcPr>
          <w:p>
            <w:pPr>
              <w:spacing w:after="0"/>
              <w:rPr>
                <w:sz w:val="8"/>
                <w:szCs w:val="8"/>
                <w:color w:val="auto"/>
              </w:rPr>
            </w:pPr>
          </w:p>
        </w:tc>
        <w:tc>
          <w:tcPr>
            <w:tcW w:w="80" w:type="dxa"/>
            <w:vAlign w:val="bottom"/>
            <w:shd w:val="clear" w:color="auto" w:fill="3C3C3C"/>
          </w:tcPr>
          <w:p>
            <w:pPr>
              <w:spacing w:after="0"/>
              <w:rPr>
                <w:sz w:val="8"/>
                <w:szCs w:val="8"/>
                <w:color w:val="auto"/>
              </w:rPr>
            </w:pPr>
          </w:p>
        </w:tc>
        <w:tc>
          <w:tcPr>
            <w:tcW w:w="1080" w:type="dxa"/>
            <w:vAlign w:val="bottom"/>
            <w:tcBorders>
              <w:right w:val="single" w:sz="8" w:color="3C3C3C"/>
            </w:tcBorders>
            <w:shd w:val="clear" w:color="auto" w:fill="3C3C3C"/>
          </w:tcPr>
          <w:p>
            <w:pPr>
              <w:spacing w:after="0"/>
              <w:rPr>
                <w:sz w:val="8"/>
                <w:szCs w:val="8"/>
                <w:color w:val="auto"/>
              </w:rPr>
            </w:pPr>
          </w:p>
        </w:tc>
        <w:tc>
          <w:tcPr>
            <w:tcW w:w="1140" w:type="dxa"/>
            <w:vAlign w:val="bottom"/>
            <w:tcBorders>
              <w:right w:val="single" w:sz="8" w:color="3C3C3C"/>
            </w:tcBorders>
            <w:shd w:val="clear" w:color="auto" w:fill="3C3C3C"/>
          </w:tcPr>
          <w:p>
            <w:pPr>
              <w:spacing w:after="0"/>
              <w:rPr>
                <w:sz w:val="8"/>
                <w:szCs w:val="8"/>
                <w:color w:val="auto"/>
              </w:rPr>
            </w:pPr>
          </w:p>
        </w:tc>
        <w:tc>
          <w:tcPr>
            <w:tcW w:w="1040" w:type="dxa"/>
            <w:vAlign w:val="bottom"/>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1080" w:type="dxa"/>
            <w:vAlign w:val="bottom"/>
            <w:shd w:val="clear" w:color="auto" w:fill="3C3C3C"/>
          </w:tcPr>
          <w:p>
            <w:pPr>
              <w:spacing w:after="0"/>
              <w:rPr>
                <w:sz w:val="8"/>
                <w:szCs w:val="8"/>
                <w:color w:val="auto"/>
              </w:rPr>
            </w:pPr>
          </w:p>
        </w:tc>
        <w:tc>
          <w:tcPr>
            <w:tcW w:w="520" w:type="dxa"/>
            <w:vAlign w:val="bottom"/>
            <w:tcBorders>
              <w:right w:val="single" w:sz="8" w:color="3C3C3C"/>
            </w:tcBorders>
            <w:shd w:val="clear" w:color="auto" w:fill="3C3C3C"/>
          </w:tcPr>
          <w:p>
            <w:pPr>
              <w:spacing w:after="0"/>
              <w:rPr>
                <w:sz w:val="8"/>
                <w:szCs w:val="8"/>
                <w:color w:val="auto"/>
              </w:rPr>
            </w:pPr>
          </w:p>
        </w:tc>
        <w:tc>
          <w:tcPr>
            <w:tcW w:w="1060" w:type="dxa"/>
            <w:vAlign w:val="bottom"/>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640" w:type="dxa"/>
            <w:vAlign w:val="bottom"/>
            <w:tcBorders>
              <w:left w:val="single" w:sz="8" w:color="929292"/>
            </w:tcBorders>
            <w:shd w:val="clear" w:color="auto" w:fill="FAF6EF"/>
          </w:tcPr>
          <w:p>
            <w:pPr>
              <w:spacing w:after="0"/>
              <w:rPr>
                <w:sz w:val="13"/>
                <w:szCs w:val="13"/>
                <w:color w:val="auto"/>
              </w:rPr>
            </w:pPr>
          </w:p>
        </w:tc>
        <w:tc>
          <w:tcPr>
            <w:tcW w:w="120" w:type="dxa"/>
            <w:vAlign w:val="bottom"/>
            <w:tcBorders>
              <w:right w:val="single" w:sz="8" w:color="929292"/>
            </w:tcBorders>
            <w:shd w:val="clear" w:color="auto" w:fill="FAF6EF"/>
          </w:tcPr>
          <w:p>
            <w:pPr>
              <w:spacing w:after="0"/>
              <w:rPr>
                <w:sz w:val="13"/>
                <w:szCs w:val="13"/>
                <w:color w:val="auto"/>
              </w:rPr>
            </w:pPr>
          </w:p>
        </w:tc>
        <w:tc>
          <w:tcPr>
            <w:tcW w:w="1020" w:type="dxa"/>
            <w:vAlign w:val="bottom"/>
            <w:vMerge w:val="restart"/>
            <w:shd w:val="clear" w:color="auto" w:fill="FAF6EF"/>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shd w:val="clear" w:color="auto" w:fill="FAF6EF"/>
          </w:tcPr>
          <w:p>
            <w:pPr>
              <w:spacing w:after="0"/>
              <w:rPr>
                <w:sz w:val="13"/>
                <w:szCs w:val="13"/>
                <w:color w:val="auto"/>
              </w:rPr>
            </w:pPr>
          </w:p>
        </w:tc>
        <w:tc>
          <w:tcPr>
            <w:tcW w:w="1100" w:type="dxa"/>
            <w:vAlign w:val="bottom"/>
            <w:tcBorders>
              <w:right w:val="single" w:sz="8" w:color="929292"/>
            </w:tcBorders>
            <w:vMerge w:val="restart"/>
            <w:shd w:val="clear" w:color="auto" w:fill="FAF6EF"/>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3"/>
                <w:szCs w:val="13"/>
                <w:color w:val="auto"/>
              </w:rPr>
            </w:pPr>
          </w:p>
        </w:tc>
        <w:tc>
          <w:tcPr>
            <w:tcW w:w="1080" w:type="dxa"/>
            <w:vAlign w:val="bottom"/>
            <w:tcBorders>
              <w:right w:val="single" w:sz="8" w:color="929292"/>
            </w:tcBorders>
            <w:vMerge w:val="restart"/>
            <w:shd w:val="clear" w:color="auto" w:fill="FAF6EF"/>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vMerge w:val="restart"/>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vMerge w:val="restart"/>
            <w:shd w:val="clear" w:color="auto" w:fill="FAF6EF"/>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vMerge w:val="restart"/>
            <w:shd w:val="clear" w:color="auto" w:fill="FAF6EF"/>
          </w:tcPr>
          <w:p>
            <w:pPr>
              <w:jc w:val="center"/>
              <w:ind w:right="102"/>
              <w:spacing w:after="0"/>
              <w:rPr>
                <w:sz w:val="20"/>
                <w:szCs w:val="20"/>
                <w:color w:val="auto"/>
              </w:rPr>
            </w:pPr>
            <w:r>
              <w:rPr>
                <w:rFonts w:ascii="Arial" w:cs="Arial" w:eastAsia="Arial" w:hAnsi="Arial"/>
                <w:sz w:val="16"/>
                <w:szCs w:val="16"/>
                <w:color w:val="auto"/>
              </w:rPr>
              <w:t>33,000</w:t>
            </w:r>
          </w:p>
        </w:tc>
        <w:tc>
          <w:tcPr>
            <w:tcW w:w="520" w:type="dxa"/>
            <w:vAlign w:val="bottom"/>
            <w:tcBorders>
              <w:right w:val="single" w:sz="8" w:color="929292"/>
            </w:tcBorders>
            <w:shd w:val="clear" w:color="auto" w:fill="FAF6EF"/>
          </w:tcPr>
          <w:p>
            <w:pPr>
              <w:jc w:val="right"/>
              <w:ind w:right="287"/>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3,637,260</w:t>
            </w:r>
          </w:p>
        </w:tc>
        <w:tc>
          <w:tcPr>
            <w:tcW w:w="20" w:type="dxa"/>
            <w:vAlign w:val="bottom"/>
            <w:shd w:val="clear" w:color="auto" w:fill="929292"/>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20" w:type="dxa"/>
            <w:vAlign w:val="bottom"/>
            <w:vMerge w:val="continue"/>
            <w:shd w:val="clear" w:color="auto" w:fill="FAF6EF"/>
          </w:tcPr>
          <w:p>
            <w:pPr>
              <w:spacing w:after="0"/>
              <w:rPr>
                <w:sz w:val="10"/>
                <w:szCs w:val="10"/>
                <w:color w:val="auto"/>
              </w:rPr>
            </w:pPr>
          </w:p>
        </w:tc>
        <w:tc>
          <w:tcPr>
            <w:tcW w:w="140" w:type="dxa"/>
            <w:vAlign w:val="bottom"/>
            <w:tcBorders>
              <w:right w:val="single" w:sz="8" w:color="929292"/>
            </w:tcBorders>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1080" w:type="dxa"/>
            <w:vAlign w:val="bottom"/>
            <w:tcBorders>
              <w:right w:val="single" w:sz="8" w:color="929292"/>
            </w:tcBorders>
            <w:vMerge w:val="continue"/>
            <w:shd w:val="clear" w:color="auto" w:fill="FAF6EF"/>
          </w:tcPr>
          <w:p>
            <w:pPr>
              <w:spacing w:after="0"/>
              <w:rPr>
                <w:sz w:val="10"/>
                <w:szCs w:val="10"/>
                <w:color w:val="auto"/>
              </w:rPr>
            </w:pPr>
          </w:p>
        </w:tc>
        <w:tc>
          <w:tcPr>
            <w:tcW w:w="1140" w:type="dxa"/>
            <w:vAlign w:val="bottom"/>
            <w:tcBorders>
              <w:right w:val="single" w:sz="8" w:color="929292"/>
            </w:tcBorders>
            <w:vMerge w:val="continue"/>
            <w:shd w:val="clear" w:color="auto" w:fill="FAF6EF"/>
          </w:tcPr>
          <w:p>
            <w:pPr>
              <w:spacing w:after="0"/>
              <w:rPr>
                <w:sz w:val="10"/>
                <w:szCs w:val="10"/>
                <w:color w:val="auto"/>
              </w:rPr>
            </w:pPr>
          </w:p>
        </w:tc>
        <w:tc>
          <w:tcPr>
            <w:tcW w:w="1160" w:type="dxa"/>
            <w:vAlign w:val="bottom"/>
            <w:tcBorders>
              <w:right w:val="single" w:sz="8" w:color="929292"/>
            </w:tcBorders>
            <w:gridSpan w:val="2"/>
            <w:vMerge w:val="continue"/>
            <w:shd w:val="clear" w:color="auto" w:fill="FAF6EF"/>
          </w:tcPr>
          <w:p>
            <w:pPr>
              <w:spacing w:after="0"/>
              <w:rPr>
                <w:sz w:val="10"/>
                <w:szCs w:val="10"/>
                <w:color w:val="auto"/>
              </w:rPr>
            </w:pPr>
          </w:p>
        </w:tc>
        <w:tc>
          <w:tcPr>
            <w:tcW w:w="1080" w:type="dxa"/>
            <w:vAlign w:val="bottom"/>
            <w:vMerge w:val="continue"/>
            <w:shd w:val="clear" w:color="auto" w:fill="FAF6EF"/>
          </w:tcPr>
          <w:p>
            <w:pPr>
              <w:spacing w:after="0"/>
              <w:rPr>
                <w:sz w:val="10"/>
                <w:szCs w:val="10"/>
                <w:color w:val="auto"/>
              </w:rPr>
            </w:pPr>
          </w:p>
        </w:tc>
        <w:tc>
          <w:tcPr>
            <w:tcW w:w="520" w:type="dxa"/>
            <w:vAlign w:val="bottom"/>
            <w:tcBorders>
              <w:right w:val="single" w:sz="8" w:color="929292"/>
            </w:tcBorders>
            <w:shd w:val="clear" w:color="auto" w:fill="FAF6EF"/>
          </w:tcPr>
          <w:p>
            <w:pPr>
              <w:spacing w:after="0"/>
              <w:rPr>
                <w:sz w:val="10"/>
                <w:szCs w:val="10"/>
                <w:color w:val="auto"/>
              </w:rPr>
            </w:pPr>
          </w:p>
        </w:tc>
        <w:tc>
          <w:tcPr>
            <w:tcW w:w="1060" w:type="dxa"/>
            <w:vAlign w:val="bottom"/>
            <w:vMerge w:val="continue"/>
            <w:shd w:val="clear" w:color="auto" w:fill="FAF6EF"/>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640" w:type="dxa"/>
            <w:vAlign w:val="bottom"/>
            <w:tcBorders>
              <w:lef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120" w:type="dxa"/>
            <w:vAlign w:val="bottom"/>
            <w:tcBorders>
              <w:right w:val="single" w:sz="8" w:color="929292"/>
            </w:tcBorders>
            <w:shd w:val="clear" w:color="auto" w:fill="FAF6EF"/>
          </w:tcPr>
          <w:p>
            <w:pPr>
              <w:spacing w:after="0"/>
              <w:rPr>
                <w:sz w:val="20"/>
                <w:szCs w:val="20"/>
                <w:color w:val="auto"/>
              </w:rPr>
            </w:pPr>
          </w:p>
        </w:tc>
        <w:tc>
          <w:tcPr>
            <w:tcW w:w="1020" w:type="dxa"/>
            <w:vAlign w:val="bottom"/>
            <w:vMerge w:val="restart"/>
            <w:shd w:val="clear" w:color="auto" w:fill="FAF6EF"/>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shd w:val="clear" w:color="auto" w:fill="FAF6EF"/>
          </w:tcPr>
          <w:p>
            <w:pPr>
              <w:spacing w:after="0"/>
              <w:rPr>
                <w:sz w:val="20"/>
                <w:szCs w:val="20"/>
                <w:color w:val="auto"/>
              </w:rPr>
            </w:pPr>
          </w:p>
        </w:tc>
        <w:tc>
          <w:tcPr>
            <w:tcW w:w="1100" w:type="dxa"/>
            <w:vAlign w:val="bottom"/>
            <w:tcBorders>
              <w:right w:val="single" w:sz="8" w:color="929292"/>
            </w:tcBorders>
            <w:vMerge w:val="restart"/>
            <w:shd w:val="clear" w:color="auto" w:fill="FAF6EF"/>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16,500</w:t>
            </w:r>
          </w:p>
        </w:tc>
        <w:tc>
          <w:tcPr>
            <w:tcW w:w="1140" w:type="dxa"/>
            <w:vAlign w:val="bottom"/>
            <w:tcBorders>
              <w:right w:val="single" w:sz="8" w:color="929292"/>
            </w:tcBorders>
            <w:vMerge w:val="restart"/>
            <w:shd w:val="clear" w:color="auto" w:fill="FAF6EF"/>
          </w:tcPr>
          <w:p>
            <w:pPr>
              <w:jc w:val="center"/>
              <w:ind w:right="40"/>
              <w:spacing w:after="0"/>
              <w:rPr>
                <w:sz w:val="20"/>
                <w:szCs w:val="20"/>
                <w:color w:val="auto"/>
              </w:rPr>
            </w:pPr>
            <w:r>
              <w:rPr>
                <w:rFonts w:ascii="Arial" w:cs="Arial" w:eastAsia="Arial" w:hAnsi="Arial"/>
                <w:sz w:val="16"/>
                <w:szCs w:val="16"/>
                <w:color w:val="auto"/>
              </w:rPr>
              <w:t>33,000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49,500</w:t>
            </w:r>
          </w:p>
        </w:tc>
        <w:tc>
          <w:tcPr>
            <w:tcW w:w="120" w:type="dxa"/>
            <w:vAlign w:val="bottom"/>
            <w:tcBorders>
              <w:right w:val="single" w:sz="8" w:color="929292"/>
            </w:tcBorders>
            <w:shd w:val="clear" w:color="auto" w:fill="FAF6EF"/>
          </w:tcPr>
          <w:p>
            <w:pPr>
              <w:spacing w:after="0"/>
              <w:rPr>
                <w:sz w:val="20"/>
                <w:szCs w:val="20"/>
                <w:color w:val="auto"/>
              </w:rPr>
            </w:pPr>
          </w:p>
        </w:tc>
        <w:tc>
          <w:tcPr>
            <w:tcW w:w="1080" w:type="dxa"/>
            <w:vAlign w:val="bottom"/>
            <w:vMerge w:val="restart"/>
            <w:shd w:val="clear" w:color="auto" w:fill="FAF6EF"/>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shd w:val="clear" w:color="auto" w:fill="FAF6EF"/>
          </w:tcPr>
          <w:p>
            <w:pPr>
              <w:jc w:val="right"/>
              <w:ind w:right="287"/>
              <w:spacing w:after="0"/>
              <w:rPr>
                <w:sz w:val="20"/>
                <w:szCs w:val="20"/>
                <w:color w:val="auto"/>
              </w:rPr>
            </w:pPr>
            <w:r>
              <w:rPr>
                <w:rFonts w:ascii="Arial" w:cs="Arial" w:eastAsia="Arial" w:hAnsi="Arial"/>
                <w:sz w:val="11"/>
                <w:szCs w:val="11"/>
                <w:color w:val="auto"/>
              </w:rPr>
              <w:t>(5)</w:t>
            </w: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3,637,260</w:t>
            </w:r>
          </w:p>
        </w:tc>
        <w:tc>
          <w:tcPr>
            <w:tcW w:w="20" w:type="dxa"/>
            <w:vAlign w:val="bottom"/>
            <w:shd w:val="clear" w:color="auto" w:fill="929292"/>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20" w:type="dxa"/>
            <w:vAlign w:val="bottom"/>
            <w:vMerge w:val="continue"/>
            <w:shd w:val="clear" w:color="auto" w:fill="FAF6EF"/>
          </w:tcPr>
          <w:p>
            <w:pPr>
              <w:spacing w:after="0"/>
              <w:rPr>
                <w:sz w:val="10"/>
                <w:szCs w:val="10"/>
                <w:color w:val="auto"/>
              </w:rPr>
            </w:pPr>
          </w:p>
        </w:tc>
        <w:tc>
          <w:tcPr>
            <w:tcW w:w="140" w:type="dxa"/>
            <w:vAlign w:val="bottom"/>
            <w:tcBorders>
              <w:right w:val="single" w:sz="8" w:color="929292"/>
            </w:tcBorders>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60" w:type="dxa"/>
            <w:vAlign w:val="bottom"/>
            <w:tcBorders>
              <w:right w:val="single" w:sz="8" w:color="929292"/>
            </w:tcBorders>
            <w:gridSpan w:val="2"/>
            <w:vMerge w:val="continue"/>
            <w:shd w:val="clear" w:color="auto" w:fill="FAF6EF"/>
          </w:tcPr>
          <w:p>
            <w:pPr>
              <w:spacing w:after="0"/>
              <w:rPr>
                <w:sz w:val="10"/>
                <w:szCs w:val="10"/>
                <w:color w:val="auto"/>
              </w:rPr>
            </w:pPr>
          </w:p>
        </w:tc>
        <w:tc>
          <w:tcPr>
            <w:tcW w:w="1140" w:type="dxa"/>
            <w:vAlign w:val="bottom"/>
            <w:tcBorders>
              <w:right w:val="single" w:sz="8" w:color="929292"/>
            </w:tcBorders>
            <w:vMerge w:val="continue"/>
            <w:shd w:val="clear" w:color="auto" w:fill="FAF6EF"/>
          </w:tcPr>
          <w:p>
            <w:pPr>
              <w:spacing w:after="0"/>
              <w:rPr>
                <w:sz w:val="10"/>
                <w:szCs w:val="10"/>
                <w:color w:val="auto"/>
              </w:rPr>
            </w:pPr>
          </w:p>
        </w:tc>
        <w:tc>
          <w:tcPr>
            <w:tcW w:w="104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80" w:type="dxa"/>
            <w:vAlign w:val="bottom"/>
            <w:vMerge w:val="continue"/>
            <w:shd w:val="clear" w:color="auto" w:fill="FAF6EF"/>
          </w:tcPr>
          <w:p>
            <w:pPr>
              <w:spacing w:after="0"/>
              <w:rPr>
                <w:sz w:val="10"/>
                <w:szCs w:val="10"/>
                <w:color w:val="auto"/>
              </w:rPr>
            </w:pPr>
          </w:p>
        </w:tc>
        <w:tc>
          <w:tcPr>
            <w:tcW w:w="520" w:type="dxa"/>
            <w:vAlign w:val="bottom"/>
            <w:tcBorders>
              <w:right w:val="single" w:sz="8" w:color="929292"/>
            </w:tcBorders>
            <w:shd w:val="clear" w:color="auto" w:fill="FAF6EF"/>
          </w:tcPr>
          <w:p>
            <w:pPr>
              <w:spacing w:after="0"/>
              <w:rPr>
                <w:sz w:val="10"/>
                <w:szCs w:val="10"/>
                <w:color w:val="auto"/>
              </w:rPr>
            </w:pPr>
          </w:p>
        </w:tc>
        <w:tc>
          <w:tcPr>
            <w:tcW w:w="1060" w:type="dxa"/>
            <w:vAlign w:val="bottom"/>
            <w:vMerge w:val="continue"/>
            <w:shd w:val="clear" w:color="auto" w:fill="FAF6EF"/>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640" w:type="dxa"/>
            <w:vAlign w:val="bottom"/>
            <w:tcBorders>
              <w:left w:val="single" w:sz="8" w:color="929292"/>
            </w:tcBorders>
            <w:vMerge w:val="continue"/>
            <w:shd w:val="clear" w:color="auto" w:fill="FAF6EF"/>
          </w:tcPr>
          <w:p>
            <w:pPr>
              <w:spacing w:after="0"/>
              <w:rPr>
                <w:sz w:val="4"/>
                <w:szCs w:val="4"/>
                <w:color w:val="auto"/>
              </w:rPr>
            </w:pPr>
          </w:p>
        </w:tc>
        <w:tc>
          <w:tcPr>
            <w:tcW w:w="120" w:type="dxa"/>
            <w:vAlign w:val="bottom"/>
            <w:tcBorders>
              <w:right w:val="single" w:sz="8" w:color="929292"/>
            </w:tcBorders>
            <w:shd w:val="clear" w:color="auto" w:fill="FAF6EF"/>
          </w:tcPr>
          <w:p>
            <w:pPr>
              <w:spacing w:after="0"/>
              <w:rPr>
                <w:sz w:val="4"/>
                <w:szCs w:val="4"/>
                <w:color w:val="auto"/>
              </w:rPr>
            </w:pPr>
          </w:p>
        </w:tc>
        <w:tc>
          <w:tcPr>
            <w:tcW w:w="1020" w:type="dxa"/>
            <w:vAlign w:val="bottom"/>
            <w:shd w:val="clear" w:color="auto" w:fill="FAF6EF"/>
          </w:tcPr>
          <w:p>
            <w:pPr>
              <w:spacing w:after="0"/>
              <w:rPr>
                <w:sz w:val="4"/>
                <w:szCs w:val="4"/>
                <w:color w:val="auto"/>
              </w:rPr>
            </w:pPr>
          </w:p>
        </w:tc>
        <w:tc>
          <w:tcPr>
            <w:tcW w:w="140" w:type="dxa"/>
            <w:vAlign w:val="bottom"/>
            <w:tcBorders>
              <w:right w:val="single" w:sz="8" w:color="929292"/>
            </w:tcBorders>
            <w:shd w:val="clear" w:color="auto" w:fill="FAF6EF"/>
          </w:tcPr>
          <w:p>
            <w:pPr>
              <w:spacing w:after="0"/>
              <w:rPr>
                <w:sz w:val="4"/>
                <w:szCs w:val="4"/>
                <w:color w:val="auto"/>
              </w:rPr>
            </w:pPr>
          </w:p>
        </w:tc>
        <w:tc>
          <w:tcPr>
            <w:tcW w:w="1100" w:type="dxa"/>
            <w:vAlign w:val="bottom"/>
            <w:tcBorders>
              <w:right w:val="single" w:sz="8" w:color="929292"/>
            </w:tcBorders>
            <w:shd w:val="clear" w:color="auto" w:fill="FAF6EF"/>
          </w:tcPr>
          <w:p>
            <w:pPr>
              <w:spacing w:after="0"/>
              <w:rPr>
                <w:sz w:val="4"/>
                <w:szCs w:val="4"/>
                <w:color w:val="auto"/>
              </w:rPr>
            </w:pPr>
          </w:p>
        </w:tc>
        <w:tc>
          <w:tcPr>
            <w:tcW w:w="1100" w:type="dxa"/>
            <w:vAlign w:val="bottom"/>
            <w:tcBorders>
              <w:right w:val="single" w:sz="8" w:color="929292"/>
            </w:tcBorders>
            <w:shd w:val="clear" w:color="auto" w:fill="FAF6EF"/>
          </w:tcPr>
          <w:p>
            <w:pPr>
              <w:spacing w:after="0"/>
              <w:rPr>
                <w:sz w:val="4"/>
                <w:szCs w:val="4"/>
                <w:color w:val="auto"/>
              </w:rPr>
            </w:pPr>
          </w:p>
        </w:tc>
        <w:tc>
          <w:tcPr>
            <w:tcW w:w="80" w:type="dxa"/>
            <w:vAlign w:val="bottom"/>
            <w:shd w:val="clear" w:color="auto" w:fill="FAF6EF"/>
          </w:tcPr>
          <w:p>
            <w:pPr>
              <w:spacing w:after="0"/>
              <w:rPr>
                <w:sz w:val="4"/>
                <w:szCs w:val="4"/>
                <w:color w:val="auto"/>
              </w:rPr>
            </w:pPr>
          </w:p>
        </w:tc>
        <w:tc>
          <w:tcPr>
            <w:tcW w:w="1080" w:type="dxa"/>
            <w:vAlign w:val="bottom"/>
            <w:tcBorders>
              <w:right w:val="single" w:sz="8" w:color="929292"/>
            </w:tcBorders>
            <w:shd w:val="clear" w:color="auto" w:fill="FAF6EF"/>
          </w:tcPr>
          <w:p>
            <w:pPr>
              <w:spacing w:after="0"/>
              <w:rPr>
                <w:sz w:val="4"/>
                <w:szCs w:val="4"/>
                <w:color w:val="auto"/>
              </w:rPr>
            </w:pPr>
          </w:p>
        </w:tc>
        <w:tc>
          <w:tcPr>
            <w:tcW w:w="1140" w:type="dxa"/>
            <w:vAlign w:val="bottom"/>
            <w:tcBorders>
              <w:right w:val="single" w:sz="8" w:color="929292"/>
            </w:tcBorders>
            <w:shd w:val="clear" w:color="auto" w:fill="FAF6EF"/>
          </w:tcPr>
          <w:p>
            <w:pPr>
              <w:spacing w:after="0"/>
              <w:rPr>
                <w:sz w:val="4"/>
                <w:szCs w:val="4"/>
                <w:color w:val="auto"/>
              </w:rPr>
            </w:pPr>
          </w:p>
        </w:tc>
        <w:tc>
          <w:tcPr>
            <w:tcW w:w="1040" w:type="dxa"/>
            <w:vAlign w:val="bottom"/>
            <w:shd w:val="clear" w:color="auto" w:fill="FAF6EF"/>
          </w:tcPr>
          <w:p>
            <w:pPr>
              <w:spacing w:after="0"/>
              <w:rPr>
                <w:sz w:val="4"/>
                <w:szCs w:val="4"/>
                <w:color w:val="auto"/>
              </w:rPr>
            </w:pPr>
          </w:p>
        </w:tc>
        <w:tc>
          <w:tcPr>
            <w:tcW w:w="120" w:type="dxa"/>
            <w:vAlign w:val="bottom"/>
            <w:tcBorders>
              <w:right w:val="single" w:sz="8" w:color="929292"/>
            </w:tcBorders>
            <w:shd w:val="clear" w:color="auto" w:fill="FAF6EF"/>
          </w:tcPr>
          <w:p>
            <w:pPr>
              <w:spacing w:after="0"/>
              <w:rPr>
                <w:sz w:val="4"/>
                <w:szCs w:val="4"/>
                <w:color w:val="auto"/>
              </w:rPr>
            </w:pPr>
          </w:p>
        </w:tc>
        <w:tc>
          <w:tcPr>
            <w:tcW w:w="1080" w:type="dxa"/>
            <w:vAlign w:val="bottom"/>
            <w:shd w:val="clear" w:color="auto" w:fill="FAF6EF"/>
          </w:tcPr>
          <w:p>
            <w:pPr>
              <w:spacing w:after="0"/>
              <w:rPr>
                <w:sz w:val="4"/>
                <w:szCs w:val="4"/>
                <w:color w:val="auto"/>
              </w:rPr>
            </w:pPr>
          </w:p>
        </w:tc>
        <w:tc>
          <w:tcPr>
            <w:tcW w:w="520" w:type="dxa"/>
            <w:vAlign w:val="bottom"/>
            <w:tcBorders>
              <w:right w:val="single" w:sz="8" w:color="929292"/>
            </w:tcBorders>
            <w:shd w:val="clear" w:color="auto" w:fill="FAF6EF"/>
          </w:tcPr>
          <w:p>
            <w:pPr>
              <w:spacing w:after="0"/>
              <w:rPr>
                <w:sz w:val="4"/>
                <w:szCs w:val="4"/>
                <w:color w:val="auto"/>
              </w:rPr>
            </w:pPr>
          </w:p>
        </w:tc>
        <w:tc>
          <w:tcPr>
            <w:tcW w:w="1060" w:type="dxa"/>
            <w:vAlign w:val="bottom"/>
            <w:shd w:val="clear" w:color="auto" w:fill="FAF6EF"/>
          </w:tcPr>
          <w:p>
            <w:pPr>
              <w:spacing w:after="0"/>
              <w:rPr>
                <w:sz w:val="4"/>
                <w:szCs w:val="4"/>
                <w:color w:val="auto"/>
              </w:rPr>
            </w:pPr>
          </w:p>
        </w:tc>
        <w:tc>
          <w:tcPr>
            <w:tcW w:w="20" w:type="dxa"/>
            <w:vAlign w:val="bottom"/>
            <w:shd w:val="clear" w:color="auto" w:fill="92929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6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120" w:type="dxa"/>
            <w:vAlign w:val="bottom"/>
            <w:tcBorders>
              <w:right w:val="single" w:sz="8" w:color="929292"/>
            </w:tcBorders>
            <w:shd w:val="clear" w:color="auto" w:fill="FAF6EF"/>
          </w:tcPr>
          <w:p>
            <w:pPr>
              <w:spacing w:after="0"/>
              <w:rPr>
                <w:sz w:val="19"/>
                <w:szCs w:val="19"/>
                <w:color w:val="auto"/>
              </w:rPr>
            </w:pPr>
          </w:p>
        </w:tc>
        <w:tc>
          <w:tcPr>
            <w:tcW w:w="1020" w:type="dxa"/>
            <w:vAlign w:val="bottom"/>
            <w:vMerge w:val="restart"/>
            <w:shd w:val="clear" w:color="auto" w:fill="FAF6EF"/>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shd w:val="clear" w:color="auto" w:fill="FAF6EF"/>
          </w:tcPr>
          <w:p>
            <w:pPr>
              <w:spacing w:after="0"/>
              <w:rPr>
                <w:sz w:val="19"/>
                <w:szCs w:val="19"/>
                <w:color w:val="auto"/>
              </w:rPr>
            </w:pPr>
          </w:p>
        </w:tc>
        <w:tc>
          <w:tcPr>
            <w:tcW w:w="1100" w:type="dxa"/>
            <w:vAlign w:val="bottom"/>
            <w:tcBorders>
              <w:right w:val="single" w:sz="8" w:color="929292"/>
            </w:tcBorders>
            <w:vMerge w:val="restart"/>
            <w:shd w:val="clear" w:color="auto" w:fill="FAF6EF"/>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9"/>
                <w:szCs w:val="19"/>
                <w:color w:val="auto"/>
              </w:rPr>
            </w:pPr>
          </w:p>
        </w:tc>
        <w:tc>
          <w:tcPr>
            <w:tcW w:w="1080" w:type="dxa"/>
            <w:vAlign w:val="bottom"/>
            <w:tcBorders>
              <w:right w:val="single" w:sz="8" w:color="929292"/>
            </w:tcBorders>
            <w:vMerge w:val="restart"/>
            <w:shd w:val="clear" w:color="auto" w:fill="FAF6EF"/>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vMerge w:val="restart"/>
            <w:shd w:val="clear" w:color="auto" w:fill="FAF6EF"/>
          </w:tcPr>
          <w:p>
            <w:pPr>
              <w:jc w:val="center"/>
              <w:ind w:right="40"/>
              <w:spacing w:after="0"/>
              <w:rPr>
                <w:sz w:val="20"/>
                <w:szCs w:val="20"/>
                <w:color w:val="auto"/>
              </w:rPr>
            </w:pPr>
            <w:r>
              <w:rPr>
                <w:rFonts w:ascii="Arial" w:cs="Arial" w:eastAsia="Arial" w:hAnsi="Arial"/>
                <w:sz w:val="16"/>
                <w:szCs w:val="16"/>
                <w:color w:val="auto"/>
              </w:rPr>
              <w:t>34,000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68,000</w:t>
            </w:r>
          </w:p>
        </w:tc>
        <w:tc>
          <w:tcPr>
            <w:tcW w:w="120" w:type="dxa"/>
            <w:vAlign w:val="bottom"/>
            <w:tcBorders>
              <w:right w:val="single" w:sz="8" w:color="929292"/>
            </w:tcBorders>
            <w:shd w:val="clear" w:color="auto" w:fill="FAF6EF"/>
          </w:tcPr>
          <w:p>
            <w:pPr>
              <w:spacing w:after="0"/>
              <w:rPr>
                <w:sz w:val="19"/>
                <w:szCs w:val="19"/>
                <w:color w:val="auto"/>
              </w:rPr>
            </w:pPr>
          </w:p>
        </w:tc>
        <w:tc>
          <w:tcPr>
            <w:tcW w:w="1080" w:type="dxa"/>
            <w:vAlign w:val="bottom"/>
            <w:vMerge w:val="restart"/>
            <w:shd w:val="clear" w:color="auto" w:fill="FAF6EF"/>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shd w:val="clear" w:color="auto" w:fill="FAF6EF"/>
          </w:tcPr>
          <w:p>
            <w:pPr>
              <w:jc w:val="right"/>
              <w:ind w:right="287"/>
              <w:spacing w:after="0"/>
              <w:rPr>
                <w:sz w:val="20"/>
                <w:szCs w:val="20"/>
                <w:color w:val="auto"/>
              </w:rPr>
            </w:pPr>
            <w:r>
              <w:rPr>
                <w:rFonts w:ascii="Arial" w:cs="Arial" w:eastAsia="Arial" w:hAnsi="Arial"/>
                <w:sz w:val="11"/>
                <w:szCs w:val="11"/>
                <w:color w:val="auto"/>
              </w:rPr>
              <w:t>(6)</w:t>
            </w: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4,882,060</w:t>
            </w:r>
          </w:p>
        </w:tc>
        <w:tc>
          <w:tcPr>
            <w:tcW w:w="20" w:type="dxa"/>
            <w:vAlign w:val="bottom"/>
            <w:shd w:val="clear" w:color="auto" w:fill="929292"/>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929292"/>
            </w:tcBorders>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020" w:type="dxa"/>
            <w:vAlign w:val="bottom"/>
            <w:vMerge w:val="continue"/>
            <w:shd w:val="clear" w:color="auto" w:fill="FAF6EF"/>
          </w:tcPr>
          <w:p>
            <w:pPr>
              <w:spacing w:after="0"/>
              <w:rPr>
                <w:sz w:val="7"/>
                <w:szCs w:val="7"/>
                <w:color w:val="auto"/>
              </w:rPr>
            </w:pPr>
          </w:p>
        </w:tc>
        <w:tc>
          <w:tcPr>
            <w:tcW w:w="140" w:type="dxa"/>
            <w:vAlign w:val="bottom"/>
            <w:tcBorders>
              <w:right w:val="single" w:sz="8" w:color="929292"/>
            </w:tcBorders>
            <w:shd w:val="clear" w:color="auto" w:fill="FAF6EF"/>
          </w:tcPr>
          <w:p>
            <w:pPr>
              <w:spacing w:after="0"/>
              <w:rPr>
                <w:sz w:val="7"/>
                <w:szCs w:val="7"/>
                <w:color w:val="auto"/>
              </w:rPr>
            </w:pPr>
          </w:p>
        </w:tc>
        <w:tc>
          <w:tcPr>
            <w:tcW w:w="1100" w:type="dxa"/>
            <w:vAlign w:val="bottom"/>
            <w:tcBorders>
              <w:right w:val="single" w:sz="8" w:color="929292"/>
            </w:tcBorders>
            <w:vMerge w:val="continue"/>
            <w:shd w:val="clear" w:color="auto" w:fill="FAF6EF"/>
          </w:tcPr>
          <w:p>
            <w:pPr>
              <w:spacing w:after="0"/>
              <w:rPr>
                <w:sz w:val="7"/>
                <w:szCs w:val="7"/>
                <w:color w:val="auto"/>
              </w:rPr>
            </w:pPr>
          </w:p>
        </w:tc>
        <w:tc>
          <w:tcPr>
            <w:tcW w:w="1100" w:type="dxa"/>
            <w:vAlign w:val="bottom"/>
            <w:tcBorders>
              <w:right w:val="single" w:sz="8" w:color="929292"/>
            </w:tcBorders>
            <w:vMerge w:val="continue"/>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1080" w:type="dxa"/>
            <w:vAlign w:val="bottom"/>
            <w:tcBorders>
              <w:right w:val="single" w:sz="8" w:color="929292"/>
            </w:tcBorders>
            <w:vMerge w:val="continue"/>
            <w:shd w:val="clear" w:color="auto" w:fill="FAF6EF"/>
          </w:tcPr>
          <w:p>
            <w:pPr>
              <w:spacing w:after="0"/>
              <w:rPr>
                <w:sz w:val="7"/>
                <w:szCs w:val="7"/>
                <w:color w:val="auto"/>
              </w:rPr>
            </w:pPr>
          </w:p>
        </w:tc>
        <w:tc>
          <w:tcPr>
            <w:tcW w:w="1140" w:type="dxa"/>
            <w:vAlign w:val="bottom"/>
            <w:tcBorders>
              <w:right w:val="single" w:sz="8" w:color="929292"/>
            </w:tcBorders>
            <w:vMerge w:val="continue"/>
            <w:shd w:val="clear" w:color="auto" w:fill="FAF6EF"/>
          </w:tcPr>
          <w:p>
            <w:pPr>
              <w:spacing w:after="0"/>
              <w:rPr>
                <w:sz w:val="7"/>
                <w:szCs w:val="7"/>
                <w:color w:val="auto"/>
              </w:rPr>
            </w:pPr>
          </w:p>
        </w:tc>
        <w:tc>
          <w:tcPr>
            <w:tcW w:w="1040" w:type="dxa"/>
            <w:vAlign w:val="bottom"/>
            <w:vMerge w:val="continue"/>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080" w:type="dxa"/>
            <w:vAlign w:val="bottom"/>
            <w:vMerge w:val="continue"/>
            <w:shd w:val="clear" w:color="auto" w:fill="FAF6EF"/>
          </w:tcPr>
          <w:p>
            <w:pPr>
              <w:spacing w:after="0"/>
              <w:rPr>
                <w:sz w:val="7"/>
                <w:szCs w:val="7"/>
                <w:color w:val="auto"/>
              </w:rPr>
            </w:pPr>
          </w:p>
        </w:tc>
        <w:tc>
          <w:tcPr>
            <w:tcW w:w="520" w:type="dxa"/>
            <w:vAlign w:val="bottom"/>
            <w:tcBorders>
              <w:right w:val="single" w:sz="8" w:color="929292"/>
            </w:tcBorders>
            <w:shd w:val="clear" w:color="auto" w:fill="FAF6EF"/>
          </w:tcPr>
          <w:p>
            <w:pPr>
              <w:spacing w:after="0"/>
              <w:rPr>
                <w:sz w:val="7"/>
                <w:szCs w:val="7"/>
                <w:color w:val="auto"/>
              </w:rPr>
            </w:pPr>
          </w:p>
        </w:tc>
        <w:tc>
          <w:tcPr>
            <w:tcW w:w="1060" w:type="dxa"/>
            <w:vAlign w:val="bottom"/>
            <w:vMerge w:val="continue"/>
            <w:shd w:val="clear" w:color="auto" w:fill="FAF6EF"/>
          </w:tcPr>
          <w:p>
            <w:pPr>
              <w:spacing w:after="0"/>
              <w:rPr>
                <w:sz w:val="7"/>
                <w:szCs w:val="7"/>
                <w:color w:val="auto"/>
              </w:rPr>
            </w:pPr>
          </w:p>
        </w:tc>
        <w:tc>
          <w:tcPr>
            <w:tcW w:w="2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020" w:type="dxa"/>
            <w:vAlign w:val="bottom"/>
            <w:shd w:val="clear" w:color="auto" w:fill="FAF6EF"/>
          </w:tcPr>
          <w:p>
            <w:pPr>
              <w:spacing w:after="0"/>
              <w:rPr>
                <w:sz w:val="24"/>
                <w:szCs w:val="24"/>
                <w:color w:val="auto"/>
              </w:rPr>
            </w:pPr>
          </w:p>
        </w:tc>
        <w:tc>
          <w:tcPr>
            <w:tcW w:w="140" w:type="dxa"/>
            <w:vAlign w:val="bottom"/>
            <w:tcBorders>
              <w:right w:val="single" w:sz="8" w:color="929292"/>
            </w:tcBorders>
            <w:shd w:val="clear" w:color="auto" w:fill="FAF6EF"/>
          </w:tcPr>
          <w:p>
            <w:pPr>
              <w:spacing w:after="0"/>
              <w:rPr>
                <w:sz w:val="24"/>
                <w:szCs w:val="24"/>
                <w:color w:val="auto"/>
              </w:rPr>
            </w:pPr>
          </w:p>
        </w:tc>
        <w:tc>
          <w:tcPr>
            <w:tcW w:w="1100" w:type="dxa"/>
            <w:vAlign w:val="bottom"/>
            <w:tcBorders>
              <w:right w:val="single" w:sz="8" w:color="929292"/>
            </w:tcBorders>
            <w:shd w:val="clear" w:color="auto" w:fill="FAF6EF"/>
          </w:tcPr>
          <w:p>
            <w:pPr>
              <w:jc w:val="center"/>
              <w:ind w:right="41"/>
              <w:spacing w:after="0"/>
              <w:rPr>
                <w:sz w:val="20"/>
                <w:szCs w:val="20"/>
                <w:color w:val="auto"/>
              </w:rPr>
            </w:pPr>
            <w:r>
              <w:rPr>
                <w:rFonts w:ascii="Arial" w:cs="Arial" w:eastAsia="Arial" w:hAnsi="Arial"/>
                <w:sz w:val="16"/>
                <w:szCs w:val="16"/>
                <w:color w:val="auto"/>
              </w:rPr>
              <w:t>450,000</w:t>
            </w:r>
          </w:p>
        </w:tc>
        <w:tc>
          <w:tcPr>
            <w:tcW w:w="11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810,000</w:t>
            </w:r>
          </w:p>
        </w:tc>
        <w:tc>
          <w:tcPr>
            <w:tcW w:w="80" w:type="dxa"/>
            <w:vAlign w:val="bottom"/>
            <w:shd w:val="clear" w:color="auto" w:fill="FAF6EF"/>
          </w:tcPr>
          <w:p>
            <w:pPr>
              <w:spacing w:after="0"/>
              <w:rPr>
                <w:sz w:val="24"/>
                <w:szCs w:val="24"/>
                <w:color w:val="auto"/>
              </w:rPr>
            </w:pPr>
          </w:p>
        </w:tc>
        <w:tc>
          <w:tcPr>
            <w:tcW w:w="1080" w:type="dxa"/>
            <w:vAlign w:val="bottom"/>
            <w:tcBorders>
              <w:right w:val="single" w:sz="8" w:color="929292"/>
            </w:tcBorders>
            <w:shd w:val="clear" w:color="auto" w:fill="FAF6EF"/>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shd w:val="clear" w:color="auto" w:fill="FAF6EF"/>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AF6EF"/>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shd w:val="clear" w:color="auto" w:fill="FAF6EF"/>
          </w:tcPr>
          <w:p>
            <w:pPr>
              <w:spacing w:after="0"/>
              <w:rPr>
                <w:sz w:val="24"/>
                <w:szCs w:val="24"/>
                <w:color w:val="auto"/>
              </w:rPr>
            </w:pPr>
          </w:p>
        </w:tc>
        <w:tc>
          <w:tcPr>
            <w:tcW w:w="10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929292"/>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929292"/>
            </w:tcBorders>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020" w:type="dxa"/>
            <w:vAlign w:val="bottom"/>
            <w:shd w:val="clear" w:color="auto" w:fill="FAF6EF"/>
          </w:tcPr>
          <w:p>
            <w:pPr>
              <w:spacing w:after="0"/>
              <w:rPr>
                <w:sz w:val="7"/>
                <w:szCs w:val="7"/>
                <w:color w:val="auto"/>
              </w:rPr>
            </w:pPr>
          </w:p>
        </w:tc>
        <w:tc>
          <w:tcPr>
            <w:tcW w:w="140" w:type="dxa"/>
            <w:vAlign w:val="bottom"/>
            <w:tcBorders>
              <w:right w:val="single" w:sz="8" w:color="929292"/>
            </w:tcBorders>
            <w:shd w:val="clear" w:color="auto" w:fill="FAF6EF"/>
          </w:tcPr>
          <w:p>
            <w:pPr>
              <w:spacing w:after="0"/>
              <w:rPr>
                <w:sz w:val="7"/>
                <w:szCs w:val="7"/>
                <w:color w:val="auto"/>
              </w:rPr>
            </w:pPr>
          </w:p>
        </w:tc>
        <w:tc>
          <w:tcPr>
            <w:tcW w:w="1100" w:type="dxa"/>
            <w:vAlign w:val="bottom"/>
            <w:tcBorders>
              <w:right w:val="single" w:sz="8" w:color="929292"/>
            </w:tcBorders>
            <w:shd w:val="clear" w:color="auto" w:fill="FAF6EF"/>
          </w:tcPr>
          <w:p>
            <w:pPr>
              <w:spacing w:after="0"/>
              <w:rPr>
                <w:sz w:val="7"/>
                <w:szCs w:val="7"/>
                <w:color w:val="auto"/>
              </w:rPr>
            </w:pPr>
          </w:p>
        </w:tc>
        <w:tc>
          <w:tcPr>
            <w:tcW w:w="1100" w:type="dxa"/>
            <w:vAlign w:val="bottom"/>
            <w:tcBorders>
              <w:right w:val="single" w:sz="8" w:color="929292"/>
            </w:tcBorders>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108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shd w:val="clear" w:color="auto" w:fill="FAF6EF"/>
          </w:tcPr>
          <w:p>
            <w:pPr>
              <w:spacing w:after="0"/>
              <w:rPr>
                <w:sz w:val="7"/>
                <w:szCs w:val="7"/>
                <w:color w:val="auto"/>
              </w:rPr>
            </w:pPr>
          </w:p>
        </w:tc>
        <w:tc>
          <w:tcPr>
            <w:tcW w:w="1040" w:type="dxa"/>
            <w:vAlign w:val="bottom"/>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080" w:type="dxa"/>
            <w:vAlign w:val="bottom"/>
            <w:shd w:val="clear" w:color="auto" w:fill="FAF6EF"/>
          </w:tcPr>
          <w:p>
            <w:pPr>
              <w:spacing w:after="0"/>
              <w:rPr>
                <w:sz w:val="7"/>
                <w:szCs w:val="7"/>
                <w:color w:val="auto"/>
              </w:rPr>
            </w:pPr>
          </w:p>
        </w:tc>
        <w:tc>
          <w:tcPr>
            <w:tcW w:w="520" w:type="dxa"/>
            <w:vAlign w:val="bottom"/>
            <w:tcBorders>
              <w:right w:val="single" w:sz="8" w:color="929292"/>
            </w:tcBorders>
            <w:shd w:val="clear" w:color="auto" w:fill="FAF6EF"/>
          </w:tcPr>
          <w:p>
            <w:pPr>
              <w:spacing w:after="0"/>
              <w:rPr>
                <w:sz w:val="7"/>
                <w:szCs w:val="7"/>
                <w:color w:val="auto"/>
              </w:rPr>
            </w:pPr>
          </w:p>
        </w:tc>
        <w:tc>
          <w:tcPr>
            <w:tcW w:w="1060" w:type="dxa"/>
            <w:vAlign w:val="bottom"/>
            <w:shd w:val="clear" w:color="auto" w:fill="FAF6EF"/>
          </w:tcPr>
          <w:p>
            <w:pPr>
              <w:spacing w:after="0"/>
              <w:rPr>
                <w:sz w:val="7"/>
                <w:szCs w:val="7"/>
                <w:color w:val="auto"/>
              </w:rPr>
            </w:pPr>
          </w:p>
        </w:tc>
        <w:tc>
          <w:tcPr>
            <w:tcW w:w="2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929292"/>
            </w:tcBorders>
          </w:tcPr>
          <w:p>
            <w:pPr>
              <w:spacing w:after="0"/>
              <w:rPr>
                <w:sz w:val="13"/>
                <w:szCs w:val="13"/>
                <w:color w:val="auto"/>
              </w:rPr>
            </w:pPr>
          </w:p>
        </w:tc>
        <w:tc>
          <w:tcPr>
            <w:tcW w:w="120" w:type="dxa"/>
            <w:vAlign w:val="bottom"/>
            <w:tcBorders>
              <w:right w:val="single" w:sz="8" w:color="929292"/>
            </w:tcBorders>
          </w:tcPr>
          <w:p>
            <w:pPr>
              <w:spacing w:after="0"/>
              <w:rPr>
                <w:sz w:val="13"/>
                <w:szCs w:val="13"/>
                <w:color w:val="auto"/>
              </w:rPr>
            </w:pPr>
          </w:p>
        </w:tc>
        <w:tc>
          <w:tcPr>
            <w:tcW w:w="1020" w:type="dxa"/>
            <w:vAlign w:val="bottom"/>
            <w:vMerge w:val="restart"/>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tcPr>
          <w:p>
            <w:pPr>
              <w:spacing w:after="0"/>
              <w:rPr>
                <w:sz w:val="13"/>
                <w:szCs w:val="13"/>
                <w:color w:val="auto"/>
              </w:rPr>
            </w:pPr>
          </w:p>
        </w:tc>
        <w:tc>
          <w:tcPr>
            <w:tcW w:w="1100" w:type="dxa"/>
            <w:vAlign w:val="bottom"/>
            <w:tcBorders>
              <w:right w:val="single" w:sz="8" w:color="929292"/>
            </w:tcBorders>
            <w:vMerge w:val="restart"/>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3"/>
                <w:szCs w:val="13"/>
                <w:color w:val="auto"/>
              </w:rPr>
            </w:pPr>
          </w:p>
        </w:tc>
        <w:tc>
          <w:tcPr>
            <w:tcW w:w="1080" w:type="dxa"/>
            <w:vAlign w:val="bottom"/>
            <w:tcBorders>
              <w:right w:val="single" w:sz="8" w:color="929292"/>
            </w:tcBorders>
            <w:vMerge w:val="restart"/>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vMerge w:val="restart"/>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vMerge w:val="restart"/>
          </w:tcPr>
          <w:p>
            <w:pPr>
              <w:jc w:val="center"/>
              <w:ind w:right="102"/>
              <w:spacing w:after="0"/>
              <w:rPr>
                <w:sz w:val="20"/>
                <w:szCs w:val="20"/>
                <w:color w:val="auto"/>
              </w:rPr>
            </w:pPr>
            <w:r>
              <w:rPr>
                <w:rFonts w:ascii="Arial" w:cs="Arial" w:eastAsia="Arial" w:hAnsi="Arial"/>
                <w:sz w:val="16"/>
                <w:szCs w:val="16"/>
                <w:color w:val="auto"/>
              </w:rPr>
              <w:t>17,160</w:t>
            </w:r>
          </w:p>
        </w:tc>
        <w:tc>
          <w:tcPr>
            <w:tcW w:w="520" w:type="dxa"/>
            <w:vAlign w:val="bottom"/>
            <w:tcBorders>
              <w:right w:val="single" w:sz="8" w:color="929292"/>
            </w:tcBorders>
          </w:tcPr>
          <w:p>
            <w:pPr>
              <w:jc w:val="right"/>
              <w:ind w:right="287"/>
              <w:spacing w:after="0"/>
              <w:rPr>
                <w:sz w:val="20"/>
                <w:szCs w:val="20"/>
                <w:color w:val="auto"/>
              </w:rPr>
            </w:pPr>
            <w:r>
              <w:rPr>
                <w:rFonts w:ascii="Arial" w:cs="Arial" w:eastAsia="Arial" w:hAnsi="Arial"/>
                <w:sz w:val="11"/>
                <w:szCs w:val="11"/>
                <w:color w:val="auto"/>
              </w:rPr>
              <w:t>(4)</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1,891,375</w:t>
            </w:r>
          </w:p>
        </w:tc>
        <w:tc>
          <w:tcPr>
            <w:tcW w:w="20" w:type="dxa"/>
            <w:vAlign w:val="bottom"/>
            <w:shd w:val="clear" w:color="auto" w:fill="929292"/>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Borders>
              <w:right w:val="single" w:sz="8" w:color="929292"/>
            </w:tcBorders>
          </w:tcPr>
          <w:p>
            <w:pPr>
              <w:spacing w:after="0"/>
              <w:rPr>
                <w:sz w:val="10"/>
                <w:szCs w:val="10"/>
                <w:color w:val="auto"/>
              </w:rPr>
            </w:pPr>
          </w:p>
        </w:tc>
        <w:tc>
          <w:tcPr>
            <w:tcW w:w="1100" w:type="dxa"/>
            <w:vAlign w:val="bottom"/>
            <w:tcBorders>
              <w:right w:val="single" w:sz="8" w:color="929292"/>
            </w:tcBorders>
            <w:vMerge w:val="continue"/>
          </w:tcPr>
          <w:p>
            <w:pPr>
              <w:spacing w:after="0"/>
              <w:rPr>
                <w:sz w:val="10"/>
                <w:szCs w:val="10"/>
                <w:color w:val="auto"/>
              </w:rPr>
            </w:pPr>
          </w:p>
        </w:tc>
        <w:tc>
          <w:tcPr>
            <w:tcW w:w="1100" w:type="dxa"/>
            <w:vAlign w:val="bottom"/>
            <w:tcBorders>
              <w:right w:val="single" w:sz="8" w:color="929292"/>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right w:val="single" w:sz="8" w:color="929292"/>
            </w:tcBorders>
            <w:vMerge w:val="continue"/>
          </w:tcPr>
          <w:p>
            <w:pPr>
              <w:spacing w:after="0"/>
              <w:rPr>
                <w:sz w:val="10"/>
                <w:szCs w:val="10"/>
                <w:color w:val="auto"/>
              </w:rPr>
            </w:pPr>
          </w:p>
        </w:tc>
        <w:tc>
          <w:tcPr>
            <w:tcW w:w="1140" w:type="dxa"/>
            <w:vAlign w:val="bottom"/>
            <w:tcBorders>
              <w:right w:val="single" w:sz="8" w:color="929292"/>
            </w:tcBorders>
            <w:vMerge w:val="continue"/>
          </w:tcPr>
          <w:p>
            <w:pPr>
              <w:spacing w:after="0"/>
              <w:rPr>
                <w:sz w:val="10"/>
                <w:szCs w:val="10"/>
                <w:color w:val="auto"/>
              </w:rPr>
            </w:pPr>
          </w:p>
        </w:tc>
        <w:tc>
          <w:tcPr>
            <w:tcW w:w="1160" w:type="dxa"/>
            <w:vAlign w:val="bottom"/>
            <w:tcBorders>
              <w:right w:val="single" w:sz="8" w:color="929292"/>
            </w:tcBorders>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20" w:type="dxa"/>
            <w:vAlign w:val="bottom"/>
            <w:tcBorders>
              <w:right w:val="single" w:sz="8" w:color="929292"/>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640" w:type="dxa"/>
            <w:vAlign w:val="bottom"/>
            <w:tcBorders>
              <w:left w:val="single" w:sz="8" w:color="929292"/>
            </w:tcBorders>
          </w:tcPr>
          <w:p>
            <w:pPr>
              <w:spacing w:after="0"/>
              <w:rPr>
                <w:sz w:val="20"/>
                <w:szCs w:val="20"/>
                <w:color w:val="auto"/>
              </w:rPr>
            </w:pPr>
          </w:p>
        </w:tc>
        <w:tc>
          <w:tcPr>
            <w:tcW w:w="120" w:type="dxa"/>
            <w:vAlign w:val="bottom"/>
            <w:tcBorders>
              <w:right w:val="single" w:sz="8" w:color="929292"/>
            </w:tcBorders>
          </w:tcPr>
          <w:p>
            <w:pPr>
              <w:spacing w:after="0"/>
              <w:rPr>
                <w:sz w:val="20"/>
                <w:szCs w:val="20"/>
                <w:color w:val="auto"/>
              </w:rPr>
            </w:pPr>
          </w:p>
        </w:tc>
        <w:tc>
          <w:tcPr>
            <w:tcW w:w="1020" w:type="dxa"/>
            <w:vAlign w:val="bottom"/>
            <w:vMerge w:val="restart"/>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tcPr>
          <w:p>
            <w:pPr>
              <w:spacing w:after="0"/>
              <w:rPr>
                <w:sz w:val="20"/>
                <w:szCs w:val="20"/>
                <w:color w:val="auto"/>
              </w:rPr>
            </w:pPr>
          </w:p>
        </w:tc>
        <w:tc>
          <w:tcPr>
            <w:tcW w:w="1100" w:type="dxa"/>
            <w:vAlign w:val="bottom"/>
            <w:tcBorders>
              <w:right w:val="single" w:sz="8" w:color="929292"/>
            </w:tcBorders>
            <w:vMerge w:val="restart"/>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vMerge w:val="restart"/>
          </w:tcPr>
          <w:p>
            <w:pPr>
              <w:jc w:val="center"/>
              <w:spacing w:after="0"/>
              <w:rPr>
                <w:sz w:val="20"/>
                <w:szCs w:val="20"/>
                <w:color w:val="auto"/>
              </w:rPr>
            </w:pPr>
            <w:r>
              <w:rPr>
                <w:rFonts w:ascii="Arial" w:cs="Arial" w:eastAsia="Arial" w:hAnsi="Arial"/>
                <w:sz w:val="16"/>
                <w:szCs w:val="16"/>
                <w:color w:val="auto"/>
                <w:w w:val="99"/>
              </w:rPr>
              <w:t>8,580</w:t>
            </w:r>
          </w:p>
        </w:tc>
        <w:tc>
          <w:tcPr>
            <w:tcW w:w="1140" w:type="dxa"/>
            <w:vAlign w:val="bottom"/>
            <w:tcBorders>
              <w:right w:val="single" w:sz="8" w:color="929292"/>
            </w:tcBorders>
            <w:vMerge w:val="restart"/>
          </w:tcPr>
          <w:p>
            <w:pPr>
              <w:jc w:val="center"/>
              <w:ind w:right="40"/>
              <w:spacing w:after="0"/>
              <w:rPr>
                <w:sz w:val="20"/>
                <w:szCs w:val="20"/>
                <w:color w:val="auto"/>
              </w:rPr>
            </w:pPr>
            <w:r>
              <w:rPr>
                <w:rFonts w:ascii="Arial" w:cs="Arial" w:eastAsia="Arial" w:hAnsi="Arial"/>
                <w:sz w:val="16"/>
                <w:szCs w:val="16"/>
                <w:color w:val="auto"/>
              </w:rPr>
              <w:t>17,160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25,740</w:t>
            </w:r>
          </w:p>
        </w:tc>
        <w:tc>
          <w:tcPr>
            <w:tcW w:w="120" w:type="dxa"/>
            <w:vAlign w:val="bottom"/>
            <w:tcBorders>
              <w:right w:val="single" w:sz="8" w:color="929292"/>
            </w:tcBorders>
          </w:tcPr>
          <w:p>
            <w:pPr>
              <w:spacing w:after="0"/>
              <w:rPr>
                <w:sz w:val="20"/>
                <w:szCs w:val="20"/>
                <w:color w:val="auto"/>
              </w:rPr>
            </w:pPr>
          </w:p>
        </w:tc>
        <w:tc>
          <w:tcPr>
            <w:tcW w:w="1080" w:type="dxa"/>
            <w:vAlign w:val="bottom"/>
            <w:vMerge w:val="restart"/>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tcPr>
          <w:p>
            <w:pPr>
              <w:jc w:val="right"/>
              <w:ind w:right="287"/>
              <w:spacing w:after="0"/>
              <w:rPr>
                <w:sz w:val="20"/>
                <w:szCs w:val="20"/>
                <w:color w:val="auto"/>
              </w:rPr>
            </w:pPr>
            <w:r>
              <w:rPr>
                <w:rFonts w:ascii="Arial" w:cs="Arial" w:eastAsia="Arial" w:hAnsi="Arial"/>
                <w:sz w:val="11"/>
                <w:szCs w:val="11"/>
                <w:color w:val="auto"/>
              </w:rPr>
              <w:t>(5)</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1,891,375</w:t>
            </w:r>
          </w:p>
        </w:tc>
        <w:tc>
          <w:tcPr>
            <w:tcW w:w="20" w:type="dxa"/>
            <w:vAlign w:val="bottom"/>
            <w:shd w:val="clear" w:color="auto" w:fill="929292"/>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vMerge w:val="restart"/>
          </w:tcPr>
          <w:p>
            <w:pPr>
              <w:ind w:left="120"/>
              <w:spacing w:after="0"/>
              <w:rPr>
                <w:sz w:val="20"/>
                <w:szCs w:val="20"/>
                <w:color w:val="auto"/>
              </w:rPr>
            </w:pPr>
            <w:r>
              <w:rPr>
                <w:rFonts w:ascii="Arial" w:cs="Arial" w:eastAsia="Arial" w:hAnsi="Arial"/>
                <w:sz w:val="16"/>
                <w:szCs w:val="16"/>
                <w:b w:val="1"/>
                <w:bCs w:val="1"/>
                <w:color w:val="auto"/>
              </w:rPr>
              <w:t>Mandy Yang</w:t>
            </w:r>
          </w:p>
        </w:tc>
        <w:tc>
          <w:tcPr>
            <w:tcW w:w="120" w:type="dxa"/>
            <w:vAlign w:val="bottom"/>
            <w:tcBorders>
              <w:right w:val="single" w:sz="8" w:color="929292"/>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Borders>
              <w:right w:val="single" w:sz="8" w:color="929292"/>
            </w:tcBorders>
          </w:tcPr>
          <w:p>
            <w:pPr>
              <w:spacing w:after="0"/>
              <w:rPr>
                <w:sz w:val="10"/>
                <w:szCs w:val="10"/>
                <w:color w:val="auto"/>
              </w:rPr>
            </w:pPr>
          </w:p>
        </w:tc>
        <w:tc>
          <w:tcPr>
            <w:tcW w:w="1100" w:type="dxa"/>
            <w:vAlign w:val="bottom"/>
            <w:tcBorders>
              <w:right w:val="single" w:sz="8" w:color="929292"/>
            </w:tcBorders>
            <w:vMerge w:val="continue"/>
          </w:tcPr>
          <w:p>
            <w:pPr>
              <w:spacing w:after="0"/>
              <w:rPr>
                <w:sz w:val="10"/>
                <w:szCs w:val="10"/>
                <w:color w:val="auto"/>
              </w:rPr>
            </w:pPr>
          </w:p>
        </w:tc>
        <w:tc>
          <w:tcPr>
            <w:tcW w:w="1100" w:type="dxa"/>
            <w:vAlign w:val="bottom"/>
            <w:tcBorders>
              <w:right w:val="single" w:sz="8" w:color="929292"/>
            </w:tcBorders>
            <w:vMerge w:val="continue"/>
          </w:tcPr>
          <w:p>
            <w:pPr>
              <w:spacing w:after="0"/>
              <w:rPr>
                <w:sz w:val="10"/>
                <w:szCs w:val="10"/>
                <w:color w:val="auto"/>
              </w:rPr>
            </w:pPr>
          </w:p>
        </w:tc>
        <w:tc>
          <w:tcPr>
            <w:tcW w:w="1160" w:type="dxa"/>
            <w:vAlign w:val="bottom"/>
            <w:tcBorders>
              <w:right w:val="single" w:sz="8" w:color="929292"/>
            </w:tcBorders>
            <w:gridSpan w:val="2"/>
            <w:vMerge w:val="continue"/>
          </w:tcPr>
          <w:p>
            <w:pPr>
              <w:spacing w:after="0"/>
              <w:rPr>
                <w:sz w:val="10"/>
                <w:szCs w:val="10"/>
                <w:color w:val="auto"/>
              </w:rPr>
            </w:pPr>
          </w:p>
        </w:tc>
        <w:tc>
          <w:tcPr>
            <w:tcW w:w="1140" w:type="dxa"/>
            <w:vAlign w:val="bottom"/>
            <w:tcBorders>
              <w:right w:val="single" w:sz="8" w:color="929292"/>
            </w:tcBorders>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080" w:type="dxa"/>
            <w:vAlign w:val="bottom"/>
            <w:vMerge w:val="continue"/>
          </w:tcPr>
          <w:p>
            <w:pPr>
              <w:spacing w:after="0"/>
              <w:rPr>
                <w:sz w:val="10"/>
                <w:szCs w:val="10"/>
                <w:color w:val="auto"/>
              </w:rPr>
            </w:pPr>
          </w:p>
        </w:tc>
        <w:tc>
          <w:tcPr>
            <w:tcW w:w="520" w:type="dxa"/>
            <w:vAlign w:val="bottom"/>
            <w:tcBorders>
              <w:right w:val="single" w:sz="8" w:color="929292"/>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640" w:type="dxa"/>
            <w:vAlign w:val="bottom"/>
            <w:tcBorders>
              <w:left w:val="single" w:sz="8" w:color="929292"/>
            </w:tcBorders>
            <w:vMerge w:val="continue"/>
          </w:tcPr>
          <w:p>
            <w:pPr>
              <w:spacing w:after="0"/>
              <w:rPr>
                <w:sz w:val="17"/>
                <w:szCs w:val="17"/>
                <w:color w:val="auto"/>
              </w:rPr>
            </w:pPr>
          </w:p>
        </w:tc>
        <w:tc>
          <w:tcPr>
            <w:tcW w:w="120" w:type="dxa"/>
            <w:vAlign w:val="bottom"/>
            <w:tcBorders>
              <w:right w:val="single" w:sz="8" w:color="929292"/>
            </w:tcBorders>
          </w:tcPr>
          <w:p>
            <w:pPr>
              <w:spacing w:after="0"/>
              <w:rPr>
                <w:sz w:val="17"/>
                <w:szCs w:val="17"/>
                <w:color w:val="auto"/>
              </w:rPr>
            </w:pPr>
          </w:p>
        </w:tc>
        <w:tc>
          <w:tcPr>
            <w:tcW w:w="1020" w:type="dxa"/>
            <w:vAlign w:val="bottom"/>
            <w:vMerge w:val="restart"/>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tcPr>
          <w:p>
            <w:pPr>
              <w:spacing w:after="0"/>
              <w:rPr>
                <w:sz w:val="17"/>
                <w:szCs w:val="17"/>
                <w:color w:val="auto"/>
              </w:rPr>
            </w:pPr>
          </w:p>
        </w:tc>
        <w:tc>
          <w:tcPr>
            <w:tcW w:w="1100" w:type="dxa"/>
            <w:vAlign w:val="bottom"/>
            <w:tcBorders>
              <w:right w:val="single" w:sz="8" w:color="929292"/>
            </w:tcBorders>
            <w:vMerge w:val="restart"/>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080" w:type="dxa"/>
            <w:vAlign w:val="bottom"/>
            <w:tcBorders>
              <w:right w:val="single" w:sz="8" w:color="929292"/>
            </w:tcBorders>
            <w:vMerge w:val="restart"/>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vMerge w:val="restart"/>
          </w:tcPr>
          <w:p>
            <w:pPr>
              <w:jc w:val="center"/>
              <w:ind w:right="40"/>
              <w:spacing w:after="0"/>
              <w:rPr>
                <w:sz w:val="20"/>
                <w:szCs w:val="20"/>
                <w:color w:val="auto"/>
              </w:rPr>
            </w:pPr>
            <w:r>
              <w:rPr>
                <w:rFonts w:ascii="Arial" w:cs="Arial" w:eastAsia="Arial" w:hAnsi="Arial"/>
                <w:sz w:val="16"/>
                <w:szCs w:val="16"/>
                <w:color w:val="auto"/>
              </w:rPr>
              <w:t>17,680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35,360</w:t>
            </w:r>
          </w:p>
        </w:tc>
        <w:tc>
          <w:tcPr>
            <w:tcW w:w="120" w:type="dxa"/>
            <w:vAlign w:val="bottom"/>
            <w:tcBorders>
              <w:right w:val="single" w:sz="8" w:color="929292"/>
            </w:tcBorders>
          </w:tcPr>
          <w:p>
            <w:pPr>
              <w:spacing w:after="0"/>
              <w:rPr>
                <w:sz w:val="17"/>
                <w:szCs w:val="17"/>
                <w:color w:val="auto"/>
              </w:rPr>
            </w:pPr>
          </w:p>
        </w:tc>
        <w:tc>
          <w:tcPr>
            <w:tcW w:w="1080" w:type="dxa"/>
            <w:vAlign w:val="bottom"/>
            <w:vMerge w:val="restart"/>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vMerge w:val="restart"/>
          </w:tcPr>
          <w:p>
            <w:pPr>
              <w:jc w:val="right"/>
              <w:ind w:right="287"/>
              <w:spacing w:after="0"/>
              <w:rPr>
                <w:sz w:val="20"/>
                <w:szCs w:val="20"/>
                <w:color w:val="auto"/>
              </w:rPr>
            </w:pPr>
            <w:r>
              <w:rPr>
                <w:rFonts w:ascii="Arial" w:cs="Arial" w:eastAsia="Arial" w:hAnsi="Arial"/>
                <w:sz w:val="11"/>
                <w:szCs w:val="11"/>
                <w:color w:val="auto"/>
              </w:rPr>
              <w:t>(6)</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2,538,671</w:t>
            </w:r>
          </w:p>
        </w:tc>
        <w:tc>
          <w:tcPr>
            <w:tcW w:w="20" w:type="dxa"/>
            <w:vAlign w:val="bottom"/>
            <w:shd w:val="clear" w:color="auto" w:fill="929292"/>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640" w:type="dxa"/>
            <w:vAlign w:val="bottom"/>
            <w:tcBorders>
              <w:left w:val="single" w:sz="8" w:color="929292"/>
            </w:tcBorders>
          </w:tcPr>
          <w:p>
            <w:pPr>
              <w:spacing w:after="0"/>
              <w:rPr>
                <w:sz w:val="3"/>
                <w:szCs w:val="3"/>
                <w:color w:val="auto"/>
              </w:rPr>
            </w:pPr>
          </w:p>
        </w:tc>
        <w:tc>
          <w:tcPr>
            <w:tcW w:w="120" w:type="dxa"/>
            <w:vAlign w:val="bottom"/>
            <w:tcBorders>
              <w:right w:val="single" w:sz="8" w:color="929292"/>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140" w:type="dxa"/>
            <w:vAlign w:val="bottom"/>
            <w:tcBorders>
              <w:right w:val="single" w:sz="8" w:color="929292"/>
            </w:tcBorders>
          </w:tcPr>
          <w:p>
            <w:pPr>
              <w:spacing w:after="0"/>
              <w:rPr>
                <w:sz w:val="3"/>
                <w:szCs w:val="3"/>
                <w:color w:val="auto"/>
              </w:rPr>
            </w:pPr>
          </w:p>
        </w:tc>
        <w:tc>
          <w:tcPr>
            <w:tcW w:w="1100" w:type="dxa"/>
            <w:vAlign w:val="bottom"/>
            <w:tcBorders>
              <w:right w:val="single" w:sz="8" w:color="929292"/>
            </w:tcBorders>
            <w:vMerge w:val="continue"/>
          </w:tcPr>
          <w:p>
            <w:pPr>
              <w:spacing w:after="0"/>
              <w:rPr>
                <w:sz w:val="3"/>
                <w:szCs w:val="3"/>
                <w:color w:val="auto"/>
              </w:rPr>
            </w:pPr>
          </w:p>
        </w:tc>
        <w:tc>
          <w:tcPr>
            <w:tcW w:w="1100" w:type="dxa"/>
            <w:vAlign w:val="bottom"/>
            <w:tcBorders>
              <w:right w:val="single" w:sz="8" w:color="929292"/>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right w:val="single" w:sz="8" w:color="929292"/>
            </w:tcBorders>
            <w:vMerge w:val="continue"/>
          </w:tcPr>
          <w:p>
            <w:pPr>
              <w:spacing w:after="0"/>
              <w:rPr>
                <w:sz w:val="3"/>
                <w:szCs w:val="3"/>
                <w:color w:val="auto"/>
              </w:rPr>
            </w:pPr>
          </w:p>
        </w:tc>
        <w:tc>
          <w:tcPr>
            <w:tcW w:w="1140" w:type="dxa"/>
            <w:vAlign w:val="bottom"/>
            <w:tcBorders>
              <w:right w:val="single" w:sz="8" w:color="929292"/>
            </w:tcBorders>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20" w:type="dxa"/>
            <w:vAlign w:val="bottom"/>
            <w:tcBorders>
              <w:right w:val="single" w:sz="8" w:color="929292"/>
            </w:tcBorders>
          </w:tcPr>
          <w:p>
            <w:pPr>
              <w:spacing w:after="0"/>
              <w:rPr>
                <w:sz w:val="3"/>
                <w:szCs w:val="3"/>
                <w:color w:val="auto"/>
              </w:rPr>
            </w:pPr>
          </w:p>
        </w:tc>
        <w:tc>
          <w:tcPr>
            <w:tcW w:w="1080" w:type="dxa"/>
            <w:vAlign w:val="bottom"/>
            <w:vMerge w:val="continue"/>
          </w:tcPr>
          <w:p>
            <w:pPr>
              <w:spacing w:after="0"/>
              <w:rPr>
                <w:sz w:val="3"/>
                <w:szCs w:val="3"/>
                <w:color w:val="auto"/>
              </w:rPr>
            </w:pPr>
          </w:p>
        </w:tc>
        <w:tc>
          <w:tcPr>
            <w:tcW w:w="520" w:type="dxa"/>
            <w:vAlign w:val="bottom"/>
            <w:tcBorders>
              <w:right w:val="single" w:sz="8" w:color="929292"/>
            </w:tcBorders>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0" w:type="dxa"/>
            <w:vAlign w:val="bottom"/>
            <w:shd w:val="clear" w:color="auto" w:fill="929292"/>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Borders>
              <w:right w:val="single" w:sz="8" w:color="929292"/>
            </w:tcBorders>
          </w:tcPr>
          <w:p>
            <w:pPr>
              <w:spacing w:after="0"/>
              <w:rPr>
                <w:sz w:val="10"/>
                <w:szCs w:val="10"/>
                <w:color w:val="auto"/>
              </w:rPr>
            </w:pPr>
          </w:p>
        </w:tc>
        <w:tc>
          <w:tcPr>
            <w:tcW w:w="1100" w:type="dxa"/>
            <w:vAlign w:val="bottom"/>
            <w:tcBorders>
              <w:right w:val="single" w:sz="8" w:color="929292"/>
            </w:tcBorders>
            <w:vMerge w:val="continue"/>
          </w:tcPr>
          <w:p>
            <w:pPr>
              <w:spacing w:after="0"/>
              <w:rPr>
                <w:sz w:val="10"/>
                <w:szCs w:val="10"/>
                <w:color w:val="auto"/>
              </w:rPr>
            </w:pPr>
          </w:p>
        </w:tc>
        <w:tc>
          <w:tcPr>
            <w:tcW w:w="1100" w:type="dxa"/>
            <w:vAlign w:val="bottom"/>
            <w:tcBorders>
              <w:right w:val="single" w:sz="8" w:color="929292"/>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right w:val="single" w:sz="8" w:color="929292"/>
            </w:tcBorders>
            <w:vMerge w:val="continue"/>
          </w:tcPr>
          <w:p>
            <w:pPr>
              <w:spacing w:after="0"/>
              <w:rPr>
                <w:sz w:val="10"/>
                <w:szCs w:val="10"/>
                <w:color w:val="auto"/>
              </w:rPr>
            </w:pPr>
          </w:p>
        </w:tc>
        <w:tc>
          <w:tcPr>
            <w:tcW w:w="1140" w:type="dxa"/>
            <w:vAlign w:val="bottom"/>
            <w:tcBorders>
              <w:right w:val="single" w:sz="8" w:color="929292"/>
            </w:tcBorders>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080" w:type="dxa"/>
            <w:vAlign w:val="bottom"/>
            <w:vMerge w:val="continue"/>
          </w:tcPr>
          <w:p>
            <w:pPr>
              <w:spacing w:after="0"/>
              <w:rPr>
                <w:sz w:val="10"/>
                <w:szCs w:val="10"/>
                <w:color w:val="auto"/>
              </w:rPr>
            </w:pPr>
          </w:p>
        </w:tc>
        <w:tc>
          <w:tcPr>
            <w:tcW w:w="520" w:type="dxa"/>
            <w:vAlign w:val="bottom"/>
            <w:tcBorders>
              <w:right w:val="single" w:sz="8" w:color="929292"/>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64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right w:val="single" w:sz="8" w:color="929292"/>
            </w:tcBorders>
          </w:tcPr>
          <w:p>
            <w:pPr>
              <w:spacing w:after="0"/>
              <w:rPr>
                <w:sz w:val="24"/>
                <w:szCs w:val="24"/>
                <w:color w:val="auto"/>
              </w:rPr>
            </w:pPr>
          </w:p>
        </w:tc>
        <w:tc>
          <w:tcPr>
            <w:tcW w:w="1100" w:type="dxa"/>
            <w:vAlign w:val="bottom"/>
            <w:tcBorders>
              <w:right w:val="single" w:sz="8" w:color="929292"/>
            </w:tcBorders>
          </w:tcPr>
          <w:p>
            <w:pPr>
              <w:jc w:val="center"/>
              <w:ind w:right="41"/>
              <w:spacing w:after="0"/>
              <w:rPr>
                <w:sz w:val="20"/>
                <w:szCs w:val="20"/>
                <w:color w:val="auto"/>
              </w:rPr>
            </w:pPr>
            <w:r>
              <w:rPr>
                <w:rFonts w:ascii="Arial" w:cs="Arial" w:eastAsia="Arial" w:hAnsi="Arial"/>
                <w:sz w:val="16"/>
                <w:szCs w:val="16"/>
                <w:color w:val="auto"/>
              </w:rPr>
              <w:t>275,625</w:t>
            </w:r>
          </w:p>
        </w:tc>
        <w:tc>
          <w:tcPr>
            <w:tcW w:w="11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496,125</w:t>
            </w:r>
          </w:p>
        </w:tc>
        <w:tc>
          <w:tcPr>
            <w:tcW w:w="80" w:type="dxa"/>
            <w:vAlign w:val="bottom"/>
          </w:tcPr>
          <w:p>
            <w:pPr>
              <w:spacing w:after="0"/>
              <w:rPr>
                <w:sz w:val="24"/>
                <w:szCs w:val="24"/>
                <w:color w:val="auto"/>
              </w:rPr>
            </w:pPr>
          </w:p>
        </w:tc>
        <w:tc>
          <w:tcPr>
            <w:tcW w:w="1080" w:type="dxa"/>
            <w:vAlign w:val="bottom"/>
            <w:tcBorders>
              <w:right w:val="single" w:sz="8" w:color="929292"/>
            </w:tcBorders>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929292"/>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929292"/>
            </w:tcBorders>
          </w:tcPr>
          <w:p>
            <w:pPr>
              <w:spacing w:after="0"/>
              <w:rPr>
                <w:sz w:val="7"/>
                <w:szCs w:val="7"/>
                <w:color w:val="auto"/>
              </w:rPr>
            </w:pPr>
          </w:p>
        </w:tc>
        <w:tc>
          <w:tcPr>
            <w:tcW w:w="120" w:type="dxa"/>
            <w:vAlign w:val="bottom"/>
            <w:tcBorders>
              <w:right w:val="single" w:sz="8" w:color="929292"/>
            </w:tcBorders>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Borders>
              <w:right w:val="single" w:sz="8" w:color="929292"/>
            </w:tcBorders>
          </w:tcPr>
          <w:p>
            <w:pPr>
              <w:spacing w:after="0"/>
              <w:rPr>
                <w:sz w:val="7"/>
                <w:szCs w:val="7"/>
                <w:color w:val="auto"/>
              </w:rPr>
            </w:pPr>
          </w:p>
        </w:tc>
        <w:tc>
          <w:tcPr>
            <w:tcW w:w="1100" w:type="dxa"/>
            <w:vAlign w:val="bottom"/>
            <w:tcBorders>
              <w:right w:val="single" w:sz="8" w:color="929292"/>
            </w:tcBorders>
          </w:tcPr>
          <w:p>
            <w:pPr>
              <w:spacing w:after="0"/>
              <w:rPr>
                <w:sz w:val="7"/>
                <w:szCs w:val="7"/>
                <w:color w:val="auto"/>
              </w:rPr>
            </w:pPr>
          </w:p>
        </w:tc>
        <w:tc>
          <w:tcPr>
            <w:tcW w:w="1100" w:type="dxa"/>
            <w:vAlign w:val="bottom"/>
            <w:tcBorders>
              <w:right w:val="single" w:sz="8" w:color="929292"/>
            </w:tcBorders>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Borders>
              <w:right w:val="single" w:sz="8" w:color="929292"/>
            </w:tcBorders>
          </w:tcPr>
          <w:p>
            <w:pPr>
              <w:spacing w:after="0"/>
              <w:rPr>
                <w:sz w:val="7"/>
                <w:szCs w:val="7"/>
                <w:color w:val="auto"/>
              </w:rPr>
            </w:pPr>
          </w:p>
        </w:tc>
        <w:tc>
          <w:tcPr>
            <w:tcW w:w="1140" w:type="dxa"/>
            <w:vAlign w:val="bottom"/>
            <w:tcBorders>
              <w:right w:val="single" w:sz="8" w:color="929292"/>
            </w:tcBorders>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Borders>
              <w:right w:val="single" w:sz="8" w:color="929292"/>
            </w:tcBorders>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Borders>
              <w:right w:val="single" w:sz="8" w:color="929292"/>
            </w:tcBorders>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929292"/>
            </w:tcBorders>
            <w:shd w:val="clear" w:color="auto" w:fill="FAF6EF"/>
          </w:tcPr>
          <w:p>
            <w:pPr>
              <w:spacing w:after="0"/>
              <w:rPr>
                <w:sz w:val="13"/>
                <w:szCs w:val="13"/>
                <w:color w:val="auto"/>
              </w:rPr>
            </w:pPr>
          </w:p>
        </w:tc>
        <w:tc>
          <w:tcPr>
            <w:tcW w:w="120" w:type="dxa"/>
            <w:vAlign w:val="bottom"/>
            <w:tcBorders>
              <w:right w:val="single" w:sz="8" w:color="929292"/>
            </w:tcBorders>
            <w:shd w:val="clear" w:color="auto" w:fill="FAF6EF"/>
          </w:tcPr>
          <w:p>
            <w:pPr>
              <w:spacing w:after="0"/>
              <w:rPr>
                <w:sz w:val="13"/>
                <w:szCs w:val="13"/>
                <w:color w:val="auto"/>
              </w:rPr>
            </w:pPr>
          </w:p>
        </w:tc>
        <w:tc>
          <w:tcPr>
            <w:tcW w:w="1020" w:type="dxa"/>
            <w:vAlign w:val="bottom"/>
            <w:vMerge w:val="restart"/>
            <w:shd w:val="clear" w:color="auto" w:fill="FAF6EF"/>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shd w:val="clear" w:color="auto" w:fill="FAF6EF"/>
          </w:tcPr>
          <w:p>
            <w:pPr>
              <w:spacing w:after="0"/>
              <w:rPr>
                <w:sz w:val="13"/>
                <w:szCs w:val="13"/>
                <w:color w:val="auto"/>
              </w:rPr>
            </w:pPr>
          </w:p>
        </w:tc>
        <w:tc>
          <w:tcPr>
            <w:tcW w:w="1100" w:type="dxa"/>
            <w:vAlign w:val="bottom"/>
            <w:tcBorders>
              <w:right w:val="single" w:sz="8" w:color="929292"/>
            </w:tcBorders>
            <w:vMerge w:val="restart"/>
            <w:shd w:val="clear" w:color="auto" w:fill="FAF6EF"/>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3"/>
                <w:szCs w:val="13"/>
                <w:color w:val="auto"/>
              </w:rPr>
            </w:pPr>
          </w:p>
        </w:tc>
        <w:tc>
          <w:tcPr>
            <w:tcW w:w="1080" w:type="dxa"/>
            <w:vAlign w:val="bottom"/>
            <w:tcBorders>
              <w:right w:val="single" w:sz="8" w:color="929292"/>
            </w:tcBorders>
            <w:vMerge w:val="restart"/>
            <w:shd w:val="clear" w:color="auto" w:fill="FAF6EF"/>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vMerge w:val="restart"/>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vMerge w:val="restart"/>
            <w:shd w:val="clear" w:color="auto" w:fill="FAF6EF"/>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vMerge w:val="restart"/>
            <w:shd w:val="clear" w:color="auto" w:fill="FAF6EF"/>
          </w:tcPr>
          <w:p>
            <w:pPr>
              <w:jc w:val="center"/>
              <w:ind w:right="102"/>
              <w:spacing w:after="0"/>
              <w:rPr>
                <w:sz w:val="20"/>
                <w:szCs w:val="20"/>
                <w:color w:val="auto"/>
              </w:rPr>
            </w:pPr>
            <w:r>
              <w:rPr>
                <w:rFonts w:ascii="Arial" w:cs="Arial" w:eastAsia="Arial" w:hAnsi="Arial"/>
                <w:sz w:val="16"/>
                <w:szCs w:val="16"/>
                <w:color w:val="auto"/>
              </w:rPr>
              <w:t>17,160</w:t>
            </w:r>
          </w:p>
        </w:tc>
        <w:tc>
          <w:tcPr>
            <w:tcW w:w="520" w:type="dxa"/>
            <w:vAlign w:val="bottom"/>
            <w:tcBorders>
              <w:right w:val="single" w:sz="8" w:color="929292"/>
            </w:tcBorders>
            <w:shd w:val="clear" w:color="auto" w:fill="FAF6EF"/>
          </w:tcPr>
          <w:p>
            <w:pPr>
              <w:jc w:val="right"/>
              <w:ind w:right="287"/>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1,891,375</w:t>
            </w:r>
          </w:p>
        </w:tc>
        <w:tc>
          <w:tcPr>
            <w:tcW w:w="20" w:type="dxa"/>
            <w:vAlign w:val="bottom"/>
            <w:shd w:val="clear" w:color="auto" w:fill="929292"/>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20" w:type="dxa"/>
            <w:vAlign w:val="bottom"/>
            <w:vMerge w:val="continue"/>
            <w:shd w:val="clear" w:color="auto" w:fill="FAF6EF"/>
          </w:tcPr>
          <w:p>
            <w:pPr>
              <w:spacing w:after="0"/>
              <w:rPr>
                <w:sz w:val="10"/>
                <w:szCs w:val="10"/>
                <w:color w:val="auto"/>
              </w:rPr>
            </w:pPr>
          </w:p>
        </w:tc>
        <w:tc>
          <w:tcPr>
            <w:tcW w:w="140" w:type="dxa"/>
            <w:vAlign w:val="bottom"/>
            <w:tcBorders>
              <w:right w:val="single" w:sz="8" w:color="929292"/>
            </w:tcBorders>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1080" w:type="dxa"/>
            <w:vAlign w:val="bottom"/>
            <w:tcBorders>
              <w:right w:val="single" w:sz="8" w:color="929292"/>
            </w:tcBorders>
            <w:vMerge w:val="continue"/>
            <w:shd w:val="clear" w:color="auto" w:fill="FAF6EF"/>
          </w:tcPr>
          <w:p>
            <w:pPr>
              <w:spacing w:after="0"/>
              <w:rPr>
                <w:sz w:val="10"/>
                <w:szCs w:val="10"/>
                <w:color w:val="auto"/>
              </w:rPr>
            </w:pPr>
          </w:p>
        </w:tc>
        <w:tc>
          <w:tcPr>
            <w:tcW w:w="1140" w:type="dxa"/>
            <w:vAlign w:val="bottom"/>
            <w:tcBorders>
              <w:right w:val="single" w:sz="8" w:color="929292"/>
            </w:tcBorders>
            <w:vMerge w:val="continue"/>
            <w:shd w:val="clear" w:color="auto" w:fill="FAF6EF"/>
          </w:tcPr>
          <w:p>
            <w:pPr>
              <w:spacing w:after="0"/>
              <w:rPr>
                <w:sz w:val="10"/>
                <w:szCs w:val="10"/>
                <w:color w:val="auto"/>
              </w:rPr>
            </w:pPr>
          </w:p>
        </w:tc>
        <w:tc>
          <w:tcPr>
            <w:tcW w:w="1160" w:type="dxa"/>
            <w:vAlign w:val="bottom"/>
            <w:tcBorders>
              <w:right w:val="single" w:sz="8" w:color="929292"/>
            </w:tcBorders>
            <w:gridSpan w:val="2"/>
            <w:vMerge w:val="continue"/>
            <w:shd w:val="clear" w:color="auto" w:fill="FAF6EF"/>
          </w:tcPr>
          <w:p>
            <w:pPr>
              <w:spacing w:after="0"/>
              <w:rPr>
                <w:sz w:val="10"/>
                <w:szCs w:val="10"/>
                <w:color w:val="auto"/>
              </w:rPr>
            </w:pPr>
          </w:p>
        </w:tc>
        <w:tc>
          <w:tcPr>
            <w:tcW w:w="1080" w:type="dxa"/>
            <w:vAlign w:val="bottom"/>
            <w:vMerge w:val="continue"/>
            <w:shd w:val="clear" w:color="auto" w:fill="FAF6EF"/>
          </w:tcPr>
          <w:p>
            <w:pPr>
              <w:spacing w:after="0"/>
              <w:rPr>
                <w:sz w:val="10"/>
                <w:szCs w:val="10"/>
                <w:color w:val="auto"/>
              </w:rPr>
            </w:pPr>
          </w:p>
        </w:tc>
        <w:tc>
          <w:tcPr>
            <w:tcW w:w="520" w:type="dxa"/>
            <w:vAlign w:val="bottom"/>
            <w:tcBorders>
              <w:right w:val="single" w:sz="8" w:color="929292"/>
            </w:tcBorders>
            <w:shd w:val="clear" w:color="auto" w:fill="FAF6EF"/>
          </w:tcPr>
          <w:p>
            <w:pPr>
              <w:spacing w:after="0"/>
              <w:rPr>
                <w:sz w:val="10"/>
                <w:szCs w:val="10"/>
                <w:color w:val="auto"/>
              </w:rPr>
            </w:pPr>
          </w:p>
        </w:tc>
        <w:tc>
          <w:tcPr>
            <w:tcW w:w="1060" w:type="dxa"/>
            <w:vAlign w:val="bottom"/>
            <w:vMerge w:val="continue"/>
            <w:shd w:val="clear" w:color="auto" w:fill="FAF6EF"/>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640" w:type="dxa"/>
            <w:vAlign w:val="bottom"/>
            <w:tcBorders>
              <w:left w:val="single" w:sz="8" w:color="929292"/>
            </w:tcBorders>
            <w:shd w:val="clear" w:color="auto" w:fill="FAF6EF"/>
          </w:tcPr>
          <w:p>
            <w:pPr>
              <w:spacing w:after="0"/>
              <w:rPr>
                <w:sz w:val="20"/>
                <w:szCs w:val="20"/>
                <w:color w:val="auto"/>
              </w:rPr>
            </w:pPr>
          </w:p>
        </w:tc>
        <w:tc>
          <w:tcPr>
            <w:tcW w:w="120" w:type="dxa"/>
            <w:vAlign w:val="bottom"/>
            <w:tcBorders>
              <w:right w:val="single" w:sz="8" w:color="929292"/>
            </w:tcBorders>
            <w:shd w:val="clear" w:color="auto" w:fill="FAF6EF"/>
          </w:tcPr>
          <w:p>
            <w:pPr>
              <w:spacing w:after="0"/>
              <w:rPr>
                <w:sz w:val="20"/>
                <w:szCs w:val="20"/>
                <w:color w:val="auto"/>
              </w:rPr>
            </w:pPr>
          </w:p>
        </w:tc>
        <w:tc>
          <w:tcPr>
            <w:tcW w:w="1020" w:type="dxa"/>
            <w:vAlign w:val="bottom"/>
            <w:vMerge w:val="restart"/>
            <w:shd w:val="clear" w:color="auto" w:fill="FAF6EF"/>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shd w:val="clear" w:color="auto" w:fill="FAF6EF"/>
          </w:tcPr>
          <w:p>
            <w:pPr>
              <w:spacing w:after="0"/>
              <w:rPr>
                <w:sz w:val="20"/>
                <w:szCs w:val="20"/>
                <w:color w:val="auto"/>
              </w:rPr>
            </w:pPr>
          </w:p>
        </w:tc>
        <w:tc>
          <w:tcPr>
            <w:tcW w:w="1100" w:type="dxa"/>
            <w:vAlign w:val="bottom"/>
            <w:tcBorders>
              <w:right w:val="single" w:sz="8" w:color="929292"/>
            </w:tcBorders>
            <w:vMerge w:val="restart"/>
            <w:shd w:val="clear" w:color="auto" w:fill="FAF6EF"/>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8,580</w:t>
            </w:r>
          </w:p>
        </w:tc>
        <w:tc>
          <w:tcPr>
            <w:tcW w:w="1140" w:type="dxa"/>
            <w:vAlign w:val="bottom"/>
            <w:tcBorders>
              <w:right w:val="single" w:sz="8" w:color="929292"/>
            </w:tcBorders>
            <w:vMerge w:val="restart"/>
            <w:shd w:val="clear" w:color="auto" w:fill="FAF6EF"/>
          </w:tcPr>
          <w:p>
            <w:pPr>
              <w:jc w:val="center"/>
              <w:ind w:right="40"/>
              <w:spacing w:after="0"/>
              <w:rPr>
                <w:sz w:val="20"/>
                <w:szCs w:val="20"/>
                <w:color w:val="auto"/>
              </w:rPr>
            </w:pPr>
            <w:r>
              <w:rPr>
                <w:rFonts w:ascii="Arial" w:cs="Arial" w:eastAsia="Arial" w:hAnsi="Arial"/>
                <w:sz w:val="16"/>
                <w:szCs w:val="16"/>
                <w:color w:val="auto"/>
              </w:rPr>
              <w:t>17,160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25,740</w:t>
            </w:r>
          </w:p>
        </w:tc>
        <w:tc>
          <w:tcPr>
            <w:tcW w:w="120" w:type="dxa"/>
            <w:vAlign w:val="bottom"/>
            <w:tcBorders>
              <w:right w:val="single" w:sz="8" w:color="929292"/>
            </w:tcBorders>
            <w:shd w:val="clear" w:color="auto" w:fill="FAF6EF"/>
          </w:tcPr>
          <w:p>
            <w:pPr>
              <w:spacing w:after="0"/>
              <w:rPr>
                <w:sz w:val="20"/>
                <w:szCs w:val="20"/>
                <w:color w:val="auto"/>
              </w:rPr>
            </w:pPr>
          </w:p>
        </w:tc>
        <w:tc>
          <w:tcPr>
            <w:tcW w:w="1080" w:type="dxa"/>
            <w:vAlign w:val="bottom"/>
            <w:vMerge w:val="restart"/>
            <w:shd w:val="clear" w:color="auto" w:fill="FAF6EF"/>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shd w:val="clear" w:color="auto" w:fill="FAF6EF"/>
          </w:tcPr>
          <w:p>
            <w:pPr>
              <w:jc w:val="right"/>
              <w:ind w:right="287"/>
              <w:spacing w:after="0"/>
              <w:rPr>
                <w:sz w:val="20"/>
                <w:szCs w:val="20"/>
                <w:color w:val="auto"/>
              </w:rPr>
            </w:pPr>
            <w:r>
              <w:rPr>
                <w:rFonts w:ascii="Arial" w:cs="Arial" w:eastAsia="Arial" w:hAnsi="Arial"/>
                <w:sz w:val="11"/>
                <w:szCs w:val="11"/>
                <w:color w:val="auto"/>
              </w:rPr>
              <w:t>(5)</w:t>
            </w: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1,891,375</w:t>
            </w:r>
          </w:p>
        </w:tc>
        <w:tc>
          <w:tcPr>
            <w:tcW w:w="20" w:type="dxa"/>
            <w:vAlign w:val="bottom"/>
            <w:shd w:val="clear" w:color="auto" w:fill="929292"/>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r>
              <w:rPr>
                <w:rFonts w:ascii="Arial" w:cs="Arial" w:eastAsia="Arial" w:hAnsi="Arial"/>
                <w:sz w:val="21"/>
                <w:szCs w:val="21"/>
                <w:b w:val="1"/>
                <w:bCs w:val="1"/>
                <w:color w:val="auto"/>
                <w:vertAlign w:val="superscript"/>
              </w:rPr>
              <w:t>(7)</w:t>
            </w:r>
          </w:p>
        </w:tc>
        <w:tc>
          <w:tcPr>
            <w:tcW w:w="120" w:type="dxa"/>
            <w:vAlign w:val="bottom"/>
            <w:tcBorders>
              <w:right w:val="single" w:sz="8" w:color="929292"/>
            </w:tcBorders>
            <w:shd w:val="clear" w:color="auto" w:fill="FAF6EF"/>
          </w:tcPr>
          <w:p>
            <w:pPr>
              <w:spacing w:after="0"/>
              <w:rPr>
                <w:sz w:val="10"/>
                <w:szCs w:val="10"/>
                <w:color w:val="auto"/>
              </w:rPr>
            </w:pPr>
          </w:p>
        </w:tc>
        <w:tc>
          <w:tcPr>
            <w:tcW w:w="1020" w:type="dxa"/>
            <w:vAlign w:val="bottom"/>
            <w:vMerge w:val="continue"/>
            <w:shd w:val="clear" w:color="auto" w:fill="FAF6EF"/>
          </w:tcPr>
          <w:p>
            <w:pPr>
              <w:spacing w:after="0"/>
              <w:rPr>
                <w:sz w:val="10"/>
                <w:szCs w:val="10"/>
                <w:color w:val="auto"/>
              </w:rPr>
            </w:pPr>
          </w:p>
        </w:tc>
        <w:tc>
          <w:tcPr>
            <w:tcW w:w="140" w:type="dxa"/>
            <w:vAlign w:val="bottom"/>
            <w:tcBorders>
              <w:right w:val="single" w:sz="8" w:color="929292"/>
            </w:tcBorders>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60" w:type="dxa"/>
            <w:vAlign w:val="bottom"/>
            <w:tcBorders>
              <w:right w:val="single" w:sz="8" w:color="929292"/>
            </w:tcBorders>
            <w:gridSpan w:val="2"/>
            <w:vMerge w:val="continue"/>
            <w:shd w:val="clear" w:color="auto" w:fill="FAF6EF"/>
          </w:tcPr>
          <w:p>
            <w:pPr>
              <w:spacing w:after="0"/>
              <w:rPr>
                <w:sz w:val="10"/>
                <w:szCs w:val="10"/>
                <w:color w:val="auto"/>
              </w:rPr>
            </w:pPr>
          </w:p>
        </w:tc>
        <w:tc>
          <w:tcPr>
            <w:tcW w:w="1140" w:type="dxa"/>
            <w:vAlign w:val="bottom"/>
            <w:tcBorders>
              <w:right w:val="single" w:sz="8" w:color="929292"/>
            </w:tcBorders>
            <w:vMerge w:val="continue"/>
            <w:shd w:val="clear" w:color="auto" w:fill="FAF6EF"/>
          </w:tcPr>
          <w:p>
            <w:pPr>
              <w:spacing w:after="0"/>
              <w:rPr>
                <w:sz w:val="10"/>
                <w:szCs w:val="10"/>
                <w:color w:val="auto"/>
              </w:rPr>
            </w:pPr>
          </w:p>
        </w:tc>
        <w:tc>
          <w:tcPr>
            <w:tcW w:w="104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80" w:type="dxa"/>
            <w:vAlign w:val="bottom"/>
            <w:vMerge w:val="continue"/>
            <w:shd w:val="clear" w:color="auto" w:fill="FAF6EF"/>
          </w:tcPr>
          <w:p>
            <w:pPr>
              <w:spacing w:after="0"/>
              <w:rPr>
                <w:sz w:val="10"/>
                <w:szCs w:val="10"/>
                <w:color w:val="auto"/>
              </w:rPr>
            </w:pPr>
          </w:p>
        </w:tc>
        <w:tc>
          <w:tcPr>
            <w:tcW w:w="520" w:type="dxa"/>
            <w:vAlign w:val="bottom"/>
            <w:tcBorders>
              <w:right w:val="single" w:sz="8" w:color="929292"/>
            </w:tcBorders>
            <w:shd w:val="clear" w:color="auto" w:fill="FAF6EF"/>
          </w:tcPr>
          <w:p>
            <w:pPr>
              <w:spacing w:after="0"/>
              <w:rPr>
                <w:sz w:val="10"/>
                <w:szCs w:val="10"/>
                <w:color w:val="auto"/>
              </w:rPr>
            </w:pPr>
          </w:p>
        </w:tc>
        <w:tc>
          <w:tcPr>
            <w:tcW w:w="1060" w:type="dxa"/>
            <w:vAlign w:val="bottom"/>
            <w:vMerge w:val="continue"/>
            <w:shd w:val="clear" w:color="auto" w:fill="FAF6EF"/>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929292"/>
            </w:tcBorders>
            <w:vMerge w:val="continue"/>
            <w:shd w:val="clear" w:color="auto" w:fill="FAF6EF"/>
          </w:tcPr>
          <w:p>
            <w:pPr>
              <w:spacing w:after="0"/>
              <w:rPr>
                <w:sz w:val="17"/>
                <w:szCs w:val="17"/>
                <w:color w:val="auto"/>
              </w:rPr>
            </w:pPr>
          </w:p>
        </w:tc>
        <w:tc>
          <w:tcPr>
            <w:tcW w:w="120" w:type="dxa"/>
            <w:vAlign w:val="bottom"/>
            <w:tcBorders>
              <w:right w:val="single" w:sz="8" w:color="929292"/>
            </w:tcBorders>
            <w:shd w:val="clear" w:color="auto" w:fill="FAF6EF"/>
          </w:tcPr>
          <w:p>
            <w:pPr>
              <w:spacing w:after="0"/>
              <w:rPr>
                <w:sz w:val="17"/>
                <w:szCs w:val="17"/>
                <w:color w:val="auto"/>
              </w:rPr>
            </w:pPr>
          </w:p>
        </w:tc>
        <w:tc>
          <w:tcPr>
            <w:tcW w:w="1020" w:type="dxa"/>
            <w:vAlign w:val="bottom"/>
            <w:vMerge w:val="restart"/>
            <w:shd w:val="clear" w:color="auto" w:fill="FAF6EF"/>
          </w:tcPr>
          <w:p>
            <w:pPr>
              <w:ind w:left="160"/>
              <w:spacing w:after="0"/>
              <w:rPr>
                <w:sz w:val="20"/>
                <w:szCs w:val="20"/>
                <w:color w:val="auto"/>
              </w:rPr>
            </w:pPr>
            <w:r>
              <w:rPr>
                <w:rFonts w:ascii="Arial" w:cs="Arial" w:eastAsia="Arial" w:hAnsi="Arial"/>
                <w:sz w:val="16"/>
                <w:szCs w:val="16"/>
                <w:color w:val="auto"/>
              </w:rPr>
              <w:t>1/15/2024</w:t>
            </w:r>
          </w:p>
        </w:tc>
        <w:tc>
          <w:tcPr>
            <w:tcW w:w="140" w:type="dxa"/>
            <w:vAlign w:val="bottom"/>
            <w:tcBorders>
              <w:right w:val="single" w:sz="8" w:color="929292"/>
            </w:tcBorders>
            <w:shd w:val="clear" w:color="auto" w:fill="FAF6EF"/>
          </w:tcPr>
          <w:p>
            <w:pPr>
              <w:spacing w:after="0"/>
              <w:rPr>
                <w:sz w:val="17"/>
                <w:szCs w:val="17"/>
                <w:color w:val="auto"/>
              </w:rPr>
            </w:pPr>
          </w:p>
        </w:tc>
        <w:tc>
          <w:tcPr>
            <w:tcW w:w="1100" w:type="dxa"/>
            <w:vAlign w:val="bottom"/>
            <w:tcBorders>
              <w:right w:val="single" w:sz="8" w:color="929292"/>
            </w:tcBorders>
            <w:vMerge w:val="restart"/>
            <w:shd w:val="clear" w:color="auto" w:fill="FAF6EF"/>
          </w:tcPr>
          <w:p>
            <w:pPr>
              <w:jc w:val="center"/>
              <w:ind w:right="61"/>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7"/>
                <w:szCs w:val="17"/>
                <w:color w:val="auto"/>
              </w:rPr>
            </w:pPr>
          </w:p>
        </w:tc>
        <w:tc>
          <w:tcPr>
            <w:tcW w:w="1080" w:type="dxa"/>
            <w:vAlign w:val="bottom"/>
            <w:tcBorders>
              <w:right w:val="single" w:sz="8" w:color="929292"/>
            </w:tcBorders>
            <w:vMerge w:val="restart"/>
            <w:shd w:val="clear" w:color="auto" w:fill="FAF6EF"/>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vMerge w:val="restart"/>
            <w:shd w:val="clear" w:color="auto" w:fill="FAF6EF"/>
          </w:tcPr>
          <w:p>
            <w:pPr>
              <w:jc w:val="center"/>
              <w:ind w:right="40"/>
              <w:spacing w:after="0"/>
              <w:rPr>
                <w:sz w:val="20"/>
                <w:szCs w:val="20"/>
                <w:color w:val="auto"/>
              </w:rPr>
            </w:pPr>
            <w:r>
              <w:rPr>
                <w:rFonts w:ascii="Arial" w:cs="Arial" w:eastAsia="Arial" w:hAnsi="Arial"/>
                <w:sz w:val="16"/>
                <w:szCs w:val="16"/>
                <w:color w:val="auto"/>
              </w:rPr>
              <w:t>17,680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35,360</w:t>
            </w:r>
          </w:p>
        </w:tc>
        <w:tc>
          <w:tcPr>
            <w:tcW w:w="120" w:type="dxa"/>
            <w:vAlign w:val="bottom"/>
            <w:tcBorders>
              <w:right w:val="single" w:sz="8" w:color="929292"/>
            </w:tcBorders>
            <w:shd w:val="clear" w:color="auto" w:fill="FAF6EF"/>
          </w:tcPr>
          <w:p>
            <w:pPr>
              <w:spacing w:after="0"/>
              <w:rPr>
                <w:sz w:val="17"/>
                <w:szCs w:val="17"/>
                <w:color w:val="auto"/>
              </w:rPr>
            </w:pPr>
          </w:p>
        </w:tc>
        <w:tc>
          <w:tcPr>
            <w:tcW w:w="1080" w:type="dxa"/>
            <w:vAlign w:val="bottom"/>
            <w:vMerge w:val="restart"/>
            <w:shd w:val="clear" w:color="auto" w:fill="FAF6EF"/>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vMerge w:val="restart"/>
            <w:shd w:val="clear" w:color="auto" w:fill="FAF6EF"/>
          </w:tcPr>
          <w:p>
            <w:pPr>
              <w:jc w:val="right"/>
              <w:ind w:right="287"/>
              <w:spacing w:after="0"/>
              <w:rPr>
                <w:sz w:val="20"/>
                <w:szCs w:val="20"/>
                <w:color w:val="auto"/>
              </w:rPr>
            </w:pPr>
            <w:r>
              <w:rPr>
                <w:rFonts w:ascii="Arial" w:cs="Arial" w:eastAsia="Arial" w:hAnsi="Arial"/>
                <w:sz w:val="11"/>
                <w:szCs w:val="11"/>
                <w:color w:val="auto"/>
              </w:rPr>
              <w:t>(6)</w:t>
            </w: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2,538,671</w:t>
            </w:r>
          </w:p>
        </w:tc>
        <w:tc>
          <w:tcPr>
            <w:tcW w:w="20" w:type="dxa"/>
            <w:vAlign w:val="bottom"/>
            <w:shd w:val="clear" w:color="auto" w:fill="929292"/>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40" w:type="dxa"/>
            <w:vAlign w:val="bottom"/>
            <w:tcBorders>
              <w:left w:val="single" w:sz="8" w:color="929292"/>
            </w:tcBorders>
            <w:shd w:val="clear" w:color="auto" w:fill="FAF6EF"/>
          </w:tcPr>
          <w:p>
            <w:pPr>
              <w:spacing w:after="0"/>
              <w:rPr>
                <w:sz w:val="2"/>
                <w:szCs w:val="2"/>
                <w:color w:val="auto"/>
              </w:rPr>
            </w:pPr>
          </w:p>
        </w:tc>
        <w:tc>
          <w:tcPr>
            <w:tcW w:w="120" w:type="dxa"/>
            <w:vAlign w:val="bottom"/>
            <w:tcBorders>
              <w:right w:val="single" w:sz="8" w:color="929292"/>
            </w:tcBorders>
            <w:shd w:val="clear" w:color="auto" w:fill="FAF6EF"/>
          </w:tcPr>
          <w:p>
            <w:pPr>
              <w:spacing w:after="0"/>
              <w:rPr>
                <w:sz w:val="2"/>
                <w:szCs w:val="2"/>
                <w:color w:val="auto"/>
              </w:rPr>
            </w:pPr>
          </w:p>
        </w:tc>
        <w:tc>
          <w:tcPr>
            <w:tcW w:w="1020" w:type="dxa"/>
            <w:vAlign w:val="bottom"/>
            <w:vMerge w:val="continue"/>
            <w:shd w:val="clear" w:color="auto" w:fill="FAF6EF"/>
          </w:tcPr>
          <w:p>
            <w:pPr>
              <w:spacing w:after="0"/>
              <w:rPr>
                <w:sz w:val="2"/>
                <w:szCs w:val="2"/>
                <w:color w:val="auto"/>
              </w:rPr>
            </w:pPr>
          </w:p>
        </w:tc>
        <w:tc>
          <w:tcPr>
            <w:tcW w:w="140" w:type="dxa"/>
            <w:vAlign w:val="bottom"/>
            <w:tcBorders>
              <w:right w:val="single" w:sz="8" w:color="929292"/>
            </w:tcBorders>
            <w:shd w:val="clear" w:color="auto" w:fill="FAF6EF"/>
          </w:tcPr>
          <w:p>
            <w:pPr>
              <w:spacing w:after="0"/>
              <w:rPr>
                <w:sz w:val="2"/>
                <w:szCs w:val="2"/>
                <w:color w:val="auto"/>
              </w:rPr>
            </w:pPr>
          </w:p>
        </w:tc>
        <w:tc>
          <w:tcPr>
            <w:tcW w:w="1100" w:type="dxa"/>
            <w:vAlign w:val="bottom"/>
            <w:tcBorders>
              <w:right w:val="single" w:sz="8" w:color="929292"/>
            </w:tcBorders>
            <w:vMerge w:val="continue"/>
            <w:shd w:val="clear" w:color="auto" w:fill="FAF6EF"/>
          </w:tcPr>
          <w:p>
            <w:pPr>
              <w:spacing w:after="0"/>
              <w:rPr>
                <w:sz w:val="2"/>
                <w:szCs w:val="2"/>
                <w:color w:val="auto"/>
              </w:rPr>
            </w:pPr>
          </w:p>
        </w:tc>
        <w:tc>
          <w:tcPr>
            <w:tcW w:w="1100" w:type="dxa"/>
            <w:vAlign w:val="bottom"/>
            <w:tcBorders>
              <w:right w:val="single" w:sz="8" w:color="929292"/>
            </w:tcBorders>
            <w:vMerge w:val="continue"/>
            <w:shd w:val="clear" w:color="auto" w:fill="FAF6EF"/>
          </w:tcPr>
          <w:p>
            <w:pPr>
              <w:spacing w:after="0"/>
              <w:rPr>
                <w:sz w:val="2"/>
                <w:szCs w:val="2"/>
                <w:color w:val="auto"/>
              </w:rPr>
            </w:pPr>
          </w:p>
        </w:tc>
        <w:tc>
          <w:tcPr>
            <w:tcW w:w="80" w:type="dxa"/>
            <w:vAlign w:val="bottom"/>
            <w:shd w:val="clear" w:color="auto" w:fill="FAF6EF"/>
          </w:tcPr>
          <w:p>
            <w:pPr>
              <w:spacing w:after="0"/>
              <w:rPr>
                <w:sz w:val="2"/>
                <w:szCs w:val="2"/>
                <w:color w:val="auto"/>
              </w:rPr>
            </w:pPr>
          </w:p>
        </w:tc>
        <w:tc>
          <w:tcPr>
            <w:tcW w:w="1080" w:type="dxa"/>
            <w:vAlign w:val="bottom"/>
            <w:tcBorders>
              <w:right w:val="single" w:sz="8" w:color="929292"/>
            </w:tcBorders>
            <w:vMerge w:val="continue"/>
            <w:shd w:val="clear" w:color="auto" w:fill="FAF6EF"/>
          </w:tcPr>
          <w:p>
            <w:pPr>
              <w:spacing w:after="0"/>
              <w:rPr>
                <w:sz w:val="2"/>
                <w:szCs w:val="2"/>
                <w:color w:val="auto"/>
              </w:rPr>
            </w:pPr>
          </w:p>
        </w:tc>
        <w:tc>
          <w:tcPr>
            <w:tcW w:w="1140" w:type="dxa"/>
            <w:vAlign w:val="bottom"/>
            <w:tcBorders>
              <w:right w:val="single" w:sz="8" w:color="929292"/>
            </w:tcBorders>
            <w:vMerge w:val="continue"/>
            <w:shd w:val="clear" w:color="auto" w:fill="FAF6EF"/>
          </w:tcPr>
          <w:p>
            <w:pPr>
              <w:spacing w:after="0"/>
              <w:rPr>
                <w:sz w:val="2"/>
                <w:szCs w:val="2"/>
                <w:color w:val="auto"/>
              </w:rPr>
            </w:pPr>
          </w:p>
        </w:tc>
        <w:tc>
          <w:tcPr>
            <w:tcW w:w="1040" w:type="dxa"/>
            <w:vAlign w:val="bottom"/>
            <w:vMerge w:val="continue"/>
            <w:shd w:val="clear" w:color="auto" w:fill="FAF6EF"/>
          </w:tcPr>
          <w:p>
            <w:pPr>
              <w:spacing w:after="0"/>
              <w:rPr>
                <w:sz w:val="2"/>
                <w:szCs w:val="2"/>
                <w:color w:val="auto"/>
              </w:rPr>
            </w:pPr>
          </w:p>
        </w:tc>
        <w:tc>
          <w:tcPr>
            <w:tcW w:w="120" w:type="dxa"/>
            <w:vAlign w:val="bottom"/>
            <w:tcBorders>
              <w:right w:val="single" w:sz="8" w:color="929292"/>
            </w:tcBorders>
            <w:shd w:val="clear" w:color="auto" w:fill="FAF6EF"/>
          </w:tcPr>
          <w:p>
            <w:pPr>
              <w:spacing w:after="0"/>
              <w:rPr>
                <w:sz w:val="2"/>
                <w:szCs w:val="2"/>
                <w:color w:val="auto"/>
              </w:rPr>
            </w:pPr>
          </w:p>
        </w:tc>
        <w:tc>
          <w:tcPr>
            <w:tcW w:w="1080" w:type="dxa"/>
            <w:vAlign w:val="bottom"/>
            <w:vMerge w:val="continue"/>
            <w:shd w:val="clear" w:color="auto" w:fill="FAF6EF"/>
          </w:tcPr>
          <w:p>
            <w:pPr>
              <w:spacing w:after="0"/>
              <w:rPr>
                <w:sz w:val="2"/>
                <w:szCs w:val="2"/>
                <w:color w:val="auto"/>
              </w:rPr>
            </w:pPr>
          </w:p>
        </w:tc>
        <w:tc>
          <w:tcPr>
            <w:tcW w:w="520" w:type="dxa"/>
            <w:vAlign w:val="bottom"/>
            <w:tcBorders>
              <w:right w:val="single" w:sz="8" w:color="929292"/>
            </w:tcBorders>
            <w:vMerge w:val="continue"/>
            <w:shd w:val="clear" w:color="auto" w:fill="FAF6EF"/>
          </w:tcPr>
          <w:p>
            <w:pPr>
              <w:spacing w:after="0"/>
              <w:rPr>
                <w:sz w:val="2"/>
                <w:szCs w:val="2"/>
                <w:color w:val="auto"/>
              </w:rPr>
            </w:pPr>
          </w:p>
        </w:tc>
        <w:tc>
          <w:tcPr>
            <w:tcW w:w="1060" w:type="dxa"/>
            <w:vAlign w:val="bottom"/>
            <w:vMerge w:val="continue"/>
            <w:shd w:val="clear" w:color="auto" w:fill="FAF6EF"/>
          </w:tcPr>
          <w:p>
            <w:pPr>
              <w:spacing w:after="0"/>
              <w:rPr>
                <w:sz w:val="2"/>
                <w:szCs w:val="2"/>
                <w:color w:val="auto"/>
              </w:rPr>
            </w:pPr>
          </w:p>
        </w:tc>
        <w:tc>
          <w:tcPr>
            <w:tcW w:w="20" w:type="dxa"/>
            <w:vAlign w:val="bottom"/>
            <w:shd w:val="clear" w:color="auto" w:fill="92929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20" w:type="dxa"/>
            <w:vAlign w:val="bottom"/>
            <w:vMerge w:val="continue"/>
            <w:shd w:val="clear" w:color="auto" w:fill="FAF6EF"/>
          </w:tcPr>
          <w:p>
            <w:pPr>
              <w:spacing w:after="0"/>
              <w:rPr>
                <w:sz w:val="10"/>
                <w:szCs w:val="10"/>
                <w:color w:val="auto"/>
              </w:rPr>
            </w:pPr>
          </w:p>
        </w:tc>
        <w:tc>
          <w:tcPr>
            <w:tcW w:w="140" w:type="dxa"/>
            <w:vAlign w:val="bottom"/>
            <w:tcBorders>
              <w:right w:val="single" w:sz="8" w:color="929292"/>
            </w:tcBorders>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1100" w:type="dxa"/>
            <w:vAlign w:val="bottom"/>
            <w:tcBorders>
              <w:right w:val="single" w:sz="8" w:color="929292"/>
            </w:tcBorders>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1080" w:type="dxa"/>
            <w:vAlign w:val="bottom"/>
            <w:tcBorders>
              <w:right w:val="single" w:sz="8" w:color="929292"/>
            </w:tcBorders>
            <w:vMerge w:val="continue"/>
            <w:shd w:val="clear" w:color="auto" w:fill="FAF6EF"/>
          </w:tcPr>
          <w:p>
            <w:pPr>
              <w:spacing w:after="0"/>
              <w:rPr>
                <w:sz w:val="10"/>
                <w:szCs w:val="10"/>
                <w:color w:val="auto"/>
              </w:rPr>
            </w:pPr>
          </w:p>
        </w:tc>
        <w:tc>
          <w:tcPr>
            <w:tcW w:w="1140" w:type="dxa"/>
            <w:vAlign w:val="bottom"/>
            <w:tcBorders>
              <w:right w:val="single" w:sz="8" w:color="929292"/>
            </w:tcBorders>
            <w:vMerge w:val="continue"/>
            <w:shd w:val="clear" w:color="auto" w:fill="FAF6EF"/>
          </w:tcPr>
          <w:p>
            <w:pPr>
              <w:spacing w:after="0"/>
              <w:rPr>
                <w:sz w:val="10"/>
                <w:szCs w:val="10"/>
                <w:color w:val="auto"/>
              </w:rPr>
            </w:pPr>
          </w:p>
        </w:tc>
        <w:tc>
          <w:tcPr>
            <w:tcW w:w="104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080" w:type="dxa"/>
            <w:vAlign w:val="bottom"/>
            <w:vMerge w:val="continue"/>
            <w:shd w:val="clear" w:color="auto" w:fill="FAF6EF"/>
          </w:tcPr>
          <w:p>
            <w:pPr>
              <w:spacing w:after="0"/>
              <w:rPr>
                <w:sz w:val="10"/>
                <w:szCs w:val="10"/>
                <w:color w:val="auto"/>
              </w:rPr>
            </w:pPr>
          </w:p>
        </w:tc>
        <w:tc>
          <w:tcPr>
            <w:tcW w:w="520" w:type="dxa"/>
            <w:vAlign w:val="bottom"/>
            <w:tcBorders>
              <w:right w:val="single" w:sz="8" w:color="929292"/>
            </w:tcBorders>
            <w:shd w:val="clear" w:color="auto" w:fill="FAF6EF"/>
          </w:tcPr>
          <w:p>
            <w:pPr>
              <w:spacing w:after="0"/>
              <w:rPr>
                <w:sz w:val="10"/>
                <w:szCs w:val="10"/>
                <w:color w:val="auto"/>
              </w:rPr>
            </w:pPr>
          </w:p>
        </w:tc>
        <w:tc>
          <w:tcPr>
            <w:tcW w:w="1060" w:type="dxa"/>
            <w:vAlign w:val="bottom"/>
            <w:vMerge w:val="continue"/>
            <w:shd w:val="clear" w:color="auto" w:fill="FAF6EF"/>
          </w:tcPr>
          <w:p>
            <w:pPr>
              <w:spacing w:after="0"/>
              <w:rPr>
                <w:sz w:val="10"/>
                <w:szCs w:val="10"/>
                <w:color w:val="auto"/>
              </w:rPr>
            </w:pPr>
          </w:p>
        </w:tc>
        <w:tc>
          <w:tcPr>
            <w:tcW w:w="20" w:type="dxa"/>
            <w:vAlign w:val="bottom"/>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1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020" w:type="dxa"/>
            <w:vAlign w:val="bottom"/>
            <w:shd w:val="clear" w:color="auto" w:fill="FAF6EF"/>
          </w:tcPr>
          <w:p>
            <w:pPr>
              <w:spacing w:after="0"/>
              <w:rPr>
                <w:sz w:val="24"/>
                <w:szCs w:val="24"/>
                <w:color w:val="auto"/>
              </w:rPr>
            </w:pPr>
          </w:p>
        </w:tc>
        <w:tc>
          <w:tcPr>
            <w:tcW w:w="140" w:type="dxa"/>
            <w:vAlign w:val="bottom"/>
            <w:tcBorders>
              <w:right w:val="single" w:sz="8" w:color="929292"/>
            </w:tcBorders>
            <w:shd w:val="clear" w:color="auto" w:fill="FAF6EF"/>
          </w:tcPr>
          <w:p>
            <w:pPr>
              <w:spacing w:after="0"/>
              <w:rPr>
                <w:sz w:val="24"/>
                <w:szCs w:val="24"/>
                <w:color w:val="auto"/>
              </w:rPr>
            </w:pPr>
          </w:p>
        </w:tc>
        <w:tc>
          <w:tcPr>
            <w:tcW w:w="1100" w:type="dxa"/>
            <w:vAlign w:val="bottom"/>
            <w:tcBorders>
              <w:right w:val="single" w:sz="8" w:color="929292"/>
            </w:tcBorders>
            <w:shd w:val="clear" w:color="auto" w:fill="FAF6EF"/>
          </w:tcPr>
          <w:p>
            <w:pPr>
              <w:jc w:val="center"/>
              <w:ind w:right="41"/>
              <w:spacing w:after="0"/>
              <w:rPr>
                <w:sz w:val="20"/>
                <w:szCs w:val="20"/>
                <w:color w:val="auto"/>
              </w:rPr>
            </w:pPr>
            <w:r>
              <w:rPr>
                <w:rFonts w:ascii="Arial" w:cs="Arial" w:eastAsia="Arial" w:hAnsi="Arial"/>
                <w:sz w:val="16"/>
                <w:szCs w:val="16"/>
                <w:color w:val="auto"/>
              </w:rPr>
              <w:t>225,000</w:t>
            </w:r>
          </w:p>
        </w:tc>
        <w:tc>
          <w:tcPr>
            <w:tcW w:w="11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405,000</w:t>
            </w:r>
          </w:p>
        </w:tc>
        <w:tc>
          <w:tcPr>
            <w:tcW w:w="80" w:type="dxa"/>
            <w:vAlign w:val="bottom"/>
            <w:shd w:val="clear" w:color="auto" w:fill="FAF6EF"/>
          </w:tcPr>
          <w:p>
            <w:pPr>
              <w:spacing w:after="0"/>
              <w:rPr>
                <w:sz w:val="24"/>
                <w:szCs w:val="24"/>
                <w:color w:val="auto"/>
              </w:rPr>
            </w:pPr>
          </w:p>
        </w:tc>
        <w:tc>
          <w:tcPr>
            <w:tcW w:w="1080" w:type="dxa"/>
            <w:vAlign w:val="bottom"/>
            <w:tcBorders>
              <w:right w:val="single" w:sz="8" w:color="929292"/>
            </w:tcBorders>
            <w:shd w:val="clear" w:color="auto" w:fill="FAF6EF"/>
          </w:tcPr>
          <w:p>
            <w:pPr>
              <w:jc w:val="center"/>
              <w:ind w:right="41"/>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929292"/>
            </w:tcBorders>
            <w:gridSpan w:val="2"/>
            <w:shd w:val="clear" w:color="auto" w:fill="FAF6EF"/>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AF6EF"/>
          </w:tcPr>
          <w:p>
            <w:pPr>
              <w:jc w:val="center"/>
              <w:ind w:right="122"/>
              <w:spacing w:after="0"/>
              <w:rPr>
                <w:sz w:val="20"/>
                <w:szCs w:val="20"/>
                <w:color w:val="auto"/>
              </w:rPr>
            </w:pPr>
            <w:r>
              <w:rPr>
                <w:rFonts w:ascii="Arial" w:cs="Arial" w:eastAsia="Arial" w:hAnsi="Arial"/>
                <w:sz w:val="16"/>
                <w:szCs w:val="16"/>
                <w:color w:val="auto"/>
                <w:w w:val="99"/>
              </w:rPr>
              <w:t>—</w:t>
            </w:r>
          </w:p>
        </w:tc>
        <w:tc>
          <w:tcPr>
            <w:tcW w:w="520" w:type="dxa"/>
            <w:vAlign w:val="bottom"/>
            <w:tcBorders>
              <w:right w:val="single" w:sz="8" w:color="929292"/>
            </w:tcBorders>
            <w:shd w:val="clear" w:color="auto" w:fill="FAF6EF"/>
          </w:tcPr>
          <w:p>
            <w:pPr>
              <w:spacing w:after="0"/>
              <w:rPr>
                <w:sz w:val="24"/>
                <w:szCs w:val="24"/>
                <w:color w:val="auto"/>
              </w:rPr>
            </w:pPr>
          </w:p>
        </w:tc>
        <w:tc>
          <w:tcPr>
            <w:tcW w:w="10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929292"/>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929292"/>
            </w:tcBorders>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020" w:type="dxa"/>
            <w:vAlign w:val="bottom"/>
            <w:shd w:val="clear" w:color="auto" w:fill="FAF6EF"/>
          </w:tcPr>
          <w:p>
            <w:pPr>
              <w:spacing w:after="0"/>
              <w:rPr>
                <w:sz w:val="7"/>
                <w:szCs w:val="7"/>
                <w:color w:val="auto"/>
              </w:rPr>
            </w:pPr>
          </w:p>
        </w:tc>
        <w:tc>
          <w:tcPr>
            <w:tcW w:w="140" w:type="dxa"/>
            <w:vAlign w:val="bottom"/>
            <w:tcBorders>
              <w:right w:val="single" w:sz="8" w:color="929292"/>
            </w:tcBorders>
            <w:shd w:val="clear" w:color="auto" w:fill="FAF6EF"/>
          </w:tcPr>
          <w:p>
            <w:pPr>
              <w:spacing w:after="0"/>
              <w:rPr>
                <w:sz w:val="7"/>
                <w:szCs w:val="7"/>
                <w:color w:val="auto"/>
              </w:rPr>
            </w:pPr>
          </w:p>
        </w:tc>
        <w:tc>
          <w:tcPr>
            <w:tcW w:w="1100" w:type="dxa"/>
            <w:vAlign w:val="bottom"/>
            <w:tcBorders>
              <w:right w:val="single" w:sz="8" w:color="929292"/>
            </w:tcBorders>
            <w:shd w:val="clear" w:color="auto" w:fill="FAF6EF"/>
          </w:tcPr>
          <w:p>
            <w:pPr>
              <w:spacing w:after="0"/>
              <w:rPr>
                <w:sz w:val="7"/>
                <w:szCs w:val="7"/>
                <w:color w:val="auto"/>
              </w:rPr>
            </w:pPr>
          </w:p>
        </w:tc>
        <w:tc>
          <w:tcPr>
            <w:tcW w:w="1100" w:type="dxa"/>
            <w:vAlign w:val="bottom"/>
            <w:tcBorders>
              <w:right w:val="single" w:sz="8" w:color="929292"/>
            </w:tcBorders>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1080" w:type="dxa"/>
            <w:vAlign w:val="bottom"/>
            <w:tcBorders>
              <w:right w:val="single" w:sz="8" w:color="929292"/>
            </w:tcBorders>
            <w:shd w:val="clear" w:color="auto" w:fill="FAF6EF"/>
          </w:tcPr>
          <w:p>
            <w:pPr>
              <w:spacing w:after="0"/>
              <w:rPr>
                <w:sz w:val="7"/>
                <w:szCs w:val="7"/>
                <w:color w:val="auto"/>
              </w:rPr>
            </w:pPr>
          </w:p>
        </w:tc>
        <w:tc>
          <w:tcPr>
            <w:tcW w:w="1140" w:type="dxa"/>
            <w:vAlign w:val="bottom"/>
            <w:tcBorders>
              <w:right w:val="single" w:sz="8" w:color="929292"/>
            </w:tcBorders>
            <w:shd w:val="clear" w:color="auto" w:fill="FAF6EF"/>
          </w:tcPr>
          <w:p>
            <w:pPr>
              <w:spacing w:after="0"/>
              <w:rPr>
                <w:sz w:val="7"/>
                <w:szCs w:val="7"/>
                <w:color w:val="auto"/>
              </w:rPr>
            </w:pPr>
          </w:p>
        </w:tc>
        <w:tc>
          <w:tcPr>
            <w:tcW w:w="1040" w:type="dxa"/>
            <w:vAlign w:val="bottom"/>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080" w:type="dxa"/>
            <w:vAlign w:val="bottom"/>
            <w:shd w:val="clear" w:color="auto" w:fill="FAF6EF"/>
          </w:tcPr>
          <w:p>
            <w:pPr>
              <w:spacing w:after="0"/>
              <w:rPr>
                <w:sz w:val="7"/>
                <w:szCs w:val="7"/>
                <w:color w:val="auto"/>
              </w:rPr>
            </w:pPr>
          </w:p>
        </w:tc>
        <w:tc>
          <w:tcPr>
            <w:tcW w:w="520" w:type="dxa"/>
            <w:vAlign w:val="bottom"/>
            <w:tcBorders>
              <w:right w:val="single" w:sz="8" w:color="929292"/>
            </w:tcBorders>
            <w:shd w:val="clear" w:color="auto" w:fill="FAF6EF"/>
          </w:tcPr>
          <w:p>
            <w:pPr>
              <w:spacing w:after="0"/>
              <w:rPr>
                <w:sz w:val="7"/>
                <w:szCs w:val="7"/>
                <w:color w:val="auto"/>
              </w:rPr>
            </w:pPr>
          </w:p>
        </w:tc>
        <w:tc>
          <w:tcPr>
            <w:tcW w:w="1060" w:type="dxa"/>
            <w:vAlign w:val="bottom"/>
            <w:shd w:val="clear" w:color="auto" w:fill="FAF6EF"/>
          </w:tcPr>
          <w:p>
            <w:pPr>
              <w:spacing w:after="0"/>
              <w:rPr>
                <w:sz w:val="7"/>
                <w:szCs w:val="7"/>
                <w:color w:val="auto"/>
              </w:rPr>
            </w:pPr>
          </w:p>
        </w:tc>
        <w:tc>
          <w:tcPr>
            <w:tcW w:w="20" w:type="dxa"/>
            <w:vAlign w:val="bottom"/>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640" w:type="dxa"/>
            <w:vAlign w:val="bottom"/>
          </w:tcPr>
          <w:p>
            <w:pPr>
              <w:spacing w:after="0"/>
              <w:rPr>
                <w:sz w:val="20"/>
                <w:szCs w:val="20"/>
                <w:color w:val="auto"/>
              </w:rPr>
            </w:pPr>
            <w:r>
              <w:rPr>
                <w:rFonts w:ascii="Arial" w:cs="Arial" w:eastAsia="Arial" w:hAnsi="Arial"/>
                <w:sz w:val="22"/>
                <w:szCs w:val="22"/>
                <w:b w:val="1"/>
                <w:bCs w:val="1"/>
                <w:color w:val="auto"/>
              </w:rPr>
              <w:t>________</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260" w:right="20" w:hanging="252"/>
        <w:spacing w:after="0" w:line="268" w:lineRule="auto"/>
        <w:tabs>
          <w:tab w:leader="none" w:pos="253" w:val="left"/>
        </w:tabs>
        <w:numPr>
          <w:ilvl w:val="0"/>
          <w:numId w:val="57"/>
        </w:numPr>
        <w:rPr>
          <w:rFonts w:ascii="Arial" w:cs="Arial" w:eastAsia="Arial" w:hAnsi="Arial"/>
          <w:sz w:val="13"/>
          <w:szCs w:val="13"/>
          <w:color w:val="7D7D7D"/>
        </w:rPr>
      </w:pPr>
      <w:r>
        <w:rPr>
          <w:rFonts w:ascii="Arial" w:cs="Arial" w:eastAsia="Arial" w:hAnsi="Arial"/>
          <w:sz w:val="13"/>
          <w:szCs w:val="13"/>
          <w:color w:val="7D7D7D"/>
        </w:rPr>
        <w:t>This column sets forth the target and maximum amount of each NEO’s annual performance-based bonus for the fiscal year ended December 31, 2024 under our quarterly cash performance-based bonus plan. Accordingly, the amounts set forth in this column do not represent actual compensation earned by our NEOs for the fiscal year ended December 31, 2024. The performance-based bonus is determined by multiplying the NEO’s base salary by (a) the applicable Bonus Percentage, (b) the Company Performance Factor (0 to 1.0x), (c) the Funding Factor (0 to 1.5x), and (d) the Individual Performance Factor (0 to 1.2x), for an overall maximum payout equal to 1.8 times target. For the actual quarterly performance-based bonuses paid to our NEOs for the fiscal year ended December 31, 2024, please refer to the “Summary Compensation Table” above. For a further discussion of the 2024 Bonus Program, please refer to the section entitled “Compensation Discussion and Analysis - Short-Term Incentive Compensation” above.</w:t>
      </w:r>
    </w:p>
    <w:p>
      <w:pPr>
        <w:spacing w:after="0" w:line="11" w:lineRule="exact"/>
        <w:rPr>
          <w:sz w:val="20"/>
          <w:szCs w:val="20"/>
          <w:color w:val="auto"/>
        </w:rPr>
      </w:pPr>
    </w:p>
    <w:p>
      <w:pPr>
        <w:jc w:val="both"/>
        <w:ind w:left="260" w:right="20" w:hanging="252"/>
        <w:spacing w:after="0" w:line="293" w:lineRule="auto"/>
        <w:tabs>
          <w:tab w:leader="none" w:pos="253" w:val="left"/>
        </w:tabs>
        <w:numPr>
          <w:ilvl w:val="0"/>
          <w:numId w:val="58"/>
        </w:numPr>
        <w:rPr>
          <w:rFonts w:ascii="Arial" w:cs="Arial" w:eastAsia="Arial" w:hAnsi="Arial"/>
          <w:sz w:val="13"/>
          <w:szCs w:val="13"/>
          <w:color w:val="7D7D7D"/>
        </w:rPr>
      </w:pPr>
      <w:r>
        <w:rPr>
          <w:rFonts w:ascii="Arial" w:cs="Arial" w:eastAsia="Arial" w:hAnsi="Arial"/>
          <w:sz w:val="13"/>
          <w:szCs w:val="13"/>
          <w:color w:val="7D7D7D"/>
        </w:rPr>
        <w:t>These columns set forth the threshold, target and maximum number of PSUs that could be earned by our NEOs pursuant to awards made under the 2024 PSP, as further described in footnotes 5 and 6 below. For additional details regarding the 2024 PSP, please refer to the section entitled “Compensation Discussion and Analysis - Equity-Based Incentive Compensation.”</w:t>
      </w:r>
    </w:p>
    <w:p>
      <w:pPr>
        <w:spacing w:after="0" w:line="175" w:lineRule="exact"/>
        <w:rPr>
          <w:sz w:val="20"/>
          <w:szCs w:val="20"/>
          <w:color w:val="auto"/>
        </w:rPr>
      </w:pPr>
    </w:p>
    <w:p>
      <w:pPr>
        <w:jc w:val="both"/>
        <w:ind w:left="260" w:right="20" w:hanging="252"/>
        <w:spacing w:after="0" w:line="262" w:lineRule="auto"/>
        <w:tabs>
          <w:tab w:leader="none" w:pos="253" w:val="left"/>
        </w:tabs>
        <w:numPr>
          <w:ilvl w:val="0"/>
          <w:numId w:val="59"/>
        </w:numPr>
        <w:rPr>
          <w:rFonts w:ascii="Arial" w:cs="Arial" w:eastAsia="Arial" w:hAnsi="Arial"/>
          <w:sz w:val="13"/>
          <w:szCs w:val="13"/>
          <w:color w:val="7D7D7D"/>
        </w:rPr>
      </w:pPr>
      <w:r>
        <w:rPr>
          <w:rFonts w:ascii="Arial" w:cs="Arial" w:eastAsia="Arial" w:hAnsi="Arial"/>
          <w:sz w:val="13"/>
          <w:szCs w:val="13"/>
          <w:color w:val="7D7D7D"/>
        </w:rPr>
        <w:t>Amounts represent the grant date fair value of each stock award granted in 2024. In accordance with ASC 718, the grant date fair value per share subject to (i) each time-based vesting RSU and the at target number of PSUs that could be earned based on achievement of the 2024 Annual CEO SMART Goals is computed based on the closing price of our common stock as reported on the Nasdaq Global Market ($110.22 as of the last trading date prior to the January 15, 2024 grant date), and (ii) the PSUs that could be earned based on achievement of the relative TSR goals is computed based on the estimated fair value per share using a Monte Carlo simulation ($143.59 as of the January 15, 2024 grant date). See Note 16, “Stock-Based Compensation” of the notes to consolidated financial statements included in Part II, Item 8 of the Annual Report on Form 10-K, regarding assumptions underlying the valuation of stock awards and the calculation method. The grant date fair value computed in accordance with ASC 718 represents the amount we expect to expense for accounting purposes over the award's vesting schedule, and not the actual value that will be realized by the NEOs to the extent the awards vest. In addition to the level of performance achieved, the realized value of the PSUs earned will be determined by the price of our stock on the date any shares are issued at the end of the performance period, which may be more or less than the grant date fair value.</w:t>
      </w:r>
    </w:p>
    <w:p>
      <w:pPr>
        <w:spacing w:after="0" w:line="179" w:lineRule="exact"/>
        <w:rPr>
          <w:sz w:val="20"/>
          <w:szCs w:val="20"/>
          <w:color w:val="auto"/>
        </w:rPr>
      </w:pPr>
    </w:p>
    <w:p>
      <w:pPr>
        <w:ind w:left="240" w:hanging="232"/>
        <w:spacing w:after="0"/>
        <w:tabs>
          <w:tab w:leader="none" w:pos="240" w:val="left"/>
        </w:tabs>
        <w:numPr>
          <w:ilvl w:val="0"/>
          <w:numId w:val="60"/>
        </w:numPr>
        <w:rPr>
          <w:rFonts w:ascii="Arial" w:cs="Arial" w:eastAsia="Arial" w:hAnsi="Arial"/>
          <w:sz w:val="13"/>
          <w:szCs w:val="13"/>
          <w:color w:val="7D7D7D"/>
        </w:rPr>
      </w:pPr>
      <w:r>
        <w:rPr>
          <w:rFonts w:ascii="Arial" w:cs="Arial" w:eastAsia="Arial" w:hAnsi="Arial"/>
          <w:sz w:val="13"/>
          <w:szCs w:val="13"/>
          <w:color w:val="7D7D7D"/>
        </w:rPr>
        <w:t>The shares subject to the RSU award vest over a three-year period, with 1/3</w:t>
      </w:r>
      <w:r>
        <w:rPr>
          <w:rFonts w:ascii="Arial" w:cs="Arial" w:eastAsia="Arial" w:hAnsi="Arial"/>
          <w:sz w:val="17"/>
          <w:szCs w:val="17"/>
          <w:color w:val="7D7D7D"/>
          <w:vertAlign w:val="superscript"/>
        </w:rPr>
        <w:t>rd</w:t>
      </w:r>
      <w:r>
        <w:rPr>
          <w:rFonts w:ascii="Arial" w:cs="Arial" w:eastAsia="Arial" w:hAnsi="Arial"/>
          <w:sz w:val="13"/>
          <w:szCs w:val="13"/>
          <w:color w:val="7D7D7D"/>
        </w:rPr>
        <w:t xml:space="preserve"> of the RSUs vesting on each of March 1, 2025, March 1, 2026 and March 1, 2027.</w:t>
      </w:r>
    </w:p>
    <w:p>
      <w:pPr>
        <w:spacing w:after="0" w:line="33" w:lineRule="exact"/>
        <w:rPr>
          <w:sz w:val="20"/>
          <w:szCs w:val="20"/>
          <w:color w:val="auto"/>
        </w:rPr>
      </w:pPr>
    </w:p>
    <w:p>
      <w:pPr>
        <w:jc w:val="both"/>
        <w:ind w:left="260" w:right="40" w:hanging="252"/>
        <w:spacing w:after="0" w:line="270" w:lineRule="auto"/>
        <w:tabs>
          <w:tab w:leader="none" w:pos="253" w:val="left"/>
        </w:tabs>
        <w:numPr>
          <w:ilvl w:val="0"/>
          <w:numId w:val="61"/>
        </w:numPr>
        <w:rPr>
          <w:rFonts w:ascii="Arial" w:cs="Arial" w:eastAsia="Arial" w:hAnsi="Arial"/>
          <w:sz w:val="13"/>
          <w:szCs w:val="13"/>
          <w:color w:val="7D7D7D"/>
        </w:rPr>
      </w:pPr>
      <w:r>
        <w:rPr>
          <w:rFonts w:ascii="Arial" w:cs="Arial" w:eastAsia="Arial" w:hAnsi="Arial"/>
          <w:sz w:val="13"/>
          <w:szCs w:val="13"/>
          <w:color w:val="7D7D7D"/>
        </w:rPr>
        <w:t>The shares subject to the PSU award vest upon achievement of the 2024 Annual CEO SMART Goals and were eligible to vest on March 1, 2025. For a further discussion of these PSUs, please refer to the section entitled “Compensation Discussion and Analysis - Equity-Based Incentive Compensation.” Based on the achievement of the performance criteria related to the performance of the 2024 Annual CEO SMART Goals during 2024, 50% of the PSUs vested on March 1, 2025.</w:t>
      </w:r>
    </w:p>
    <w:p>
      <w:pPr>
        <w:spacing w:after="0" w:line="23" w:lineRule="exact"/>
        <w:rPr>
          <w:sz w:val="20"/>
          <w:szCs w:val="20"/>
          <w:color w:val="auto"/>
        </w:rPr>
      </w:pPr>
    </w:p>
    <w:p>
      <w:pPr>
        <w:ind w:left="260" w:right="20" w:hanging="252"/>
        <w:spacing w:after="0" w:line="278" w:lineRule="auto"/>
        <w:tabs>
          <w:tab w:leader="none" w:pos="253" w:val="left"/>
        </w:tabs>
        <w:numPr>
          <w:ilvl w:val="0"/>
          <w:numId w:val="62"/>
        </w:numPr>
        <w:rPr>
          <w:rFonts w:ascii="Arial" w:cs="Arial" w:eastAsia="Arial" w:hAnsi="Arial"/>
          <w:sz w:val="13"/>
          <w:szCs w:val="13"/>
          <w:color w:val="7D7D7D"/>
        </w:rPr>
      </w:pPr>
      <w:r>
        <w:rPr>
          <w:rFonts w:ascii="Arial" w:cs="Arial" w:eastAsia="Arial" w:hAnsi="Arial"/>
          <w:sz w:val="13"/>
          <w:szCs w:val="13"/>
          <w:color w:val="7D7D7D"/>
        </w:rPr>
        <w:t>The shares subject to the PSU award are eligible to vest on March 1, 2027 depending on the three-year TSR performance of Enphase relative to S&amp;P 500 companies. For a further discussion of these PSUs, please refer to the section entitled “Compensation Discussion and Analysis - Equity-Based Incentive Compensation.”</w:t>
      </w:r>
    </w:p>
    <w:p>
      <w:pPr>
        <w:spacing w:after="0" w:line="18" w:lineRule="exact"/>
        <w:rPr>
          <w:sz w:val="20"/>
          <w:szCs w:val="20"/>
          <w:color w:val="auto"/>
        </w:rPr>
      </w:pPr>
    </w:p>
    <w:p>
      <w:pPr>
        <w:ind w:left="260" w:right="20" w:hanging="252"/>
        <w:spacing w:after="0" w:line="300" w:lineRule="auto"/>
        <w:tabs>
          <w:tab w:leader="none" w:pos="253" w:val="left"/>
        </w:tabs>
        <w:numPr>
          <w:ilvl w:val="0"/>
          <w:numId w:val="63"/>
        </w:numPr>
        <w:rPr>
          <w:rFonts w:ascii="Arial" w:cs="Arial" w:eastAsia="Arial" w:hAnsi="Arial"/>
          <w:sz w:val="13"/>
          <w:szCs w:val="13"/>
          <w:color w:val="7D7D7D"/>
        </w:rPr>
      </w:pPr>
      <w:r>
        <w:rPr>
          <w:rFonts w:ascii="Arial" w:cs="Arial" w:eastAsia="Arial" w:hAnsi="Arial"/>
          <w:sz w:val="13"/>
          <w:szCs w:val="13"/>
          <w:color w:val="7D7D7D"/>
        </w:rPr>
        <w:t>Mr. Ranhoff’s target annual bonus for 2024 was based on his actual quarterly base salary in 2024, reflecting the decrease from $400,000 to $200,000 effective July 1, 2024 with his transition to part-time Commercial Advisor.</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54" w:name="page55"/>
    <w:bookmarkEnd w:id="54"/>
    <w:p>
      <w:pPr>
        <w:spacing w:after="0"/>
        <w:rPr>
          <w:sz w:val="20"/>
          <w:szCs w:val="20"/>
          <w:color w:val="auto"/>
        </w:rPr>
      </w:pPr>
      <w:r>
        <w:rPr>
          <w:rFonts w:ascii="Arial" w:cs="Arial" w:eastAsia="Arial" w:hAnsi="Arial"/>
          <w:sz w:val="32"/>
          <w:szCs w:val="32"/>
          <w:b w:val="1"/>
          <w:bCs w:val="1"/>
          <w:color w:val="auto"/>
        </w:rPr>
        <w:t>Outstanding Equity Awards — at December 31, 2024</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outstanding equity awards held by each of our NEOs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114935</wp:posOffset>
            </wp:positionV>
            <wp:extent cx="50749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ind w:left="80"/>
              <w:spacing w:after="0"/>
              <w:rPr>
                <w:sz w:val="20"/>
                <w:szCs w:val="20"/>
                <w:color w:val="auto"/>
              </w:rPr>
            </w:pPr>
            <w:r>
              <w:rPr>
                <w:rFonts w:ascii="Arial" w:cs="Arial" w:eastAsia="Arial" w:hAnsi="Arial"/>
                <w:sz w:val="14"/>
                <w:szCs w:val="14"/>
                <w:b w:val="1"/>
                <w:bCs w:val="1"/>
                <w:color w:val="3C3C3C"/>
              </w:rPr>
              <w:t>Stock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140" w:type="dxa"/>
            <w:vAlign w:val="bottom"/>
            <w:tcBorders>
              <w:left w:val="single" w:sz="8" w:color="3C3C3C"/>
            </w:tcBorders>
            <w:shd w:val="clear" w:color="auto" w:fill="3C3C3C"/>
          </w:tcPr>
          <w:p>
            <w:pPr>
              <w:spacing w:after="0"/>
              <w:rPr>
                <w:sz w:val="16"/>
                <w:szCs w:val="16"/>
                <w:color w:val="auto"/>
              </w:rPr>
            </w:pPr>
          </w:p>
        </w:tc>
        <w:tc>
          <w:tcPr>
            <w:tcW w:w="120" w:type="dxa"/>
            <w:vAlign w:val="bottom"/>
            <w:tcBorders>
              <w:right w:val="single" w:sz="8" w:color="3C3C3C"/>
            </w:tcBorders>
            <w:shd w:val="clear" w:color="auto" w:fill="3C3C3C"/>
          </w:tcPr>
          <w:p>
            <w:pPr>
              <w:spacing w:after="0"/>
              <w:rPr>
                <w:sz w:val="16"/>
                <w:szCs w:val="16"/>
                <w:color w:val="auto"/>
              </w:rPr>
            </w:pPr>
          </w:p>
        </w:tc>
        <w:tc>
          <w:tcPr>
            <w:tcW w:w="1360" w:type="dxa"/>
            <w:vAlign w:val="bottom"/>
            <w:shd w:val="clear" w:color="auto" w:fill="3C3C3C"/>
          </w:tcPr>
          <w:p>
            <w:pPr>
              <w:spacing w:after="0"/>
              <w:rPr>
                <w:sz w:val="16"/>
                <w:szCs w:val="16"/>
                <w:color w:val="auto"/>
              </w:rPr>
            </w:pPr>
          </w:p>
        </w:tc>
        <w:tc>
          <w:tcPr>
            <w:tcW w:w="80" w:type="dxa"/>
            <w:vAlign w:val="bottom"/>
            <w:shd w:val="clear" w:color="auto" w:fill="3C3C3C"/>
          </w:tcPr>
          <w:p>
            <w:pPr>
              <w:spacing w:after="0"/>
              <w:rPr>
                <w:sz w:val="16"/>
                <w:szCs w:val="16"/>
                <w:color w:val="auto"/>
              </w:rPr>
            </w:pPr>
          </w:p>
        </w:tc>
        <w:tc>
          <w:tcPr>
            <w:tcW w:w="260" w:type="dxa"/>
            <w:vAlign w:val="bottom"/>
            <w:tcBorders>
              <w:right w:val="single" w:sz="8" w:color="3C3C3C"/>
            </w:tcBorders>
            <w:shd w:val="clear" w:color="auto" w:fill="3C3C3C"/>
          </w:tcPr>
          <w:p>
            <w:pPr>
              <w:spacing w:after="0"/>
              <w:rPr>
                <w:sz w:val="16"/>
                <w:szCs w:val="16"/>
                <w:color w:val="auto"/>
              </w:rPr>
            </w:pP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Market Value of</w:t>
            </w:r>
          </w:p>
        </w:tc>
        <w:tc>
          <w:tcPr>
            <w:tcW w:w="120" w:type="dxa"/>
            <w:vAlign w:val="bottom"/>
            <w:tcBorders>
              <w:right w:val="single" w:sz="8" w:color="3C3C3C"/>
            </w:tcBorders>
            <w:shd w:val="clear" w:color="auto" w:fill="3C3C3C"/>
          </w:tcPr>
          <w:p>
            <w:pPr>
              <w:spacing w:after="0"/>
              <w:rPr>
                <w:sz w:val="16"/>
                <w:szCs w:val="16"/>
                <w:color w:val="auto"/>
              </w:rPr>
            </w:pPr>
          </w:p>
        </w:tc>
        <w:tc>
          <w:tcPr>
            <w:tcW w:w="18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Equity Incentive Plan</w:t>
            </w:r>
          </w:p>
        </w:tc>
        <w:tc>
          <w:tcPr>
            <w:tcW w:w="340" w:type="dxa"/>
            <w:vAlign w:val="bottom"/>
            <w:shd w:val="clear" w:color="auto" w:fill="3C3C3C"/>
          </w:tcPr>
          <w:p>
            <w:pPr>
              <w:spacing w:after="0"/>
              <w:rPr>
                <w:sz w:val="16"/>
                <w:szCs w:val="16"/>
                <w:color w:val="auto"/>
              </w:rPr>
            </w:pPr>
          </w:p>
        </w:tc>
        <w:tc>
          <w:tcPr>
            <w:tcW w:w="100" w:type="dxa"/>
            <w:vAlign w:val="bottom"/>
            <w:tcBorders>
              <w:right w:val="single" w:sz="8" w:color="3C3C3C"/>
            </w:tcBorders>
            <w:shd w:val="clear" w:color="auto" w:fill="3C3C3C"/>
          </w:tcPr>
          <w:p>
            <w:pPr>
              <w:spacing w:after="0"/>
              <w:rPr>
                <w:sz w:val="16"/>
                <w:szCs w:val="16"/>
                <w:color w:val="auto"/>
              </w:rPr>
            </w:pPr>
          </w:p>
        </w:tc>
        <w:tc>
          <w:tcPr>
            <w:tcW w:w="2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Equity Incentive Plan Awards:</w:t>
            </w:r>
          </w:p>
        </w:tc>
        <w:tc>
          <w:tcPr>
            <w:tcW w:w="0" w:type="dxa"/>
            <w:vAlign w:val="bottom"/>
          </w:tcPr>
          <w:p>
            <w:pPr>
              <w:spacing w:after="0"/>
              <w:rPr>
                <w:sz w:val="1"/>
                <w:szCs w:val="1"/>
                <w:color w:val="auto"/>
              </w:rPr>
            </w:pPr>
          </w:p>
        </w:tc>
      </w:tr>
      <w:tr>
        <w:trPr>
          <w:trHeight w:val="81"/>
        </w:trPr>
        <w:tc>
          <w:tcPr>
            <w:tcW w:w="3140" w:type="dxa"/>
            <w:vAlign w:val="bottom"/>
            <w:tcBorders>
              <w:left w:val="single" w:sz="8" w:color="3C3C3C"/>
            </w:tcBorders>
            <w:shd w:val="clear" w:color="auto" w:fill="3C3C3C"/>
          </w:tcPr>
          <w:p>
            <w:pPr>
              <w:spacing w:after="0"/>
              <w:rPr>
                <w:sz w:val="7"/>
                <w:szCs w:val="7"/>
                <w:color w:val="auto"/>
              </w:rPr>
            </w:pPr>
          </w:p>
        </w:tc>
        <w:tc>
          <w:tcPr>
            <w:tcW w:w="120" w:type="dxa"/>
            <w:vAlign w:val="bottom"/>
            <w:tcBorders>
              <w:right w:val="single" w:sz="8" w:color="3C3C3C"/>
            </w:tcBorders>
            <w:shd w:val="clear" w:color="auto" w:fill="3C3C3C"/>
          </w:tcPr>
          <w:p>
            <w:pPr>
              <w:spacing w:after="0"/>
              <w:rPr>
                <w:sz w:val="7"/>
                <w:szCs w:val="7"/>
                <w:color w:val="auto"/>
              </w:rPr>
            </w:pPr>
          </w:p>
        </w:tc>
        <w:tc>
          <w:tcPr>
            <w:tcW w:w="1700" w:type="dxa"/>
            <w:vAlign w:val="bottom"/>
            <w:tcBorders>
              <w:right w:val="single" w:sz="8" w:color="3C3C3C"/>
            </w:tcBorders>
            <w:gridSpan w:val="3"/>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 or</w:t>
            </w:r>
          </w:p>
        </w:tc>
        <w:tc>
          <w:tcPr>
            <w:tcW w:w="1600" w:type="dxa"/>
            <w:vAlign w:val="bottom"/>
            <w:vMerge w:val="continue"/>
            <w:shd w:val="clear" w:color="auto" w:fill="3C3C3C"/>
          </w:tcPr>
          <w:p>
            <w:pPr>
              <w:spacing w:after="0"/>
              <w:rPr>
                <w:sz w:val="7"/>
                <w:szCs w:val="7"/>
                <w:color w:val="auto"/>
              </w:rPr>
            </w:pPr>
          </w:p>
        </w:tc>
        <w:tc>
          <w:tcPr>
            <w:tcW w:w="120" w:type="dxa"/>
            <w:vAlign w:val="bottom"/>
            <w:tcBorders>
              <w:right w:val="single" w:sz="8" w:color="3C3C3C"/>
            </w:tcBorders>
            <w:shd w:val="clear" w:color="auto" w:fill="3C3C3C"/>
          </w:tcPr>
          <w:p>
            <w:pPr>
              <w:spacing w:after="0"/>
              <w:rPr>
                <w:sz w:val="7"/>
                <w:szCs w:val="7"/>
                <w:color w:val="auto"/>
              </w:rPr>
            </w:pPr>
          </w:p>
        </w:tc>
        <w:tc>
          <w:tcPr>
            <w:tcW w:w="18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Awards: Number of</w:t>
            </w:r>
          </w:p>
        </w:tc>
        <w:tc>
          <w:tcPr>
            <w:tcW w:w="340" w:type="dxa"/>
            <w:vAlign w:val="bottom"/>
            <w:shd w:val="clear" w:color="auto" w:fill="3C3C3C"/>
          </w:tcPr>
          <w:p>
            <w:pPr>
              <w:spacing w:after="0"/>
              <w:rPr>
                <w:sz w:val="7"/>
                <w:szCs w:val="7"/>
                <w:color w:val="auto"/>
              </w:rPr>
            </w:pPr>
          </w:p>
        </w:tc>
        <w:tc>
          <w:tcPr>
            <w:tcW w:w="100" w:type="dxa"/>
            <w:vAlign w:val="bottom"/>
            <w:tcBorders>
              <w:right w:val="single" w:sz="8" w:color="3C3C3C"/>
            </w:tcBorders>
            <w:shd w:val="clear" w:color="auto" w:fill="3C3C3C"/>
          </w:tcPr>
          <w:p>
            <w:pPr>
              <w:spacing w:after="0"/>
              <w:rPr>
                <w:sz w:val="7"/>
                <w:szCs w:val="7"/>
                <w:color w:val="auto"/>
              </w:rPr>
            </w:pPr>
          </w:p>
        </w:tc>
        <w:tc>
          <w:tcPr>
            <w:tcW w:w="230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140" w:type="dxa"/>
            <w:vAlign w:val="bottom"/>
            <w:tcBorders>
              <w:left w:val="single" w:sz="8" w:color="3C3C3C"/>
            </w:tcBorders>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1700" w:type="dxa"/>
            <w:vAlign w:val="bottom"/>
            <w:tcBorders>
              <w:right w:val="single" w:sz="8" w:color="3C3C3C"/>
            </w:tcBorders>
            <w:gridSpan w:val="3"/>
            <w:vMerge w:val="continue"/>
            <w:shd w:val="clear" w:color="auto" w:fill="3C3C3C"/>
          </w:tcPr>
          <w:p>
            <w:pPr>
              <w:spacing w:after="0"/>
              <w:rPr>
                <w:sz w:val="8"/>
                <w:szCs w:val="8"/>
                <w:color w:val="auto"/>
              </w:rPr>
            </w:pP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Shares or Units of</w:t>
            </w:r>
          </w:p>
        </w:tc>
        <w:tc>
          <w:tcPr>
            <w:tcW w:w="120" w:type="dxa"/>
            <w:vAlign w:val="bottom"/>
            <w:tcBorders>
              <w:right w:val="single" w:sz="8" w:color="3C3C3C"/>
            </w:tcBorders>
            <w:shd w:val="clear" w:color="auto" w:fill="3C3C3C"/>
          </w:tcPr>
          <w:p>
            <w:pPr>
              <w:spacing w:after="0"/>
              <w:rPr>
                <w:sz w:val="8"/>
                <w:szCs w:val="8"/>
                <w:color w:val="auto"/>
              </w:rPr>
            </w:pPr>
          </w:p>
        </w:tc>
        <w:tc>
          <w:tcPr>
            <w:tcW w:w="1840" w:type="dxa"/>
            <w:vAlign w:val="bottom"/>
            <w:vMerge w:val="continue"/>
            <w:shd w:val="clear" w:color="auto" w:fill="3C3C3C"/>
          </w:tcPr>
          <w:p>
            <w:pPr>
              <w:spacing w:after="0"/>
              <w:rPr>
                <w:sz w:val="8"/>
                <w:szCs w:val="8"/>
                <w:color w:val="auto"/>
              </w:rPr>
            </w:pPr>
          </w:p>
        </w:tc>
        <w:tc>
          <w:tcPr>
            <w:tcW w:w="340" w:type="dxa"/>
            <w:vAlign w:val="bottom"/>
            <w:shd w:val="clear" w:color="auto" w:fill="3C3C3C"/>
          </w:tcPr>
          <w:p>
            <w:pPr>
              <w:spacing w:after="0"/>
              <w:rPr>
                <w:sz w:val="8"/>
                <w:szCs w:val="8"/>
                <w:color w:val="auto"/>
              </w:rPr>
            </w:pPr>
          </w:p>
        </w:tc>
        <w:tc>
          <w:tcPr>
            <w:tcW w:w="100" w:type="dxa"/>
            <w:vAlign w:val="bottom"/>
            <w:tcBorders>
              <w:right w:val="single" w:sz="8" w:color="3C3C3C"/>
            </w:tcBorders>
            <w:shd w:val="clear" w:color="auto" w:fill="3C3C3C"/>
          </w:tcPr>
          <w:p>
            <w:pPr>
              <w:spacing w:after="0"/>
              <w:rPr>
                <w:sz w:val="8"/>
                <w:szCs w:val="8"/>
                <w:color w:val="auto"/>
              </w:rPr>
            </w:pPr>
          </w:p>
        </w:tc>
        <w:tc>
          <w:tcPr>
            <w:tcW w:w="2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Market or Payout Value of</w:t>
            </w:r>
          </w:p>
        </w:tc>
        <w:tc>
          <w:tcPr>
            <w:tcW w:w="0" w:type="dxa"/>
            <w:vAlign w:val="bottom"/>
          </w:tcPr>
          <w:p>
            <w:pPr>
              <w:spacing w:after="0"/>
              <w:rPr>
                <w:sz w:val="1"/>
                <w:szCs w:val="1"/>
                <w:color w:val="auto"/>
              </w:rPr>
            </w:pPr>
          </w:p>
        </w:tc>
      </w:tr>
      <w:tr>
        <w:trPr>
          <w:trHeight w:val="81"/>
        </w:trPr>
        <w:tc>
          <w:tcPr>
            <w:tcW w:w="3140" w:type="dxa"/>
            <w:vAlign w:val="bottom"/>
            <w:tcBorders>
              <w:left w:val="single" w:sz="8" w:color="3C3C3C"/>
            </w:tcBorders>
            <w:shd w:val="clear" w:color="auto" w:fill="3C3C3C"/>
          </w:tcPr>
          <w:p>
            <w:pPr>
              <w:spacing w:after="0"/>
              <w:rPr>
                <w:sz w:val="7"/>
                <w:szCs w:val="7"/>
                <w:color w:val="auto"/>
              </w:rPr>
            </w:pPr>
          </w:p>
        </w:tc>
        <w:tc>
          <w:tcPr>
            <w:tcW w:w="120" w:type="dxa"/>
            <w:vAlign w:val="bottom"/>
            <w:tcBorders>
              <w:right w:val="single" w:sz="8" w:color="3C3C3C"/>
            </w:tcBorders>
            <w:shd w:val="clear" w:color="auto" w:fill="3C3C3C"/>
          </w:tcPr>
          <w:p>
            <w:pPr>
              <w:spacing w:after="0"/>
              <w:rPr>
                <w:sz w:val="7"/>
                <w:szCs w:val="7"/>
                <w:color w:val="auto"/>
              </w:rPr>
            </w:pPr>
          </w:p>
        </w:tc>
        <w:tc>
          <w:tcPr>
            <w:tcW w:w="1700" w:type="dxa"/>
            <w:vAlign w:val="bottom"/>
            <w:tcBorders>
              <w:right w:val="single" w:sz="8" w:color="3C3C3C"/>
            </w:tcBorders>
            <w:gridSpan w:val="3"/>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Units of Stock That</w:t>
            </w:r>
          </w:p>
        </w:tc>
        <w:tc>
          <w:tcPr>
            <w:tcW w:w="1600" w:type="dxa"/>
            <w:vAlign w:val="bottom"/>
            <w:vMerge w:val="continue"/>
            <w:shd w:val="clear" w:color="auto" w:fill="3C3C3C"/>
          </w:tcPr>
          <w:p>
            <w:pPr>
              <w:spacing w:after="0"/>
              <w:rPr>
                <w:sz w:val="7"/>
                <w:szCs w:val="7"/>
                <w:color w:val="auto"/>
              </w:rPr>
            </w:pPr>
          </w:p>
        </w:tc>
        <w:tc>
          <w:tcPr>
            <w:tcW w:w="120" w:type="dxa"/>
            <w:vAlign w:val="bottom"/>
            <w:tcBorders>
              <w:right w:val="single" w:sz="8" w:color="3C3C3C"/>
            </w:tcBorders>
            <w:shd w:val="clear" w:color="auto" w:fill="3C3C3C"/>
          </w:tcPr>
          <w:p>
            <w:pPr>
              <w:spacing w:after="0"/>
              <w:rPr>
                <w:sz w:val="7"/>
                <w:szCs w:val="7"/>
                <w:color w:val="auto"/>
              </w:rPr>
            </w:pPr>
          </w:p>
        </w:tc>
        <w:tc>
          <w:tcPr>
            <w:tcW w:w="18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Unearned Shares, Units</w:t>
            </w:r>
          </w:p>
        </w:tc>
        <w:tc>
          <w:tcPr>
            <w:tcW w:w="340" w:type="dxa"/>
            <w:vAlign w:val="bottom"/>
            <w:shd w:val="clear" w:color="auto" w:fill="3C3C3C"/>
          </w:tcPr>
          <w:p>
            <w:pPr>
              <w:spacing w:after="0"/>
              <w:rPr>
                <w:sz w:val="7"/>
                <w:szCs w:val="7"/>
                <w:color w:val="auto"/>
              </w:rPr>
            </w:pPr>
          </w:p>
        </w:tc>
        <w:tc>
          <w:tcPr>
            <w:tcW w:w="100" w:type="dxa"/>
            <w:vAlign w:val="bottom"/>
            <w:tcBorders>
              <w:right w:val="single" w:sz="8" w:color="3C3C3C"/>
            </w:tcBorders>
            <w:shd w:val="clear" w:color="auto" w:fill="3C3C3C"/>
          </w:tcPr>
          <w:p>
            <w:pPr>
              <w:spacing w:after="0"/>
              <w:rPr>
                <w:sz w:val="7"/>
                <w:szCs w:val="7"/>
                <w:color w:val="auto"/>
              </w:rPr>
            </w:pPr>
          </w:p>
        </w:tc>
        <w:tc>
          <w:tcPr>
            <w:tcW w:w="230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140" w:type="dxa"/>
            <w:vAlign w:val="bottom"/>
            <w:tcBorders>
              <w:lef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20" w:type="dxa"/>
            <w:vAlign w:val="bottom"/>
            <w:tcBorders>
              <w:right w:val="single" w:sz="8" w:color="3C3C3C"/>
            </w:tcBorders>
            <w:shd w:val="clear" w:color="auto" w:fill="3C3C3C"/>
          </w:tcPr>
          <w:p>
            <w:pPr>
              <w:spacing w:after="0"/>
              <w:rPr>
                <w:sz w:val="8"/>
                <w:szCs w:val="8"/>
                <w:color w:val="auto"/>
              </w:rPr>
            </w:pPr>
          </w:p>
        </w:tc>
        <w:tc>
          <w:tcPr>
            <w:tcW w:w="1700" w:type="dxa"/>
            <w:vAlign w:val="bottom"/>
            <w:tcBorders>
              <w:right w:val="single" w:sz="8" w:color="3C3C3C"/>
            </w:tcBorders>
            <w:gridSpan w:val="3"/>
            <w:vMerge w:val="continue"/>
            <w:shd w:val="clear" w:color="auto" w:fill="3C3C3C"/>
          </w:tcPr>
          <w:p>
            <w:pPr>
              <w:spacing w:after="0"/>
              <w:rPr>
                <w:sz w:val="8"/>
                <w:szCs w:val="8"/>
                <w:color w:val="auto"/>
              </w:rPr>
            </w:pP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Stock That Have Not</w:t>
            </w:r>
          </w:p>
        </w:tc>
        <w:tc>
          <w:tcPr>
            <w:tcW w:w="120" w:type="dxa"/>
            <w:vAlign w:val="bottom"/>
            <w:tcBorders>
              <w:right w:val="single" w:sz="8" w:color="3C3C3C"/>
            </w:tcBorders>
            <w:shd w:val="clear" w:color="auto" w:fill="3C3C3C"/>
          </w:tcPr>
          <w:p>
            <w:pPr>
              <w:spacing w:after="0"/>
              <w:rPr>
                <w:sz w:val="8"/>
                <w:szCs w:val="8"/>
                <w:color w:val="auto"/>
              </w:rPr>
            </w:pPr>
          </w:p>
        </w:tc>
        <w:tc>
          <w:tcPr>
            <w:tcW w:w="1840" w:type="dxa"/>
            <w:vAlign w:val="bottom"/>
            <w:vMerge w:val="continue"/>
            <w:shd w:val="clear" w:color="auto" w:fill="3C3C3C"/>
          </w:tcPr>
          <w:p>
            <w:pPr>
              <w:spacing w:after="0"/>
              <w:rPr>
                <w:sz w:val="8"/>
                <w:szCs w:val="8"/>
                <w:color w:val="auto"/>
              </w:rPr>
            </w:pPr>
          </w:p>
        </w:tc>
        <w:tc>
          <w:tcPr>
            <w:tcW w:w="340" w:type="dxa"/>
            <w:vAlign w:val="bottom"/>
            <w:shd w:val="clear" w:color="auto" w:fill="3C3C3C"/>
          </w:tcPr>
          <w:p>
            <w:pPr>
              <w:spacing w:after="0"/>
              <w:rPr>
                <w:sz w:val="8"/>
                <w:szCs w:val="8"/>
                <w:color w:val="auto"/>
              </w:rPr>
            </w:pPr>
          </w:p>
        </w:tc>
        <w:tc>
          <w:tcPr>
            <w:tcW w:w="100" w:type="dxa"/>
            <w:vAlign w:val="bottom"/>
            <w:tcBorders>
              <w:right w:val="single" w:sz="8" w:color="3C3C3C"/>
            </w:tcBorders>
            <w:shd w:val="clear" w:color="auto" w:fill="3C3C3C"/>
          </w:tcPr>
          <w:p>
            <w:pPr>
              <w:spacing w:after="0"/>
              <w:rPr>
                <w:sz w:val="8"/>
                <w:szCs w:val="8"/>
                <w:color w:val="auto"/>
              </w:rPr>
            </w:pPr>
          </w:p>
        </w:tc>
        <w:tc>
          <w:tcPr>
            <w:tcW w:w="2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Unearned Shares, Units or Other</w:t>
            </w:r>
          </w:p>
        </w:tc>
        <w:tc>
          <w:tcPr>
            <w:tcW w:w="0" w:type="dxa"/>
            <w:vAlign w:val="bottom"/>
          </w:tcPr>
          <w:p>
            <w:pPr>
              <w:spacing w:after="0"/>
              <w:rPr>
                <w:sz w:val="1"/>
                <w:szCs w:val="1"/>
                <w:color w:val="auto"/>
              </w:rPr>
            </w:pPr>
          </w:p>
        </w:tc>
      </w:tr>
      <w:tr>
        <w:trPr>
          <w:trHeight w:val="79"/>
        </w:trPr>
        <w:tc>
          <w:tcPr>
            <w:tcW w:w="3140" w:type="dxa"/>
            <w:vAlign w:val="bottom"/>
            <w:tcBorders>
              <w:left w:val="single" w:sz="8" w:color="3C3C3C"/>
            </w:tcBorders>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440" w:type="dxa"/>
            <w:vAlign w:val="bottom"/>
            <w:gridSpan w:val="2"/>
            <w:vMerge w:val="restart"/>
            <w:shd w:val="clear" w:color="auto" w:fill="3C3C3C"/>
          </w:tcPr>
          <w:p>
            <w:pPr>
              <w:jc w:val="center"/>
              <w:ind w:left="160"/>
              <w:spacing w:after="0"/>
              <w:rPr>
                <w:sz w:val="20"/>
                <w:szCs w:val="20"/>
                <w:color w:val="auto"/>
              </w:rPr>
            </w:pPr>
            <w:r>
              <w:rPr>
                <w:rFonts w:ascii="Arial" w:cs="Arial" w:eastAsia="Arial" w:hAnsi="Arial"/>
                <w:sz w:val="14"/>
                <w:szCs w:val="14"/>
                <w:b w:val="1"/>
                <w:bCs w:val="1"/>
                <w:color w:val="FFFFFF"/>
              </w:rPr>
              <w:t>Have Not Vested</w:t>
            </w:r>
          </w:p>
        </w:tc>
        <w:tc>
          <w:tcPr>
            <w:tcW w:w="260" w:type="dxa"/>
            <w:vAlign w:val="bottom"/>
            <w:tcBorders>
              <w:right w:val="single" w:sz="8" w:color="3C3C3C"/>
            </w:tcBorders>
            <w:shd w:val="clear" w:color="auto" w:fill="3C3C3C"/>
          </w:tcPr>
          <w:p>
            <w:pPr>
              <w:spacing w:after="0"/>
              <w:rPr>
                <w:sz w:val="6"/>
                <w:szCs w:val="6"/>
                <w:color w:val="auto"/>
              </w:rPr>
            </w:pPr>
          </w:p>
        </w:tc>
        <w:tc>
          <w:tcPr>
            <w:tcW w:w="1600" w:type="dxa"/>
            <w:vAlign w:val="bottom"/>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8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or Other Rights That Have</w:t>
            </w:r>
          </w:p>
        </w:tc>
        <w:tc>
          <w:tcPr>
            <w:tcW w:w="340" w:type="dxa"/>
            <w:vAlign w:val="bottom"/>
            <w:shd w:val="clear" w:color="auto" w:fill="3C3C3C"/>
          </w:tcPr>
          <w:p>
            <w:pPr>
              <w:spacing w:after="0"/>
              <w:rPr>
                <w:sz w:val="6"/>
                <w:szCs w:val="6"/>
                <w:color w:val="auto"/>
              </w:rPr>
            </w:pPr>
          </w:p>
        </w:tc>
        <w:tc>
          <w:tcPr>
            <w:tcW w:w="100" w:type="dxa"/>
            <w:vAlign w:val="bottom"/>
            <w:tcBorders>
              <w:right w:val="single" w:sz="8" w:color="3C3C3C"/>
            </w:tcBorders>
            <w:shd w:val="clear" w:color="auto" w:fill="3C3C3C"/>
          </w:tcPr>
          <w:p>
            <w:pPr>
              <w:spacing w:after="0"/>
              <w:rPr>
                <w:sz w:val="6"/>
                <w:szCs w:val="6"/>
                <w:color w:val="auto"/>
              </w:rPr>
            </w:pPr>
          </w:p>
        </w:tc>
        <w:tc>
          <w:tcPr>
            <w:tcW w:w="2300" w:type="dxa"/>
            <w:vAlign w:val="bottom"/>
            <w:tcBorders>
              <w:right w:val="single" w:sz="8" w:color="3C3C3C"/>
            </w:tcBorders>
            <w:vMerge w:val="continue"/>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140" w:type="dxa"/>
            <w:vAlign w:val="bottom"/>
            <w:tcBorders>
              <w:left w:val="single" w:sz="8" w:color="3C3C3C"/>
            </w:tcBorders>
            <w:shd w:val="clear" w:color="auto" w:fill="3C3C3C"/>
          </w:tcPr>
          <w:p>
            <w:pPr>
              <w:spacing w:after="0"/>
              <w:rPr>
                <w:sz w:val="12"/>
                <w:szCs w:val="12"/>
                <w:color w:val="auto"/>
              </w:rPr>
            </w:pPr>
          </w:p>
        </w:tc>
        <w:tc>
          <w:tcPr>
            <w:tcW w:w="120" w:type="dxa"/>
            <w:vAlign w:val="bottom"/>
            <w:tcBorders>
              <w:right w:val="single" w:sz="8" w:color="3C3C3C"/>
            </w:tcBorders>
            <w:shd w:val="clear" w:color="auto" w:fill="3C3C3C"/>
          </w:tcPr>
          <w:p>
            <w:pPr>
              <w:spacing w:after="0"/>
              <w:rPr>
                <w:sz w:val="12"/>
                <w:szCs w:val="12"/>
                <w:color w:val="auto"/>
              </w:rPr>
            </w:pPr>
          </w:p>
        </w:tc>
        <w:tc>
          <w:tcPr>
            <w:tcW w:w="1440" w:type="dxa"/>
            <w:vAlign w:val="bottom"/>
            <w:gridSpan w:val="2"/>
            <w:vMerge w:val="continue"/>
            <w:shd w:val="clear" w:color="auto" w:fill="3C3C3C"/>
          </w:tcPr>
          <w:p>
            <w:pPr>
              <w:spacing w:after="0"/>
              <w:rPr>
                <w:sz w:val="12"/>
                <w:szCs w:val="12"/>
                <w:color w:val="auto"/>
              </w:rPr>
            </w:pPr>
          </w:p>
        </w:tc>
        <w:tc>
          <w:tcPr>
            <w:tcW w:w="260" w:type="dxa"/>
            <w:vAlign w:val="bottom"/>
            <w:tcBorders>
              <w:right w:val="single" w:sz="8" w:color="3C3C3C"/>
            </w:tcBorders>
            <w:shd w:val="clear" w:color="auto" w:fill="3C3C3C"/>
          </w:tcPr>
          <w:p>
            <w:pPr>
              <w:spacing w:after="0"/>
              <w:rPr>
                <w:sz w:val="12"/>
                <w:szCs w:val="12"/>
                <w:color w:val="auto"/>
              </w:rPr>
            </w:pPr>
          </w:p>
        </w:tc>
        <w:tc>
          <w:tcPr>
            <w:tcW w:w="1600" w:type="dxa"/>
            <w:vAlign w:val="bottom"/>
            <w:shd w:val="clear" w:color="auto" w:fill="3C3C3C"/>
          </w:tcPr>
          <w:p>
            <w:pPr>
              <w:jc w:val="center"/>
              <w:spacing w:after="0" w:line="147" w:lineRule="exact"/>
              <w:rPr>
                <w:sz w:val="20"/>
                <w:szCs w:val="20"/>
                <w:color w:val="auto"/>
              </w:rPr>
            </w:pPr>
            <w:r>
              <w:rPr>
                <w:rFonts w:ascii="Arial" w:cs="Arial" w:eastAsia="Arial" w:hAnsi="Arial"/>
                <w:sz w:val="17"/>
                <w:szCs w:val="17"/>
                <w:b w:val="1"/>
                <w:bCs w:val="1"/>
                <w:color w:val="FFFFFF"/>
                <w:vertAlign w:val="subscript"/>
              </w:rPr>
              <w:t>Vested</w:t>
            </w:r>
            <w:r>
              <w:rPr>
                <w:rFonts w:ascii="Arial" w:cs="Arial" w:eastAsia="Arial" w:hAnsi="Arial"/>
                <w:sz w:val="7"/>
                <w:szCs w:val="7"/>
                <w:b w:val="1"/>
                <w:bCs w:val="1"/>
                <w:color w:val="FFFFFF"/>
              </w:rPr>
              <w:t>(1)(2)</w:t>
            </w:r>
          </w:p>
        </w:tc>
        <w:tc>
          <w:tcPr>
            <w:tcW w:w="120" w:type="dxa"/>
            <w:vAlign w:val="bottom"/>
            <w:tcBorders>
              <w:right w:val="single" w:sz="8" w:color="3C3C3C"/>
            </w:tcBorders>
            <w:shd w:val="clear" w:color="auto" w:fill="3C3C3C"/>
          </w:tcPr>
          <w:p>
            <w:pPr>
              <w:spacing w:after="0"/>
              <w:rPr>
                <w:sz w:val="12"/>
                <w:szCs w:val="12"/>
                <w:color w:val="auto"/>
              </w:rPr>
            </w:pPr>
          </w:p>
        </w:tc>
        <w:tc>
          <w:tcPr>
            <w:tcW w:w="1840" w:type="dxa"/>
            <w:vAlign w:val="bottom"/>
            <w:vMerge w:val="continue"/>
            <w:shd w:val="clear" w:color="auto" w:fill="3C3C3C"/>
          </w:tcPr>
          <w:p>
            <w:pPr>
              <w:spacing w:after="0"/>
              <w:rPr>
                <w:sz w:val="12"/>
                <w:szCs w:val="12"/>
                <w:color w:val="auto"/>
              </w:rPr>
            </w:pPr>
          </w:p>
        </w:tc>
        <w:tc>
          <w:tcPr>
            <w:tcW w:w="340" w:type="dxa"/>
            <w:vAlign w:val="bottom"/>
            <w:shd w:val="clear" w:color="auto" w:fill="3C3C3C"/>
          </w:tcPr>
          <w:p>
            <w:pPr>
              <w:spacing w:after="0"/>
              <w:rPr>
                <w:sz w:val="12"/>
                <w:szCs w:val="12"/>
                <w:color w:val="auto"/>
              </w:rPr>
            </w:pPr>
          </w:p>
        </w:tc>
        <w:tc>
          <w:tcPr>
            <w:tcW w:w="100" w:type="dxa"/>
            <w:vAlign w:val="bottom"/>
            <w:tcBorders>
              <w:right w:val="single" w:sz="8" w:color="3C3C3C"/>
            </w:tcBorders>
            <w:shd w:val="clear" w:color="auto" w:fill="3C3C3C"/>
          </w:tcPr>
          <w:p>
            <w:pPr>
              <w:spacing w:after="0"/>
              <w:rPr>
                <w:sz w:val="12"/>
                <w:szCs w:val="12"/>
                <w:color w:val="auto"/>
              </w:rPr>
            </w:pPr>
          </w:p>
        </w:tc>
        <w:tc>
          <w:tcPr>
            <w:tcW w:w="2300" w:type="dxa"/>
            <w:vAlign w:val="bottom"/>
            <w:tcBorders>
              <w:right w:val="single" w:sz="8" w:color="3C3C3C"/>
            </w:tcBorders>
            <w:shd w:val="clear" w:color="auto" w:fill="3C3C3C"/>
          </w:tcPr>
          <w:p>
            <w:pPr>
              <w:jc w:val="center"/>
              <w:spacing w:after="0" w:line="147" w:lineRule="exact"/>
              <w:rPr>
                <w:sz w:val="20"/>
                <w:szCs w:val="20"/>
                <w:color w:val="auto"/>
              </w:rPr>
            </w:pPr>
            <w:r>
              <w:rPr>
                <w:rFonts w:ascii="Arial" w:cs="Arial" w:eastAsia="Arial" w:hAnsi="Arial"/>
                <w:sz w:val="14"/>
                <w:szCs w:val="14"/>
                <w:b w:val="1"/>
                <w:bCs w:val="1"/>
                <w:color w:val="FFFFFF"/>
              </w:rPr>
              <w:t>Rights That Have Not Vested</w:t>
            </w:r>
            <w:r>
              <w:rPr>
                <w:rFonts w:ascii="Arial" w:cs="Arial" w:eastAsia="Arial" w:hAnsi="Arial"/>
                <w:sz w:val="17"/>
                <w:szCs w:val="17"/>
                <w:b w:val="1"/>
                <w:bCs w:val="1"/>
                <w:color w:val="FFFFFF"/>
                <w:vertAlign w:val="superscript"/>
              </w:rPr>
              <w:t>(1)(2)</w:t>
            </w:r>
          </w:p>
        </w:tc>
        <w:tc>
          <w:tcPr>
            <w:tcW w:w="0" w:type="dxa"/>
            <w:vAlign w:val="bottom"/>
          </w:tcPr>
          <w:p>
            <w:pPr>
              <w:spacing w:after="0"/>
              <w:rPr>
                <w:sz w:val="1"/>
                <w:szCs w:val="1"/>
                <w:color w:val="auto"/>
              </w:rPr>
            </w:pPr>
          </w:p>
        </w:tc>
      </w:tr>
      <w:tr>
        <w:trPr>
          <w:trHeight w:val="126"/>
        </w:trPr>
        <w:tc>
          <w:tcPr>
            <w:tcW w:w="3140" w:type="dxa"/>
            <w:vAlign w:val="bottom"/>
            <w:tcBorders>
              <w:left w:val="single" w:sz="8" w:color="3C3C3C"/>
            </w:tcBorders>
            <w:shd w:val="clear" w:color="auto" w:fill="3C3C3C"/>
          </w:tcPr>
          <w:p>
            <w:pPr>
              <w:spacing w:after="0"/>
              <w:rPr>
                <w:sz w:val="10"/>
                <w:szCs w:val="10"/>
                <w:color w:val="auto"/>
              </w:rPr>
            </w:pPr>
          </w:p>
        </w:tc>
        <w:tc>
          <w:tcPr>
            <w:tcW w:w="1480" w:type="dxa"/>
            <w:vAlign w:val="bottom"/>
            <w:gridSpan w:val="2"/>
            <w:shd w:val="clear" w:color="auto" w:fill="3C3C3C"/>
          </w:tcPr>
          <w:p>
            <w:pPr>
              <w:jc w:val="center"/>
              <w:ind w:left="388"/>
              <w:spacing w:after="0" w:line="126" w:lineRule="exact"/>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3C3C3C"/>
          </w:tcPr>
          <w:p>
            <w:pPr>
              <w:spacing w:after="0"/>
              <w:rPr>
                <w:sz w:val="10"/>
                <w:szCs w:val="10"/>
                <w:color w:val="auto"/>
              </w:rPr>
            </w:pPr>
          </w:p>
        </w:tc>
        <w:tc>
          <w:tcPr>
            <w:tcW w:w="260" w:type="dxa"/>
            <w:vAlign w:val="bottom"/>
            <w:tcBorders>
              <w:right w:val="single" w:sz="8" w:color="3C3C3C"/>
            </w:tcBorders>
            <w:shd w:val="clear" w:color="auto" w:fill="3C3C3C"/>
          </w:tcPr>
          <w:p>
            <w:pPr>
              <w:spacing w:after="0"/>
              <w:rPr>
                <w:sz w:val="10"/>
                <w:szCs w:val="10"/>
                <w:color w:val="auto"/>
              </w:rPr>
            </w:pP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right w:val="single" w:sz="8" w:color="3C3C3C"/>
            </w:tcBorders>
            <w:shd w:val="clear" w:color="auto" w:fill="3C3C3C"/>
          </w:tcPr>
          <w:p>
            <w:pPr>
              <w:spacing w:after="0"/>
              <w:rPr>
                <w:sz w:val="10"/>
                <w:szCs w:val="10"/>
                <w:color w:val="auto"/>
              </w:rPr>
            </w:pPr>
          </w:p>
        </w:tc>
        <w:tc>
          <w:tcPr>
            <w:tcW w:w="1840" w:type="dxa"/>
            <w:vAlign w:val="bottom"/>
            <w:shd w:val="clear" w:color="auto" w:fill="3C3C3C"/>
          </w:tcPr>
          <w:p>
            <w:pPr>
              <w:jc w:val="center"/>
              <w:spacing w:after="0" w:line="126" w:lineRule="exact"/>
              <w:rPr>
                <w:sz w:val="20"/>
                <w:szCs w:val="20"/>
                <w:color w:val="auto"/>
              </w:rPr>
            </w:pPr>
            <w:r>
              <w:rPr>
                <w:rFonts w:ascii="Arial" w:cs="Arial" w:eastAsia="Arial" w:hAnsi="Arial"/>
                <w:sz w:val="14"/>
                <w:szCs w:val="14"/>
                <w:b w:val="1"/>
                <w:bCs w:val="1"/>
                <w:color w:val="FFFFFF"/>
              </w:rPr>
              <w:t>Not Vested</w:t>
            </w:r>
          </w:p>
        </w:tc>
        <w:tc>
          <w:tcPr>
            <w:tcW w:w="340" w:type="dxa"/>
            <w:vAlign w:val="bottom"/>
            <w:shd w:val="clear" w:color="auto" w:fill="3C3C3C"/>
          </w:tcPr>
          <w:p>
            <w:pPr>
              <w:spacing w:after="0"/>
              <w:rPr>
                <w:sz w:val="10"/>
                <w:szCs w:val="10"/>
                <w:color w:val="auto"/>
              </w:rPr>
            </w:pPr>
          </w:p>
        </w:tc>
        <w:tc>
          <w:tcPr>
            <w:tcW w:w="2400" w:type="dxa"/>
            <w:vAlign w:val="bottom"/>
            <w:tcBorders>
              <w:right w:val="single" w:sz="8" w:color="3C3C3C"/>
            </w:tcBorders>
            <w:gridSpan w:val="2"/>
            <w:vMerge w:val="restart"/>
            <w:shd w:val="clear" w:color="auto" w:fill="3C3C3C"/>
          </w:tcPr>
          <w:p>
            <w:pPr>
              <w:jc w:val="center"/>
              <w:ind w:left="8"/>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02"/>
        </w:trPr>
        <w:tc>
          <w:tcPr>
            <w:tcW w:w="3140" w:type="dxa"/>
            <w:vAlign w:val="bottom"/>
            <w:tcBorders>
              <w:left w:val="single" w:sz="8" w:color="3C3C3C"/>
            </w:tcBorders>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1360" w:type="dxa"/>
            <w:vAlign w:val="bottom"/>
            <w:shd w:val="clear" w:color="auto" w:fill="3C3C3C"/>
          </w:tcPr>
          <w:p>
            <w:pPr>
              <w:spacing w:after="0"/>
              <w:rPr>
                <w:sz w:val="8"/>
                <w:szCs w:val="8"/>
                <w:color w:val="auto"/>
              </w:rPr>
            </w:pPr>
          </w:p>
        </w:tc>
        <w:tc>
          <w:tcPr>
            <w:tcW w:w="80" w:type="dxa"/>
            <w:vAlign w:val="bottom"/>
            <w:shd w:val="clear" w:color="auto" w:fill="3C3C3C"/>
          </w:tcPr>
          <w:p>
            <w:pPr>
              <w:spacing w:after="0"/>
              <w:rPr>
                <w:sz w:val="8"/>
                <w:szCs w:val="8"/>
                <w:color w:val="auto"/>
              </w:rPr>
            </w:pPr>
          </w:p>
        </w:tc>
        <w:tc>
          <w:tcPr>
            <w:tcW w:w="260" w:type="dxa"/>
            <w:vAlign w:val="bottom"/>
            <w:tcBorders>
              <w:right w:val="single" w:sz="8" w:color="3C3C3C"/>
            </w:tcBorders>
            <w:shd w:val="clear" w:color="auto" w:fill="3C3C3C"/>
          </w:tcPr>
          <w:p>
            <w:pPr>
              <w:spacing w:after="0"/>
              <w:rPr>
                <w:sz w:val="8"/>
                <w:szCs w:val="8"/>
                <w:color w:val="auto"/>
              </w:rPr>
            </w:pPr>
          </w:p>
        </w:tc>
        <w:tc>
          <w:tcPr>
            <w:tcW w:w="1600" w:type="dxa"/>
            <w:vAlign w:val="bottom"/>
            <w:vMerge w:val="continue"/>
            <w:shd w:val="clear" w:color="auto" w:fill="3C3C3C"/>
          </w:tcPr>
          <w:p>
            <w:pPr>
              <w:spacing w:after="0"/>
              <w:rPr>
                <w:sz w:val="8"/>
                <w:szCs w:val="8"/>
                <w:color w:val="auto"/>
              </w:rPr>
            </w:pPr>
          </w:p>
        </w:tc>
        <w:tc>
          <w:tcPr>
            <w:tcW w:w="1960" w:type="dxa"/>
            <w:vAlign w:val="bottom"/>
            <w:gridSpan w:val="2"/>
            <w:vMerge w:val="restart"/>
            <w:shd w:val="clear" w:color="auto" w:fill="3C3C3C"/>
          </w:tcPr>
          <w:p>
            <w:pPr>
              <w:jc w:val="center"/>
              <w:ind w:left="28"/>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3C3C3C"/>
          </w:tcPr>
          <w:p>
            <w:pPr>
              <w:spacing w:after="0"/>
              <w:rPr>
                <w:sz w:val="8"/>
                <w:szCs w:val="8"/>
                <w:color w:val="auto"/>
              </w:rPr>
            </w:pPr>
          </w:p>
        </w:tc>
        <w:tc>
          <w:tcPr>
            <w:tcW w:w="2400" w:type="dxa"/>
            <w:vAlign w:val="bottom"/>
            <w:tcBorders>
              <w:right w:val="single" w:sz="8" w:color="3C3C3C"/>
            </w:tcBorders>
            <w:gridSpan w:val="2"/>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140" w:type="dxa"/>
            <w:vAlign w:val="bottom"/>
            <w:tcBorders>
              <w:left w:val="single" w:sz="8" w:color="3C3C3C"/>
            </w:tcBorders>
            <w:shd w:val="clear" w:color="auto" w:fill="3C3C3C"/>
          </w:tcPr>
          <w:p>
            <w:pPr>
              <w:spacing w:after="0"/>
              <w:rPr>
                <w:sz w:val="9"/>
                <w:szCs w:val="9"/>
                <w:color w:val="auto"/>
              </w:rPr>
            </w:pPr>
          </w:p>
        </w:tc>
        <w:tc>
          <w:tcPr>
            <w:tcW w:w="120" w:type="dxa"/>
            <w:vAlign w:val="bottom"/>
            <w:tcBorders>
              <w:right w:val="single" w:sz="8" w:color="3C3C3C"/>
            </w:tcBorders>
            <w:shd w:val="clear" w:color="auto" w:fill="3C3C3C"/>
          </w:tcPr>
          <w:p>
            <w:pPr>
              <w:spacing w:after="0"/>
              <w:rPr>
                <w:sz w:val="9"/>
                <w:szCs w:val="9"/>
                <w:color w:val="auto"/>
              </w:rPr>
            </w:pPr>
          </w:p>
        </w:tc>
        <w:tc>
          <w:tcPr>
            <w:tcW w:w="1360" w:type="dxa"/>
            <w:vAlign w:val="bottom"/>
            <w:shd w:val="clear" w:color="auto" w:fill="3C3C3C"/>
          </w:tcPr>
          <w:p>
            <w:pPr>
              <w:spacing w:after="0"/>
              <w:rPr>
                <w:sz w:val="9"/>
                <w:szCs w:val="9"/>
                <w:color w:val="auto"/>
              </w:rPr>
            </w:pPr>
          </w:p>
        </w:tc>
        <w:tc>
          <w:tcPr>
            <w:tcW w:w="80" w:type="dxa"/>
            <w:vAlign w:val="bottom"/>
            <w:shd w:val="clear" w:color="auto" w:fill="3C3C3C"/>
          </w:tcPr>
          <w:p>
            <w:pPr>
              <w:spacing w:after="0"/>
              <w:rPr>
                <w:sz w:val="9"/>
                <w:szCs w:val="9"/>
                <w:color w:val="auto"/>
              </w:rPr>
            </w:pPr>
          </w:p>
        </w:tc>
        <w:tc>
          <w:tcPr>
            <w:tcW w:w="260" w:type="dxa"/>
            <w:vAlign w:val="bottom"/>
            <w:tcBorders>
              <w:right w:val="single" w:sz="8" w:color="3C3C3C"/>
            </w:tcBorders>
            <w:shd w:val="clear" w:color="auto" w:fill="3C3C3C"/>
          </w:tcPr>
          <w:p>
            <w:pPr>
              <w:spacing w:after="0"/>
              <w:rPr>
                <w:sz w:val="9"/>
                <w:szCs w:val="9"/>
                <w:color w:val="auto"/>
              </w:rPr>
            </w:pPr>
          </w:p>
        </w:tc>
        <w:tc>
          <w:tcPr>
            <w:tcW w:w="1600" w:type="dxa"/>
            <w:vAlign w:val="bottom"/>
            <w:shd w:val="clear" w:color="auto" w:fill="3C3C3C"/>
          </w:tcPr>
          <w:p>
            <w:pPr>
              <w:spacing w:after="0"/>
              <w:rPr>
                <w:sz w:val="9"/>
                <w:szCs w:val="9"/>
                <w:color w:val="auto"/>
              </w:rPr>
            </w:pPr>
          </w:p>
        </w:tc>
        <w:tc>
          <w:tcPr>
            <w:tcW w:w="1960" w:type="dxa"/>
            <w:vAlign w:val="bottom"/>
            <w:gridSpan w:val="2"/>
            <w:vMerge w:val="continue"/>
            <w:shd w:val="clear" w:color="auto" w:fill="3C3C3C"/>
          </w:tcPr>
          <w:p>
            <w:pPr>
              <w:spacing w:after="0"/>
              <w:rPr>
                <w:sz w:val="9"/>
                <w:szCs w:val="9"/>
                <w:color w:val="auto"/>
              </w:rPr>
            </w:pPr>
          </w:p>
        </w:tc>
        <w:tc>
          <w:tcPr>
            <w:tcW w:w="340" w:type="dxa"/>
            <w:vAlign w:val="bottom"/>
            <w:shd w:val="clear" w:color="auto" w:fill="3C3C3C"/>
          </w:tcPr>
          <w:p>
            <w:pPr>
              <w:spacing w:after="0"/>
              <w:rPr>
                <w:sz w:val="9"/>
                <w:szCs w:val="9"/>
                <w:color w:val="auto"/>
              </w:rPr>
            </w:pPr>
          </w:p>
        </w:tc>
        <w:tc>
          <w:tcPr>
            <w:tcW w:w="100" w:type="dxa"/>
            <w:vAlign w:val="bottom"/>
            <w:tcBorders>
              <w:right w:val="single" w:sz="8" w:color="3C3C3C"/>
            </w:tcBorders>
            <w:shd w:val="clear" w:color="auto" w:fill="3C3C3C"/>
          </w:tcPr>
          <w:p>
            <w:pPr>
              <w:spacing w:after="0"/>
              <w:rPr>
                <w:sz w:val="9"/>
                <w:szCs w:val="9"/>
                <w:color w:val="auto"/>
              </w:rPr>
            </w:pPr>
          </w:p>
        </w:tc>
        <w:tc>
          <w:tcPr>
            <w:tcW w:w="2300" w:type="dxa"/>
            <w:vAlign w:val="bottom"/>
            <w:tcBorders>
              <w:right w:val="single" w:sz="8" w:color="3C3C3C"/>
            </w:tcBorders>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140" w:type="dxa"/>
            <w:vAlign w:val="bottom"/>
            <w:tcBorders>
              <w:left w:val="single" w:sz="8" w:color="929292"/>
            </w:tcBorders>
            <w:shd w:val="clear" w:color="auto" w:fill="FAF6EF"/>
          </w:tcPr>
          <w:p>
            <w:pPr>
              <w:spacing w:after="0"/>
              <w:rPr>
                <w:sz w:val="12"/>
                <w:szCs w:val="12"/>
                <w:color w:val="auto"/>
              </w:rPr>
            </w:pPr>
          </w:p>
        </w:tc>
        <w:tc>
          <w:tcPr>
            <w:tcW w:w="120" w:type="dxa"/>
            <w:vAlign w:val="bottom"/>
            <w:tcBorders>
              <w:right w:val="single" w:sz="8" w:color="929292"/>
            </w:tcBorders>
            <w:shd w:val="clear" w:color="auto" w:fill="FAF6EF"/>
          </w:tcPr>
          <w:p>
            <w:pPr>
              <w:spacing w:after="0"/>
              <w:rPr>
                <w:sz w:val="12"/>
                <w:szCs w:val="12"/>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17,600</w:t>
            </w:r>
          </w:p>
        </w:tc>
        <w:tc>
          <w:tcPr>
            <w:tcW w:w="80" w:type="dxa"/>
            <w:vAlign w:val="bottom"/>
            <w:shd w:val="clear" w:color="auto" w:fill="FAF6EF"/>
          </w:tcPr>
          <w:p>
            <w:pPr>
              <w:spacing w:after="0"/>
              <w:rPr>
                <w:sz w:val="12"/>
                <w:szCs w:val="12"/>
                <w:color w:val="auto"/>
              </w:rPr>
            </w:pPr>
          </w:p>
        </w:tc>
        <w:tc>
          <w:tcPr>
            <w:tcW w:w="260" w:type="dxa"/>
            <w:vAlign w:val="bottom"/>
            <w:tcBorders>
              <w:right w:val="single" w:sz="8" w:color="929292"/>
            </w:tcBorders>
            <w:shd w:val="clear" w:color="auto" w:fill="FAF6EF"/>
          </w:tcPr>
          <w:p>
            <w:pPr>
              <w:jc w:val="right"/>
              <w:ind w:right="67"/>
              <w:spacing w:after="0"/>
              <w:rPr>
                <w:sz w:val="20"/>
                <w:szCs w:val="20"/>
                <w:color w:val="auto"/>
              </w:rPr>
            </w:pPr>
            <w:r>
              <w:rPr>
                <w:rFonts w:ascii="Arial" w:cs="Arial" w:eastAsia="Arial" w:hAnsi="Arial"/>
                <w:sz w:val="11"/>
                <w:szCs w:val="11"/>
                <w:color w:val="auto"/>
                <w:w w:val="88"/>
              </w:rPr>
              <w:t>(3)</w:t>
            </w: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1,208,768</w:t>
            </w:r>
          </w:p>
        </w:tc>
        <w:tc>
          <w:tcPr>
            <w:tcW w:w="120" w:type="dxa"/>
            <w:vAlign w:val="bottom"/>
            <w:tcBorders>
              <w:right w:val="single" w:sz="8" w:color="929292"/>
            </w:tcBorders>
            <w:shd w:val="clear" w:color="auto" w:fill="FAF6EF"/>
          </w:tcPr>
          <w:p>
            <w:pPr>
              <w:spacing w:after="0"/>
              <w:rPr>
                <w:sz w:val="12"/>
                <w:szCs w:val="12"/>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FAF6EF"/>
          </w:tcPr>
          <w:p>
            <w:pPr>
              <w:spacing w:after="0"/>
              <w:rPr>
                <w:sz w:val="12"/>
                <w:szCs w:val="12"/>
                <w:color w:val="auto"/>
              </w:rPr>
            </w:pPr>
          </w:p>
        </w:tc>
        <w:tc>
          <w:tcPr>
            <w:tcW w:w="100" w:type="dxa"/>
            <w:vAlign w:val="bottom"/>
            <w:tcBorders>
              <w:right w:val="single" w:sz="8" w:color="929292"/>
            </w:tcBorders>
            <w:shd w:val="clear" w:color="auto" w:fill="FAF6EF"/>
          </w:tcPr>
          <w:p>
            <w:pPr>
              <w:spacing w:after="0"/>
              <w:rPr>
                <w:sz w:val="12"/>
                <w:szCs w:val="12"/>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8"/>
        </w:trPr>
        <w:tc>
          <w:tcPr>
            <w:tcW w:w="3140" w:type="dxa"/>
            <w:vAlign w:val="bottom"/>
            <w:tcBorders>
              <w:left w:val="single" w:sz="8" w:color="929292"/>
            </w:tcBorders>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360" w:type="dxa"/>
            <w:vAlign w:val="bottom"/>
            <w:vMerge w:val="continue"/>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260" w:type="dxa"/>
            <w:vAlign w:val="bottom"/>
            <w:tcBorders>
              <w:right w:val="single" w:sz="8" w:color="929292"/>
            </w:tcBorders>
            <w:vMerge w:val="restart"/>
            <w:shd w:val="clear" w:color="auto" w:fill="FAF6EF"/>
          </w:tcPr>
          <w:p>
            <w:pPr>
              <w:jc w:val="right"/>
              <w:ind w:right="67"/>
              <w:spacing w:after="0"/>
              <w:rPr>
                <w:sz w:val="20"/>
                <w:szCs w:val="20"/>
                <w:color w:val="auto"/>
              </w:rPr>
            </w:pPr>
            <w:r>
              <w:rPr>
                <w:rFonts w:ascii="Arial" w:cs="Arial" w:eastAsia="Arial" w:hAnsi="Arial"/>
                <w:sz w:val="11"/>
                <w:szCs w:val="11"/>
                <w:color w:val="auto"/>
                <w:w w:val="88"/>
              </w:rPr>
              <w:t>(4)</w:t>
            </w:r>
          </w:p>
        </w:tc>
        <w:tc>
          <w:tcPr>
            <w:tcW w:w="1600" w:type="dxa"/>
            <w:vAlign w:val="bottom"/>
            <w:vMerge w:val="continue"/>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840" w:type="dxa"/>
            <w:vAlign w:val="bottom"/>
            <w:vMerge w:val="continue"/>
            <w:shd w:val="clear" w:color="auto" w:fill="FAF6EF"/>
          </w:tcPr>
          <w:p>
            <w:pPr>
              <w:spacing w:after="0"/>
              <w:rPr>
                <w:sz w:val="7"/>
                <w:szCs w:val="7"/>
                <w:color w:val="auto"/>
              </w:rPr>
            </w:pPr>
          </w:p>
        </w:tc>
        <w:tc>
          <w:tcPr>
            <w:tcW w:w="340" w:type="dxa"/>
            <w:vAlign w:val="bottom"/>
            <w:shd w:val="clear" w:color="auto" w:fill="FAF6EF"/>
          </w:tcPr>
          <w:p>
            <w:pPr>
              <w:spacing w:after="0"/>
              <w:rPr>
                <w:sz w:val="7"/>
                <w:szCs w:val="7"/>
                <w:color w:val="auto"/>
              </w:rPr>
            </w:pPr>
          </w:p>
        </w:tc>
        <w:tc>
          <w:tcPr>
            <w:tcW w:w="100" w:type="dxa"/>
            <w:vAlign w:val="bottom"/>
            <w:tcBorders>
              <w:right w:val="single" w:sz="8" w:color="929292"/>
            </w:tcBorders>
            <w:shd w:val="clear" w:color="auto" w:fill="FAF6EF"/>
          </w:tcPr>
          <w:p>
            <w:pPr>
              <w:spacing w:after="0"/>
              <w:rPr>
                <w:sz w:val="7"/>
                <w:szCs w:val="7"/>
                <w:color w:val="auto"/>
              </w:rPr>
            </w:pPr>
          </w:p>
        </w:tc>
        <w:tc>
          <w:tcPr>
            <w:tcW w:w="2300" w:type="dxa"/>
            <w:vAlign w:val="bottom"/>
            <w:tcBorders>
              <w:right w:val="single" w:sz="8" w:color="929292"/>
            </w:tcBorders>
            <w:vMerge w:val="continue"/>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33,000</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vMerge w:val="continue"/>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2,266,440</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(5)</w:t>
            </w: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27,200</w:t>
            </w:r>
          </w:p>
        </w:tc>
        <w:tc>
          <w:tcPr>
            <w:tcW w:w="340" w:type="dxa"/>
            <w:vAlign w:val="bottom"/>
            <w:vMerge w:val="continue"/>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1,868,096</w:t>
            </w:r>
          </w:p>
        </w:tc>
        <w:tc>
          <w:tcPr>
            <w:tcW w:w="0" w:type="dxa"/>
            <w:vAlign w:val="bottom"/>
          </w:tcPr>
          <w:p>
            <w:pPr>
              <w:spacing w:after="0"/>
              <w:rPr>
                <w:sz w:val="1"/>
                <w:szCs w:val="1"/>
                <w:color w:val="auto"/>
              </w:rPr>
            </w:pPr>
          </w:p>
        </w:tc>
      </w:tr>
      <w:tr>
        <w:trPr>
          <w:trHeight w:val="134"/>
        </w:trPr>
        <w:tc>
          <w:tcPr>
            <w:tcW w:w="3140" w:type="dxa"/>
            <w:vAlign w:val="bottom"/>
            <w:tcBorders>
              <w:left w:val="single" w:sz="8" w:color="929292"/>
            </w:tcBorders>
            <w:vMerge w:val="continue"/>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continue"/>
            <w:shd w:val="clear" w:color="auto" w:fill="FAF6EF"/>
          </w:tcPr>
          <w:p>
            <w:pPr>
              <w:spacing w:after="0"/>
              <w:rPr>
                <w:sz w:val="11"/>
                <w:szCs w:val="11"/>
                <w:color w:val="auto"/>
              </w:rPr>
            </w:pP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shd w:val="clear" w:color="auto" w:fill="FAF6EF"/>
          </w:tcPr>
          <w:p>
            <w:pPr>
              <w:spacing w:after="0"/>
              <w:rPr>
                <w:sz w:val="11"/>
                <w:szCs w:val="11"/>
                <w:color w:val="auto"/>
              </w:rPr>
            </w:pPr>
          </w:p>
        </w:tc>
        <w:tc>
          <w:tcPr>
            <w:tcW w:w="1600" w:type="dxa"/>
            <w:vAlign w:val="bottom"/>
            <w:vMerge w:val="continue"/>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continue"/>
            <w:shd w:val="clear" w:color="auto" w:fill="FAF6EF"/>
          </w:tcPr>
          <w:p>
            <w:pPr>
              <w:spacing w:after="0"/>
              <w:rPr>
                <w:sz w:val="11"/>
                <w:szCs w:val="11"/>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(6)</w:t>
            </w: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continue"/>
            <w:shd w:val="clear" w:color="auto" w:fill="FAF6E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33,000</w:t>
            </w:r>
          </w:p>
        </w:tc>
        <w:tc>
          <w:tcPr>
            <w:tcW w:w="340" w:type="dxa"/>
            <w:vAlign w:val="bottom"/>
            <w:vMerge w:val="continue"/>
            <w:shd w:val="clear" w:color="auto" w:fill="FAF6EF"/>
          </w:tcPr>
          <w:p>
            <w:pPr>
              <w:spacing w:after="0"/>
              <w:rPr>
                <w:sz w:val="10"/>
                <w:szCs w:val="10"/>
                <w:color w:val="auto"/>
              </w:rPr>
            </w:pP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2,266,440</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(7)</w:t>
            </w: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34,000</w:t>
            </w:r>
          </w:p>
        </w:tc>
        <w:tc>
          <w:tcPr>
            <w:tcW w:w="340" w:type="dxa"/>
            <w:vAlign w:val="bottom"/>
            <w:vMerge w:val="continue"/>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2,335,120</w:t>
            </w:r>
          </w:p>
        </w:tc>
        <w:tc>
          <w:tcPr>
            <w:tcW w:w="0" w:type="dxa"/>
            <w:vAlign w:val="bottom"/>
          </w:tcPr>
          <w:p>
            <w:pPr>
              <w:spacing w:after="0"/>
              <w:rPr>
                <w:sz w:val="1"/>
                <w:szCs w:val="1"/>
                <w:color w:val="auto"/>
              </w:rPr>
            </w:pPr>
          </w:p>
        </w:tc>
      </w:tr>
      <w:tr>
        <w:trPr>
          <w:trHeight w:val="135"/>
        </w:trPr>
        <w:tc>
          <w:tcPr>
            <w:tcW w:w="3140" w:type="dxa"/>
            <w:vAlign w:val="bottom"/>
            <w:tcBorders>
              <w:left w:val="single" w:sz="8" w:color="929292"/>
              <w:bottom w:val="single" w:sz="8" w:color="FAF6EF"/>
            </w:tcBorders>
            <w:shd w:val="clear" w:color="auto" w:fill="FAF6EF"/>
          </w:tcPr>
          <w:p>
            <w:pPr>
              <w:spacing w:after="0"/>
              <w:rPr>
                <w:sz w:val="11"/>
                <w:szCs w:val="11"/>
                <w:color w:val="auto"/>
              </w:rPr>
            </w:pPr>
          </w:p>
        </w:tc>
        <w:tc>
          <w:tcPr>
            <w:tcW w:w="120" w:type="dxa"/>
            <w:vAlign w:val="bottom"/>
            <w:tcBorders>
              <w:bottom w:val="single" w:sz="8" w:color="FAF6EF"/>
              <w:right w:val="single" w:sz="8" w:color="929292"/>
            </w:tcBorders>
            <w:shd w:val="clear" w:color="auto" w:fill="FAF6EF"/>
          </w:tcPr>
          <w:p>
            <w:pPr>
              <w:spacing w:after="0"/>
              <w:rPr>
                <w:sz w:val="11"/>
                <w:szCs w:val="11"/>
                <w:color w:val="auto"/>
              </w:rPr>
            </w:pPr>
          </w:p>
        </w:tc>
        <w:tc>
          <w:tcPr>
            <w:tcW w:w="1360" w:type="dxa"/>
            <w:vAlign w:val="bottom"/>
            <w:tcBorders>
              <w:bottom w:val="single" w:sz="8" w:color="FAF6EF"/>
            </w:tcBorders>
            <w:vMerge w:val="continue"/>
            <w:shd w:val="clear" w:color="auto" w:fill="FAF6EF"/>
          </w:tcPr>
          <w:p>
            <w:pPr>
              <w:spacing w:after="0"/>
              <w:rPr>
                <w:sz w:val="11"/>
                <w:szCs w:val="11"/>
                <w:color w:val="auto"/>
              </w:rPr>
            </w:pPr>
          </w:p>
        </w:tc>
        <w:tc>
          <w:tcPr>
            <w:tcW w:w="80" w:type="dxa"/>
            <w:vAlign w:val="bottom"/>
            <w:tcBorders>
              <w:bottom w:val="single" w:sz="8" w:color="FAF6EF"/>
            </w:tcBorders>
            <w:shd w:val="clear" w:color="auto" w:fill="FAF6EF"/>
          </w:tcPr>
          <w:p>
            <w:pPr>
              <w:spacing w:after="0"/>
              <w:rPr>
                <w:sz w:val="11"/>
                <w:szCs w:val="11"/>
                <w:color w:val="auto"/>
              </w:rPr>
            </w:pPr>
          </w:p>
        </w:tc>
        <w:tc>
          <w:tcPr>
            <w:tcW w:w="260" w:type="dxa"/>
            <w:vAlign w:val="bottom"/>
            <w:tcBorders>
              <w:bottom w:val="single" w:sz="8" w:color="FAF6EF"/>
              <w:right w:val="single" w:sz="8" w:color="929292"/>
            </w:tcBorders>
            <w:shd w:val="clear" w:color="auto" w:fill="FAF6EF"/>
          </w:tcPr>
          <w:p>
            <w:pPr>
              <w:spacing w:after="0"/>
              <w:rPr>
                <w:sz w:val="11"/>
                <w:szCs w:val="11"/>
                <w:color w:val="auto"/>
              </w:rPr>
            </w:pPr>
          </w:p>
        </w:tc>
        <w:tc>
          <w:tcPr>
            <w:tcW w:w="1600" w:type="dxa"/>
            <w:vAlign w:val="bottom"/>
            <w:tcBorders>
              <w:bottom w:val="single" w:sz="8" w:color="FAF6EF"/>
            </w:tcBorders>
            <w:vMerge w:val="continue"/>
            <w:shd w:val="clear" w:color="auto" w:fill="FAF6EF"/>
          </w:tcPr>
          <w:p>
            <w:pPr>
              <w:spacing w:after="0"/>
              <w:rPr>
                <w:sz w:val="11"/>
                <w:szCs w:val="11"/>
                <w:color w:val="auto"/>
              </w:rPr>
            </w:pPr>
          </w:p>
        </w:tc>
        <w:tc>
          <w:tcPr>
            <w:tcW w:w="120" w:type="dxa"/>
            <w:vAlign w:val="bottom"/>
            <w:tcBorders>
              <w:bottom w:val="single" w:sz="8" w:color="FAF6EF"/>
              <w:right w:val="single" w:sz="8" w:color="929292"/>
            </w:tcBorders>
            <w:shd w:val="clear" w:color="auto" w:fill="FAF6EF"/>
          </w:tcPr>
          <w:p>
            <w:pPr>
              <w:spacing w:after="0"/>
              <w:rPr>
                <w:sz w:val="11"/>
                <w:szCs w:val="11"/>
                <w:color w:val="auto"/>
              </w:rPr>
            </w:pPr>
          </w:p>
        </w:tc>
        <w:tc>
          <w:tcPr>
            <w:tcW w:w="1840" w:type="dxa"/>
            <w:vAlign w:val="bottom"/>
            <w:tcBorders>
              <w:bottom w:val="single" w:sz="8" w:color="FAF6EF"/>
            </w:tcBorders>
            <w:vMerge w:val="continue"/>
            <w:shd w:val="clear" w:color="auto" w:fill="FAF6EF"/>
          </w:tcPr>
          <w:p>
            <w:pPr>
              <w:spacing w:after="0"/>
              <w:rPr>
                <w:sz w:val="11"/>
                <w:szCs w:val="11"/>
                <w:color w:val="auto"/>
              </w:rPr>
            </w:pPr>
          </w:p>
        </w:tc>
        <w:tc>
          <w:tcPr>
            <w:tcW w:w="340" w:type="dxa"/>
            <w:vAlign w:val="bottom"/>
            <w:tcBorders>
              <w:bottom w:val="single" w:sz="8" w:color="FAF6EF"/>
            </w:tcBorders>
            <w:shd w:val="clear" w:color="auto" w:fill="FAF6EF"/>
          </w:tcPr>
          <w:p>
            <w:pPr>
              <w:spacing w:after="0"/>
              <w:rPr>
                <w:sz w:val="11"/>
                <w:szCs w:val="11"/>
                <w:color w:val="auto"/>
              </w:rPr>
            </w:pPr>
          </w:p>
        </w:tc>
        <w:tc>
          <w:tcPr>
            <w:tcW w:w="100" w:type="dxa"/>
            <w:vAlign w:val="bottom"/>
            <w:tcBorders>
              <w:bottom w:val="single" w:sz="8" w:color="FAF6EF"/>
              <w:right w:val="single" w:sz="8" w:color="929292"/>
            </w:tcBorders>
            <w:shd w:val="clear" w:color="auto" w:fill="FAF6EF"/>
          </w:tcPr>
          <w:p>
            <w:pPr>
              <w:spacing w:after="0"/>
              <w:rPr>
                <w:sz w:val="11"/>
                <w:szCs w:val="11"/>
                <w:color w:val="auto"/>
              </w:rPr>
            </w:pPr>
          </w:p>
        </w:tc>
        <w:tc>
          <w:tcPr>
            <w:tcW w:w="2300" w:type="dxa"/>
            <w:vAlign w:val="bottom"/>
            <w:tcBorders>
              <w:bottom w:val="single" w:sz="8" w:color="FAF6EF"/>
              <w:right w:val="single" w:sz="8" w:color="929292"/>
            </w:tcBorders>
            <w:vMerge w:val="continue"/>
            <w:shd w:val="clear" w:color="auto" w:fill="FAF6E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40" w:type="dxa"/>
            <w:vAlign w:val="bottom"/>
            <w:tcBorders>
              <w:left w:val="single" w:sz="8" w:color="929292"/>
            </w:tcBorders>
          </w:tcPr>
          <w:p>
            <w:pPr>
              <w:spacing w:after="0"/>
              <w:rPr>
                <w:sz w:val="12"/>
                <w:szCs w:val="12"/>
                <w:color w:val="auto"/>
              </w:rPr>
            </w:pPr>
          </w:p>
        </w:tc>
        <w:tc>
          <w:tcPr>
            <w:tcW w:w="120" w:type="dxa"/>
            <w:vAlign w:val="bottom"/>
            <w:tcBorders>
              <w:right w:val="single" w:sz="8" w:color="929292"/>
            </w:tcBorders>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99"/>
              </w:rPr>
              <w:t>5,720</w:t>
            </w:r>
          </w:p>
        </w:tc>
        <w:tc>
          <w:tcPr>
            <w:tcW w:w="80" w:type="dxa"/>
            <w:vAlign w:val="bottom"/>
          </w:tcPr>
          <w:p>
            <w:pPr>
              <w:spacing w:after="0"/>
              <w:rPr>
                <w:sz w:val="12"/>
                <w:szCs w:val="12"/>
                <w:color w:val="auto"/>
              </w:rPr>
            </w:pPr>
          </w:p>
        </w:tc>
        <w:tc>
          <w:tcPr>
            <w:tcW w:w="260" w:type="dxa"/>
            <w:vAlign w:val="bottom"/>
            <w:tcBorders>
              <w:right w:val="single" w:sz="8" w:color="929292"/>
            </w:tcBorders>
          </w:tcPr>
          <w:p>
            <w:pPr>
              <w:jc w:val="right"/>
              <w:ind w:right="67"/>
              <w:spacing w:after="0"/>
              <w:rPr>
                <w:sz w:val="20"/>
                <w:szCs w:val="20"/>
                <w:color w:val="auto"/>
              </w:rPr>
            </w:pPr>
            <w:r>
              <w:rPr>
                <w:rFonts w:ascii="Arial" w:cs="Arial" w:eastAsia="Arial" w:hAnsi="Arial"/>
                <w:sz w:val="11"/>
                <w:szCs w:val="11"/>
                <w:color w:val="auto"/>
                <w:w w:val="88"/>
              </w:rPr>
              <w:t>(3)</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392,850</w:t>
            </w:r>
          </w:p>
        </w:tc>
        <w:tc>
          <w:tcPr>
            <w:tcW w:w="120" w:type="dxa"/>
            <w:vAlign w:val="bottom"/>
            <w:tcBorders>
              <w:right w:val="single" w:sz="8" w:color="929292"/>
            </w:tcBorders>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2"/>
                <w:szCs w:val="12"/>
                <w:color w:val="auto"/>
              </w:rPr>
            </w:pPr>
          </w:p>
        </w:tc>
        <w:tc>
          <w:tcPr>
            <w:tcW w:w="100" w:type="dxa"/>
            <w:vAlign w:val="bottom"/>
            <w:tcBorders>
              <w:right w:val="single" w:sz="8" w:color="929292"/>
            </w:tcBorders>
          </w:tcPr>
          <w:p>
            <w:pPr>
              <w:spacing w:after="0"/>
              <w:rPr>
                <w:sz w:val="12"/>
                <w:szCs w:val="12"/>
                <w:color w:val="auto"/>
              </w:rPr>
            </w:pPr>
          </w:p>
        </w:tc>
        <w:tc>
          <w:tcPr>
            <w:tcW w:w="2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8"/>
        </w:trPr>
        <w:tc>
          <w:tcPr>
            <w:tcW w:w="3140" w:type="dxa"/>
            <w:vAlign w:val="bottom"/>
            <w:tcBorders>
              <w:left w:val="single" w:sz="8" w:color="929292"/>
            </w:tcBorders>
          </w:tcPr>
          <w:p>
            <w:pPr>
              <w:spacing w:after="0"/>
              <w:rPr>
                <w:sz w:val="7"/>
                <w:szCs w:val="7"/>
                <w:color w:val="auto"/>
              </w:rPr>
            </w:pPr>
          </w:p>
        </w:tc>
        <w:tc>
          <w:tcPr>
            <w:tcW w:w="120" w:type="dxa"/>
            <w:vAlign w:val="bottom"/>
            <w:tcBorders>
              <w:right w:val="single" w:sz="8" w:color="929292"/>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right w:val="single" w:sz="8" w:color="929292"/>
            </w:tcBorders>
            <w:vMerge w:val="restart"/>
          </w:tcPr>
          <w:p>
            <w:pPr>
              <w:jc w:val="right"/>
              <w:ind w:right="67"/>
              <w:spacing w:after="0"/>
              <w:rPr>
                <w:sz w:val="20"/>
                <w:szCs w:val="20"/>
                <w:color w:val="auto"/>
              </w:rPr>
            </w:pPr>
            <w:r>
              <w:rPr>
                <w:rFonts w:ascii="Arial" w:cs="Arial" w:eastAsia="Arial" w:hAnsi="Arial"/>
                <w:sz w:val="11"/>
                <w:szCs w:val="11"/>
                <w:color w:val="auto"/>
                <w:w w:val="88"/>
              </w:rPr>
              <w:t>(4)</w:t>
            </w:r>
          </w:p>
        </w:tc>
        <w:tc>
          <w:tcPr>
            <w:tcW w:w="1600" w:type="dxa"/>
            <w:vAlign w:val="bottom"/>
            <w:vMerge w:val="continue"/>
          </w:tcPr>
          <w:p>
            <w:pPr>
              <w:spacing w:after="0"/>
              <w:rPr>
                <w:sz w:val="7"/>
                <w:szCs w:val="7"/>
                <w:color w:val="auto"/>
              </w:rPr>
            </w:pPr>
          </w:p>
        </w:tc>
        <w:tc>
          <w:tcPr>
            <w:tcW w:w="120" w:type="dxa"/>
            <w:vAlign w:val="bottom"/>
            <w:tcBorders>
              <w:right w:val="single" w:sz="8" w:color="929292"/>
            </w:tcBorders>
          </w:tcPr>
          <w:p>
            <w:pPr>
              <w:spacing w:after="0"/>
              <w:rPr>
                <w:sz w:val="7"/>
                <w:szCs w:val="7"/>
                <w:color w:val="auto"/>
              </w:rPr>
            </w:pPr>
          </w:p>
        </w:tc>
        <w:tc>
          <w:tcPr>
            <w:tcW w:w="18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right w:val="single" w:sz="8" w:color="929292"/>
            </w:tcBorders>
          </w:tcPr>
          <w:p>
            <w:pPr>
              <w:spacing w:after="0"/>
              <w:rPr>
                <w:sz w:val="7"/>
                <w:szCs w:val="7"/>
                <w:color w:val="auto"/>
              </w:rPr>
            </w:pPr>
          </w:p>
        </w:tc>
        <w:tc>
          <w:tcPr>
            <w:tcW w:w="2300" w:type="dxa"/>
            <w:vAlign w:val="bottom"/>
            <w:tcBorders>
              <w:right w:val="single" w:sz="8" w:color="92929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tcPr>
          <w:p>
            <w:pPr>
              <w:spacing w:after="0"/>
              <w:rPr>
                <w:sz w:val="11"/>
                <w:szCs w:val="11"/>
                <w:color w:val="auto"/>
              </w:rPr>
            </w:pPr>
          </w:p>
        </w:tc>
        <w:tc>
          <w:tcPr>
            <w:tcW w:w="120" w:type="dxa"/>
            <w:vAlign w:val="bottom"/>
            <w:tcBorders>
              <w:right w:val="single" w:sz="8" w:color="929292"/>
            </w:tcBorders>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17,160</w:t>
            </w:r>
          </w:p>
        </w:tc>
        <w:tc>
          <w:tcPr>
            <w:tcW w:w="80" w:type="dxa"/>
            <w:vAlign w:val="bottom"/>
          </w:tcPr>
          <w:p>
            <w:pPr>
              <w:spacing w:after="0"/>
              <w:rPr>
                <w:sz w:val="11"/>
                <w:szCs w:val="11"/>
                <w:color w:val="auto"/>
              </w:rPr>
            </w:pPr>
          </w:p>
        </w:tc>
        <w:tc>
          <w:tcPr>
            <w:tcW w:w="260" w:type="dxa"/>
            <w:vAlign w:val="bottom"/>
            <w:tcBorders>
              <w:right w:val="single" w:sz="8" w:color="929292"/>
            </w:tcBorders>
            <w:vMerge w:val="continue"/>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1,178,549</w:t>
            </w:r>
          </w:p>
        </w:tc>
        <w:tc>
          <w:tcPr>
            <w:tcW w:w="120" w:type="dxa"/>
            <w:vAlign w:val="bottom"/>
            <w:tcBorders>
              <w:right w:val="single" w:sz="8" w:color="929292"/>
            </w:tcBorders>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1"/>
                <w:szCs w:val="11"/>
                <w:color w:val="auto"/>
              </w:rPr>
            </w:pPr>
          </w:p>
        </w:tc>
        <w:tc>
          <w:tcPr>
            <w:tcW w:w="100" w:type="dxa"/>
            <w:vAlign w:val="bottom"/>
            <w:tcBorders>
              <w:right w:val="single" w:sz="8" w:color="929292"/>
            </w:tcBorders>
          </w:tcPr>
          <w:p>
            <w:pPr>
              <w:spacing w:after="0"/>
              <w:rPr>
                <w:sz w:val="11"/>
                <w:szCs w:val="11"/>
                <w:color w:val="auto"/>
              </w:rPr>
            </w:pPr>
          </w:p>
        </w:tc>
        <w:tc>
          <w:tcPr>
            <w:tcW w:w="2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3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right w:val="single" w:sz="8" w:color="929292"/>
            </w:tcBorders>
            <w:vMerge w:val="restart"/>
          </w:tcPr>
          <w:p>
            <w:pPr>
              <w:jc w:val="right"/>
              <w:ind w:right="67"/>
              <w:spacing w:after="0"/>
              <w:rPr>
                <w:sz w:val="20"/>
                <w:szCs w:val="20"/>
                <w:color w:val="auto"/>
              </w:rPr>
            </w:pPr>
            <w:r>
              <w:rPr>
                <w:rFonts w:ascii="Arial" w:cs="Arial" w:eastAsia="Arial" w:hAnsi="Arial"/>
                <w:sz w:val="11"/>
                <w:szCs w:val="11"/>
                <w:color w:val="auto"/>
                <w:w w:val="88"/>
              </w:rPr>
              <w:t>(8)</w:t>
            </w:r>
          </w:p>
        </w:tc>
        <w:tc>
          <w:tcPr>
            <w:tcW w:w="1600" w:type="dxa"/>
            <w:vAlign w:val="bottom"/>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8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right w:val="single" w:sz="8" w:color="929292"/>
            </w:tcBorders>
          </w:tcPr>
          <w:p>
            <w:pPr>
              <w:spacing w:after="0"/>
              <w:rPr>
                <w:sz w:val="10"/>
                <w:szCs w:val="10"/>
                <w:color w:val="auto"/>
              </w:rPr>
            </w:pPr>
          </w:p>
        </w:tc>
        <w:tc>
          <w:tcPr>
            <w:tcW w:w="230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tcPr>
          <w:p>
            <w:pPr>
              <w:spacing w:after="0"/>
              <w:rPr>
                <w:sz w:val="11"/>
                <w:szCs w:val="11"/>
                <w:color w:val="auto"/>
              </w:rPr>
            </w:pPr>
          </w:p>
        </w:tc>
        <w:tc>
          <w:tcPr>
            <w:tcW w:w="120" w:type="dxa"/>
            <w:vAlign w:val="bottom"/>
            <w:tcBorders>
              <w:right w:val="single" w:sz="8" w:color="929292"/>
            </w:tcBorders>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12,500</w:t>
            </w:r>
          </w:p>
        </w:tc>
        <w:tc>
          <w:tcPr>
            <w:tcW w:w="80" w:type="dxa"/>
            <w:vAlign w:val="bottom"/>
          </w:tcPr>
          <w:p>
            <w:pPr>
              <w:spacing w:after="0"/>
              <w:rPr>
                <w:sz w:val="11"/>
                <w:szCs w:val="11"/>
                <w:color w:val="auto"/>
              </w:rPr>
            </w:pPr>
          </w:p>
        </w:tc>
        <w:tc>
          <w:tcPr>
            <w:tcW w:w="260" w:type="dxa"/>
            <w:vAlign w:val="bottom"/>
            <w:tcBorders>
              <w:right w:val="single" w:sz="8" w:color="929292"/>
            </w:tcBorders>
            <w:vMerge w:val="continue"/>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858,500</w:t>
            </w:r>
          </w:p>
        </w:tc>
        <w:tc>
          <w:tcPr>
            <w:tcW w:w="120" w:type="dxa"/>
            <w:vAlign w:val="bottom"/>
            <w:tcBorders>
              <w:right w:val="single" w:sz="8" w:color="929292"/>
            </w:tcBorders>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1"/>
                <w:szCs w:val="11"/>
                <w:color w:val="auto"/>
              </w:rPr>
            </w:pPr>
          </w:p>
        </w:tc>
        <w:tc>
          <w:tcPr>
            <w:tcW w:w="100" w:type="dxa"/>
            <w:vAlign w:val="bottom"/>
            <w:tcBorders>
              <w:right w:val="single" w:sz="8" w:color="929292"/>
            </w:tcBorders>
          </w:tcPr>
          <w:p>
            <w:pPr>
              <w:spacing w:after="0"/>
              <w:rPr>
                <w:sz w:val="11"/>
                <w:szCs w:val="11"/>
                <w:color w:val="auto"/>
              </w:rPr>
            </w:pPr>
          </w:p>
        </w:tc>
        <w:tc>
          <w:tcPr>
            <w:tcW w:w="2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vMerge w:val="restart"/>
          </w:tcPr>
          <w:p>
            <w:pPr>
              <w:ind w:left="140"/>
              <w:spacing w:after="0"/>
              <w:rPr>
                <w:sz w:val="20"/>
                <w:szCs w:val="20"/>
                <w:color w:val="auto"/>
              </w:rPr>
            </w:pPr>
            <w:r>
              <w:rPr>
                <w:rFonts w:ascii="Arial" w:cs="Arial" w:eastAsia="Arial" w:hAnsi="Arial"/>
                <w:sz w:val="16"/>
                <w:szCs w:val="16"/>
                <w:b w:val="1"/>
                <w:bCs w:val="1"/>
                <w:color w:val="auto"/>
              </w:rPr>
              <w:t>Mandy Yang</w:t>
            </w:r>
          </w:p>
        </w:tc>
        <w:tc>
          <w:tcPr>
            <w:tcW w:w="120" w:type="dxa"/>
            <w:vAlign w:val="bottom"/>
            <w:tcBorders>
              <w:right w:val="single" w:sz="8" w:color="929292"/>
            </w:tcBorders>
          </w:tcPr>
          <w:p>
            <w:pPr>
              <w:spacing w:after="0"/>
              <w:rPr>
                <w:sz w:val="10"/>
                <w:szCs w:val="10"/>
                <w:color w:val="auto"/>
              </w:rPr>
            </w:pPr>
          </w:p>
        </w:tc>
        <w:tc>
          <w:tcPr>
            <w:tcW w:w="13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840" w:type="dxa"/>
            <w:vAlign w:val="bottom"/>
            <w:vMerge w:val="continue"/>
          </w:tcPr>
          <w:p>
            <w:pPr>
              <w:spacing w:after="0"/>
              <w:rPr>
                <w:sz w:val="10"/>
                <w:szCs w:val="10"/>
                <w:color w:val="auto"/>
              </w:rPr>
            </w:pPr>
          </w:p>
        </w:tc>
        <w:tc>
          <w:tcPr>
            <w:tcW w:w="340" w:type="dxa"/>
            <w:vAlign w:val="bottom"/>
            <w:vMerge w:val="restart"/>
          </w:tcPr>
          <w:p>
            <w:pPr>
              <w:jc w:val="right"/>
              <w:ind w:right="67"/>
              <w:spacing w:after="0"/>
              <w:rPr>
                <w:sz w:val="20"/>
                <w:szCs w:val="20"/>
                <w:color w:val="auto"/>
              </w:rPr>
            </w:pPr>
            <w:r>
              <w:rPr>
                <w:rFonts w:ascii="Arial" w:cs="Arial" w:eastAsia="Arial" w:hAnsi="Arial"/>
                <w:sz w:val="11"/>
                <w:szCs w:val="11"/>
                <w:color w:val="auto"/>
              </w:rPr>
              <w:t>(5)</w:t>
            </w:r>
          </w:p>
        </w:tc>
        <w:tc>
          <w:tcPr>
            <w:tcW w:w="100" w:type="dxa"/>
            <w:vAlign w:val="bottom"/>
            <w:tcBorders>
              <w:right w:val="single" w:sz="8" w:color="929292"/>
            </w:tcBorders>
          </w:tcPr>
          <w:p>
            <w:pPr>
              <w:spacing w:after="0"/>
              <w:rPr>
                <w:sz w:val="10"/>
                <w:szCs w:val="10"/>
                <w:color w:val="auto"/>
              </w:rPr>
            </w:pPr>
          </w:p>
        </w:tc>
        <w:tc>
          <w:tcPr>
            <w:tcW w:w="230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40" w:type="dxa"/>
            <w:vAlign w:val="bottom"/>
            <w:tcBorders>
              <w:left w:val="single" w:sz="8" w:color="929292"/>
            </w:tcBorders>
            <w:vMerge w:val="continue"/>
          </w:tcPr>
          <w:p>
            <w:pPr>
              <w:spacing w:after="0"/>
              <w:rPr>
                <w:sz w:val="12"/>
                <w:szCs w:val="12"/>
                <w:color w:val="auto"/>
              </w:rPr>
            </w:pPr>
          </w:p>
        </w:tc>
        <w:tc>
          <w:tcPr>
            <w:tcW w:w="120" w:type="dxa"/>
            <w:vAlign w:val="bottom"/>
            <w:tcBorders>
              <w:right w:val="single" w:sz="8" w:color="929292"/>
            </w:tcBorders>
          </w:tcPr>
          <w:p>
            <w:pPr>
              <w:spacing w:after="0"/>
              <w:rPr>
                <w:sz w:val="12"/>
                <w:szCs w:val="12"/>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929292"/>
            </w:tcBorders>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9"/>
              </w:rPr>
              <w:t>8,840</w:t>
            </w:r>
          </w:p>
        </w:tc>
        <w:tc>
          <w:tcPr>
            <w:tcW w:w="340" w:type="dxa"/>
            <w:vAlign w:val="bottom"/>
            <w:vMerge w:val="continue"/>
          </w:tcPr>
          <w:p>
            <w:pPr>
              <w:spacing w:after="0"/>
              <w:rPr>
                <w:sz w:val="12"/>
                <w:szCs w:val="12"/>
                <w:color w:val="auto"/>
              </w:rPr>
            </w:pPr>
          </w:p>
        </w:tc>
        <w:tc>
          <w:tcPr>
            <w:tcW w:w="100" w:type="dxa"/>
            <w:vAlign w:val="bottom"/>
            <w:tcBorders>
              <w:right w:val="single" w:sz="8" w:color="929292"/>
            </w:tcBorders>
          </w:tcPr>
          <w:p>
            <w:pPr>
              <w:spacing w:after="0"/>
              <w:rPr>
                <w:sz w:val="12"/>
                <w:szCs w:val="12"/>
                <w:color w:val="auto"/>
              </w:rPr>
            </w:pPr>
          </w:p>
        </w:tc>
        <w:tc>
          <w:tcPr>
            <w:tcW w:w="2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607,131</w:t>
            </w:r>
          </w:p>
        </w:tc>
        <w:tc>
          <w:tcPr>
            <w:tcW w:w="0" w:type="dxa"/>
            <w:vAlign w:val="bottom"/>
          </w:tcPr>
          <w:p>
            <w:pPr>
              <w:spacing w:after="0"/>
              <w:rPr>
                <w:sz w:val="1"/>
                <w:szCs w:val="1"/>
                <w:color w:val="auto"/>
              </w:rPr>
            </w:pPr>
          </w:p>
        </w:tc>
      </w:tr>
      <w:tr>
        <w:trPr>
          <w:trHeight w:val="113"/>
        </w:trPr>
        <w:tc>
          <w:tcPr>
            <w:tcW w:w="3140" w:type="dxa"/>
            <w:vAlign w:val="bottom"/>
            <w:tcBorders>
              <w:left w:val="single" w:sz="8" w:color="929292"/>
            </w:tcBorders>
          </w:tcPr>
          <w:p>
            <w:pPr>
              <w:spacing w:after="0"/>
              <w:rPr>
                <w:sz w:val="9"/>
                <w:szCs w:val="9"/>
                <w:color w:val="auto"/>
              </w:rPr>
            </w:pPr>
          </w:p>
        </w:tc>
        <w:tc>
          <w:tcPr>
            <w:tcW w:w="120" w:type="dxa"/>
            <w:vAlign w:val="bottom"/>
            <w:tcBorders>
              <w:right w:val="single" w:sz="8" w:color="929292"/>
            </w:tcBorders>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260" w:type="dxa"/>
            <w:vAlign w:val="bottom"/>
            <w:tcBorders>
              <w:right w:val="single" w:sz="8" w:color="929292"/>
            </w:tcBorders>
          </w:tcPr>
          <w:p>
            <w:pPr>
              <w:spacing w:after="0"/>
              <w:rPr>
                <w:sz w:val="9"/>
                <w:szCs w:val="9"/>
                <w:color w:val="auto"/>
              </w:rPr>
            </w:pPr>
          </w:p>
        </w:tc>
        <w:tc>
          <w:tcPr>
            <w:tcW w:w="1600" w:type="dxa"/>
            <w:vAlign w:val="bottom"/>
            <w:vMerge w:val="continue"/>
          </w:tcPr>
          <w:p>
            <w:pPr>
              <w:spacing w:after="0"/>
              <w:rPr>
                <w:sz w:val="9"/>
                <w:szCs w:val="9"/>
                <w:color w:val="auto"/>
              </w:rPr>
            </w:pPr>
          </w:p>
        </w:tc>
        <w:tc>
          <w:tcPr>
            <w:tcW w:w="120" w:type="dxa"/>
            <w:vAlign w:val="bottom"/>
            <w:tcBorders>
              <w:right w:val="single" w:sz="8" w:color="929292"/>
            </w:tcBorders>
          </w:tcPr>
          <w:p>
            <w:pPr>
              <w:spacing w:after="0"/>
              <w:rPr>
                <w:sz w:val="9"/>
                <w:szCs w:val="9"/>
                <w:color w:val="auto"/>
              </w:rPr>
            </w:pPr>
          </w:p>
        </w:tc>
        <w:tc>
          <w:tcPr>
            <w:tcW w:w="1840" w:type="dxa"/>
            <w:vAlign w:val="bottom"/>
            <w:vMerge w:val="continue"/>
          </w:tcPr>
          <w:p>
            <w:pPr>
              <w:spacing w:after="0"/>
              <w:rPr>
                <w:sz w:val="9"/>
                <w:szCs w:val="9"/>
                <w:color w:val="auto"/>
              </w:rPr>
            </w:pPr>
          </w:p>
        </w:tc>
        <w:tc>
          <w:tcPr>
            <w:tcW w:w="340" w:type="dxa"/>
            <w:vAlign w:val="bottom"/>
            <w:vMerge w:val="restart"/>
          </w:tcPr>
          <w:p>
            <w:pPr>
              <w:jc w:val="right"/>
              <w:ind w:right="67"/>
              <w:spacing w:after="0"/>
              <w:rPr>
                <w:sz w:val="20"/>
                <w:szCs w:val="20"/>
                <w:color w:val="auto"/>
              </w:rPr>
            </w:pPr>
            <w:r>
              <w:rPr>
                <w:rFonts w:ascii="Arial" w:cs="Arial" w:eastAsia="Arial" w:hAnsi="Arial"/>
                <w:sz w:val="11"/>
                <w:szCs w:val="11"/>
                <w:color w:val="auto"/>
              </w:rPr>
              <w:t>(6)</w:t>
            </w:r>
          </w:p>
        </w:tc>
        <w:tc>
          <w:tcPr>
            <w:tcW w:w="100" w:type="dxa"/>
            <w:vAlign w:val="bottom"/>
            <w:tcBorders>
              <w:right w:val="single" w:sz="8" w:color="929292"/>
            </w:tcBorders>
          </w:tcPr>
          <w:p>
            <w:pPr>
              <w:spacing w:after="0"/>
              <w:rPr>
                <w:sz w:val="9"/>
                <w:szCs w:val="9"/>
                <w:color w:val="auto"/>
              </w:rPr>
            </w:pPr>
          </w:p>
        </w:tc>
        <w:tc>
          <w:tcPr>
            <w:tcW w:w="2300" w:type="dxa"/>
            <w:vAlign w:val="bottom"/>
            <w:tcBorders>
              <w:right w:val="single" w:sz="8" w:color="92929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tcPr>
          <w:p>
            <w:pPr>
              <w:spacing w:after="0"/>
              <w:rPr>
                <w:sz w:val="11"/>
                <w:szCs w:val="11"/>
                <w:color w:val="auto"/>
              </w:rPr>
            </w:pPr>
          </w:p>
        </w:tc>
        <w:tc>
          <w:tcPr>
            <w:tcW w:w="120" w:type="dxa"/>
            <w:vAlign w:val="bottom"/>
            <w:tcBorders>
              <w:right w:val="single" w:sz="8" w:color="929292"/>
            </w:tcBorders>
          </w:tcPr>
          <w:p>
            <w:pPr>
              <w:spacing w:after="0"/>
              <w:rPr>
                <w:sz w:val="11"/>
                <w:szCs w:val="11"/>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929292"/>
            </w:tcBorders>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17,160</w:t>
            </w:r>
          </w:p>
        </w:tc>
        <w:tc>
          <w:tcPr>
            <w:tcW w:w="340" w:type="dxa"/>
            <w:vAlign w:val="bottom"/>
            <w:vMerge w:val="continue"/>
          </w:tcPr>
          <w:p>
            <w:pPr>
              <w:spacing w:after="0"/>
              <w:rPr>
                <w:sz w:val="11"/>
                <w:szCs w:val="11"/>
                <w:color w:val="auto"/>
              </w:rPr>
            </w:pPr>
          </w:p>
        </w:tc>
        <w:tc>
          <w:tcPr>
            <w:tcW w:w="100" w:type="dxa"/>
            <w:vAlign w:val="bottom"/>
            <w:tcBorders>
              <w:right w:val="single" w:sz="8" w:color="929292"/>
            </w:tcBorders>
          </w:tcPr>
          <w:p>
            <w:pPr>
              <w:spacing w:after="0"/>
              <w:rPr>
                <w:sz w:val="11"/>
                <w:szCs w:val="11"/>
                <w:color w:val="auto"/>
              </w:rPr>
            </w:pPr>
          </w:p>
        </w:tc>
        <w:tc>
          <w:tcPr>
            <w:tcW w:w="2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1,178,549</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840" w:type="dxa"/>
            <w:vAlign w:val="bottom"/>
            <w:vMerge w:val="continue"/>
          </w:tcPr>
          <w:p>
            <w:pPr>
              <w:spacing w:after="0"/>
              <w:rPr>
                <w:sz w:val="10"/>
                <w:szCs w:val="10"/>
                <w:color w:val="auto"/>
              </w:rPr>
            </w:pPr>
          </w:p>
        </w:tc>
        <w:tc>
          <w:tcPr>
            <w:tcW w:w="340" w:type="dxa"/>
            <w:vAlign w:val="bottom"/>
            <w:vMerge w:val="restart"/>
          </w:tcPr>
          <w:p>
            <w:pPr>
              <w:jc w:val="right"/>
              <w:ind w:right="67"/>
              <w:spacing w:after="0"/>
              <w:rPr>
                <w:sz w:val="20"/>
                <w:szCs w:val="20"/>
                <w:color w:val="auto"/>
              </w:rPr>
            </w:pPr>
            <w:r>
              <w:rPr>
                <w:rFonts w:ascii="Arial" w:cs="Arial" w:eastAsia="Arial" w:hAnsi="Arial"/>
                <w:sz w:val="11"/>
                <w:szCs w:val="11"/>
                <w:color w:val="auto"/>
              </w:rPr>
              <w:t>(7)</w:t>
            </w:r>
          </w:p>
        </w:tc>
        <w:tc>
          <w:tcPr>
            <w:tcW w:w="100" w:type="dxa"/>
            <w:vAlign w:val="bottom"/>
            <w:tcBorders>
              <w:right w:val="single" w:sz="8" w:color="929292"/>
            </w:tcBorders>
          </w:tcPr>
          <w:p>
            <w:pPr>
              <w:spacing w:after="0"/>
              <w:rPr>
                <w:sz w:val="10"/>
                <w:szCs w:val="10"/>
                <w:color w:val="auto"/>
              </w:rPr>
            </w:pPr>
          </w:p>
        </w:tc>
        <w:tc>
          <w:tcPr>
            <w:tcW w:w="230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tcPr>
          <w:p>
            <w:pPr>
              <w:spacing w:after="0"/>
              <w:rPr>
                <w:sz w:val="11"/>
                <w:szCs w:val="11"/>
                <w:color w:val="auto"/>
              </w:rPr>
            </w:pPr>
          </w:p>
        </w:tc>
        <w:tc>
          <w:tcPr>
            <w:tcW w:w="120" w:type="dxa"/>
            <w:vAlign w:val="bottom"/>
            <w:tcBorders>
              <w:right w:val="single" w:sz="8" w:color="929292"/>
            </w:tcBorders>
          </w:tcPr>
          <w:p>
            <w:pPr>
              <w:spacing w:after="0"/>
              <w:rPr>
                <w:sz w:val="11"/>
                <w:szCs w:val="11"/>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929292"/>
            </w:tcBorders>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rPr>
              <w:t>17,680</w:t>
            </w:r>
          </w:p>
        </w:tc>
        <w:tc>
          <w:tcPr>
            <w:tcW w:w="340" w:type="dxa"/>
            <w:vAlign w:val="bottom"/>
            <w:vMerge w:val="continue"/>
          </w:tcPr>
          <w:p>
            <w:pPr>
              <w:spacing w:after="0"/>
              <w:rPr>
                <w:sz w:val="11"/>
                <w:szCs w:val="11"/>
                <w:color w:val="auto"/>
              </w:rPr>
            </w:pPr>
          </w:p>
        </w:tc>
        <w:tc>
          <w:tcPr>
            <w:tcW w:w="100" w:type="dxa"/>
            <w:vAlign w:val="bottom"/>
            <w:tcBorders>
              <w:right w:val="single" w:sz="8" w:color="929292"/>
            </w:tcBorders>
          </w:tcPr>
          <w:p>
            <w:pPr>
              <w:spacing w:after="0"/>
              <w:rPr>
                <w:sz w:val="11"/>
                <w:szCs w:val="11"/>
                <w:color w:val="auto"/>
              </w:rPr>
            </w:pPr>
          </w:p>
        </w:tc>
        <w:tc>
          <w:tcPr>
            <w:tcW w:w="23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1,214,262</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60" w:type="dxa"/>
            <w:vAlign w:val="bottom"/>
            <w:tcBorders>
              <w:right w:val="single" w:sz="8" w:color="929292"/>
            </w:tcBorders>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18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right w:val="single" w:sz="8" w:color="929292"/>
            </w:tcBorders>
          </w:tcPr>
          <w:p>
            <w:pPr>
              <w:spacing w:after="0"/>
              <w:rPr>
                <w:sz w:val="10"/>
                <w:szCs w:val="10"/>
                <w:color w:val="auto"/>
              </w:rPr>
            </w:pPr>
          </w:p>
        </w:tc>
        <w:tc>
          <w:tcPr>
            <w:tcW w:w="230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140" w:type="dxa"/>
            <w:vAlign w:val="bottom"/>
            <w:tcBorders>
              <w:left w:val="single" w:sz="8" w:color="929292"/>
            </w:tcBorders>
          </w:tcPr>
          <w:p>
            <w:pPr>
              <w:spacing w:after="0"/>
              <w:rPr>
                <w:sz w:val="2"/>
                <w:szCs w:val="2"/>
                <w:color w:val="auto"/>
              </w:rPr>
            </w:pPr>
          </w:p>
        </w:tc>
        <w:tc>
          <w:tcPr>
            <w:tcW w:w="120" w:type="dxa"/>
            <w:vAlign w:val="bottom"/>
            <w:tcBorders>
              <w:right w:val="single" w:sz="8" w:color="929292"/>
            </w:tcBorders>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929292"/>
            </w:tcBorders>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right w:val="single" w:sz="8" w:color="929292"/>
            </w:tcBorders>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right w:val="single" w:sz="8" w:color="929292"/>
            </w:tcBorders>
          </w:tcPr>
          <w:p>
            <w:pPr>
              <w:spacing w:after="0"/>
              <w:rPr>
                <w:sz w:val="2"/>
                <w:szCs w:val="2"/>
                <w:color w:val="auto"/>
              </w:rPr>
            </w:pPr>
          </w:p>
        </w:tc>
        <w:tc>
          <w:tcPr>
            <w:tcW w:w="2300" w:type="dxa"/>
            <w:vAlign w:val="bottom"/>
            <w:tcBorders>
              <w:right w:val="single" w:sz="8" w:color="92929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140" w:type="dxa"/>
            <w:vAlign w:val="bottom"/>
            <w:tcBorders>
              <w:left w:val="single" w:sz="8" w:color="929292"/>
            </w:tcBorders>
            <w:shd w:val="clear" w:color="auto" w:fill="FAF6EF"/>
          </w:tcPr>
          <w:p>
            <w:pPr>
              <w:spacing w:after="0"/>
              <w:rPr>
                <w:sz w:val="12"/>
                <w:szCs w:val="12"/>
                <w:color w:val="auto"/>
              </w:rPr>
            </w:pPr>
          </w:p>
        </w:tc>
        <w:tc>
          <w:tcPr>
            <w:tcW w:w="120" w:type="dxa"/>
            <w:vAlign w:val="bottom"/>
            <w:tcBorders>
              <w:right w:val="single" w:sz="8" w:color="929292"/>
            </w:tcBorders>
            <w:shd w:val="clear" w:color="auto" w:fill="FAF6EF"/>
          </w:tcPr>
          <w:p>
            <w:pPr>
              <w:spacing w:after="0"/>
              <w:rPr>
                <w:sz w:val="12"/>
                <w:szCs w:val="12"/>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3,300</w:t>
            </w:r>
          </w:p>
        </w:tc>
        <w:tc>
          <w:tcPr>
            <w:tcW w:w="80" w:type="dxa"/>
            <w:vAlign w:val="bottom"/>
            <w:shd w:val="clear" w:color="auto" w:fill="FAF6EF"/>
          </w:tcPr>
          <w:p>
            <w:pPr>
              <w:spacing w:after="0"/>
              <w:rPr>
                <w:sz w:val="12"/>
                <w:szCs w:val="12"/>
                <w:color w:val="auto"/>
              </w:rPr>
            </w:pPr>
          </w:p>
        </w:tc>
        <w:tc>
          <w:tcPr>
            <w:tcW w:w="260" w:type="dxa"/>
            <w:vAlign w:val="bottom"/>
            <w:tcBorders>
              <w:right w:val="single" w:sz="8" w:color="929292"/>
            </w:tcBorders>
            <w:shd w:val="clear" w:color="auto" w:fill="FAF6EF"/>
          </w:tcPr>
          <w:p>
            <w:pPr>
              <w:jc w:val="right"/>
              <w:ind w:right="67"/>
              <w:spacing w:after="0"/>
              <w:rPr>
                <w:sz w:val="20"/>
                <w:szCs w:val="20"/>
                <w:color w:val="auto"/>
              </w:rPr>
            </w:pPr>
            <w:r>
              <w:rPr>
                <w:rFonts w:ascii="Arial" w:cs="Arial" w:eastAsia="Arial" w:hAnsi="Arial"/>
                <w:sz w:val="11"/>
                <w:szCs w:val="11"/>
                <w:color w:val="auto"/>
                <w:w w:val="88"/>
              </w:rPr>
              <w:t>(3)</w:t>
            </w: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226,644</w:t>
            </w:r>
          </w:p>
        </w:tc>
        <w:tc>
          <w:tcPr>
            <w:tcW w:w="120" w:type="dxa"/>
            <w:vAlign w:val="bottom"/>
            <w:tcBorders>
              <w:right w:val="single" w:sz="8" w:color="929292"/>
            </w:tcBorders>
            <w:shd w:val="clear" w:color="auto" w:fill="FAF6EF"/>
          </w:tcPr>
          <w:p>
            <w:pPr>
              <w:spacing w:after="0"/>
              <w:rPr>
                <w:sz w:val="12"/>
                <w:szCs w:val="12"/>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FAF6EF"/>
          </w:tcPr>
          <w:p>
            <w:pPr>
              <w:spacing w:after="0"/>
              <w:rPr>
                <w:sz w:val="12"/>
                <w:szCs w:val="12"/>
                <w:color w:val="auto"/>
              </w:rPr>
            </w:pPr>
          </w:p>
        </w:tc>
        <w:tc>
          <w:tcPr>
            <w:tcW w:w="100" w:type="dxa"/>
            <w:vAlign w:val="bottom"/>
            <w:tcBorders>
              <w:right w:val="single" w:sz="8" w:color="929292"/>
            </w:tcBorders>
            <w:shd w:val="clear" w:color="auto" w:fill="FAF6EF"/>
          </w:tcPr>
          <w:p>
            <w:pPr>
              <w:spacing w:after="0"/>
              <w:rPr>
                <w:sz w:val="12"/>
                <w:szCs w:val="12"/>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8"/>
        </w:trPr>
        <w:tc>
          <w:tcPr>
            <w:tcW w:w="3140" w:type="dxa"/>
            <w:vAlign w:val="bottom"/>
            <w:tcBorders>
              <w:left w:val="single" w:sz="8" w:color="929292"/>
            </w:tcBorders>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360" w:type="dxa"/>
            <w:vAlign w:val="bottom"/>
            <w:vMerge w:val="continue"/>
            <w:shd w:val="clear" w:color="auto" w:fill="FAF6EF"/>
          </w:tcPr>
          <w:p>
            <w:pPr>
              <w:spacing w:after="0"/>
              <w:rPr>
                <w:sz w:val="7"/>
                <w:szCs w:val="7"/>
                <w:color w:val="auto"/>
              </w:rPr>
            </w:pPr>
          </w:p>
        </w:tc>
        <w:tc>
          <w:tcPr>
            <w:tcW w:w="80" w:type="dxa"/>
            <w:vAlign w:val="bottom"/>
            <w:shd w:val="clear" w:color="auto" w:fill="FAF6EF"/>
          </w:tcPr>
          <w:p>
            <w:pPr>
              <w:spacing w:after="0"/>
              <w:rPr>
                <w:sz w:val="7"/>
                <w:szCs w:val="7"/>
                <w:color w:val="auto"/>
              </w:rPr>
            </w:pPr>
          </w:p>
        </w:tc>
        <w:tc>
          <w:tcPr>
            <w:tcW w:w="260" w:type="dxa"/>
            <w:vAlign w:val="bottom"/>
            <w:tcBorders>
              <w:right w:val="single" w:sz="8" w:color="929292"/>
            </w:tcBorders>
            <w:vMerge w:val="restart"/>
            <w:shd w:val="clear" w:color="auto" w:fill="FAF6EF"/>
          </w:tcPr>
          <w:p>
            <w:pPr>
              <w:jc w:val="right"/>
              <w:ind w:right="67"/>
              <w:spacing w:after="0"/>
              <w:rPr>
                <w:sz w:val="20"/>
                <w:szCs w:val="20"/>
                <w:color w:val="auto"/>
              </w:rPr>
            </w:pPr>
            <w:r>
              <w:rPr>
                <w:rFonts w:ascii="Arial" w:cs="Arial" w:eastAsia="Arial" w:hAnsi="Arial"/>
                <w:sz w:val="11"/>
                <w:szCs w:val="11"/>
                <w:color w:val="auto"/>
                <w:w w:val="88"/>
              </w:rPr>
              <w:t>(3)</w:t>
            </w:r>
          </w:p>
        </w:tc>
        <w:tc>
          <w:tcPr>
            <w:tcW w:w="1600" w:type="dxa"/>
            <w:vAlign w:val="bottom"/>
            <w:vMerge w:val="continue"/>
            <w:shd w:val="clear" w:color="auto" w:fill="FAF6EF"/>
          </w:tcPr>
          <w:p>
            <w:pPr>
              <w:spacing w:after="0"/>
              <w:rPr>
                <w:sz w:val="7"/>
                <w:szCs w:val="7"/>
                <w:color w:val="auto"/>
              </w:rPr>
            </w:pPr>
          </w:p>
        </w:tc>
        <w:tc>
          <w:tcPr>
            <w:tcW w:w="120" w:type="dxa"/>
            <w:vAlign w:val="bottom"/>
            <w:tcBorders>
              <w:right w:val="single" w:sz="8" w:color="929292"/>
            </w:tcBorders>
            <w:shd w:val="clear" w:color="auto" w:fill="FAF6EF"/>
          </w:tcPr>
          <w:p>
            <w:pPr>
              <w:spacing w:after="0"/>
              <w:rPr>
                <w:sz w:val="7"/>
                <w:szCs w:val="7"/>
                <w:color w:val="auto"/>
              </w:rPr>
            </w:pPr>
          </w:p>
        </w:tc>
        <w:tc>
          <w:tcPr>
            <w:tcW w:w="1840" w:type="dxa"/>
            <w:vAlign w:val="bottom"/>
            <w:vMerge w:val="continue"/>
            <w:shd w:val="clear" w:color="auto" w:fill="FAF6EF"/>
          </w:tcPr>
          <w:p>
            <w:pPr>
              <w:spacing w:after="0"/>
              <w:rPr>
                <w:sz w:val="7"/>
                <w:szCs w:val="7"/>
                <w:color w:val="auto"/>
              </w:rPr>
            </w:pPr>
          </w:p>
        </w:tc>
        <w:tc>
          <w:tcPr>
            <w:tcW w:w="340" w:type="dxa"/>
            <w:vAlign w:val="bottom"/>
            <w:shd w:val="clear" w:color="auto" w:fill="FAF6EF"/>
          </w:tcPr>
          <w:p>
            <w:pPr>
              <w:spacing w:after="0"/>
              <w:rPr>
                <w:sz w:val="7"/>
                <w:szCs w:val="7"/>
                <w:color w:val="auto"/>
              </w:rPr>
            </w:pPr>
          </w:p>
        </w:tc>
        <w:tc>
          <w:tcPr>
            <w:tcW w:w="100" w:type="dxa"/>
            <w:vAlign w:val="bottom"/>
            <w:tcBorders>
              <w:right w:val="single" w:sz="8" w:color="929292"/>
            </w:tcBorders>
            <w:shd w:val="clear" w:color="auto" w:fill="FAF6EF"/>
          </w:tcPr>
          <w:p>
            <w:pPr>
              <w:spacing w:after="0"/>
              <w:rPr>
                <w:sz w:val="7"/>
                <w:szCs w:val="7"/>
                <w:color w:val="auto"/>
              </w:rPr>
            </w:pPr>
          </w:p>
        </w:tc>
        <w:tc>
          <w:tcPr>
            <w:tcW w:w="2300" w:type="dxa"/>
            <w:vAlign w:val="bottom"/>
            <w:tcBorders>
              <w:right w:val="single" w:sz="8" w:color="929292"/>
            </w:tcBorders>
            <w:vMerge w:val="continue"/>
            <w:shd w:val="clear" w:color="auto" w:fill="FAF6E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8,800</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vMerge w:val="continue"/>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604,384</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vMerge w:val="restart"/>
            <w:shd w:val="clear" w:color="auto" w:fill="FAF6EF"/>
          </w:tcPr>
          <w:p>
            <w:pPr>
              <w:jc w:val="right"/>
              <w:ind w:right="67"/>
              <w:spacing w:after="0"/>
              <w:rPr>
                <w:sz w:val="20"/>
                <w:szCs w:val="20"/>
                <w:color w:val="auto"/>
              </w:rPr>
            </w:pPr>
            <w:r>
              <w:rPr>
                <w:rFonts w:ascii="Arial" w:cs="Arial" w:eastAsia="Arial" w:hAnsi="Arial"/>
                <w:sz w:val="11"/>
                <w:szCs w:val="11"/>
                <w:color w:val="auto"/>
                <w:w w:val="88"/>
              </w:rPr>
              <w:t>(4)</w:t>
            </w: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shd w:val="clear" w:color="auto" w:fill="FAF6EF"/>
          </w:tcPr>
          <w:p>
            <w:pPr>
              <w:spacing w:after="0"/>
              <w:rPr>
                <w:sz w:val="10"/>
                <w:szCs w:val="10"/>
                <w:color w:val="auto"/>
              </w:rPr>
            </w:pP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17,160</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vMerge w:val="continue"/>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1,178,549</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vMerge w:val="restart"/>
            <w:shd w:val="clear" w:color="auto" w:fill="FAF6EF"/>
          </w:tcPr>
          <w:p>
            <w:pPr>
              <w:jc w:val="right"/>
              <w:ind w:right="67"/>
              <w:spacing w:after="0"/>
              <w:rPr>
                <w:sz w:val="20"/>
                <w:szCs w:val="20"/>
                <w:color w:val="auto"/>
              </w:rPr>
            </w:pPr>
            <w:r>
              <w:rPr>
                <w:rFonts w:ascii="Arial" w:cs="Arial" w:eastAsia="Arial" w:hAnsi="Arial"/>
                <w:sz w:val="11"/>
                <w:szCs w:val="11"/>
                <w:color w:val="auto"/>
                <w:w w:val="88"/>
              </w:rPr>
              <w:t>(9)</w:t>
            </w: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shd w:val="clear" w:color="auto" w:fill="FAF6EF"/>
          </w:tcPr>
          <w:p>
            <w:pPr>
              <w:spacing w:after="0"/>
              <w:rPr>
                <w:sz w:val="10"/>
                <w:szCs w:val="10"/>
                <w:color w:val="auto"/>
              </w:rPr>
            </w:pP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11,250</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vMerge w:val="continue"/>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772,650</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vMerge w:val="restart"/>
            <w:shd w:val="clear" w:color="auto" w:fill="FAF6EF"/>
          </w:tcPr>
          <w:p>
            <w:pPr>
              <w:ind w:left="140"/>
              <w:spacing w:after="0"/>
              <w:rPr>
                <w:sz w:val="20"/>
                <w:szCs w:val="20"/>
                <w:color w:val="auto"/>
              </w:rPr>
            </w:pPr>
            <w:r>
              <w:rPr>
                <w:rFonts w:ascii="Arial" w:cs="Arial" w:eastAsia="Arial" w:hAnsi="Arial"/>
                <w:sz w:val="16"/>
                <w:szCs w:val="16"/>
                <w:b w:val="1"/>
                <w:bCs w:val="1"/>
                <w:color w:val="auto"/>
              </w:rPr>
              <w:t>David Ranhoff</w:t>
            </w: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(5)</w:t>
            </w: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40" w:type="dxa"/>
            <w:vAlign w:val="bottom"/>
            <w:tcBorders>
              <w:left w:val="single" w:sz="8" w:color="929292"/>
            </w:tcBorders>
            <w:vMerge w:val="continue"/>
            <w:shd w:val="clear" w:color="auto" w:fill="FAF6EF"/>
          </w:tcPr>
          <w:p>
            <w:pPr>
              <w:spacing w:after="0"/>
              <w:rPr>
                <w:sz w:val="12"/>
                <w:szCs w:val="12"/>
                <w:color w:val="auto"/>
              </w:rPr>
            </w:pPr>
          </w:p>
        </w:tc>
        <w:tc>
          <w:tcPr>
            <w:tcW w:w="120" w:type="dxa"/>
            <w:vAlign w:val="bottom"/>
            <w:tcBorders>
              <w:right w:val="single" w:sz="8" w:color="929292"/>
            </w:tcBorders>
            <w:shd w:val="clear" w:color="auto" w:fill="FAF6EF"/>
          </w:tcPr>
          <w:p>
            <w:pPr>
              <w:spacing w:after="0"/>
              <w:rPr>
                <w:sz w:val="12"/>
                <w:szCs w:val="12"/>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2"/>
                <w:szCs w:val="12"/>
                <w:color w:val="auto"/>
              </w:rPr>
            </w:pPr>
          </w:p>
        </w:tc>
        <w:tc>
          <w:tcPr>
            <w:tcW w:w="260" w:type="dxa"/>
            <w:vAlign w:val="bottom"/>
            <w:tcBorders>
              <w:right w:val="single" w:sz="8" w:color="929292"/>
            </w:tcBorders>
            <w:shd w:val="clear" w:color="auto" w:fill="FAF6EF"/>
          </w:tcPr>
          <w:p>
            <w:pPr>
              <w:spacing w:after="0"/>
              <w:rPr>
                <w:sz w:val="12"/>
                <w:szCs w:val="12"/>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2"/>
                <w:szCs w:val="12"/>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5,100</w:t>
            </w:r>
          </w:p>
        </w:tc>
        <w:tc>
          <w:tcPr>
            <w:tcW w:w="340" w:type="dxa"/>
            <w:vAlign w:val="bottom"/>
            <w:vMerge w:val="continue"/>
            <w:shd w:val="clear" w:color="auto" w:fill="FAF6EF"/>
          </w:tcPr>
          <w:p>
            <w:pPr>
              <w:spacing w:after="0"/>
              <w:rPr>
                <w:sz w:val="12"/>
                <w:szCs w:val="12"/>
                <w:color w:val="auto"/>
              </w:rPr>
            </w:pPr>
          </w:p>
        </w:tc>
        <w:tc>
          <w:tcPr>
            <w:tcW w:w="100" w:type="dxa"/>
            <w:vAlign w:val="bottom"/>
            <w:tcBorders>
              <w:right w:val="single" w:sz="8" w:color="929292"/>
            </w:tcBorders>
            <w:shd w:val="clear" w:color="auto" w:fill="FAF6EF"/>
          </w:tcPr>
          <w:p>
            <w:pPr>
              <w:spacing w:after="0"/>
              <w:rPr>
                <w:sz w:val="12"/>
                <w:szCs w:val="12"/>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350,268</w:t>
            </w:r>
          </w:p>
        </w:tc>
        <w:tc>
          <w:tcPr>
            <w:tcW w:w="0" w:type="dxa"/>
            <w:vAlign w:val="bottom"/>
          </w:tcPr>
          <w:p>
            <w:pPr>
              <w:spacing w:after="0"/>
              <w:rPr>
                <w:sz w:val="1"/>
                <w:szCs w:val="1"/>
                <w:color w:val="auto"/>
              </w:rPr>
            </w:pPr>
          </w:p>
        </w:tc>
      </w:tr>
      <w:tr>
        <w:trPr>
          <w:trHeight w:val="114"/>
        </w:trPr>
        <w:tc>
          <w:tcPr>
            <w:tcW w:w="3140" w:type="dxa"/>
            <w:vAlign w:val="bottom"/>
            <w:tcBorders>
              <w:left w:val="single" w:sz="8" w:color="929292"/>
            </w:tcBorders>
            <w:shd w:val="clear" w:color="auto" w:fill="FAF6EF"/>
          </w:tcPr>
          <w:p>
            <w:pPr>
              <w:spacing w:after="0"/>
              <w:rPr>
                <w:sz w:val="9"/>
                <w:szCs w:val="9"/>
                <w:color w:val="auto"/>
              </w:rPr>
            </w:pPr>
          </w:p>
        </w:tc>
        <w:tc>
          <w:tcPr>
            <w:tcW w:w="120" w:type="dxa"/>
            <w:vAlign w:val="bottom"/>
            <w:tcBorders>
              <w:right w:val="single" w:sz="8" w:color="929292"/>
            </w:tcBorders>
            <w:shd w:val="clear" w:color="auto" w:fill="FAF6EF"/>
          </w:tcPr>
          <w:p>
            <w:pPr>
              <w:spacing w:after="0"/>
              <w:rPr>
                <w:sz w:val="9"/>
                <w:szCs w:val="9"/>
                <w:color w:val="auto"/>
              </w:rPr>
            </w:pPr>
          </w:p>
        </w:tc>
        <w:tc>
          <w:tcPr>
            <w:tcW w:w="1360" w:type="dxa"/>
            <w:vAlign w:val="bottom"/>
            <w:vMerge w:val="continue"/>
            <w:shd w:val="clear" w:color="auto" w:fill="FAF6EF"/>
          </w:tcPr>
          <w:p>
            <w:pPr>
              <w:spacing w:after="0"/>
              <w:rPr>
                <w:sz w:val="9"/>
                <w:szCs w:val="9"/>
                <w:color w:val="auto"/>
              </w:rPr>
            </w:pPr>
          </w:p>
        </w:tc>
        <w:tc>
          <w:tcPr>
            <w:tcW w:w="80" w:type="dxa"/>
            <w:vAlign w:val="bottom"/>
            <w:shd w:val="clear" w:color="auto" w:fill="FAF6EF"/>
          </w:tcPr>
          <w:p>
            <w:pPr>
              <w:spacing w:after="0"/>
              <w:rPr>
                <w:sz w:val="9"/>
                <w:szCs w:val="9"/>
                <w:color w:val="auto"/>
              </w:rPr>
            </w:pPr>
          </w:p>
        </w:tc>
        <w:tc>
          <w:tcPr>
            <w:tcW w:w="260" w:type="dxa"/>
            <w:vAlign w:val="bottom"/>
            <w:tcBorders>
              <w:right w:val="single" w:sz="8" w:color="929292"/>
            </w:tcBorders>
            <w:shd w:val="clear" w:color="auto" w:fill="FAF6EF"/>
          </w:tcPr>
          <w:p>
            <w:pPr>
              <w:spacing w:after="0"/>
              <w:rPr>
                <w:sz w:val="9"/>
                <w:szCs w:val="9"/>
                <w:color w:val="auto"/>
              </w:rPr>
            </w:pPr>
          </w:p>
        </w:tc>
        <w:tc>
          <w:tcPr>
            <w:tcW w:w="1600" w:type="dxa"/>
            <w:vAlign w:val="bottom"/>
            <w:vMerge w:val="continue"/>
            <w:shd w:val="clear" w:color="auto" w:fill="FAF6EF"/>
          </w:tcPr>
          <w:p>
            <w:pPr>
              <w:spacing w:after="0"/>
              <w:rPr>
                <w:sz w:val="9"/>
                <w:szCs w:val="9"/>
                <w:color w:val="auto"/>
              </w:rPr>
            </w:pPr>
          </w:p>
        </w:tc>
        <w:tc>
          <w:tcPr>
            <w:tcW w:w="120" w:type="dxa"/>
            <w:vAlign w:val="bottom"/>
            <w:tcBorders>
              <w:right w:val="single" w:sz="8" w:color="929292"/>
            </w:tcBorders>
            <w:shd w:val="clear" w:color="auto" w:fill="FAF6EF"/>
          </w:tcPr>
          <w:p>
            <w:pPr>
              <w:spacing w:after="0"/>
              <w:rPr>
                <w:sz w:val="9"/>
                <w:szCs w:val="9"/>
                <w:color w:val="auto"/>
              </w:rPr>
            </w:pPr>
          </w:p>
        </w:tc>
        <w:tc>
          <w:tcPr>
            <w:tcW w:w="1840" w:type="dxa"/>
            <w:vAlign w:val="bottom"/>
            <w:vMerge w:val="continue"/>
            <w:shd w:val="clear" w:color="auto" w:fill="FAF6EF"/>
          </w:tcPr>
          <w:p>
            <w:pPr>
              <w:spacing w:after="0"/>
              <w:rPr>
                <w:sz w:val="9"/>
                <w:szCs w:val="9"/>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(5)</w:t>
            </w:r>
          </w:p>
        </w:tc>
        <w:tc>
          <w:tcPr>
            <w:tcW w:w="100" w:type="dxa"/>
            <w:vAlign w:val="bottom"/>
            <w:tcBorders>
              <w:right w:val="single" w:sz="8" w:color="929292"/>
            </w:tcBorders>
            <w:shd w:val="clear" w:color="auto" w:fill="FAF6EF"/>
          </w:tcPr>
          <w:p>
            <w:pPr>
              <w:spacing w:after="0"/>
              <w:rPr>
                <w:sz w:val="9"/>
                <w:szCs w:val="9"/>
                <w:color w:val="auto"/>
              </w:rPr>
            </w:pPr>
          </w:p>
        </w:tc>
        <w:tc>
          <w:tcPr>
            <w:tcW w:w="2300" w:type="dxa"/>
            <w:vAlign w:val="bottom"/>
            <w:tcBorders>
              <w:right w:val="single" w:sz="8" w:color="929292"/>
            </w:tcBorders>
            <w:vMerge w:val="continue"/>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13,600</w:t>
            </w:r>
          </w:p>
        </w:tc>
        <w:tc>
          <w:tcPr>
            <w:tcW w:w="340" w:type="dxa"/>
            <w:vAlign w:val="bottom"/>
            <w:vMerge w:val="continue"/>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934,048</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(6)</w:t>
            </w: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17,160</w:t>
            </w:r>
          </w:p>
        </w:tc>
        <w:tc>
          <w:tcPr>
            <w:tcW w:w="340" w:type="dxa"/>
            <w:vAlign w:val="bottom"/>
            <w:vMerge w:val="continue"/>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1,178,549</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vMerge w:val="restart"/>
            <w:shd w:val="clear" w:color="auto" w:fill="FAF6EF"/>
          </w:tcPr>
          <w:p>
            <w:pPr>
              <w:jc w:val="right"/>
              <w:ind w:right="67"/>
              <w:spacing w:after="0"/>
              <w:rPr>
                <w:sz w:val="20"/>
                <w:szCs w:val="20"/>
                <w:color w:val="auto"/>
              </w:rPr>
            </w:pPr>
            <w:r>
              <w:rPr>
                <w:rFonts w:ascii="Arial" w:cs="Arial" w:eastAsia="Arial" w:hAnsi="Arial"/>
                <w:sz w:val="11"/>
                <w:szCs w:val="11"/>
                <w:color w:val="auto"/>
              </w:rPr>
              <w:t>(7)</w:t>
            </w: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140" w:type="dxa"/>
            <w:vAlign w:val="bottom"/>
            <w:tcBorders>
              <w:left w:val="single" w:sz="8" w:color="929292"/>
            </w:tcBorders>
            <w:shd w:val="clear" w:color="auto" w:fill="FAF6EF"/>
          </w:tcPr>
          <w:p>
            <w:pPr>
              <w:spacing w:after="0"/>
              <w:rPr>
                <w:sz w:val="11"/>
                <w:szCs w:val="11"/>
                <w:color w:val="auto"/>
              </w:rPr>
            </w:pPr>
          </w:p>
        </w:tc>
        <w:tc>
          <w:tcPr>
            <w:tcW w:w="120" w:type="dxa"/>
            <w:vAlign w:val="bottom"/>
            <w:tcBorders>
              <w:right w:val="single" w:sz="8" w:color="929292"/>
            </w:tcBorders>
            <w:shd w:val="clear" w:color="auto" w:fill="FAF6EF"/>
          </w:tcPr>
          <w:p>
            <w:pPr>
              <w:spacing w:after="0"/>
              <w:rPr>
                <w:sz w:val="11"/>
                <w:szCs w:val="11"/>
                <w:color w:val="auto"/>
              </w:rPr>
            </w:pPr>
          </w:p>
        </w:tc>
        <w:tc>
          <w:tcPr>
            <w:tcW w:w="13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AF6EF"/>
          </w:tcPr>
          <w:p>
            <w:pPr>
              <w:spacing w:after="0"/>
              <w:rPr>
                <w:sz w:val="11"/>
                <w:szCs w:val="11"/>
                <w:color w:val="auto"/>
              </w:rPr>
            </w:pPr>
          </w:p>
        </w:tc>
        <w:tc>
          <w:tcPr>
            <w:tcW w:w="260" w:type="dxa"/>
            <w:vAlign w:val="bottom"/>
            <w:tcBorders>
              <w:right w:val="single" w:sz="8" w:color="929292"/>
            </w:tcBorders>
            <w:shd w:val="clear" w:color="auto" w:fill="FAF6EF"/>
          </w:tcPr>
          <w:p>
            <w:pPr>
              <w:spacing w:after="0"/>
              <w:rPr>
                <w:sz w:val="11"/>
                <w:szCs w:val="11"/>
                <w:color w:val="auto"/>
              </w:rPr>
            </w:pPr>
          </w:p>
        </w:tc>
        <w:tc>
          <w:tcPr>
            <w:tcW w:w="1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929292"/>
            </w:tcBorders>
            <w:shd w:val="clear" w:color="auto" w:fill="FAF6EF"/>
          </w:tcPr>
          <w:p>
            <w:pPr>
              <w:spacing w:after="0"/>
              <w:rPr>
                <w:sz w:val="11"/>
                <w:szCs w:val="11"/>
                <w:color w:val="auto"/>
              </w:rPr>
            </w:pPr>
          </w:p>
        </w:tc>
        <w:tc>
          <w:tcPr>
            <w:tcW w:w="18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17,680</w:t>
            </w:r>
          </w:p>
        </w:tc>
        <w:tc>
          <w:tcPr>
            <w:tcW w:w="340" w:type="dxa"/>
            <w:vAlign w:val="bottom"/>
            <w:vMerge w:val="continue"/>
            <w:shd w:val="clear" w:color="auto" w:fill="FAF6EF"/>
          </w:tcPr>
          <w:p>
            <w:pPr>
              <w:spacing w:after="0"/>
              <w:rPr>
                <w:sz w:val="11"/>
                <w:szCs w:val="11"/>
                <w:color w:val="auto"/>
              </w:rPr>
            </w:pPr>
          </w:p>
        </w:tc>
        <w:tc>
          <w:tcPr>
            <w:tcW w:w="100" w:type="dxa"/>
            <w:vAlign w:val="bottom"/>
            <w:tcBorders>
              <w:right w:val="single" w:sz="8" w:color="929292"/>
            </w:tcBorders>
            <w:shd w:val="clear" w:color="auto" w:fill="FAF6EF"/>
          </w:tcPr>
          <w:p>
            <w:pPr>
              <w:spacing w:after="0"/>
              <w:rPr>
                <w:sz w:val="11"/>
                <w:szCs w:val="11"/>
                <w:color w:val="auto"/>
              </w:rPr>
            </w:pPr>
          </w:p>
        </w:tc>
        <w:tc>
          <w:tcPr>
            <w:tcW w:w="23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1,214,262</w:t>
            </w:r>
          </w:p>
        </w:tc>
        <w:tc>
          <w:tcPr>
            <w:tcW w:w="0" w:type="dxa"/>
            <w:vAlign w:val="bottom"/>
          </w:tcPr>
          <w:p>
            <w:pPr>
              <w:spacing w:after="0"/>
              <w:rPr>
                <w:sz w:val="1"/>
                <w:szCs w:val="1"/>
                <w:color w:val="auto"/>
              </w:rPr>
            </w:pPr>
          </w:p>
        </w:tc>
      </w:tr>
      <w:tr>
        <w:trPr>
          <w:trHeight w:val="126"/>
        </w:trPr>
        <w:tc>
          <w:tcPr>
            <w:tcW w:w="3140" w:type="dxa"/>
            <w:vAlign w:val="bottom"/>
            <w:tcBorders>
              <w:left w:val="single" w:sz="8" w:color="929292"/>
            </w:tcBorders>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80" w:type="dxa"/>
            <w:vAlign w:val="bottom"/>
            <w:shd w:val="clear" w:color="auto" w:fill="FAF6EF"/>
          </w:tcPr>
          <w:p>
            <w:pPr>
              <w:spacing w:after="0"/>
              <w:rPr>
                <w:sz w:val="10"/>
                <w:szCs w:val="10"/>
                <w:color w:val="auto"/>
              </w:rPr>
            </w:pPr>
          </w:p>
        </w:tc>
        <w:tc>
          <w:tcPr>
            <w:tcW w:w="260" w:type="dxa"/>
            <w:vAlign w:val="bottom"/>
            <w:tcBorders>
              <w:right w:val="single" w:sz="8" w:color="929292"/>
            </w:tcBorders>
            <w:shd w:val="clear" w:color="auto" w:fill="FAF6EF"/>
          </w:tcPr>
          <w:p>
            <w:pPr>
              <w:spacing w:after="0"/>
              <w:rPr>
                <w:sz w:val="10"/>
                <w:szCs w:val="10"/>
                <w:color w:val="auto"/>
              </w:rPr>
            </w:pPr>
          </w:p>
        </w:tc>
        <w:tc>
          <w:tcPr>
            <w:tcW w:w="1600" w:type="dxa"/>
            <w:vAlign w:val="bottom"/>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1840" w:type="dxa"/>
            <w:vAlign w:val="bottom"/>
            <w:vMerge w:val="continue"/>
            <w:shd w:val="clear" w:color="auto" w:fill="FAF6EF"/>
          </w:tcPr>
          <w:p>
            <w:pPr>
              <w:spacing w:after="0"/>
              <w:rPr>
                <w:sz w:val="10"/>
                <w:szCs w:val="10"/>
                <w:color w:val="auto"/>
              </w:rPr>
            </w:pPr>
          </w:p>
        </w:tc>
        <w:tc>
          <w:tcPr>
            <w:tcW w:w="340" w:type="dxa"/>
            <w:vAlign w:val="bottom"/>
            <w:shd w:val="clear" w:color="auto" w:fill="FAF6EF"/>
          </w:tcPr>
          <w:p>
            <w:pPr>
              <w:spacing w:after="0"/>
              <w:rPr>
                <w:sz w:val="10"/>
                <w:szCs w:val="10"/>
                <w:color w:val="auto"/>
              </w:rPr>
            </w:pPr>
          </w:p>
        </w:tc>
        <w:tc>
          <w:tcPr>
            <w:tcW w:w="100" w:type="dxa"/>
            <w:vAlign w:val="bottom"/>
            <w:tcBorders>
              <w:right w:val="single" w:sz="8" w:color="929292"/>
            </w:tcBorders>
            <w:shd w:val="clear" w:color="auto" w:fill="FAF6EF"/>
          </w:tcPr>
          <w:p>
            <w:pPr>
              <w:spacing w:after="0"/>
              <w:rPr>
                <w:sz w:val="10"/>
                <w:szCs w:val="10"/>
                <w:color w:val="auto"/>
              </w:rPr>
            </w:pPr>
          </w:p>
        </w:tc>
        <w:tc>
          <w:tcPr>
            <w:tcW w:w="2300" w:type="dxa"/>
            <w:vAlign w:val="bottom"/>
            <w:tcBorders>
              <w:right w:val="single" w:sz="8" w:color="929292"/>
            </w:tcBorders>
            <w:vMerge w:val="continue"/>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140" w:type="dxa"/>
            <w:vAlign w:val="bottom"/>
            <w:tcBorders>
              <w:left w:val="single" w:sz="8" w:color="929292"/>
            </w:tcBorders>
            <w:shd w:val="clear" w:color="auto" w:fill="FAF6EF"/>
          </w:tcPr>
          <w:p>
            <w:pPr>
              <w:spacing w:after="0"/>
              <w:rPr>
                <w:sz w:val="2"/>
                <w:szCs w:val="2"/>
                <w:color w:val="auto"/>
              </w:rPr>
            </w:pPr>
          </w:p>
        </w:tc>
        <w:tc>
          <w:tcPr>
            <w:tcW w:w="120" w:type="dxa"/>
            <w:vAlign w:val="bottom"/>
            <w:tcBorders>
              <w:right w:val="single" w:sz="8" w:color="929292"/>
            </w:tcBorders>
            <w:shd w:val="clear" w:color="auto" w:fill="FAF6EF"/>
          </w:tcPr>
          <w:p>
            <w:pPr>
              <w:spacing w:after="0"/>
              <w:rPr>
                <w:sz w:val="2"/>
                <w:szCs w:val="2"/>
                <w:color w:val="auto"/>
              </w:rPr>
            </w:pPr>
          </w:p>
        </w:tc>
        <w:tc>
          <w:tcPr>
            <w:tcW w:w="1360" w:type="dxa"/>
            <w:vAlign w:val="bottom"/>
            <w:shd w:val="clear" w:color="auto" w:fill="FAF6EF"/>
          </w:tcPr>
          <w:p>
            <w:pPr>
              <w:spacing w:after="0"/>
              <w:rPr>
                <w:sz w:val="2"/>
                <w:szCs w:val="2"/>
                <w:color w:val="auto"/>
              </w:rPr>
            </w:pPr>
          </w:p>
        </w:tc>
        <w:tc>
          <w:tcPr>
            <w:tcW w:w="80" w:type="dxa"/>
            <w:vAlign w:val="bottom"/>
            <w:shd w:val="clear" w:color="auto" w:fill="FAF6EF"/>
          </w:tcPr>
          <w:p>
            <w:pPr>
              <w:spacing w:after="0"/>
              <w:rPr>
                <w:sz w:val="2"/>
                <w:szCs w:val="2"/>
                <w:color w:val="auto"/>
              </w:rPr>
            </w:pPr>
          </w:p>
        </w:tc>
        <w:tc>
          <w:tcPr>
            <w:tcW w:w="260" w:type="dxa"/>
            <w:vAlign w:val="bottom"/>
            <w:tcBorders>
              <w:right w:val="single" w:sz="8" w:color="929292"/>
            </w:tcBorders>
            <w:shd w:val="clear" w:color="auto" w:fill="FAF6EF"/>
          </w:tcPr>
          <w:p>
            <w:pPr>
              <w:spacing w:after="0"/>
              <w:rPr>
                <w:sz w:val="2"/>
                <w:szCs w:val="2"/>
                <w:color w:val="auto"/>
              </w:rPr>
            </w:pPr>
          </w:p>
        </w:tc>
        <w:tc>
          <w:tcPr>
            <w:tcW w:w="1600" w:type="dxa"/>
            <w:vAlign w:val="bottom"/>
            <w:shd w:val="clear" w:color="auto" w:fill="FAF6EF"/>
          </w:tcPr>
          <w:p>
            <w:pPr>
              <w:spacing w:after="0"/>
              <w:rPr>
                <w:sz w:val="2"/>
                <w:szCs w:val="2"/>
                <w:color w:val="auto"/>
              </w:rPr>
            </w:pPr>
          </w:p>
        </w:tc>
        <w:tc>
          <w:tcPr>
            <w:tcW w:w="120" w:type="dxa"/>
            <w:vAlign w:val="bottom"/>
            <w:tcBorders>
              <w:right w:val="single" w:sz="8" w:color="929292"/>
            </w:tcBorders>
            <w:shd w:val="clear" w:color="auto" w:fill="FAF6EF"/>
          </w:tcPr>
          <w:p>
            <w:pPr>
              <w:spacing w:after="0"/>
              <w:rPr>
                <w:sz w:val="2"/>
                <w:szCs w:val="2"/>
                <w:color w:val="auto"/>
              </w:rPr>
            </w:pPr>
          </w:p>
        </w:tc>
        <w:tc>
          <w:tcPr>
            <w:tcW w:w="1840" w:type="dxa"/>
            <w:vAlign w:val="bottom"/>
            <w:shd w:val="clear" w:color="auto" w:fill="FAF6EF"/>
          </w:tcPr>
          <w:p>
            <w:pPr>
              <w:spacing w:after="0"/>
              <w:rPr>
                <w:sz w:val="2"/>
                <w:szCs w:val="2"/>
                <w:color w:val="auto"/>
              </w:rPr>
            </w:pPr>
          </w:p>
        </w:tc>
        <w:tc>
          <w:tcPr>
            <w:tcW w:w="340" w:type="dxa"/>
            <w:vAlign w:val="bottom"/>
            <w:shd w:val="clear" w:color="auto" w:fill="FAF6EF"/>
          </w:tcPr>
          <w:p>
            <w:pPr>
              <w:spacing w:after="0"/>
              <w:rPr>
                <w:sz w:val="2"/>
                <w:szCs w:val="2"/>
                <w:color w:val="auto"/>
              </w:rPr>
            </w:pPr>
          </w:p>
        </w:tc>
        <w:tc>
          <w:tcPr>
            <w:tcW w:w="100" w:type="dxa"/>
            <w:vAlign w:val="bottom"/>
            <w:tcBorders>
              <w:right w:val="single" w:sz="8" w:color="929292"/>
            </w:tcBorders>
            <w:shd w:val="clear" w:color="auto" w:fill="FAF6EF"/>
          </w:tcPr>
          <w:p>
            <w:pPr>
              <w:spacing w:after="0"/>
              <w:rPr>
                <w:sz w:val="2"/>
                <w:szCs w:val="2"/>
                <w:color w:val="auto"/>
              </w:rPr>
            </w:pPr>
          </w:p>
        </w:tc>
        <w:tc>
          <w:tcPr>
            <w:tcW w:w="2300" w:type="dxa"/>
            <w:vAlign w:val="bottom"/>
            <w:tcBorders>
              <w:right w:val="single" w:sz="8" w:color="929292"/>
            </w:tcBorders>
            <w:shd w:val="clear" w:color="auto" w:fill="FAF6E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60" w:right="20" w:hanging="252"/>
        <w:spacing w:after="0" w:line="301" w:lineRule="auto"/>
        <w:tabs>
          <w:tab w:leader="none" w:pos="245" w:val="left"/>
        </w:tabs>
        <w:numPr>
          <w:ilvl w:val="0"/>
          <w:numId w:val="64"/>
        </w:numPr>
        <w:rPr>
          <w:rFonts w:ascii="Arial" w:cs="Arial" w:eastAsia="Arial" w:hAnsi="Arial"/>
          <w:sz w:val="14"/>
          <w:szCs w:val="14"/>
          <w:color w:val="7D7D7D"/>
        </w:rPr>
      </w:pPr>
      <w:r>
        <w:rPr>
          <w:rFonts w:ascii="Arial" w:cs="Arial" w:eastAsia="Arial" w:hAnsi="Arial"/>
          <w:sz w:val="14"/>
          <w:szCs w:val="14"/>
          <w:color w:val="7D7D7D"/>
        </w:rPr>
        <w:t>Vesting of each stock award is contingent upon the NEO’s continued service, except as may be accelerated on certain events described below under “Employment Contracts and Termination of Employment and Change of Control Arrangements.”</w:t>
      </w:r>
    </w:p>
    <w:p>
      <w:pPr>
        <w:spacing w:after="0" w:line="1" w:lineRule="exact"/>
        <w:rPr>
          <w:sz w:val="20"/>
          <w:szCs w:val="20"/>
          <w:color w:val="auto"/>
        </w:rPr>
      </w:pPr>
    </w:p>
    <w:p>
      <w:pPr>
        <w:ind w:left="260" w:right="20" w:hanging="252"/>
        <w:spacing w:after="0" w:line="300" w:lineRule="auto"/>
        <w:tabs>
          <w:tab w:leader="none" w:pos="245" w:val="left"/>
        </w:tabs>
        <w:numPr>
          <w:ilvl w:val="0"/>
          <w:numId w:val="65"/>
        </w:numPr>
        <w:rPr>
          <w:rFonts w:ascii="Arial" w:cs="Arial" w:eastAsia="Arial" w:hAnsi="Arial"/>
          <w:sz w:val="14"/>
          <w:szCs w:val="14"/>
          <w:color w:val="7D7D7D"/>
        </w:rPr>
      </w:pPr>
      <w:r>
        <w:rPr>
          <w:rFonts w:ascii="Arial" w:cs="Arial" w:eastAsia="Arial" w:hAnsi="Arial"/>
          <w:sz w:val="14"/>
          <w:szCs w:val="14"/>
          <w:color w:val="7D7D7D"/>
        </w:rPr>
        <w:t>The dollar amounts in this column represent the market value of the shares underlying the RSUs is based on the closing price of our common stock of $68.68 on December 31, 2024, the last trading day in 2024.</w:t>
      </w:r>
    </w:p>
    <w:p>
      <w:pPr>
        <w:ind w:left="240" w:hanging="232"/>
        <w:spacing w:after="0"/>
        <w:tabs>
          <w:tab w:leader="none" w:pos="240" w:val="left"/>
        </w:tabs>
        <w:numPr>
          <w:ilvl w:val="0"/>
          <w:numId w:val="66"/>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three-year period, with 1/3</w:t>
      </w:r>
      <w:r>
        <w:rPr>
          <w:rFonts w:ascii="Arial" w:cs="Arial" w:eastAsia="Arial" w:hAnsi="Arial"/>
          <w:sz w:val="18"/>
          <w:szCs w:val="18"/>
          <w:color w:val="7D7D7D"/>
          <w:vertAlign w:val="superscript"/>
        </w:rPr>
        <w:t>rd</w:t>
      </w:r>
      <w:r>
        <w:rPr>
          <w:rFonts w:ascii="Arial" w:cs="Arial" w:eastAsia="Arial" w:hAnsi="Arial"/>
          <w:sz w:val="14"/>
          <w:szCs w:val="14"/>
          <w:color w:val="7D7D7D"/>
        </w:rPr>
        <w:t xml:space="preserve"> of the RSUs vesting on each of March 1, 2024, March 1, 2025 and March 1, 2026.</w:t>
      </w:r>
    </w:p>
    <w:p>
      <w:pPr>
        <w:spacing w:after="0" w:line="25" w:lineRule="exact"/>
        <w:rPr>
          <w:rFonts w:ascii="Arial" w:cs="Arial" w:eastAsia="Arial" w:hAnsi="Arial"/>
          <w:sz w:val="14"/>
          <w:szCs w:val="14"/>
          <w:color w:val="7D7D7D"/>
        </w:rPr>
      </w:pPr>
    </w:p>
    <w:p>
      <w:pPr>
        <w:spacing w:after="0"/>
        <w:rPr>
          <w:rFonts w:ascii="Arial" w:cs="Arial" w:eastAsia="Arial" w:hAnsi="Arial"/>
          <w:sz w:val="14"/>
          <w:szCs w:val="14"/>
          <w:color w:val="7D7D7D"/>
        </w:rPr>
      </w:pPr>
      <w:r>
        <w:rPr>
          <w:rFonts w:ascii="Arial" w:cs="Arial" w:eastAsia="Arial" w:hAnsi="Arial"/>
          <w:sz w:val="14"/>
          <w:szCs w:val="14"/>
          <w:color w:val="7D7D7D"/>
        </w:rPr>
        <w:t>4  The shares subject to the RSU award vest over a three-year period, with 1/3</w:t>
      </w:r>
      <w:r>
        <w:rPr>
          <w:rFonts w:ascii="Arial" w:cs="Arial" w:eastAsia="Arial" w:hAnsi="Arial"/>
          <w:sz w:val="9"/>
          <w:szCs w:val="9"/>
          <w:color w:val="7D7D7D"/>
        </w:rPr>
        <w:t>rd</w:t>
      </w:r>
      <w:r>
        <w:rPr>
          <w:rFonts w:ascii="Arial" w:cs="Arial" w:eastAsia="Arial" w:hAnsi="Arial"/>
          <w:sz w:val="14"/>
          <w:szCs w:val="14"/>
          <w:color w:val="7D7D7D"/>
        </w:rPr>
        <w:t xml:space="preserve"> of the RSUs vesting on each of March 1, 2025, March 1, 2026 and March 1, 2027.</w:t>
      </w:r>
    </w:p>
    <w:p>
      <w:pPr>
        <w:spacing w:after="0" w:line="55" w:lineRule="exact"/>
        <w:rPr>
          <w:sz w:val="20"/>
          <w:szCs w:val="20"/>
          <w:color w:val="auto"/>
        </w:rPr>
      </w:pPr>
    </w:p>
    <w:p>
      <w:pPr>
        <w:jc w:val="both"/>
        <w:ind w:left="260" w:right="20" w:hanging="252"/>
        <w:spacing w:after="0" w:line="283" w:lineRule="auto"/>
        <w:tabs>
          <w:tab w:leader="none" w:pos="245" w:val="left"/>
        </w:tabs>
        <w:numPr>
          <w:ilvl w:val="0"/>
          <w:numId w:val="67"/>
        </w:numPr>
        <w:rPr>
          <w:rFonts w:ascii="Arial" w:cs="Arial" w:eastAsia="Arial" w:hAnsi="Arial"/>
          <w:sz w:val="14"/>
          <w:szCs w:val="14"/>
          <w:color w:val="7D7D7D"/>
        </w:rPr>
      </w:pPr>
      <w:r>
        <w:rPr>
          <w:rFonts w:ascii="Arial" w:cs="Arial" w:eastAsia="Arial" w:hAnsi="Arial"/>
          <w:sz w:val="14"/>
          <w:szCs w:val="14"/>
          <w:color w:val="7D7D7D"/>
        </w:rPr>
        <w:t>The shares subject to the PSU award are eligible to vest on March 1, 2026 depending on the 3-year TSR performance of Enphase relative to S&amp;P 500 companies. This number represents the number of shares that can be earned at 100% of target. For a further discussion of these PSUs, please refer to the section entitled “Compensation Discussion and Analysis - Equity-Based Incentive Compensation.”</w:t>
      </w:r>
    </w:p>
    <w:p>
      <w:pPr>
        <w:spacing w:after="0" w:line="11" w:lineRule="exact"/>
        <w:rPr>
          <w:sz w:val="20"/>
          <w:szCs w:val="20"/>
          <w:color w:val="auto"/>
        </w:rPr>
      </w:pPr>
    </w:p>
    <w:p>
      <w:pPr>
        <w:jc w:val="both"/>
        <w:ind w:left="260" w:right="20" w:hanging="252"/>
        <w:spacing w:after="0" w:line="273" w:lineRule="auto"/>
        <w:tabs>
          <w:tab w:leader="none" w:pos="245" w:val="left"/>
        </w:tabs>
        <w:numPr>
          <w:ilvl w:val="0"/>
          <w:numId w:val="68"/>
        </w:numPr>
        <w:rPr>
          <w:rFonts w:ascii="Arial" w:cs="Arial" w:eastAsia="Arial" w:hAnsi="Arial"/>
          <w:sz w:val="14"/>
          <w:szCs w:val="14"/>
          <w:color w:val="7D7D7D"/>
        </w:rPr>
      </w:pPr>
      <w:r>
        <w:rPr>
          <w:rFonts w:ascii="Arial" w:cs="Arial" w:eastAsia="Arial" w:hAnsi="Arial"/>
          <w:sz w:val="14"/>
          <w:szCs w:val="14"/>
          <w:color w:val="7D7D7D"/>
        </w:rPr>
        <w:t>The shares subject to the PSU award vest upon achievement of the 2024 Annual CEO SMART Goals and were eligible to vest on March 1, 2025. Further discussion of these PSUs, please refer to the section entitled “Compensation Discussion and Analysis - Equity-Based Incentive Compensation.” Based on the achievement of the performance criteria related to the performance of 2024 Annual CEO SMART Goals during 2024, 50% of the PSUs vested on March 1, 2025.</w:t>
      </w:r>
    </w:p>
    <w:p>
      <w:pPr>
        <w:spacing w:after="0" w:line="18" w:lineRule="exact"/>
        <w:rPr>
          <w:sz w:val="20"/>
          <w:szCs w:val="20"/>
          <w:color w:val="auto"/>
        </w:rPr>
      </w:pPr>
    </w:p>
    <w:p>
      <w:pPr>
        <w:jc w:val="both"/>
        <w:ind w:left="260" w:right="20" w:hanging="252"/>
        <w:spacing w:after="0" w:line="281" w:lineRule="auto"/>
        <w:tabs>
          <w:tab w:leader="none" w:pos="245" w:val="left"/>
        </w:tabs>
        <w:numPr>
          <w:ilvl w:val="0"/>
          <w:numId w:val="69"/>
        </w:numPr>
        <w:rPr>
          <w:rFonts w:ascii="Arial" w:cs="Arial" w:eastAsia="Arial" w:hAnsi="Arial"/>
          <w:sz w:val="14"/>
          <w:szCs w:val="14"/>
          <w:color w:val="7D7D7D"/>
        </w:rPr>
      </w:pPr>
      <w:r>
        <w:rPr>
          <w:rFonts w:ascii="Arial" w:cs="Arial" w:eastAsia="Arial" w:hAnsi="Arial"/>
          <w:sz w:val="14"/>
          <w:szCs w:val="14"/>
          <w:color w:val="7D7D7D"/>
        </w:rPr>
        <w:t>The shares subject to the PSU award are eligible to vest on March 1, 2027 depending on the 3-year TSR performance of Enphase relative to S&amp;P 500 companies. This number represents the number of shares that can be earned at 100% of target. For a further discussion of these PSUs, please refer to the section entitled “Compensation Discussion and Analysis - Equity-Based Incentive Compensation.”</w:t>
      </w:r>
    </w:p>
    <w:p>
      <w:pPr>
        <w:spacing w:after="0" w:line="2" w:lineRule="exact"/>
        <w:rPr>
          <w:sz w:val="20"/>
          <w:szCs w:val="20"/>
          <w:color w:val="auto"/>
        </w:rPr>
      </w:pPr>
    </w:p>
    <w:p>
      <w:pPr>
        <w:ind w:left="260" w:right="20" w:hanging="252"/>
        <w:spacing w:after="0" w:line="272" w:lineRule="auto"/>
        <w:tabs>
          <w:tab w:leader="none" w:pos="245" w:val="left"/>
        </w:tabs>
        <w:numPr>
          <w:ilvl w:val="0"/>
          <w:numId w:val="70"/>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four-year period, with 1/4</w:t>
      </w:r>
      <w:r>
        <w:rPr>
          <w:rFonts w:ascii="Arial" w:cs="Arial" w:eastAsia="Arial" w:hAnsi="Arial"/>
          <w:sz w:val="9"/>
          <w:szCs w:val="9"/>
          <w:color w:val="7D7D7D"/>
        </w:rPr>
        <w:t>th</w:t>
      </w:r>
      <w:r>
        <w:rPr>
          <w:rFonts w:ascii="Arial" w:cs="Arial" w:eastAsia="Arial" w:hAnsi="Arial"/>
          <w:sz w:val="14"/>
          <w:szCs w:val="14"/>
          <w:color w:val="7D7D7D"/>
        </w:rPr>
        <w:t xml:space="preserve"> of the RSUs vesting on March 10, 2023; and thereafter, 1/16</w:t>
      </w:r>
      <w:r>
        <w:rPr>
          <w:rFonts w:ascii="Arial" w:cs="Arial" w:eastAsia="Arial" w:hAnsi="Arial"/>
          <w:sz w:val="9"/>
          <w:szCs w:val="9"/>
          <w:color w:val="7D7D7D"/>
        </w:rPr>
        <w:t>th</w:t>
      </w:r>
      <w:r>
        <w:rPr>
          <w:rFonts w:ascii="Arial" w:cs="Arial" w:eastAsia="Arial" w:hAnsi="Arial"/>
          <w:sz w:val="14"/>
          <w:szCs w:val="14"/>
          <w:color w:val="7D7D7D"/>
        </w:rPr>
        <w:t xml:space="preserve"> of the RSU shares vesting quarterly.</w:t>
      </w:r>
    </w:p>
    <w:p>
      <w:pPr>
        <w:spacing w:after="0" w:line="220" w:lineRule="exact"/>
        <w:rPr>
          <w:sz w:val="20"/>
          <w:szCs w:val="20"/>
          <w:color w:val="auto"/>
        </w:rPr>
      </w:pPr>
    </w:p>
    <w:p>
      <w:pPr>
        <w:ind w:left="260" w:right="20" w:hanging="252"/>
        <w:spacing w:after="0"/>
        <w:tabs>
          <w:tab w:leader="none" w:pos="245" w:val="left"/>
        </w:tabs>
        <w:numPr>
          <w:ilvl w:val="0"/>
          <w:numId w:val="71"/>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two-year period, with 1/8</w:t>
      </w:r>
      <w:r>
        <w:rPr>
          <w:rFonts w:ascii="Arial" w:cs="Arial" w:eastAsia="Arial" w:hAnsi="Arial"/>
          <w:sz w:val="18"/>
          <w:szCs w:val="18"/>
          <w:color w:val="7D7D7D"/>
          <w:vertAlign w:val="superscript"/>
        </w:rPr>
        <w:t>th</w:t>
      </w:r>
      <w:r>
        <w:rPr>
          <w:rFonts w:ascii="Arial" w:cs="Arial" w:eastAsia="Arial" w:hAnsi="Arial"/>
          <w:sz w:val="14"/>
          <w:szCs w:val="14"/>
          <w:color w:val="7D7D7D"/>
        </w:rPr>
        <w:t xml:space="preserve"> of the RSUs vesting on November 10, 2023 and 1/8</w:t>
      </w:r>
      <w:r>
        <w:rPr>
          <w:rFonts w:ascii="Arial" w:cs="Arial" w:eastAsia="Arial" w:hAnsi="Arial"/>
          <w:sz w:val="18"/>
          <w:szCs w:val="18"/>
          <w:color w:val="7D7D7D"/>
          <w:vertAlign w:val="superscript"/>
        </w:rPr>
        <w:t>th</w:t>
      </w:r>
      <w:r>
        <w:rPr>
          <w:rFonts w:ascii="Arial" w:cs="Arial" w:eastAsia="Arial" w:hAnsi="Arial"/>
          <w:sz w:val="14"/>
          <w:szCs w:val="14"/>
          <w:color w:val="7D7D7D"/>
        </w:rPr>
        <w:t xml:space="preserve"> of the RSU shares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55" w:name="page56"/>
    <w:bookmarkEnd w:id="55"/>
    <w:p>
      <w:pPr>
        <w:spacing w:after="0"/>
        <w:rPr>
          <w:sz w:val="20"/>
          <w:szCs w:val="20"/>
          <w:color w:val="auto"/>
        </w:rPr>
      </w:pPr>
      <w:r>
        <w:rPr>
          <w:rFonts w:ascii="Arial" w:cs="Arial" w:eastAsia="Arial" w:hAnsi="Arial"/>
          <w:sz w:val="32"/>
          <w:szCs w:val="32"/>
          <w:b w:val="1"/>
          <w:bCs w:val="1"/>
          <w:color w:val="auto"/>
        </w:rPr>
        <w:t>Option Exercises and Stock Vested — 2024</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exercise of options and vesting of stock awards during 2024 of previously granted awards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47574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3"/>
          </w:tcPr>
          <w:p>
            <w:pPr>
              <w:ind w:left="1400"/>
              <w:spacing w:after="0"/>
              <w:rPr>
                <w:sz w:val="20"/>
                <w:szCs w:val="20"/>
                <w:color w:val="auto"/>
              </w:rPr>
            </w:pPr>
            <w:r>
              <w:rPr>
                <w:rFonts w:ascii="Arial" w:cs="Arial" w:eastAsia="Arial" w:hAnsi="Arial"/>
                <w:sz w:val="14"/>
                <w:szCs w:val="14"/>
                <w:b w:val="1"/>
                <w:bCs w:val="1"/>
                <w:color w:val="3C3C3C"/>
              </w:rPr>
              <w:t>Option Awards</w:t>
            </w:r>
          </w:p>
        </w:tc>
        <w:tc>
          <w:tcPr>
            <w:tcW w:w="240" w:type="dxa"/>
            <w:vAlign w:val="bottom"/>
          </w:tcPr>
          <w:p>
            <w:pPr>
              <w:spacing w:after="0"/>
              <w:rPr>
                <w:sz w:val="17"/>
                <w:szCs w:val="17"/>
                <w:color w:val="auto"/>
              </w:rPr>
            </w:pPr>
          </w:p>
        </w:tc>
        <w:tc>
          <w:tcPr>
            <w:tcW w:w="3420" w:type="dxa"/>
            <w:vAlign w:val="bottom"/>
            <w:gridSpan w:val="3"/>
          </w:tcPr>
          <w:p>
            <w:pPr>
              <w:ind w:left="1220"/>
              <w:spacing w:after="0"/>
              <w:rPr>
                <w:sz w:val="20"/>
                <w:szCs w:val="20"/>
                <w:color w:val="auto"/>
              </w:rPr>
            </w:pPr>
            <w:r>
              <w:rPr>
                <w:rFonts w:ascii="Arial" w:cs="Arial" w:eastAsia="Arial" w:hAnsi="Arial"/>
                <w:sz w:val="14"/>
                <w:szCs w:val="14"/>
                <w:b w:val="1"/>
                <w:bCs w:val="1"/>
                <w:color w:val="3C3C3C"/>
              </w:rPr>
              <w:t>Stock Awards</w:t>
            </w:r>
          </w:p>
        </w:tc>
      </w:tr>
      <w:tr>
        <w:trPr>
          <w:trHeight w:val="188"/>
        </w:trPr>
        <w:tc>
          <w:tcPr>
            <w:tcW w:w="3640" w:type="dxa"/>
            <w:vAlign w:val="bottom"/>
            <w:tcBorders>
              <w:left w:val="single" w:sz="8" w:color="3C3C3C"/>
            </w:tcBorders>
            <w:shd w:val="clear" w:color="auto" w:fill="3C3C3C"/>
          </w:tcPr>
          <w:p>
            <w:pPr>
              <w:spacing w:after="0"/>
              <w:rPr>
                <w:sz w:val="16"/>
                <w:szCs w:val="16"/>
                <w:color w:val="auto"/>
              </w:rPr>
            </w:pPr>
          </w:p>
        </w:tc>
        <w:tc>
          <w:tcPr>
            <w:tcW w:w="120" w:type="dxa"/>
            <w:vAlign w:val="bottom"/>
            <w:tcBorders>
              <w:right w:val="single" w:sz="8" w:color="3C3C3C"/>
            </w:tcBorders>
            <w:shd w:val="clear" w:color="auto" w:fill="3C3C3C"/>
          </w:tcPr>
          <w:p>
            <w:pPr>
              <w:spacing w:after="0"/>
              <w:rPr>
                <w:sz w:val="16"/>
                <w:szCs w:val="16"/>
                <w:color w:val="auto"/>
              </w:rPr>
            </w:pPr>
          </w:p>
        </w:tc>
        <w:tc>
          <w:tcPr>
            <w:tcW w:w="186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40" w:type="dxa"/>
            <w:vAlign w:val="bottom"/>
            <w:tcBorders>
              <w:right w:val="single" w:sz="8" w:color="3C3C3C"/>
            </w:tcBorders>
            <w:shd w:val="clear" w:color="auto" w:fill="3C3C3C"/>
          </w:tcPr>
          <w:p>
            <w:pPr>
              <w:spacing w:after="0"/>
              <w:rPr>
                <w:sz w:val="16"/>
                <w:szCs w:val="16"/>
                <w:color w:val="auto"/>
              </w:rPr>
            </w:pPr>
          </w:p>
        </w:tc>
        <w:tc>
          <w:tcPr>
            <w:tcW w:w="18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Value Realized on</w:t>
            </w:r>
          </w:p>
        </w:tc>
        <w:tc>
          <w:tcPr>
            <w:tcW w:w="240" w:type="dxa"/>
            <w:vAlign w:val="bottom"/>
            <w:tcBorders>
              <w:right w:val="single" w:sz="8" w:color="3C3C3C"/>
            </w:tcBorders>
            <w:shd w:val="clear" w:color="auto" w:fill="3C3C3C"/>
          </w:tcPr>
          <w:p>
            <w:pPr>
              <w:spacing w:after="0"/>
              <w:rPr>
                <w:sz w:val="16"/>
                <w:szCs w:val="16"/>
                <w:color w:val="auto"/>
              </w:rPr>
            </w:pPr>
          </w:p>
        </w:tc>
        <w:tc>
          <w:tcPr>
            <w:tcW w:w="17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0" w:type="dxa"/>
            <w:vAlign w:val="bottom"/>
            <w:tcBorders>
              <w:right w:val="single" w:sz="8" w:color="3C3C3C"/>
            </w:tcBorders>
            <w:shd w:val="clear" w:color="auto" w:fill="3C3C3C"/>
          </w:tcPr>
          <w:p>
            <w:pPr>
              <w:spacing w:after="0"/>
              <w:rPr>
                <w:sz w:val="16"/>
                <w:szCs w:val="16"/>
                <w:color w:val="auto"/>
              </w:rPr>
            </w:pP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Value Realized on</w:t>
            </w:r>
          </w:p>
        </w:tc>
      </w:tr>
      <w:tr>
        <w:trPr>
          <w:trHeight w:val="173"/>
        </w:trPr>
        <w:tc>
          <w:tcPr>
            <w:tcW w:w="3640" w:type="dxa"/>
            <w:vAlign w:val="bottom"/>
            <w:tcBorders>
              <w:lef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20" w:type="dxa"/>
            <w:vAlign w:val="bottom"/>
            <w:tcBorders>
              <w:right w:val="single" w:sz="8" w:color="3C3C3C"/>
            </w:tcBorders>
            <w:shd w:val="clear" w:color="auto" w:fill="3C3C3C"/>
          </w:tcPr>
          <w:p>
            <w:pPr>
              <w:spacing w:after="0"/>
              <w:rPr>
                <w:sz w:val="15"/>
                <w:szCs w:val="15"/>
                <w:color w:val="auto"/>
              </w:rPr>
            </w:pPr>
          </w:p>
        </w:tc>
        <w:tc>
          <w:tcPr>
            <w:tcW w:w="186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Acquired on Exercise</w:t>
            </w:r>
          </w:p>
        </w:tc>
        <w:tc>
          <w:tcPr>
            <w:tcW w:w="140" w:type="dxa"/>
            <w:vAlign w:val="bottom"/>
            <w:tcBorders>
              <w:right w:val="single" w:sz="8" w:color="3C3C3C"/>
            </w:tcBorders>
            <w:shd w:val="clear" w:color="auto" w:fill="3C3C3C"/>
          </w:tcPr>
          <w:p>
            <w:pPr>
              <w:spacing w:after="0"/>
              <w:rPr>
                <w:sz w:val="15"/>
                <w:szCs w:val="15"/>
                <w:color w:val="auto"/>
              </w:rPr>
            </w:pPr>
          </w:p>
        </w:tc>
        <w:tc>
          <w:tcPr>
            <w:tcW w:w="18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Exercise</w:t>
            </w:r>
          </w:p>
        </w:tc>
        <w:tc>
          <w:tcPr>
            <w:tcW w:w="240" w:type="dxa"/>
            <w:vAlign w:val="bottom"/>
            <w:tcBorders>
              <w:right w:val="single" w:sz="8" w:color="3C3C3C"/>
            </w:tcBorders>
            <w:shd w:val="clear" w:color="auto" w:fill="3C3C3C"/>
          </w:tcPr>
          <w:p>
            <w:pPr>
              <w:spacing w:after="0"/>
              <w:rPr>
                <w:sz w:val="15"/>
                <w:szCs w:val="15"/>
                <w:color w:val="auto"/>
              </w:rPr>
            </w:pPr>
          </w:p>
        </w:tc>
        <w:tc>
          <w:tcPr>
            <w:tcW w:w="17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Acquired on Vesting</w:t>
            </w:r>
          </w:p>
        </w:tc>
        <w:tc>
          <w:tcPr>
            <w:tcW w:w="120" w:type="dxa"/>
            <w:vAlign w:val="bottom"/>
            <w:tcBorders>
              <w:right w:val="single" w:sz="8" w:color="3C3C3C"/>
            </w:tcBorders>
            <w:shd w:val="clear" w:color="auto" w:fill="3C3C3C"/>
          </w:tcPr>
          <w:p>
            <w:pPr>
              <w:spacing w:after="0"/>
              <w:rPr>
                <w:sz w:val="15"/>
                <w:szCs w:val="15"/>
                <w:color w:val="auto"/>
              </w:rPr>
            </w:pP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Vesting</w:t>
            </w:r>
          </w:p>
        </w:tc>
      </w:tr>
      <w:tr>
        <w:trPr>
          <w:trHeight w:val="214"/>
        </w:trPr>
        <w:tc>
          <w:tcPr>
            <w:tcW w:w="3640" w:type="dxa"/>
            <w:vAlign w:val="bottom"/>
            <w:tcBorders>
              <w:left w:val="single" w:sz="8" w:color="3C3C3C"/>
            </w:tcBorders>
            <w:shd w:val="clear" w:color="auto" w:fill="3C3C3C"/>
          </w:tcPr>
          <w:p>
            <w:pPr>
              <w:spacing w:after="0"/>
              <w:rPr>
                <w:sz w:val="18"/>
                <w:szCs w:val="18"/>
                <w:color w:val="auto"/>
              </w:rPr>
            </w:pPr>
          </w:p>
        </w:tc>
        <w:tc>
          <w:tcPr>
            <w:tcW w:w="1980" w:type="dxa"/>
            <w:vAlign w:val="bottom"/>
            <w:gridSpan w:val="2"/>
            <w:shd w:val="clear" w:color="auto" w:fill="3C3C3C"/>
          </w:tcPr>
          <w:p>
            <w:pPr>
              <w:jc w:val="center"/>
              <w:ind w:left="48"/>
              <w:spacing w:after="0"/>
              <w:rPr>
                <w:sz w:val="20"/>
                <w:szCs w:val="20"/>
                <w:color w:val="auto"/>
              </w:rPr>
            </w:pPr>
            <w:r>
              <w:rPr>
                <w:rFonts w:ascii="Arial" w:cs="Arial" w:eastAsia="Arial" w:hAnsi="Arial"/>
                <w:sz w:val="14"/>
                <w:szCs w:val="14"/>
                <w:b w:val="1"/>
                <w:bCs w:val="1"/>
                <w:color w:val="FFFFFF"/>
              </w:rPr>
              <w:t>(#)</w:t>
            </w:r>
          </w:p>
        </w:tc>
        <w:tc>
          <w:tcPr>
            <w:tcW w:w="1980" w:type="dxa"/>
            <w:vAlign w:val="bottom"/>
            <w:gridSpan w:val="2"/>
            <w:shd w:val="clear" w:color="auto" w:fill="3C3C3C"/>
          </w:tcPr>
          <w:p>
            <w:pPr>
              <w:jc w:val="center"/>
              <w:ind w:left="6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(1)</w:t>
            </w:r>
          </w:p>
        </w:tc>
        <w:tc>
          <w:tcPr>
            <w:tcW w:w="1940" w:type="dxa"/>
            <w:vAlign w:val="bottom"/>
            <w:gridSpan w:val="2"/>
            <w:shd w:val="clear" w:color="auto" w:fill="3C3C3C"/>
          </w:tcPr>
          <w:p>
            <w:pPr>
              <w:jc w:val="center"/>
              <w:ind w:left="168"/>
              <w:spacing w:after="0"/>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(2)</w:t>
            </w:r>
          </w:p>
        </w:tc>
        <w:tc>
          <w:tcPr>
            <w:tcW w:w="1720" w:type="dxa"/>
            <w:vAlign w:val="bottom"/>
            <w:tcBorders>
              <w:right w:val="single" w:sz="8" w:color="3C3C3C"/>
            </w:tcBorders>
            <w:gridSpan w:val="2"/>
            <w:shd w:val="clear" w:color="auto" w:fill="3C3C3C"/>
          </w:tcPr>
          <w:p>
            <w:pPr>
              <w:jc w:val="center"/>
              <w:ind w:left="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r>
      <w:tr>
        <w:trPr>
          <w:trHeight w:val="268"/>
        </w:trPr>
        <w:tc>
          <w:tcPr>
            <w:tcW w:w="3640" w:type="dxa"/>
            <w:vAlign w:val="bottom"/>
            <w:tcBorders>
              <w:left w:val="single" w:sz="8" w:color="929292"/>
            </w:tcBorders>
            <w:shd w:val="clear" w:color="auto" w:fill="FAF6EF"/>
          </w:tcPr>
          <w:p>
            <w:pPr>
              <w:spacing w:after="0"/>
              <w:rPr>
                <w:sz w:val="23"/>
                <w:szCs w:val="23"/>
                <w:color w:val="auto"/>
              </w:rPr>
            </w:pPr>
          </w:p>
        </w:tc>
        <w:tc>
          <w:tcPr>
            <w:tcW w:w="120" w:type="dxa"/>
            <w:vAlign w:val="bottom"/>
            <w:tcBorders>
              <w:right w:val="single" w:sz="8" w:color="929292"/>
            </w:tcBorders>
            <w:shd w:val="clear" w:color="auto" w:fill="FAF6EF"/>
          </w:tcPr>
          <w:p>
            <w:pPr>
              <w:spacing w:after="0"/>
              <w:rPr>
                <w:sz w:val="23"/>
                <w:szCs w:val="23"/>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557,660</w:t>
            </w:r>
          </w:p>
        </w:tc>
        <w:tc>
          <w:tcPr>
            <w:tcW w:w="140" w:type="dxa"/>
            <w:vAlign w:val="bottom"/>
            <w:tcBorders>
              <w:right w:val="single" w:sz="8" w:color="929292"/>
            </w:tcBorders>
            <w:shd w:val="clear" w:color="auto" w:fill="FAF6EF"/>
          </w:tcPr>
          <w:p>
            <w:pPr>
              <w:spacing w:after="0"/>
              <w:rPr>
                <w:sz w:val="23"/>
                <w:szCs w:val="23"/>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68,296,620</w:t>
            </w:r>
          </w:p>
        </w:tc>
        <w:tc>
          <w:tcPr>
            <w:tcW w:w="240" w:type="dxa"/>
            <w:vAlign w:val="bottom"/>
            <w:tcBorders>
              <w:right w:val="single" w:sz="8" w:color="929292"/>
            </w:tcBorders>
            <w:shd w:val="clear" w:color="auto" w:fill="FAF6EF"/>
          </w:tcPr>
          <w:p>
            <w:pPr>
              <w:spacing w:after="0"/>
              <w:rPr>
                <w:sz w:val="23"/>
                <w:szCs w:val="23"/>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13,200</w:t>
            </w:r>
          </w:p>
        </w:tc>
        <w:tc>
          <w:tcPr>
            <w:tcW w:w="120" w:type="dxa"/>
            <w:vAlign w:val="bottom"/>
            <w:tcBorders>
              <w:right w:val="single" w:sz="8" w:color="929292"/>
            </w:tcBorders>
            <w:shd w:val="clear" w:color="auto" w:fill="FAF6EF"/>
          </w:tcPr>
          <w:p>
            <w:pPr>
              <w:spacing w:after="0"/>
              <w:rPr>
                <w:sz w:val="23"/>
                <w:szCs w:val="23"/>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1,711,512</w:t>
            </w:r>
          </w:p>
        </w:tc>
      </w:tr>
      <w:tr>
        <w:trPr>
          <w:trHeight w:val="292"/>
        </w:trPr>
        <w:tc>
          <w:tcPr>
            <w:tcW w:w="36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8,800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1,141,008</w:t>
            </w:r>
          </w:p>
        </w:tc>
      </w:tr>
      <w:tr>
        <w:trPr>
          <w:trHeight w:val="325"/>
        </w:trPr>
        <w:tc>
          <w:tcPr>
            <w:tcW w:w="3640" w:type="dxa"/>
            <w:vAlign w:val="bottom"/>
            <w:tcBorders>
              <w:left w:val="single" w:sz="8" w:color="929292"/>
              <w:bottom w:val="single" w:sz="8" w:color="FAF6EF"/>
            </w:tcBorders>
            <w:shd w:val="clear" w:color="auto" w:fill="FAF6EF"/>
          </w:tcPr>
          <w:p>
            <w:pPr>
              <w:spacing w:after="0"/>
              <w:rPr>
                <w:sz w:val="24"/>
                <w:szCs w:val="24"/>
                <w:color w:val="auto"/>
              </w:rPr>
            </w:pPr>
          </w:p>
        </w:tc>
        <w:tc>
          <w:tcPr>
            <w:tcW w:w="120" w:type="dxa"/>
            <w:vAlign w:val="bottom"/>
            <w:tcBorders>
              <w:bottom w:val="single" w:sz="8" w:color="FAF6EF"/>
              <w:right w:val="single" w:sz="8" w:color="929292"/>
            </w:tcBorders>
            <w:shd w:val="clear" w:color="auto" w:fill="FAF6EF"/>
          </w:tcPr>
          <w:p>
            <w:pPr>
              <w:spacing w:after="0"/>
              <w:rPr>
                <w:sz w:val="24"/>
                <w:szCs w:val="24"/>
                <w:color w:val="auto"/>
              </w:rPr>
            </w:pPr>
          </w:p>
        </w:tc>
        <w:tc>
          <w:tcPr>
            <w:tcW w:w="186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FAF6EF"/>
              <w:right w:val="single" w:sz="8" w:color="929292"/>
            </w:tcBorders>
            <w:shd w:val="clear" w:color="auto" w:fill="FAF6EF"/>
          </w:tcPr>
          <w:p>
            <w:pPr>
              <w:spacing w:after="0"/>
              <w:rPr>
                <w:sz w:val="24"/>
                <w:szCs w:val="24"/>
                <w:color w:val="auto"/>
              </w:rPr>
            </w:pPr>
          </w:p>
        </w:tc>
        <w:tc>
          <w:tcPr>
            <w:tcW w:w="184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FAF6EF"/>
              <w:right w:val="single" w:sz="8" w:color="929292"/>
            </w:tcBorders>
            <w:shd w:val="clear" w:color="auto" w:fill="FAF6EF"/>
          </w:tcPr>
          <w:p>
            <w:pPr>
              <w:spacing w:after="0"/>
              <w:rPr>
                <w:sz w:val="24"/>
                <w:szCs w:val="24"/>
                <w:color w:val="auto"/>
              </w:rPr>
            </w:pPr>
          </w:p>
        </w:tc>
        <w:tc>
          <w:tcPr>
            <w:tcW w:w="170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rPr>
              <w:t>16,000</w:t>
            </w:r>
          </w:p>
        </w:tc>
        <w:tc>
          <w:tcPr>
            <w:tcW w:w="120" w:type="dxa"/>
            <w:vAlign w:val="bottom"/>
            <w:tcBorders>
              <w:bottom w:val="single" w:sz="8" w:color="FAF6EF"/>
              <w:right w:val="single" w:sz="8" w:color="929292"/>
            </w:tcBorders>
            <w:shd w:val="clear" w:color="auto" w:fill="FAF6EF"/>
          </w:tcPr>
          <w:p>
            <w:pPr>
              <w:spacing w:after="0"/>
              <w:rPr>
                <w:sz w:val="24"/>
                <w:szCs w:val="24"/>
                <w:color w:val="auto"/>
              </w:rPr>
            </w:pPr>
          </w:p>
        </w:tc>
        <w:tc>
          <w:tcPr>
            <w:tcW w:w="1600" w:type="dxa"/>
            <w:vAlign w:val="bottom"/>
            <w:tcBorders>
              <w:bottom w:val="single" w:sz="8" w:color="FAF6EF"/>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2,074,560</w:t>
            </w:r>
          </w:p>
        </w:tc>
      </w:tr>
      <w:tr>
        <w:trPr>
          <w:trHeight w:val="268"/>
        </w:trPr>
        <w:tc>
          <w:tcPr>
            <w:tcW w:w="3640" w:type="dxa"/>
            <w:vAlign w:val="bottom"/>
            <w:tcBorders>
              <w:left w:val="single" w:sz="8" w:color="929292"/>
            </w:tcBorders>
          </w:tcPr>
          <w:p>
            <w:pPr>
              <w:spacing w:after="0"/>
              <w:rPr>
                <w:sz w:val="23"/>
                <w:szCs w:val="23"/>
                <w:color w:val="auto"/>
              </w:rPr>
            </w:pPr>
          </w:p>
        </w:tc>
        <w:tc>
          <w:tcPr>
            <w:tcW w:w="120" w:type="dxa"/>
            <w:vAlign w:val="bottom"/>
            <w:tcBorders>
              <w:right w:val="single" w:sz="8" w:color="929292"/>
            </w:tcBorders>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4,290</w:t>
            </w:r>
          </w:p>
        </w:tc>
        <w:tc>
          <w:tcPr>
            <w:tcW w:w="120" w:type="dxa"/>
            <w:vAlign w:val="bottom"/>
            <w:tcBorders>
              <w:right w:val="single" w:sz="8" w:color="929292"/>
            </w:tcBorders>
          </w:tcPr>
          <w:p>
            <w:pPr>
              <w:spacing w:after="0"/>
              <w:rPr>
                <w:sz w:val="23"/>
                <w:szCs w:val="23"/>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556,241</w:t>
            </w:r>
          </w:p>
        </w:tc>
      </w:tr>
      <w:tr>
        <w:trPr>
          <w:trHeight w:val="324"/>
        </w:trPr>
        <w:tc>
          <w:tcPr>
            <w:tcW w:w="364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2,500</w:t>
            </w:r>
          </w:p>
        </w:tc>
        <w:tc>
          <w:tcPr>
            <w:tcW w:w="120" w:type="dxa"/>
            <w:vAlign w:val="bottom"/>
            <w:tcBorders>
              <w:right w:val="single" w:sz="8" w:color="929292"/>
            </w:tcBorders>
          </w:tcPr>
          <w:p>
            <w:pPr>
              <w:spacing w:after="0"/>
              <w:rPr>
                <w:sz w:val="24"/>
                <w:szCs w:val="24"/>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325,700</w:t>
            </w:r>
          </w:p>
        </w:tc>
      </w:tr>
      <w:tr>
        <w:trPr>
          <w:trHeight w:val="324"/>
        </w:trPr>
        <w:tc>
          <w:tcPr>
            <w:tcW w:w="364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2,500</w:t>
            </w:r>
          </w:p>
        </w:tc>
        <w:tc>
          <w:tcPr>
            <w:tcW w:w="120" w:type="dxa"/>
            <w:vAlign w:val="bottom"/>
            <w:tcBorders>
              <w:right w:val="single" w:sz="8" w:color="929292"/>
            </w:tcBorders>
          </w:tcPr>
          <w:p>
            <w:pPr>
              <w:spacing w:after="0"/>
              <w:rPr>
                <w:sz w:val="24"/>
                <w:szCs w:val="24"/>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326,675</w:t>
            </w:r>
          </w:p>
        </w:tc>
      </w:tr>
      <w:tr>
        <w:trPr>
          <w:trHeight w:val="332"/>
        </w:trPr>
        <w:tc>
          <w:tcPr>
            <w:tcW w:w="3640" w:type="dxa"/>
            <w:vAlign w:val="bottom"/>
            <w:tcBorders>
              <w:lef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20" w:type="dxa"/>
            <w:vAlign w:val="bottom"/>
            <w:tcBorders>
              <w:right w:val="single" w:sz="8" w:color="929292"/>
            </w:tcBorders>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2,500</w:t>
            </w:r>
          </w:p>
        </w:tc>
        <w:tc>
          <w:tcPr>
            <w:tcW w:w="120" w:type="dxa"/>
            <w:vAlign w:val="bottom"/>
            <w:tcBorders>
              <w:right w:val="single" w:sz="8" w:color="929292"/>
            </w:tcBorders>
          </w:tcPr>
          <w:p>
            <w:pPr>
              <w:spacing w:after="0"/>
              <w:rPr>
                <w:sz w:val="24"/>
                <w:szCs w:val="24"/>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261,525</w:t>
            </w:r>
          </w:p>
        </w:tc>
      </w:tr>
      <w:tr>
        <w:trPr>
          <w:trHeight w:val="316"/>
        </w:trPr>
        <w:tc>
          <w:tcPr>
            <w:tcW w:w="364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5,200</w:t>
            </w:r>
          </w:p>
        </w:tc>
        <w:tc>
          <w:tcPr>
            <w:tcW w:w="120" w:type="dxa"/>
            <w:vAlign w:val="bottom"/>
            <w:tcBorders>
              <w:right w:val="single" w:sz="8" w:color="929292"/>
            </w:tcBorders>
          </w:tcPr>
          <w:p>
            <w:pPr>
              <w:spacing w:after="0"/>
              <w:rPr>
                <w:sz w:val="24"/>
                <w:szCs w:val="24"/>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674,232</w:t>
            </w:r>
          </w:p>
        </w:tc>
      </w:tr>
      <w:tr>
        <w:trPr>
          <w:trHeight w:val="324"/>
        </w:trPr>
        <w:tc>
          <w:tcPr>
            <w:tcW w:w="364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2,860</w:t>
            </w:r>
          </w:p>
        </w:tc>
        <w:tc>
          <w:tcPr>
            <w:tcW w:w="120" w:type="dxa"/>
            <w:vAlign w:val="bottom"/>
            <w:tcBorders>
              <w:right w:val="single" w:sz="8" w:color="929292"/>
            </w:tcBorders>
          </w:tcPr>
          <w:p>
            <w:pPr>
              <w:spacing w:after="0"/>
              <w:rPr>
                <w:sz w:val="24"/>
                <w:szCs w:val="24"/>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370,828</w:t>
            </w:r>
          </w:p>
        </w:tc>
      </w:tr>
      <w:tr>
        <w:trPr>
          <w:trHeight w:val="324"/>
        </w:trPr>
        <w:tc>
          <w:tcPr>
            <w:tcW w:w="364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2,500</w:t>
            </w:r>
          </w:p>
        </w:tc>
        <w:tc>
          <w:tcPr>
            <w:tcW w:w="120" w:type="dxa"/>
            <w:vAlign w:val="bottom"/>
            <w:tcBorders>
              <w:right w:val="single" w:sz="8" w:color="929292"/>
            </w:tcBorders>
          </w:tcPr>
          <w:p>
            <w:pPr>
              <w:spacing w:after="0"/>
              <w:rPr>
                <w:sz w:val="24"/>
                <w:szCs w:val="24"/>
                <w:color w:val="auto"/>
              </w:rPr>
            </w:pP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186,125</w:t>
            </w:r>
          </w:p>
        </w:tc>
      </w:tr>
      <w:tr>
        <w:trPr>
          <w:trHeight w:val="56"/>
        </w:trPr>
        <w:tc>
          <w:tcPr>
            <w:tcW w:w="3640" w:type="dxa"/>
            <w:vAlign w:val="bottom"/>
            <w:tcBorders>
              <w:left w:val="single" w:sz="8" w:color="929292"/>
            </w:tcBorders>
          </w:tcPr>
          <w:p>
            <w:pPr>
              <w:spacing w:after="0"/>
              <w:rPr>
                <w:sz w:val="4"/>
                <w:szCs w:val="4"/>
                <w:color w:val="auto"/>
              </w:rPr>
            </w:pPr>
          </w:p>
        </w:tc>
        <w:tc>
          <w:tcPr>
            <w:tcW w:w="120" w:type="dxa"/>
            <w:vAlign w:val="bottom"/>
            <w:tcBorders>
              <w:right w:val="single" w:sz="8" w:color="929292"/>
            </w:tcBorders>
          </w:tcPr>
          <w:p>
            <w:pPr>
              <w:spacing w:after="0"/>
              <w:rPr>
                <w:sz w:val="4"/>
                <w:szCs w:val="4"/>
                <w:color w:val="auto"/>
              </w:rPr>
            </w:pPr>
          </w:p>
        </w:tc>
        <w:tc>
          <w:tcPr>
            <w:tcW w:w="1860" w:type="dxa"/>
            <w:vAlign w:val="bottom"/>
          </w:tcPr>
          <w:p>
            <w:pPr>
              <w:spacing w:after="0"/>
              <w:rPr>
                <w:sz w:val="4"/>
                <w:szCs w:val="4"/>
                <w:color w:val="auto"/>
              </w:rPr>
            </w:pPr>
          </w:p>
        </w:tc>
        <w:tc>
          <w:tcPr>
            <w:tcW w:w="140" w:type="dxa"/>
            <w:vAlign w:val="bottom"/>
            <w:tcBorders>
              <w:right w:val="single" w:sz="8" w:color="929292"/>
            </w:tcBorders>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Borders>
              <w:right w:val="single" w:sz="8" w:color="929292"/>
            </w:tcBorders>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Borders>
              <w:right w:val="single" w:sz="8" w:color="929292"/>
            </w:tcBorders>
          </w:tcPr>
          <w:p>
            <w:pPr>
              <w:spacing w:after="0"/>
              <w:rPr>
                <w:sz w:val="4"/>
                <w:szCs w:val="4"/>
                <w:color w:val="auto"/>
              </w:rPr>
            </w:pPr>
          </w:p>
        </w:tc>
        <w:tc>
          <w:tcPr>
            <w:tcW w:w="1600" w:type="dxa"/>
            <w:vAlign w:val="bottom"/>
            <w:tcBorders>
              <w:right w:val="single" w:sz="8" w:color="929292"/>
            </w:tcBorders>
          </w:tcPr>
          <w:p>
            <w:pPr>
              <w:spacing w:after="0"/>
              <w:rPr>
                <w:sz w:val="4"/>
                <w:szCs w:val="4"/>
                <w:color w:val="auto"/>
              </w:rPr>
            </w:pPr>
          </w:p>
        </w:tc>
      </w:tr>
      <w:tr>
        <w:trPr>
          <w:trHeight w:val="268"/>
        </w:trPr>
        <w:tc>
          <w:tcPr>
            <w:tcW w:w="3640" w:type="dxa"/>
            <w:vAlign w:val="bottom"/>
            <w:tcBorders>
              <w:left w:val="single" w:sz="8" w:color="929292"/>
            </w:tcBorders>
            <w:shd w:val="clear" w:color="auto" w:fill="FAF6EF"/>
          </w:tcPr>
          <w:p>
            <w:pPr>
              <w:spacing w:after="0"/>
              <w:rPr>
                <w:sz w:val="23"/>
                <w:szCs w:val="23"/>
                <w:color w:val="auto"/>
              </w:rPr>
            </w:pPr>
          </w:p>
        </w:tc>
        <w:tc>
          <w:tcPr>
            <w:tcW w:w="120" w:type="dxa"/>
            <w:vAlign w:val="bottom"/>
            <w:tcBorders>
              <w:right w:val="single" w:sz="8" w:color="929292"/>
            </w:tcBorders>
            <w:shd w:val="clear" w:color="auto" w:fill="FAF6EF"/>
          </w:tcPr>
          <w:p>
            <w:pPr>
              <w:spacing w:after="0"/>
              <w:rPr>
                <w:sz w:val="23"/>
                <w:szCs w:val="23"/>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3"/>
                <w:szCs w:val="23"/>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3"/>
                <w:szCs w:val="23"/>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2,475</w:t>
            </w:r>
          </w:p>
        </w:tc>
        <w:tc>
          <w:tcPr>
            <w:tcW w:w="120" w:type="dxa"/>
            <w:vAlign w:val="bottom"/>
            <w:tcBorders>
              <w:right w:val="single" w:sz="8" w:color="929292"/>
            </w:tcBorders>
            <w:shd w:val="clear" w:color="auto" w:fill="FAF6EF"/>
          </w:tcPr>
          <w:p>
            <w:pPr>
              <w:spacing w:after="0"/>
              <w:rPr>
                <w:sz w:val="23"/>
                <w:szCs w:val="23"/>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320,909</w:t>
            </w:r>
          </w:p>
        </w:tc>
      </w:tr>
      <w:tr>
        <w:trPr>
          <w:trHeight w:val="324"/>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6,600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855,756</w:t>
            </w:r>
          </w:p>
        </w:tc>
      </w:tr>
      <w:tr>
        <w:trPr>
          <w:trHeight w:val="324"/>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3,750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404,475</w:t>
            </w:r>
          </w:p>
        </w:tc>
      </w:tr>
      <w:tr>
        <w:trPr>
          <w:trHeight w:val="324"/>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6,400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829,824</w:t>
            </w:r>
          </w:p>
        </w:tc>
      </w:tr>
      <w:tr>
        <w:trPr>
          <w:trHeight w:val="332"/>
        </w:trPr>
        <w:tc>
          <w:tcPr>
            <w:tcW w:w="364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3,750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459,263</w:t>
            </w:r>
          </w:p>
        </w:tc>
      </w:tr>
      <w:tr>
        <w:trPr>
          <w:trHeight w:val="316"/>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1,650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213,939</w:t>
            </w:r>
          </w:p>
        </w:tc>
      </w:tr>
      <w:tr>
        <w:trPr>
          <w:trHeight w:val="324"/>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3,750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406,313</w:t>
            </w:r>
          </w:p>
        </w:tc>
      </w:tr>
      <w:tr>
        <w:trPr>
          <w:trHeight w:val="324"/>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3,750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250,875</w:t>
            </w:r>
          </w:p>
        </w:tc>
      </w:tr>
      <w:tr>
        <w:trPr>
          <w:trHeight w:val="324"/>
        </w:trPr>
        <w:tc>
          <w:tcPr>
            <w:tcW w:w="364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18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929292"/>
            </w:tcBorders>
            <w:shd w:val="clear" w:color="auto" w:fill="FAF6EF"/>
          </w:tcPr>
          <w:p>
            <w:pPr>
              <w:spacing w:after="0"/>
              <w:rPr>
                <w:sz w:val="24"/>
                <w:szCs w:val="24"/>
                <w:color w:val="auto"/>
              </w:rPr>
            </w:pPr>
          </w:p>
        </w:tc>
        <w:tc>
          <w:tcPr>
            <w:tcW w:w="18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929292"/>
            </w:tcBorders>
            <w:shd w:val="clear" w:color="auto" w:fill="FAF6EF"/>
          </w:tcPr>
          <w:p>
            <w:pPr>
              <w:spacing w:after="0"/>
              <w:rPr>
                <w:sz w:val="24"/>
                <w:szCs w:val="24"/>
                <w:color w:val="auto"/>
              </w:rPr>
            </w:pPr>
          </w:p>
        </w:tc>
        <w:tc>
          <w:tcPr>
            <w:tcW w:w="17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4,400</w:t>
            </w:r>
          </w:p>
        </w:tc>
        <w:tc>
          <w:tcPr>
            <w:tcW w:w="120" w:type="dxa"/>
            <w:vAlign w:val="bottom"/>
            <w:tcBorders>
              <w:right w:val="single" w:sz="8" w:color="929292"/>
            </w:tcBorders>
            <w:shd w:val="clear" w:color="auto" w:fill="FAF6EF"/>
          </w:tcPr>
          <w:p>
            <w:pPr>
              <w:spacing w:after="0"/>
              <w:rPr>
                <w:sz w:val="24"/>
                <w:szCs w:val="24"/>
                <w:color w:val="auto"/>
              </w:rPr>
            </w:pP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570,504</w:t>
            </w:r>
          </w:p>
        </w:tc>
      </w:tr>
      <w:tr>
        <w:trPr>
          <w:trHeight w:val="56"/>
        </w:trPr>
        <w:tc>
          <w:tcPr>
            <w:tcW w:w="3640" w:type="dxa"/>
            <w:vAlign w:val="bottom"/>
            <w:tcBorders>
              <w:left w:val="single" w:sz="8" w:color="929292"/>
            </w:tcBorders>
            <w:shd w:val="clear" w:color="auto" w:fill="FAF6EF"/>
          </w:tcPr>
          <w:p>
            <w:pPr>
              <w:spacing w:after="0"/>
              <w:rPr>
                <w:sz w:val="4"/>
                <w:szCs w:val="4"/>
                <w:color w:val="auto"/>
              </w:rPr>
            </w:pPr>
          </w:p>
        </w:tc>
        <w:tc>
          <w:tcPr>
            <w:tcW w:w="120" w:type="dxa"/>
            <w:vAlign w:val="bottom"/>
            <w:tcBorders>
              <w:right w:val="single" w:sz="8" w:color="929292"/>
            </w:tcBorders>
            <w:shd w:val="clear" w:color="auto" w:fill="FAF6EF"/>
          </w:tcPr>
          <w:p>
            <w:pPr>
              <w:spacing w:after="0"/>
              <w:rPr>
                <w:sz w:val="4"/>
                <w:szCs w:val="4"/>
                <w:color w:val="auto"/>
              </w:rPr>
            </w:pPr>
          </w:p>
        </w:tc>
        <w:tc>
          <w:tcPr>
            <w:tcW w:w="1860" w:type="dxa"/>
            <w:vAlign w:val="bottom"/>
            <w:shd w:val="clear" w:color="auto" w:fill="FAF6EF"/>
          </w:tcPr>
          <w:p>
            <w:pPr>
              <w:spacing w:after="0"/>
              <w:rPr>
                <w:sz w:val="4"/>
                <w:szCs w:val="4"/>
                <w:color w:val="auto"/>
              </w:rPr>
            </w:pPr>
          </w:p>
        </w:tc>
        <w:tc>
          <w:tcPr>
            <w:tcW w:w="140" w:type="dxa"/>
            <w:vAlign w:val="bottom"/>
            <w:tcBorders>
              <w:right w:val="single" w:sz="8" w:color="929292"/>
            </w:tcBorders>
            <w:shd w:val="clear" w:color="auto" w:fill="FAF6EF"/>
          </w:tcPr>
          <w:p>
            <w:pPr>
              <w:spacing w:after="0"/>
              <w:rPr>
                <w:sz w:val="4"/>
                <w:szCs w:val="4"/>
                <w:color w:val="auto"/>
              </w:rPr>
            </w:pPr>
          </w:p>
        </w:tc>
        <w:tc>
          <w:tcPr>
            <w:tcW w:w="1840" w:type="dxa"/>
            <w:vAlign w:val="bottom"/>
            <w:shd w:val="clear" w:color="auto" w:fill="FAF6EF"/>
          </w:tcPr>
          <w:p>
            <w:pPr>
              <w:spacing w:after="0"/>
              <w:rPr>
                <w:sz w:val="4"/>
                <w:szCs w:val="4"/>
                <w:color w:val="auto"/>
              </w:rPr>
            </w:pPr>
          </w:p>
        </w:tc>
        <w:tc>
          <w:tcPr>
            <w:tcW w:w="240" w:type="dxa"/>
            <w:vAlign w:val="bottom"/>
            <w:tcBorders>
              <w:right w:val="single" w:sz="8" w:color="929292"/>
            </w:tcBorders>
            <w:shd w:val="clear" w:color="auto" w:fill="FAF6EF"/>
          </w:tcPr>
          <w:p>
            <w:pPr>
              <w:spacing w:after="0"/>
              <w:rPr>
                <w:sz w:val="4"/>
                <w:szCs w:val="4"/>
                <w:color w:val="auto"/>
              </w:rPr>
            </w:pPr>
          </w:p>
        </w:tc>
        <w:tc>
          <w:tcPr>
            <w:tcW w:w="1700" w:type="dxa"/>
            <w:vAlign w:val="bottom"/>
            <w:shd w:val="clear" w:color="auto" w:fill="FAF6EF"/>
          </w:tcPr>
          <w:p>
            <w:pPr>
              <w:spacing w:after="0"/>
              <w:rPr>
                <w:sz w:val="4"/>
                <w:szCs w:val="4"/>
                <w:color w:val="auto"/>
              </w:rPr>
            </w:pPr>
          </w:p>
        </w:tc>
        <w:tc>
          <w:tcPr>
            <w:tcW w:w="120" w:type="dxa"/>
            <w:vAlign w:val="bottom"/>
            <w:tcBorders>
              <w:right w:val="single" w:sz="8" w:color="929292"/>
            </w:tcBorders>
            <w:shd w:val="clear" w:color="auto" w:fill="FAF6EF"/>
          </w:tcPr>
          <w:p>
            <w:pPr>
              <w:spacing w:after="0"/>
              <w:rPr>
                <w:sz w:val="4"/>
                <w:szCs w:val="4"/>
                <w:color w:val="auto"/>
              </w:rPr>
            </w:pPr>
          </w:p>
        </w:tc>
        <w:tc>
          <w:tcPr>
            <w:tcW w:w="1600" w:type="dxa"/>
            <w:vAlign w:val="bottom"/>
            <w:tcBorders>
              <w:right w:val="single" w:sz="8" w:color="929292"/>
            </w:tcBorders>
            <w:shd w:val="clear" w:color="auto" w:fill="FAF6EF"/>
          </w:tcPr>
          <w:p>
            <w:pPr>
              <w:spacing w:after="0"/>
              <w:rPr>
                <w:sz w:val="4"/>
                <w:szCs w:val="4"/>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jc w:val="both"/>
        <w:ind w:left="260" w:right="20" w:hanging="252"/>
        <w:spacing w:after="0" w:line="276" w:lineRule="auto"/>
        <w:tabs>
          <w:tab w:leader="none" w:pos="245" w:val="left"/>
        </w:tabs>
        <w:numPr>
          <w:ilvl w:val="0"/>
          <w:numId w:val="72"/>
        </w:numPr>
        <w:rPr>
          <w:rFonts w:ascii="Arial" w:cs="Arial" w:eastAsia="Arial" w:hAnsi="Arial"/>
          <w:sz w:val="14"/>
          <w:szCs w:val="14"/>
          <w:color w:val="7D7D7D"/>
        </w:rPr>
      </w:pPr>
      <w:r>
        <w:rPr>
          <w:rFonts w:ascii="Arial" w:cs="Arial" w:eastAsia="Arial" w:hAnsi="Arial"/>
          <w:sz w:val="14"/>
          <w:szCs w:val="14"/>
          <w:color w:val="7D7D7D"/>
        </w:rPr>
        <w:t>The amount shown for value realized on exercise of stock options equals (i) the number of shares of our common stock to which the exercise of the stock option related, multiplied by (ii) the difference between the per-share market price of the shares on the date of exercise and the per-share exercise price of the option. If the stock acquired upon exercise was sold on the day of exercise, the market price was determined as the actual sales price of the stock. If the stock acquired upon exercise was not sold on the day of exercise, the market price was determined as the closing price of the stock on the Nasdaq Stock Market on the exercise date.</w:t>
      </w:r>
    </w:p>
    <w:p>
      <w:pPr>
        <w:spacing w:after="0" w:line="15" w:lineRule="exact"/>
        <w:rPr>
          <w:sz w:val="20"/>
          <w:szCs w:val="20"/>
          <w:color w:val="auto"/>
        </w:rPr>
      </w:pPr>
    </w:p>
    <w:p>
      <w:pPr>
        <w:ind w:left="240" w:hanging="232"/>
        <w:spacing w:after="0"/>
        <w:tabs>
          <w:tab w:leader="none" w:pos="240" w:val="left"/>
        </w:tabs>
        <w:numPr>
          <w:ilvl w:val="0"/>
          <w:numId w:val="73"/>
        </w:numPr>
        <w:rPr>
          <w:rFonts w:ascii="Arial" w:cs="Arial" w:eastAsia="Arial" w:hAnsi="Arial"/>
          <w:sz w:val="14"/>
          <w:szCs w:val="14"/>
          <w:color w:val="7D7D7D"/>
        </w:rPr>
      </w:pPr>
      <w:r>
        <w:rPr>
          <w:rFonts w:ascii="Arial" w:cs="Arial" w:eastAsia="Arial" w:hAnsi="Arial"/>
          <w:sz w:val="14"/>
          <w:szCs w:val="14"/>
          <w:color w:val="7D7D7D"/>
        </w:rPr>
        <w:t>Represents the vesting of RSUs and PSUs.</w:t>
      </w:r>
    </w:p>
    <w:p>
      <w:pPr>
        <w:spacing w:after="0" w:line="55" w:lineRule="exact"/>
        <w:rPr>
          <w:sz w:val="20"/>
          <w:szCs w:val="20"/>
          <w:color w:val="auto"/>
        </w:rPr>
      </w:pPr>
    </w:p>
    <w:p>
      <w:pPr>
        <w:ind w:left="260" w:right="40" w:hanging="252"/>
        <w:spacing w:after="0" w:line="305" w:lineRule="auto"/>
        <w:tabs>
          <w:tab w:leader="none" w:pos="245" w:val="left"/>
        </w:tabs>
        <w:numPr>
          <w:ilvl w:val="0"/>
          <w:numId w:val="74"/>
        </w:numPr>
        <w:rPr>
          <w:rFonts w:ascii="Arial" w:cs="Arial" w:eastAsia="Arial" w:hAnsi="Arial"/>
          <w:sz w:val="14"/>
          <w:szCs w:val="14"/>
          <w:color w:val="7D7D7D"/>
        </w:rPr>
      </w:pPr>
      <w:r>
        <w:rPr>
          <w:rFonts w:ascii="Arial" w:cs="Arial" w:eastAsia="Arial" w:hAnsi="Arial"/>
          <w:sz w:val="14"/>
          <w:szCs w:val="14"/>
          <w:color w:val="7D7D7D"/>
        </w:rPr>
        <w:t>The value realized is based on the closing price of our common stock on the vesting date as reported on the Nasdaq Stock Market multiplied by the number of RSUs and PSUs vested, less the par value of the stock issued.</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56" w:name="page57"/>
    <w:bookmarkEnd w:id="56"/>
    <w:p>
      <w:pPr>
        <w:ind w:right="320"/>
        <w:spacing w:after="0" w:line="307" w:lineRule="auto"/>
        <w:rPr>
          <w:sz w:val="20"/>
          <w:szCs w:val="20"/>
          <w:color w:val="auto"/>
        </w:rPr>
      </w:pPr>
      <w:r>
        <w:rPr>
          <w:rFonts w:ascii="Arial" w:cs="Arial" w:eastAsia="Arial" w:hAnsi="Arial"/>
          <w:sz w:val="32"/>
          <w:szCs w:val="32"/>
          <w:b w:val="1"/>
          <w:bCs w:val="1"/>
          <w:color w:val="auto"/>
        </w:rPr>
        <w:t>Employment Contracts and Termination of Employment and Change of Control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Badrinarayanan Kothandaraman</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Mr. Kothandaraman has served as our President and CEO since September 3, 2017, pursuant to an employment offer letter, on an at-will basis. In 2024, Mr. Kothandaraman’s annual base salary was $450,000, with a target bonus opportunity of 100% of his base salary. Mr. Kothandaraman was eligible to participate in the 2024 PSP.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Mr. Kothandaraman is designated as a Tier I participant in the Severance Plan described below.</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Mandy Yang</w:t>
      </w:r>
    </w:p>
    <w:p>
      <w:pPr>
        <w:spacing w:after="0" w:line="12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Ms. Yang has served as our as our CFO since February 15, 2022, on an at-will basis. In 2023, Ms. Yang’s annual base salary was increased to $367,500, with a target bonus opportunity target of 75% of her base salary. Ms. Yang was eligible to participate in the 2024 PSP.</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Ms. Yang is designated a Tier III Participant in the Severance Plan described below.</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David Ranhoff</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Ranhoff served as our CCO from December 1, 2017 until June 30, 2024, pursuant to an employment offer letter, on an at-will basis. In 2024, Mr. Ranhoff transitioned from his position as CCO to a part-time role as Commercial Advisor, effective July 1, 2024. Mr. Ranhoff’s annual base salary was $400,000, with a bonus target of 75% of his base salary. Mr. Ranhoff’s annual base salary was decreased from $400,000 to $200,000 as part of his transition to part-time Commercial Advisor, with a bonus target of 75% of his base salary. Mr. Ranhoff was eligible to participate in the 2024 PSP.</w:t>
      </w:r>
    </w:p>
    <w:p>
      <w:pPr>
        <w:spacing w:after="0" w:line="12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As part of his transition to Commercial Advisor, Mr. Ranhoff is no longer designated a Tier I participant in the Severance Plan and as of July 1, 2024, is no longer eligible for any severance benefits.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Change in Control Benefit Plan</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2013, the Compensation Committee approved the Severance Plan for executive officers and other key employees, including the NEOs. Upon acceptance by a participant, the Severance Plan superseded and replaced certain existing severance agreements. The Compensation Committee has the authority to designate the participants in the Severance Plan and the level of benefits each such participant will be eligible to receive upon a qualifying termination of employment.</w:t>
      </w:r>
    </w:p>
    <w:p>
      <w:pPr>
        <w:spacing w:after="0" w:line="1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Under the Severance Plan, upon a termination of a participant’s employment by the Company without “cause” or the resignation by a participant for “good reason” (each, an “Involuntary Termination”), or upon an Involuntary Termination in connection with, or within 12 months following, a “change in control” (a “Change in Control Termination”), participants in the Severance Plan generally will be entitled to receive the following severance benefits:</w:t>
      </w:r>
    </w:p>
    <w:p>
      <w:pPr>
        <w:spacing w:after="0" w:line="124" w:lineRule="exact"/>
        <w:rPr>
          <w:sz w:val="20"/>
          <w:szCs w:val="20"/>
          <w:color w:val="auto"/>
        </w:rPr>
      </w:pPr>
    </w:p>
    <w:p>
      <w:pPr>
        <w:ind w:left="340" w:right="460" w:hanging="170"/>
        <w:spacing w:after="0" w:line="334" w:lineRule="auto"/>
        <w:tabs>
          <w:tab w:leader="none" w:pos="317" w:val="left"/>
        </w:tabs>
        <w:numPr>
          <w:ilvl w:val="0"/>
          <w:numId w:val="75"/>
        </w:numPr>
        <w:rPr>
          <w:rFonts w:ascii="Arial" w:cs="Arial" w:eastAsia="Arial" w:hAnsi="Arial"/>
          <w:sz w:val="13"/>
          <w:szCs w:val="13"/>
          <w:color w:val="auto"/>
        </w:rPr>
      </w:pPr>
      <w:r>
        <w:rPr>
          <w:rFonts w:ascii="Arial" w:cs="Arial" w:eastAsia="Arial" w:hAnsi="Arial"/>
          <w:sz w:val="16"/>
          <w:szCs w:val="16"/>
          <w:color w:val="auto"/>
        </w:rPr>
        <w:t>a lump sum cash payment equal to the sum of (a) either 6, 9 or 12 months of the participant’s monthly base salary, and (b) a pro rata portion of the participant’s target annual bonus calculated at 100% of target levels for the year of termination (the “Pro rata Target Bonus”);</w:t>
      </w:r>
    </w:p>
    <w:p>
      <w:pPr>
        <w:ind w:left="300" w:hanging="130"/>
        <w:spacing w:after="0"/>
        <w:tabs>
          <w:tab w:leader="none" w:pos="300" w:val="left"/>
        </w:tabs>
        <w:numPr>
          <w:ilvl w:val="0"/>
          <w:numId w:val="75"/>
        </w:numPr>
        <w:rPr>
          <w:rFonts w:ascii="Arial" w:cs="Arial" w:eastAsia="Arial" w:hAnsi="Arial"/>
          <w:sz w:val="13"/>
          <w:szCs w:val="13"/>
          <w:color w:val="auto"/>
        </w:rPr>
      </w:pPr>
      <w:r>
        <w:rPr>
          <w:rFonts w:ascii="Arial" w:cs="Arial" w:eastAsia="Arial" w:hAnsi="Arial"/>
          <w:sz w:val="16"/>
          <w:szCs w:val="16"/>
          <w:color w:val="auto"/>
        </w:rPr>
        <w:t>Company-paid COBRA premiums for continued health insurance for up to 6, 9 or 12 months;</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75"/>
        </w:numPr>
        <w:rPr>
          <w:rFonts w:ascii="Arial" w:cs="Arial" w:eastAsia="Arial" w:hAnsi="Arial"/>
          <w:sz w:val="13"/>
          <w:szCs w:val="13"/>
          <w:color w:val="auto"/>
        </w:rPr>
      </w:pPr>
      <w:r>
        <w:rPr>
          <w:rFonts w:ascii="Arial" w:cs="Arial" w:eastAsia="Arial" w:hAnsi="Arial"/>
          <w:sz w:val="16"/>
          <w:szCs w:val="16"/>
          <w:color w:val="auto"/>
        </w:rPr>
        <w:t>in certain cases, accelerated vesting of all or a portion of the participant’s then-outstanding equity awards; and</w:t>
      </w:r>
    </w:p>
    <w:p>
      <w:pPr>
        <w:spacing w:after="0" w:line="86" w:lineRule="exact"/>
        <w:rPr>
          <w:rFonts w:ascii="Arial" w:cs="Arial" w:eastAsia="Arial" w:hAnsi="Arial"/>
          <w:sz w:val="13"/>
          <w:szCs w:val="13"/>
          <w:color w:val="auto"/>
        </w:rPr>
      </w:pPr>
    </w:p>
    <w:p>
      <w:pPr>
        <w:ind w:left="340" w:right="320" w:hanging="170"/>
        <w:spacing w:after="0" w:line="319" w:lineRule="auto"/>
        <w:tabs>
          <w:tab w:leader="none" w:pos="317" w:val="left"/>
        </w:tabs>
        <w:numPr>
          <w:ilvl w:val="0"/>
          <w:numId w:val="75"/>
        </w:numPr>
        <w:rPr>
          <w:rFonts w:ascii="Arial" w:cs="Arial" w:eastAsia="Arial" w:hAnsi="Arial"/>
          <w:sz w:val="13"/>
          <w:szCs w:val="13"/>
          <w:color w:val="auto"/>
        </w:rPr>
      </w:pPr>
      <w:r>
        <w:rPr>
          <w:rFonts w:ascii="Arial" w:cs="Arial" w:eastAsia="Arial" w:hAnsi="Arial"/>
          <w:sz w:val="16"/>
          <w:szCs w:val="16"/>
          <w:color w:val="auto"/>
        </w:rPr>
        <w:t>an extended period of time to exercise any outstanding vested stock options (and other vested equity awards which carry a right to exercise) held by such participants as of the date of termination, which extended exercisability period will end upon the earlier of (a) one year following the date of termination and (b) the date on which the original term of such equity awards would otherwise expire.</w:t>
      </w:r>
    </w:p>
    <w:p>
      <w:pPr>
        <w:spacing w:after="0" w:line="11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Receipt of the above benefits is subject to the participant’s execution and non-revocation of a release of claims against Enphase and continued compliance with certain restrictive covenants.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7" w:name="page58"/>
    <w:bookmarkEnd w:id="57"/>
    <w:p>
      <w:pPr>
        <w:jc w:val="both"/>
        <w:spacing w:after="0" w:line="306" w:lineRule="auto"/>
        <w:rPr>
          <w:sz w:val="20"/>
          <w:szCs w:val="20"/>
          <w:color w:val="auto"/>
        </w:rPr>
      </w:pPr>
      <w:r>
        <w:rPr>
          <w:rFonts w:ascii="Arial" w:cs="Arial" w:eastAsia="Arial" w:hAnsi="Arial"/>
          <w:sz w:val="16"/>
          <w:szCs w:val="16"/>
          <w:color w:val="auto"/>
        </w:rPr>
        <w:t>The amount of cash severance, the duration of the COBRA payment period, and the percentage of accelerated vesting of equity awards, if any, varies based on the participant’s designation as a Tier I Participant, Tier II Participant or Tier III Participant and whether the termination is an Involuntary Termination or a Change in Control Termination, as set forth in the table below. As noted above, Mr. Ranhoff ceased being eligible to receive severance benefits upon his transition to Commercial Advisor as of July 1, 2024 and accordingly, is not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99060</wp:posOffset>
            </wp:positionV>
            <wp:extent cx="55460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2960" w:type="dxa"/>
            <w:vAlign w:val="bottom"/>
            <w:gridSpan w:val="2"/>
          </w:tcPr>
          <w:p>
            <w:pPr>
              <w:ind w:left="760"/>
              <w:spacing w:after="0"/>
              <w:rPr>
                <w:sz w:val="20"/>
                <w:szCs w:val="20"/>
                <w:color w:val="auto"/>
              </w:rPr>
            </w:pPr>
            <w:r>
              <w:rPr>
                <w:rFonts w:ascii="Arial" w:cs="Arial" w:eastAsia="Arial" w:hAnsi="Arial"/>
                <w:sz w:val="14"/>
                <w:szCs w:val="14"/>
                <w:b w:val="1"/>
                <w:bCs w:val="1"/>
                <w:color w:val="3C3C3C"/>
              </w:rPr>
              <w:t>Cash Severance</w:t>
            </w:r>
            <w:r>
              <w:rPr>
                <w:rFonts w:ascii="Arial" w:cs="Arial" w:eastAsia="Arial" w:hAnsi="Arial"/>
                <w:sz w:val="18"/>
                <w:szCs w:val="18"/>
                <w:b w:val="1"/>
                <w:bCs w:val="1"/>
                <w:color w:val="3C3C3C"/>
                <w:vertAlign w:val="superscript"/>
              </w:rPr>
              <w:t>(1)</w:t>
            </w:r>
          </w:p>
        </w:tc>
        <w:tc>
          <w:tcPr>
            <w:tcW w:w="2900" w:type="dxa"/>
            <w:vAlign w:val="bottom"/>
            <w:gridSpan w:val="2"/>
          </w:tcPr>
          <w:p>
            <w:pPr>
              <w:ind w:left="720"/>
              <w:spacing w:after="0"/>
              <w:rPr>
                <w:sz w:val="20"/>
                <w:szCs w:val="20"/>
                <w:color w:val="auto"/>
              </w:rPr>
            </w:pPr>
            <w:r>
              <w:rPr>
                <w:rFonts w:ascii="Arial" w:cs="Arial" w:eastAsia="Arial" w:hAnsi="Arial"/>
                <w:sz w:val="14"/>
                <w:szCs w:val="14"/>
                <w:b w:val="1"/>
                <w:bCs w:val="1"/>
                <w:color w:val="3C3C3C"/>
              </w:rPr>
              <w:t>COBRA Premiums</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3C3C3C"/>
              </w:rPr>
              <w:t>Accelerated Vesting of Equity Awards</w:t>
            </w:r>
            <w:r>
              <w:rPr>
                <w:rFonts w:ascii="Arial" w:cs="Arial" w:eastAsia="Arial" w:hAnsi="Arial"/>
                <w:sz w:val="18"/>
                <w:szCs w:val="18"/>
                <w:b w:val="1"/>
                <w:bCs w:val="1"/>
                <w:color w:val="3C3C3C"/>
                <w:vertAlign w:val="superscript"/>
              </w:rPr>
              <w:t>(2)</w:t>
            </w:r>
          </w:p>
        </w:tc>
        <w:tc>
          <w:tcPr>
            <w:tcW w:w="0" w:type="dxa"/>
            <w:vAlign w:val="bottom"/>
          </w:tcPr>
          <w:p>
            <w:pPr>
              <w:spacing w:after="0"/>
              <w:rPr>
                <w:sz w:val="1"/>
                <w:szCs w:val="1"/>
                <w:color w:val="auto"/>
              </w:rPr>
            </w:pPr>
          </w:p>
        </w:tc>
      </w:tr>
      <w:tr>
        <w:trPr>
          <w:trHeight w:val="193"/>
        </w:trPr>
        <w:tc>
          <w:tcPr>
            <w:tcW w:w="2480" w:type="dxa"/>
            <w:vAlign w:val="bottom"/>
            <w:tcBorders>
              <w:left w:val="single" w:sz="8" w:color="3C3C3C"/>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Named Executive Officer</w:t>
            </w:r>
          </w:p>
        </w:tc>
        <w:tc>
          <w:tcPr>
            <w:tcW w:w="1440" w:type="dxa"/>
            <w:vAlign w:val="bottom"/>
            <w:tcBorders>
              <w:right w:val="single" w:sz="8" w:color="3C3C3C"/>
            </w:tcBorders>
            <w:shd w:val="clear" w:color="auto" w:fill="3C3C3C"/>
          </w:tcPr>
          <w:p>
            <w:pPr>
              <w:jc w:val="center"/>
              <w:ind w:right="44"/>
              <w:spacing w:after="0"/>
              <w:rPr>
                <w:sz w:val="20"/>
                <w:szCs w:val="20"/>
                <w:color w:val="auto"/>
              </w:rPr>
            </w:pPr>
            <w:r>
              <w:rPr>
                <w:rFonts w:ascii="Arial" w:cs="Arial" w:eastAsia="Arial" w:hAnsi="Arial"/>
                <w:sz w:val="14"/>
                <w:szCs w:val="14"/>
                <w:b w:val="1"/>
                <w:bCs w:val="1"/>
                <w:color w:val="FFFFFF"/>
              </w:rPr>
              <w:t>Involuntary</w:t>
            </w:r>
          </w:p>
        </w:tc>
        <w:tc>
          <w:tcPr>
            <w:tcW w:w="1520" w:type="dxa"/>
            <w:vAlign w:val="bottom"/>
            <w:tcBorders>
              <w:right w:val="single" w:sz="8" w:color="3C3C3C"/>
            </w:tcBorders>
            <w:shd w:val="clear" w:color="auto" w:fill="3C3C3C"/>
          </w:tcPr>
          <w:p>
            <w:pPr>
              <w:jc w:val="center"/>
              <w:ind w:right="124"/>
              <w:spacing w:after="0"/>
              <w:rPr>
                <w:sz w:val="20"/>
                <w:szCs w:val="20"/>
                <w:color w:val="auto"/>
              </w:rPr>
            </w:pPr>
            <w:r>
              <w:rPr>
                <w:rFonts w:ascii="Arial" w:cs="Arial" w:eastAsia="Arial" w:hAnsi="Arial"/>
                <w:sz w:val="14"/>
                <w:szCs w:val="14"/>
                <w:b w:val="1"/>
                <w:bCs w:val="1"/>
                <w:color w:val="FFFFFF"/>
              </w:rPr>
              <w:t>Change in Control</w:t>
            </w:r>
          </w:p>
        </w:tc>
        <w:tc>
          <w:tcPr>
            <w:tcW w:w="1400" w:type="dxa"/>
            <w:vAlign w:val="bottom"/>
            <w:tcBorders>
              <w:right w:val="single" w:sz="8" w:color="3C3C3C"/>
            </w:tcBorders>
            <w:shd w:val="clear" w:color="auto" w:fill="3C3C3C"/>
          </w:tcPr>
          <w:p>
            <w:pPr>
              <w:jc w:val="center"/>
              <w:ind w:right="64"/>
              <w:spacing w:after="0"/>
              <w:rPr>
                <w:sz w:val="20"/>
                <w:szCs w:val="20"/>
                <w:color w:val="auto"/>
              </w:rPr>
            </w:pPr>
            <w:r>
              <w:rPr>
                <w:rFonts w:ascii="Arial" w:cs="Arial" w:eastAsia="Arial" w:hAnsi="Arial"/>
                <w:sz w:val="14"/>
                <w:szCs w:val="14"/>
                <w:b w:val="1"/>
                <w:bCs w:val="1"/>
                <w:color w:val="FFFFFF"/>
              </w:rPr>
              <w:t>Involuntary</w:t>
            </w:r>
          </w:p>
        </w:tc>
        <w:tc>
          <w:tcPr>
            <w:tcW w:w="1500" w:type="dxa"/>
            <w:vAlign w:val="bottom"/>
            <w:tcBorders>
              <w:right w:val="single" w:sz="8" w:color="3C3C3C"/>
            </w:tcBorders>
            <w:shd w:val="clear" w:color="auto" w:fill="3C3C3C"/>
          </w:tcPr>
          <w:p>
            <w:pPr>
              <w:jc w:val="center"/>
              <w:ind w:right="124"/>
              <w:spacing w:after="0"/>
              <w:rPr>
                <w:sz w:val="20"/>
                <w:szCs w:val="20"/>
                <w:color w:val="auto"/>
              </w:rPr>
            </w:pPr>
            <w:r>
              <w:rPr>
                <w:rFonts w:ascii="Arial" w:cs="Arial" w:eastAsia="Arial" w:hAnsi="Arial"/>
                <w:sz w:val="14"/>
                <w:szCs w:val="14"/>
                <w:b w:val="1"/>
                <w:bCs w:val="1"/>
                <w:color w:val="FFFFFF"/>
              </w:rPr>
              <w:t>Change in Control</w:t>
            </w:r>
          </w:p>
        </w:tc>
        <w:tc>
          <w:tcPr>
            <w:tcW w:w="1520" w:type="dxa"/>
            <w:vAlign w:val="bottom"/>
            <w:tcBorders>
              <w:right w:val="single" w:sz="8" w:color="3C3C3C"/>
            </w:tcBorders>
            <w:shd w:val="clear" w:color="auto" w:fill="3C3C3C"/>
          </w:tcPr>
          <w:p>
            <w:pPr>
              <w:jc w:val="center"/>
              <w:ind w:right="104"/>
              <w:spacing w:after="0"/>
              <w:rPr>
                <w:sz w:val="20"/>
                <w:szCs w:val="20"/>
                <w:color w:val="auto"/>
              </w:rPr>
            </w:pPr>
            <w:r>
              <w:rPr>
                <w:rFonts w:ascii="Arial" w:cs="Arial" w:eastAsia="Arial" w:hAnsi="Arial"/>
                <w:sz w:val="14"/>
                <w:szCs w:val="14"/>
                <w:b w:val="1"/>
                <w:bCs w:val="1"/>
                <w:color w:val="FFFFFF"/>
              </w:rPr>
              <w:t>Involuntary</w:t>
            </w:r>
          </w:p>
        </w:tc>
        <w:tc>
          <w:tcPr>
            <w:tcW w:w="13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0" w:type="dxa"/>
            <w:vAlign w:val="bottom"/>
          </w:tcPr>
          <w:p>
            <w:pPr>
              <w:spacing w:after="0"/>
              <w:rPr>
                <w:sz w:val="1"/>
                <w:szCs w:val="1"/>
                <w:color w:val="auto"/>
              </w:rPr>
            </w:pPr>
          </w:p>
        </w:tc>
      </w:tr>
      <w:tr>
        <w:trPr>
          <w:trHeight w:val="102"/>
        </w:trPr>
        <w:tc>
          <w:tcPr>
            <w:tcW w:w="248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440" w:type="dxa"/>
            <w:vAlign w:val="bottom"/>
            <w:tcBorders>
              <w:right w:val="single" w:sz="8" w:color="3C3C3C"/>
            </w:tcBorders>
            <w:vMerge w:val="restart"/>
            <w:shd w:val="clear" w:color="auto" w:fill="3C3C3C"/>
          </w:tcPr>
          <w:p>
            <w:pPr>
              <w:jc w:val="center"/>
              <w:ind w:right="44"/>
              <w:spacing w:after="0"/>
              <w:rPr>
                <w:sz w:val="20"/>
                <w:szCs w:val="20"/>
                <w:color w:val="auto"/>
              </w:rPr>
            </w:pPr>
            <w:r>
              <w:rPr>
                <w:rFonts w:ascii="Arial" w:cs="Arial" w:eastAsia="Arial" w:hAnsi="Arial"/>
                <w:sz w:val="14"/>
                <w:szCs w:val="14"/>
                <w:b w:val="1"/>
                <w:bCs w:val="1"/>
                <w:color w:val="FFFFFF"/>
                <w:w w:val="99"/>
              </w:rPr>
              <w:t>Termination</w:t>
            </w:r>
          </w:p>
        </w:tc>
        <w:tc>
          <w:tcPr>
            <w:tcW w:w="1520" w:type="dxa"/>
            <w:vAlign w:val="bottom"/>
            <w:tcBorders>
              <w:right w:val="single" w:sz="8" w:color="3C3C3C"/>
            </w:tcBorders>
            <w:vMerge w:val="restart"/>
            <w:shd w:val="clear" w:color="auto" w:fill="3C3C3C"/>
          </w:tcPr>
          <w:p>
            <w:pPr>
              <w:jc w:val="center"/>
              <w:ind w:right="104"/>
              <w:spacing w:after="0"/>
              <w:rPr>
                <w:sz w:val="20"/>
                <w:szCs w:val="20"/>
                <w:color w:val="auto"/>
              </w:rPr>
            </w:pPr>
            <w:r>
              <w:rPr>
                <w:rFonts w:ascii="Arial" w:cs="Arial" w:eastAsia="Arial" w:hAnsi="Arial"/>
                <w:sz w:val="14"/>
                <w:szCs w:val="14"/>
                <w:b w:val="1"/>
                <w:bCs w:val="1"/>
                <w:color w:val="FFFFFF"/>
              </w:rPr>
              <w:t>Termination</w:t>
            </w:r>
          </w:p>
        </w:tc>
        <w:tc>
          <w:tcPr>
            <w:tcW w:w="1400" w:type="dxa"/>
            <w:vAlign w:val="bottom"/>
            <w:tcBorders>
              <w:right w:val="single" w:sz="8" w:color="3C3C3C"/>
            </w:tcBorders>
            <w:vMerge w:val="restart"/>
            <w:shd w:val="clear" w:color="auto" w:fill="3C3C3C"/>
          </w:tcPr>
          <w:p>
            <w:pPr>
              <w:jc w:val="center"/>
              <w:ind w:right="64"/>
              <w:spacing w:after="0"/>
              <w:rPr>
                <w:sz w:val="20"/>
                <w:szCs w:val="20"/>
                <w:color w:val="auto"/>
              </w:rPr>
            </w:pPr>
            <w:r>
              <w:rPr>
                <w:rFonts w:ascii="Arial" w:cs="Arial" w:eastAsia="Arial" w:hAnsi="Arial"/>
                <w:sz w:val="14"/>
                <w:szCs w:val="14"/>
                <w:b w:val="1"/>
                <w:bCs w:val="1"/>
                <w:color w:val="FFFFFF"/>
              </w:rPr>
              <w:t>Termination</w:t>
            </w:r>
          </w:p>
        </w:tc>
        <w:tc>
          <w:tcPr>
            <w:tcW w:w="1500" w:type="dxa"/>
            <w:vAlign w:val="bottom"/>
            <w:tcBorders>
              <w:right w:val="single" w:sz="8" w:color="3C3C3C"/>
            </w:tcBorders>
            <w:vMerge w:val="restart"/>
            <w:shd w:val="clear" w:color="auto" w:fill="3C3C3C"/>
          </w:tcPr>
          <w:p>
            <w:pPr>
              <w:jc w:val="center"/>
              <w:ind w:right="124"/>
              <w:spacing w:after="0"/>
              <w:rPr>
                <w:sz w:val="20"/>
                <w:szCs w:val="20"/>
                <w:color w:val="auto"/>
              </w:rPr>
            </w:pPr>
            <w:r>
              <w:rPr>
                <w:rFonts w:ascii="Arial" w:cs="Arial" w:eastAsia="Arial" w:hAnsi="Arial"/>
                <w:sz w:val="14"/>
                <w:szCs w:val="14"/>
                <w:b w:val="1"/>
                <w:bCs w:val="1"/>
                <w:color w:val="FFFFFF"/>
              </w:rPr>
              <w:t>Termination</w:t>
            </w:r>
          </w:p>
        </w:tc>
        <w:tc>
          <w:tcPr>
            <w:tcW w:w="1520" w:type="dxa"/>
            <w:vAlign w:val="bottom"/>
            <w:tcBorders>
              <w:right w:val="single" w:sz="8" w:color="3C3C3C"/>
            </w:tcBorders>
            <w:vMerge w:val="restart"/>
            <w:shd w:val="clear" w:color="auto" w:fill="3C3C3C"/>
          </w:tcPr>
          <w:p>
            <w:pPr>
              <w:jc w:val="center"/>
              <w:ind w:right="124"/>
              <w:spacing w:after="0"/>
              <w:rPr>
                <w:sz w:val="20"/>
                <w:szCs w:val="20"/>
                <w:color w:val="auto"/>
              </w:rPr>
            </w:pPr>
            <w:r>
              <w:rPr>
                <w:rFonts w:ascii="Arial" w:cs="Arial" w:eastAsia="Arial" w:hAnsi="Arial"/>
                <w:sz w:val="14"/>
                <w:szCs w:val="14"/>
                <w:b w:val="1"/>
                <w:bCs w:val="1"/>
                <w:color w:val="FFFFFF"/>
              </w:rPr>
              <w:t>Termination (%)</w:t>
            </w:r>
          </w:p>
        </w:tc>
        <w:tc>
          <w:tcPr>
            <w:tcW w:w="13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Termination (%)</w:t>
            </w:r>
          </w:p>
        </w:tc>
        <w:tc>
          <w:tcPr>
            <w:tcW w:w="0" w:type="dxa"/>
            <w:vAlign w:val="bottom"/>
          </w:tcPr>
          <w:p>
            <w:pPr>
              <w:spacing w:after="0"/>
              <w:rPr>
                <w:sz w:val="1"/>
                <w:szCs w:val="1"/>
                <w:color w:val="auto"/>
              </w:rPr>
            </w:pPr>
          </w:p>
        </w:tc>
      </w:tr>
      <w:tr>
        <w:trPr>
          <w:trHeight w:val="110"/>
        </w:trPr>
        <w:tc>
          <w:tcPr>
            <w:tcW w:w="2480" w:type="dxa"/>
            <w:vAlign w:val="bottom"/>
            <w:tcBorders>
              <w:left w:val="single" w:sz="8" w:color="3C3C3C"/>
              <w:right w:val="single" w:sz="8" w:color="3C3C3C"/>
            </w:tcBorders>
            <w:shd w:val="clear" w:color="auto" w:fill="3C3C3C"/>
          </w:tcPr>
          <w:p>
            <w:pPr>
              <w:spacing w:after="0"/>
              <w:rPr>
                <w:sz w:val="9"/>
                <w:szCs w:val="9"/>
                <w:color w:val="auto"/>
              </w:rPr>
            </w:pPr>
          </w:p>
        </w:tc>
        <w:tc>
          <w:tcPr>
            <w:tcW w:w="1440" w:type="dxa"/>
            <w:vAlign w:val="bottom"/>
            <w:tcBorders>
              <w:right w:val="single" w:sz="8" w:color="3C3C3C"/>
            </w:tcBorders>
            <w:vMerge w:val="continue"/>
            <w:shd w:val="clear" w:color="auto" w:fill="3C3C3C"/>
          </w:tcPr>
          <w:p>
            <w:pPr>
              <w:spacing w:after="0"/>
              <w:rPr>
                <w:sz w:val="9"/>
                <w:szCs w:val="9"/>
                <w:color w:val="auto"/>
              </w:rPr>
            </w:pPr>
          </w:p>
        </w:tc>
        <w:tc>
          <w:tcPr>
            <w:tcW w:w="1520" w:type="dxa"/>
            <w:vAlign w:val="bottom"/>
            <w:tcBorders>
              <w:right w:val="single" w:sz="8" w:color="3C3C3C"/>
            </w:tcBorders>
            <w:vMerge w:val="continue"/>
            <w:shd w:val="clear" w:color="auto" w:fill="3C3C3C"/>
          </w:tcPr>
          <w:p>
            <w:pPr>
              <w:spacing w:after="0"/>
              <w:rPr>
                <w:sz w:val="9"/>
                <w:szCs w:val="9"/>
                <w:color w:val="auto"/>
              </w:rPr>
            </w:pPr>
          </w:p>
        </w:tc>
        <w:tc>
          <w:tcPr>
            <w:tcW w:w="1400" w:type="dxa"/>
            <w:vAlign w:val="bottom"/>
            <w:tcBorders>
              <w:right w:val="single" w:sz="8" w:color="3C3C3C"/>
            </w:tcBorders>
            <w:vMerge w:val="continue"/>
            <w:shd w:val="clear" w:color="auto" w:fill="3C3C3C"/>
          </w:tcPr>
          <w:p>
            <w:pPr>
              <w:spacing w:after="0"/>
              <w:rPr>
                <w:sz w:val="9"/>
                <w:szCs w:val="9"/>
                <w:color w:val="auto"/>
              </w:rPr>
            </w:pPr>
          </w:p>
        </w:tc>
        <w:tc>
          <w:tcPr>
            <w:tcW w:w="1500" w:type="dxa"/>
            <w:vAlign w:val="bottom"/>
            <w:tcBorders>
              <w:right w:val="single" w:sz="8" w:color="3C3C3C"/>
            </w:tcBorders>
            <w:vMerge w:val="continue"/>
            <w:shd w:val="clear" w:color="auto" w:fill="3C3C3C"/>
          </w:tcPr>
          <w:p>
            <w:pPr>
              <w:spacing w:after="0"/>
              <w:rPr>
                <w:sz w:val="9"/>
                <w:szCs w:val="9"/>
                <w:color w:val="auto"/>
              </w:rPr>
            </w:pPr>
          </w:p>
        </w:tc>
        <w:tc>
          <w:tcPr>
            <w:tcW w:w="1520" w:type="dxa"/>
            <w:vAlign w:val="bottom"/>
            <w:tcBorders>
              <w:right w:val="single" w:sz="8" w:color="3C3C3C"/>
            </w:tcBorders>
            <w:vMerge w:val="continue"/>
            <w:shd w:val="clear" w:color="auto" w:fill="3C3C3C"/>
          </w:tcPr>
          <w:p>
            <w:pPr>
              <w:spacing w:after="0"/>
              <w:rPr>
                <w:sz w:val="9"/>
                <w:szCs w:val="9"/>
                <w:color w:val="auto"/>
              </w:rPr>
            </w:pPr>
          </w:p>
        </w:tc>
        <w:tc>
          <w:tcPr>
            <w:tcW w:w="1360" w:type="dxa"/>
            <w:vAlign w:val="bottom"/>
            <w:tcBorders>
              <w:right w:val="single" w:sz="8" w:color="3C3C3C"/>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48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1440" w:type="dxa"/>
            <w:vAlign w:val="bottom"/>
            <w:tcBorders>
              <w:right w:val="single" w:sz="8" w:color="929292"/>
            </w:tcBorders>
            <w:vMerge w:val="restart"/>
            <w:shd w:val="clear" w:color="auto" w:fill="FAF6EF"/>
          </w:tcPr>
          <w:p>
            <w:pPr>
              <w:jc w:val="center"/>
              <w:ind w:right="44"/>
              <w:spacing w:after="0"/>
              <w:rPr>
                <w:sz w:val="20"/>
                <w:szCs w:val="20"/>
                <w:color w:val="auto"/>
              </w:rPr>
            </w:pPr>
            <w:r>
              <w:rPr>
                <w:rFonts w:ascii="Arial" w:cs="Arial" w:eastAsia="Arial" w:hAnsi="Arial"/>
                <w:sz w:val="16"/>
                <w:szCs w:val="16"/>
                <w:color w:val="auto"/>
              </w:rPr>
              <w:t>12 months</w:t>
            </w:r>
          </w:p>
        </w:tc>
        <w:tc>
          <w:tcPr>
            <w:tcW w:w="1520" w:type="dxa"/>
            <w:vAlign w:val="bottom"/>
            <w:tcBorders>
              <w:right w:val="single" w:sz="8" w:color="929292"/>
            </w:tcBorders>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rPr>
              <w:t>12 months</w:t>
            </w:r>
          </w:p>
        </w:tc>
        <w:tc>
          <w:tcPr>
            <w:tcW w:w="1400" w:type="dxa"/>
            <w:vAlign w:val="bottom"/>
            <w:tcBorders>
              <w:right w:val="single" w:sz="8" w:color="929292"/>
            </w:tcBorders>
            <w:vMerge w:val="restart"/>
            <w:shd w:val="clear" w:color="auto" w:fill="FAF6EF"/>
          </w:tcPr>
          <w:p>
            <w:pPr>
              <w:jc w:val="center"/>
              <w:ind w:right="64"/>
              <w:spacing w:after="0"/>
              <w:rPr>
                <w:sz w:val="20"/>
                <w:szCs w:val="20"/>
                <w:color w:val="auto"/>
              </w:rPr>
            </w:pPr>
            <w:r>
              <w:rPr>
                <w:rFonts w:ascii="Arial" w:cs="Arial" w:eastAsia="Arial" w:hAnsi="Arial"/>
                <w:sz w:val="16"/>
                <w:szCs w:val="16"/>
                <w:color w:val="auto"/>
                <w:w w:val="98"/>
              </w:rPr>
              <w:t>12 months</w:t>
            </w:r>
          </w:p>
        </w:tc>
        <w:tc>
          <w:tcPr>
            <w:tcW w:w="1500" w:type="dxa"/>
            <w:vAlign w:val="bottom"/>
            <w:tcBorders>
              <w:right w:val="single" w:sz="8" w:color="929292"/>
            </w:tcBorders>
            <w:vMerge w:val="restart"/>
            <w:shd w:val="clear" w:color="auto" w:fill="FAF6EF"/>
          </w:tcPr>
          <w:p>
            <w:pPr>
              <w:jc w:val="center"/>
              <w:ind w:right="144"/>
              <w:spacing w:after="0"/>
              <w:rPr>
                <w:sz w:val="20"/>
                <w:szCs w:val="20"/>
                <w:color w:val="auto"/>
              </w:rPr>
            </w:pPr>
            <w:r>
              <w:rPr>
                <w:rFonts w:ascii="Arial" w:cs="Arial" w:eastAsia="Arial" w:hAnsi="Arial"/>
                <w:sz w:val="16"/>
                <w:szCs w:val="16"/>
                <w:color w:val="auto"/>
              </w:rPr>
              <w:t>12 months</w:t>
            </w:r>
          </w:p>
        </w:tc>
        <w:tc>
          <w:tcPr>
            <w:tcW w:w="1520" w:type="dxa"/>
            <w:vAlign w:val="bottom"/>
            <w:tcBorders>
              <w:right w:val="single" w:sz="8" w:color="929292"/>
            </w:tcBorders>
            <w:vMerge w:val="restart"/>
            <w:shd w:val="clear" w:color="auto" w:fill="FAF6EF"/>
          </w:tcPr>
          <w:p>
            <w:pPr>
              <w:jc w:val="right"/>
              <w:ind w:right="684"/>
              <w:spacing w:after="0"/>
              <w:rPr>
                <w:sz w:val="20"/>
                <w:szCs w:val="20"/>
                <w:color w:val="auto"/>
              </w:rPr>
            </w:pPr>
            <w:r>
              <w:rPr>
                <w:rFonts w:ascii="Arial" w:cs="Arial" w:eastAsia="Arial" w:hAnsi="Arial"/>
                <w:sz w:val="16"/>
                <w:szCs w:val="16"/>
                <w:color w:val="auto"/>
              </w:rPr>
              <w:t>25</w:t>
            </w:r>
          </w:p>
        </w:tc>
        <w:tc>
          <w:tcPr>
            <w:tcW w:w="136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107"/>
        </w:trPr>
        <w:tc>
          <w:tcPr>
            <w:tcW w:w="2480" w:type="dxa"/>
            <w:vAlign w:val="bottom"/>
            <w:tcBorders>
              <w:left w:val="single" w:sz="8" w:color="929292"/>
              <w:righ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1440" w:type="dxa"/>
            <w:vAlign w:val="bottom"/>
            <w:tcBorders>
              <w:right w:val="single" w:sz="8" w:color="929292"/>
            </w:tcBorders>
            <w:vMerge w:val="continue"/>
            <w:shd w:val="clear" w:color="auto" w:fill="FAF6EF"/>
          </w:tcPr>
          <w:p>
            <w:pPr>
              <w:spacing w:after="0"/>
              <w:rPr>
                <w:sz w:val="9"/>
                <w:szCs w:val="9"/>
                <w:color w:val="auto"/>
              </w:rPr>
            </w:pPr>
          </w:p>
        </w:tc>
        <w:tc>
          <w:tcPr>
            <w:tcW w:w="1520" w:type="dxa"/>
            <w:vAlign w:val="bottom"/>
            <w:tcBorders>
              <w:right w:val="single" w:sz="8" w:color="929292"/>
            </w:tcBorders>
            <w:vMerge w:val="continue"/>
            <w:shd w:val="clear" w:color="auto" w:fill="FAF6EF"/>
          </w:tcPr>
          <w:p>
            <w:pPr>
              <w:spacing w:after="0"/>
              <w:rPr>
                <w:sz w:val="9"/>
                <w:szCs w:val="9"/>
                <w:color w:val="auto"/>
              </w:rPr>
            </w:pPr>
          </w:p>
        </w:tc>
        <w:tc>
          <w:tcPr>
            <w:tcW w:w="1400" w:type="dxa"/>
            <w:vAlign w:val="bottom"/>
            <w:tcBorders>
              <w:right w:val="single" w:sz="8" w:color="929292"/>
            </w:tcBorders>
            <w:vMerge w:val="continue"/>
            <w:shd w:val="clear" w:color="auto" w:fill="FAF6EF"/>
          </w:tcPr>
          <w:p>
            <w:pPr>
              <w:spacing w:after="0"/>
              <w:rPr>
                <w:sz w:val="9"/>
                <w:szCs w:val="9"/>
                <w:color w:val="auto"/>
              </w:rPr>
            </w:pPr>
          </w:p>
        </w:tc>
        <w:tc>
          <w:tcPr>
            <w:tcW w:w="1500" w:type="dxa"/>
            <w:vAlign w:val="bottom"/>
            <w:tcBorders>
              <w:right w:val="single" w:sz="8" w:color="929292"/>
            </w:tcBorders>
            <w:vMerge w:val="continue"/>
            <w:shd w:val="clear" w:color="auto" w:fill="FAF6EF"/>
          </w:tcPr>
          <w:p>
            <w:pPr>
              <w:spacing w:after="0"/>
              <w:rPr>
                <w:sz w:val="9"/>
                <w:szCs w:val="9"/>
                <w:color w:val="auto"/>
              </w:rPr>
            </w:pPr>
          </w:p>
        </w:tc>
        <w:tc>
          <w:tcPr>
            <w:tcW w:w="1520" w:type="dxa"/>
            <w:vAlign w:val="bottom"/>
            <w:tcBorders>
              <w:right w:val="single" w:sz="8" w:color="929292"/>
            </w:tcBorders>
            <w:vMerge w:val="continue"/>
            <w:shd w:val="clear" w:color="auto" w:fill="FAF6EF"/>
          </w:tcPr>
          <w:p>
            <w:pPr>
              <w:spacing w:after="0"/>
              <w:rPr>
                <w:sz w:val="9"/>
                <w:szCs w:val="9"/>
                <w:color w:val="auto"/>
              </w:rPr>
            </w:pPr>
          </w:p>
        </w:tc>
        <w:tc>
          <w:tcPr>
            <w:tcW w:w="1360" w:type="dxa"/>
            <w:vAlign w:val="bottom"/>
            <w:tcBorders>
              <w:right w:val="single" w:sz="8" w:color="929292"/>
            </w:tcBorders>
            <w:vMerge w:val="continue"/>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480" w:type="dxa"/>
            <w:vAlign w:val="bottom"/>
            <w:tcBorders>
              <w:left w:val="single" w:sz="8" w:color="929292"/>
              <w:right w:val="single" w:sz="8" w:color="929292"/>
            </w:tcBorders>
            <w:vMerge w:val="continue"/>
            <w:shd w:val="clear" w:color="auto" w:fill="FAF6EF"/>
          </w:tcPr>
          <w:p>
            <w:pPr>
              <w:spacing w:after="0"/>
              <w:rPr>
                <w:sz w:val="10"/>
                <w:szCs w:val="10"/>
                <w:color w:val="auto"/>
              </w:rPr>
            </w:pPr>
          </w:p>
        </w:tc>
        <w:tc>
          <w:tcPr>
            <w:tcW w:w="1440" w:type="dxa"/>
            <w:vAlign w:val="bottom"/>
            <w:tcBorders>
              <w:right w:val="single" w:sz="8" w:color="929292"/>
            </w:tcBorders>
            <w:shd w:val="clear" w:color="auto" w:fill="FAF6EF"/>
          </w:tcPr>
          <w:p>
            <w:pPr>
              <w:spacing w:after="0"/>
              <w:rPr>
                <w:sz w:val="10"/>
                <w:szCs w:val="10"/>
                <w:color w:val="auto"/>
              </w:rPr>
            </w:pPr>
          </w:p>
        </w:tc>
        <w:tc>
          <w:tcPr>
            <w:tcW w:w="1520" w:type="dxa"/>
            <w:vAlign w:val="bottom"/>
            <w:tcBorders>
              <w:right w:val="single" w:sz="8" w:color="929292"/>
            </w:tcBorders>
            <w:shd w:val="clear" w:color="auto" w:fill="FAF6EF"/>
          </w:tcPr>
          <w:p>
            <w:pPr>
              <w:spacing w:after="0"/>
              <w:rPr>
                <w:sz w:val="10"/>
                <w:szCs w:val="10"/>
                <w:color w:val="auto"/>
              </w:rPr>
            </w:pPr>
          </w:p>
        </w:tc>
        <w:tc>
          <w:tcPr>
            <w:tcW w:w="1400" w:type="dxa"/>
            <w:vAlign w:val="bottom"/>
            <w:tcBorders>
              <w:right w:val="single" w:sz="8" w:color="929292"/>
            </w:tcBorders>
            <w:shd w:val="clear" w:color="auto" w:fill="FAF6EF"/>
          </w:tcPr>
          <w:p>
            <w:pPr>
              <w:spacing w:after="0"/>
              <w:rPr>
                <w:sz w:val="10"/>
                <w:szCs w:val="10"/>
                <w:color w:val="auto"/>
              </w:rPr>
            </w:pPr>
          </w:p>
        </w:tc>
        <w:tc>
          <w:tcPr>
            <w:tcW w:w="1500" w:type="dxa"/>
            <w:vAlign w:val="bottom"/>
            <w:tcBorders>
              <w:right w:val="single" w:sz="8" w:color="929292"/>
            </w:tcBorders>
            <w:shd w:val="clear" w:color="auto" w:fill="FAF6EF"/>
          </w:tcPr>
          <w:p>
            <w:pPr>
              <w:spacing w:after="0"/>
              <w:rPr>
                <w:sz w:val="10"/>
                <w:szCs w:val="10"/>
                <w:color w:val="auto"/>
              </w:rPr>
            </w:pPr>
          </w:p>
        </w:tc>
        <w:tc>
          <w:tcPr>
            <w:tcW w:w="1520" w:type="dxa"/>
            <w:vAlign w:val="bottom"/>
            <w:tcBorders>
              <w:right w:val="single" w:sz="8" w:color="929292"/>
            </w:tcBorders>
            <w:shd w:val="clear" w:color="auto" w:fill="FAF6EF"/>
          </w:tcPr>
          <w:p>
            <w:pPr>
              <w:spacing w:after="0"/>
              <w:rPr>
                <w:sz w:val="10"/>
                <w:szCs w:val="10"/>
                <w:color w:val="auto"/>
              </w:rPr>
            </w:pPr>
          </w:p>
        </w:tc>
        <w:tc>
          <w:tcPr>
            <w:tcW w:w="1360" w:type="dxa"/>
            <w:vAlign w:val="bottom"/>
            <w:tcBorders>
              <w:right w:val="single" w:sz="8" w:color="929292"/>
            </w:tcBorders>
            <w:shd w:val="clear" w:color="auto" w:fill="FAF6E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8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440" w:type="dxa"/>
            <w:vAlign w:val="bottom"/>
            <w:tcBorders>
              <w:right w:val="single" w:sz="8" w:color="929292"/>
            </w:tcBorders>
          </w:tcPr>
          <w:p>
            <w:pPr>
              <w:jc w:val="center"/>
              <w:ind w:right="44"/>
              <w:spacing w:after="0"/>
              <w:rPr>
                <w:sz w:val="20"/>
                <w:szCs w:val="20"/>
                <w:color w:val="auto"/>
              </w:rPr>
            </w:pPr>
            <w:r>
              <w:rPr>
                <w:rFonts w:ascii="Arial" w:cs="Arial" w:eastAsia="Arial" w:hAnsi="Arial"/>
                <w:sz w:val="16"/>
                <w:szCs w:val="16"/>
                <w:color w:val="auto"/>
              </w:rPr>
              <w:t>6 months</w:t>
            </w:r>
          </w:p>
        </w:tc>
        <w:tc>
          <w:tcPr>
            <w:tcW w:w="1520" w:type="dxa"/>
            <w:vAlign w:val="bottom"/>
            <w:tcBorders>
              <w:right w:val="single" w:sz="8" w:color="929292"/>
            </w:tcBorders>
          </w:tcPr>
          <w:p>
            <w:pPr>
              <w:jc w:val="center"/>
              <w:ind w:right="104"/>
              <w:spacing w:after="0"/>
              <w:rPr>
                <w:sz w:val="20"/>
                <w:szCs w:val="20"/>
                <w:color w:val="auto"/>
              </w:rPr>
            </w:pPr>
            <w:r>
              <w:rPr>
                <w:rFonts w:ascii="Arial" w:cs="Arial" w:eastAsia="Arial" w:hAnsi="Arial"/>
                <w:sz w:val="16"/>
                <w:szCs w:val="16"/>
                <w:color w:val="auto"/>
              </w:rPr>
              <w:t>9 months</w:t>
            </w:r>
          </w:p>
        </w:tc>
        <w:tc>
          <w:tcPr>
            <w:tcW w:w="1400" w:type="dxa"/>
            <w:vAlign w:val="bottom"/>
            <w:tcBorders>
              <w:right w:val="single" w:sz="8" w:color="929292"/>
            </w:tcBorders>
          </w:tcPr>
          <w:p>
            <w:pPr>
              <w:jc w:val="center"/>
              <w:ind w:right="64"/>
              <w:spacing w:after="0"/>
              <w:rPr>
                <w:sz w:val="20"/>
                <w:szCs w:val="20"/>
                <w:color w:val="auto"/>
              </w:rPr>
            </w:pPr>
            <w:r>
              <w:rPr>
                <w:rFonts w:ascii="Arial" w:cs="Arial" w:eastAsia="Arial" w:hAnsi="Arial"/>
                <w:sz w:val="16"/>
                <w:szCs w:val="16"/>
                <w:color w:val="auto"/>
              </w:rPr>
              <w:t>6 months</w:t>
            </w:r>
          </w:p>
        </w:tc>
        <w:tc>
          <w:tcPr>
            <w:tcW w:w="1500" w:type="dxa"/>
            <w:vAlign w:val="bottom"/>
            <w:tcBorders>
              <w:right w:val="single" w:sz="8" w:color="929292"/>
            </w:tcBorders>
          </w:tcPr>
          <w:p>
            <w:pPr>
              <w:jc w:val="center"/>
              <w:ind w:right="124"/>
              <w:spacing w:after="0"/>
              <w:rPr>
                <w:sz w:val="20"/>
                <w:szCs w:val="20"/>
                <w:color w:val="auto"/>
              </w:rPr>
            </w:pPr>
            <w:r>
              <w:rPr>
                <w:rFonts w:ascii="Arial" w:cs="Arial" w:eastAsia="Arial" w:hAnsi="Arial"/>
                <w:sz w:val="16"/>
                <w:szCs w:val="16"/>
                <w:color w:val="auto"/>
              </w:rPr>
              <w:t>9 months</w:t>
            </w:r>
          </w:p>
        </w:tc>
        <w:tc>
          <w:tcPr>
            <w:tcW w:w="1520" w:type="dxa"/>
            <w:vAlign w:val="bottom"/>
            <w:tcBorders>
              <w:right w:val="single" w:sz="8" w:color="929292"/>
            </w:tcBorders>
          </w:tcPr>
          <w:p>
            <w:pPr>
              <w:jc w:val="center"/>
              <w:ind w:right="124"/>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4"/>
          <w:szCs w:val="14"/>
          <w:color w:val="7D7D7D"/>
        </w:rPr>
      </w:pPr>
      <w:r>
        <w:rPr>
          <w:rFonts w:ascii="Arial" w:cs="Arial" w:eastAsia="Arial" w:hAnsi="Arial"/>
          <w:sz w:val="14"/>
          <w:szCs w:val="14"/>
          <w:color w:val="7D7D7D"/>
        </w:rPr>
        <w:t>Participants are also entitled to receive the Pro rata Target bonus.</w:t>
      </w:r>
    </w:p>
    <w:p>
      <w:pPr>
        <w:spacing w:after="0" w:line="69" w:lineRule="exact"/>
        <w:rPr>
          <w:sz w:val="20"/>
          <w:szCs w:val="20"/>
          <w:color w:val="auto"/>
        </w:rPr>
      </w:pPr>
    </w:p>
    <w:p>
      <w:pPr>
        <w:ind w:left="240" w:hanging="232"/>
        <w:spacing w:after="0"/>
        <w:tabs>
          <w:tab w:leader="none" w:pos="240" w:val="left"/>
        </w:tabs>
        <w:numPr>
          <w:ilvl w:val="0"/>
          <w:numId w:val="77"/>
        </w:numPr>
        <w:rPr>
          <w:rFonts w:ascii="Arial" w:cs="Arial" w:eastAsia="Arial" w:hAnsi="Arial"/>
          <w:sz w:val="14"/>
          <w:szCs w:val="14"/>
          <w:color w:val="7D7D7D"/>
        </w:rPr>
      </w:pPr>
      <w:r>
        <w:rPr>
          <w:rFonts w:ascii="Arial" w:cs="Arial" w:eastAsia="Arial" w:hAnsi="Arial"/>
          <w:sz w:val="14"/>
          <w:szCs w:val="14"/>
          <w:color w:val="7D7D7D"/>
        </w:rPr>
        <w:t>Participants also will have an extended period of time to exercise outstanding equity awards, as described in the fourth bullet above.</w:t>
      </w:r>
    </w:p>
    <w:p>
      <w:pPr>
        <w:spacing w:after="0" w:line="23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unless otherwise provided in an agreement between a participant and us, if any payments or benefits that a participant would receive in connection with a change in control of us would constitute a “parachute payment” within the meaning of Section 280G of the Code, and such payments would be subject to the excise tax imposed by Section 4999 of the Code, then such payments will either be (1) provided to the participant in full or (2) reduced to such lesser amount that would result in no portion of such payments being subject to the excise tax, whichever amount after taking into account all taxes, including the excise tax, would result in the participant’s receipt, on an after-tax basis, of the greatest amount of such payments.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Severance Plan, the following definitions apply:</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as determined by the Board acting in good faith and based on information then known to it, means the participant’s: (i) refusal or failure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material, lawful and appropriate duties; (ii) material violation of Company policy or any written agreement between the Company and the participant; (iii) repeated unexplained or unjustified absence from the Company; (iv) intentional or negligent misconduct; (v) conviction of, or the entering of a plea of nolo contendere with respect to, any felony or a crime involving moral turpitude; (vi) unauthorized use or disclosure of any proprietary information or trade secrets of the Company or any other party to whom the participant owes an obligation of non-disclosure as a result of the participant’s relationship with the Company; (vii) commitment of any act of fraud, embezzlement, misappropriation, dishonesty or breach of fiduciary duty against the Company that causes, or is likely to cause, material harm to the Company or its subsidiaries or is intended to result in substantial personal enrichment; or (viii) failure to cooperate with the Company in any investigation or formal proceeding, including any government investigation.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the occurrence of any of the following events:</w:t>
      </w:r>
    </w:p>
    <w:p>
      <w:pPr>
        <w:spacing w:after="0" w:line="154" w:lineRule="exact"/>
        <w:rPr>
          <w:sz w:val="20"/>
          <w:szCs w:val="20"/>
          <w:color w:val="auto"/>
        </w:rPr>
      </w:pPr>
    </w:p>
    <w:p>
      <w:pPr>
        <w:ind w:left="340" w:right="100" w:hanging="170"/>
        <w:spacing w:after="0" w:line="321" w:lineRule="auto"/>
        <w:tabs>
          <w:tab w:leader="none" w:pos="317" w:val="left"/>
        </w:tabs>
        <w:numPr>
          <w:ilvl w:val="0"/>
          <w:numId w:val="78"/>
        </w:numPr>
        <w:rPr>
          <w:rFonts w:ascii="Arial" w:cs="Arial" w:eastAsia="Arial" w:hAnsi="Arial"/>
          <w:sz w:val="13"/>
          <w:szCs w:val="13"/>
          <w:color w:val="auto"/>
        </w:rPr>
      </w:pPr>
      <w:r>
        <w:rPr>
          <w:rFonts w:ascii="Arial" w:cs="Arial" w:eastAsia="Arial" w:hAnsi="Arial"/>
          <w:sz w:val="16"/>
          <w:szCs w:val="16"/>
          <w:color w:val="auto"/>
        </w:rPr>
        <w:t>any sale or exchange of the capital stock by the shareholders of the Company in one transaction or series of related transactions where more than 50% of the outstanding voting power of the Company is acquired by a person or entity or group of related persons or entities; or</w:t>
      </w:r>
    </w:p>
    <w:p>
      <w:pPr>
        <w:spacing w:after="0" w:line="7" w:lineRule="exact"/>
        <w:rPr>
          <w:rFonts w:ascii="Arial" w:cs="Arial" w:eastAsia="Arial" w:hAnsi="Arial"/>
          <w:sz w:val="13"/>
          <w:szCs w:val="13"/>
          <w:color w:val="auto"/>
        </w:rPr>
      </w:pPr>
    </w:p>
    <w:p>
      <w:pPr>
        <w:ind w:left="340" w:right="80" w:hanging="170"/>
        <w:spacing w:after="0" w:line="319" w:lineRule="auto"/>
        <w:tabs>
          <w:tab w:leader="none" w:pos="317" w:val="left"/>
        </w:tabs>
        <w:numPr>
          <w:ilvl w:val="0"/>
          <w:numId w:val="78"/>
        </w:numPr>
        <w:rPr>
          <w:rFonts w:ascii="Arial" w:cs="Arial" w:eastAsia="Arial" w:hAnsi="Arial"/>
          <w:sz w:val="13"/>
          <w:szCs w:val="13"/>
          <w:color w:val="auto"/>
        </w:rPr>
      </w:pPr>
      <w:r>
        <w:rPr>
          <w:rFonts w:ascii="Arial" w:cs="Arial" w:eastAsia="Arial" w:hAnsi="Arial"/>
          <w:sz w:val="16"/>
          <w:szCs w:val="16"/>
          <w:color w:val="auto"/>
        </w:rPr>
        <w:t>any reorganization, consolidation or merger of the Company where the outstanding voting securities of the Company immediately before the transaction represent or are converted into less than 50% of the outstanding voting power of the surviving entity (or its parent corporation) immediately after the transaction; or</w:t>
      </w:r>
    </w:p>
    <w:p>
      <w:pPr>
        <w:spacing w:after="0" w:line="8" w:lineRule="exact"/>
        <w:rPr>
          <w:rFonts w:ascii="Arial" w:cs="Arial" w:eastAsia="Arial" w:hAnsi="Arial"/>
          <w:sz w:val="13"/>
          <w:szCs w:val="13"/>
          <w:color w:val="auto"/>
        </w:rPr>
      </w:pPr>
    </w:p>
    <w:p>
      <w:pPr>
        <w:ind w:left="300" w:hanging="130"/>
        <w:spacing w:after="0"/>
        <w:tabs>
          <w:tab w:leader="none" w:pos="300" w:val="left"/>
        </w:tabs>
        <w:numPr>
          <w:ilvl w:val="0"/>
          <w:numId w:val="78"/>
        </w:numPr>
        <w:rPr>
          <w:rFonts w:ascii="Arial" w:cs="Arial" w:eastAsia="Arial" w:hAnsi="Arial"/>
          <w:sz w:val="13"/>
          <w:szCs w:val="13"/>
          <w:color w:val="auto"/>
        </w:rPr>
      </w:pPr>
      <w:r>
        <w:rPr>
          <w:rFonts w:ascii="Arial" w:cs="Arial" w:eastAsia="Arial" w:hAnsi="Arial"/>
          <w:sz w:val="16"/>
          <w:szCs w:val="16"/>
          <w:color w:val="auto"/>
        </w:rPr>
        <w:t>the consummation of any transaction or series of related transactions that results in the sale of all or substantially all of the assets of the Company; or</w:t>
      </w:r>
    </w:p>
    <w:p>
      <w:pPr>
        <w:spacing w:after="0" w:line="86" w:lineRule="exact"/>
        <w:rPr>
          <w:rFonts w:ascii="Arial" w:cs="Arial" w:eastAsia="Arial" w:hAnsi="Arial"/>
          <w:sz w:val="13"/>
          <w:szCs w:val="13"/>
          <w:color w:val="auto"/>
        </w:rPr>
      </w:pPr>
    </w:p>
    <w:p>
      <w:pPr>
        <w:ind w:left="340" w:right="60" w:hanging="170"/>
        <w:spacing w:after="0" w:line="339" w:lineRule="auto"/>
        <w:tabs>
          <w:tab w:leader="none" w:pos="317" w:val="left"/>
        </w:tabs>
        <w:numPr>
          <w:ilvl w:val="0"/>
          <w:numId w:val="78"/>
        </w:numPr>
        <w:rPr>
          <w:rFonts w:ascii="Arial" w:cs="Arial" w:eastAsia="Arial" w:hAnsi="Arial"/>
          <w:sz w:val="13"/>
          <w:szCs w:val="13"/>
          <w:color w:val="auto"/>
        </w:rPr>
      </w:pPr>
      <w:r>
        <w:rPr>
          <w:rFonts w:ascii="Arial" w:cs="Arial" w:eastAsia="Arial" w:hAnsi="Arial"/>
          <w:sz w:val="16"/>
          <w:szCs w:val="16"/>
          <w:color w:val="auto"/>
        </w:rPr>
        <w:t>any “person” or “group” (as defined in the Exchange Act) becoming the “beneficial owner” (as defined in Rule 13d-3 under the Exchange Act), directly or indirectly, of securities representing more than 50% of the voting power of the Company then outstanding.</w:t>
      </w:r>
    </w:p>
    <w:p>
      <w:pPr>
        <w:spacing w:after="0" w:line="4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term Change in Control will not include a sale of assets, merger or other transaction effected exclusively for the purpose of changing the domicile of the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8" w:name="page59"/>
    <w:bookmarkEnd w:id="58"/>
    <w:p>
      <w:pPr>
        <w:jc w:val="both"/>
        <w:ind w:right="20"/>
        <w:spacing w:after="0" w:line="294" w:lineRule="auto"/>
        <w:rPr>
          <w:sz w:val="20"/>
          <w:szCs w:val="20"/>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means, without the participant’s written consent: (i) a material reduction or material adverse change in job duties, responsibilities or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inconsistent with the participant’s position with the Company; provided, however, that any such reduction or change after a Change in Control (or similar corporate transaction that does not constitute a Change in Control) shall not constitute Good Reason by virtue of the fact that the participant is performing similar duties and responsibilities in a larger organization; (ii) a material reduction of the participant’s then current base salary, representing a reduction of more than 10% of the participant’s then current base salary; provided, that an across-the-board reduction in the salary level of all executive officers of the Company by the same percentage amount as part of a general salary level reduction shall not constitute such a material salary reduction; (iii) a material reduction of the participant’s target bonus opportunity; provided, that an across-the-board reduction in the target bonus opportunities of all executive officers of the Company shall not constitute such a material reduction in target bonus opportunity; (iv) the relocation of the principal place for performance of the participant’s duties to the Company to a location more than 50 miles from the Company’s then current location, which relocation is adverse to the participant, except for required travel on the Company’s business; (v) any material breach by the Company of the Severance Plan or any other written agreement between the Company and the participant; or (vi) the failure by any successor to the Company to assume the Severance Plan and any obligations under the Severance Plan; provided, that the participant gives written notice to the Company of the event forming the basis of the termination for Good Reason within 60 days after the date on which the Company gives written notice to the participant of the Company’s affirmative decision to take an action set forth in clause (i), (ii), (iii), (iv) or (v) above, the Company fails to cure such basis for the Good Reason resignation within 30 days after receipt of the participant’s written notice and the participant terminates his or her employment within 30 days following the expiration of the cure period.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Calculation of Potential Payments upon Termination or Change in Control</w:t>
      </w:r>
    </w:p>
    <w:p>
      <w:pPr>
        <w:spacing w:after="0" w:line="126"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following table presents our estimate of the benefits payable to the named executive officers under the agreements and plans described above in connection with certain terminations of their employment with us and/or a change in control. In calculating the amount of any potential payments to the NEOs, we have assumed the following:</w:t>
      </w:r>
    </w:p>
    <w:p>
      <w:pPr>
        <w:spacing w:after="0" w:line="124" w:lineRule="exact"/>
        <w:rPr>
          <w:sz w:val="20"/>
          <w:szCs w:val="20"/>
          <w:color w:val="auto"/>
        </w:rPr>
      </w:pPr>
    </w:p>
    <w:p>
      <w:pPr>
        <w:ind w:left="340" w:right="140" w:hanging="170"/>
        <w:spacing w:after="0" w:line="325" w:lineRule="auto"/>
        <w:tabs>
          <w:tab w:leader="none" w:pos="317" w:val="left"/>
        </w:tabs>
        <w:numPr>
          <w:ilvl w:val="0"/>
          <w:numId w:val="79"/>
        </w:numPr>
        <w:rPr>
          <w:rFonts w:ascii="Arial" w:cs="Arial" w:eastAsia="Arial" w:hAnsi="Arial"/>
          <w:sz w:val="13"/>
          <w:szCs w:val="13"/>
          <w:color w:val="auto"/>
        </w:rPr>
      </w:pPr>
      <w:r>
        <w:rPr>
          <w:rFonts w:ascii="Arial" w:cs="Arial" w:eastAsia="Arial" w:hAnsi="Arial"/>
          <w:sz w:val="16"/>
          <w:szCs w:val="16"/>
          <w:color w:val="auto"/>
        </w:rPr>
        <w:t>The applicable triggering event (i.e., qualifying termination of employment and/or change in control) occurred on December 31, 2024. Mr. Ranhoff is not included in the table below as he was not eligible for any potential payments upon a termination or change in control occurring as of that date.</w:t>
      </w:r>
    </w:p>
    <w:p>
      <w:pPr>
        <w:spacing w:after="0" w:line="1" w:lineRule="exact"/>
        <w:rPr>
          <w:rFonts w:ascii="Arial" w:cs="Arial" w:eastAsia="Arial" w:hAnsi="Arial"/>
          <w:sz w:val="13"/>
          <w:szCs w:val="13"/>
          <w:color w:val="auto"/>
        </w:rPr>
      </w:pPr>
    </w:p>
    <w:p>
      <w:pPr>
        <w:ind w:left="300" w:hanging="130"/>
        <w:spacing w:after="0"/>
        <w:tabs>
          <w:tab w:leader="none" w:pos="300" w:val="left"/>
        </w:tabs>
        <w:numPr>
          <w:ilvl w:val="0"/>
          <w:numId w:val="79"/>
        </w:numPr>
        <w:rPr>
          <w:rFonts w:ascii="Arial" w:cs="Arial" w:eastAsia="Arial" w:hAnsi="Arial"/>
          <w:sz w:val="13"/>
          <w:szCs w:val="13"/>
          <w:color w:val="auto"/>
        </w:rPr>
      </w:pPr>
      <w:r>
        <w:rPr>
          <w:rFonts w:ascii="Arial" w:cs="Arial" w:eastAsia="Arial" w:hAnsi="Arial"/>
          <w:sz w:val="16"/>
          <w:szCs w:val="16"/>
          <w:color w:val="auto"/>
        </w:rPr>
        <w:t>The price per share of our common stock is equal to the Nasdaq Stock Market closing price per share of $68.68 on December 31, 2024.</w:t>
      </w:r>
    </w:p>
    <w:p>
      <w:pPr>
        <w:spacing w:after="0" w:line="99" w:lineRule="exact"/>
        <w:rPr>
          <w:rFonts w:ascii="Arial" w:cs="Arial" w:eastAsia="Arial" w:hAnsi="Arial"/>
          <w:sz w:val="13"/>
          <w:szCs w:val="13"/>
          <w:color w:val="auto"/>
        </w:rPr>
      </w:pPr>
    </w:p>
    <w:p>
      <w:pPr>
        <w:ind w:left="340" w:right="500" w:hanging="170"/>
        <w:spacing w:after="0" w:line="321" w:lineRule="auto"/>
        <w:tabs>
          <w:tab w:leader="none" w:pos="317" w:val="left"/>
        </w:tabs>
        <w:numPr>
          <w:ilvl w:val="0"/>
          <w:numId w:val="79"/>
        </w:numPr>
        <w:rPr>
          <w:rFonts w:ascii="Arial" w:cs="Arial" w:eastAsia="Arial" w:hAnsi="Arial"/>
          <w:sz w:val="13"/>
          <w:szCs w:val="13"/>
          <w:color w:val="auto"/>
        </w:rPr>
      </w:pPr>
      <w:r>
        <w:rPr>
          <w:rFonts w:ascii="Arial" w:cs="Arial" w:eastAsia="Arial" w:hAnsi="Arial"/>
          <w:sz w:val="16"/>
          <w:szCs w:val="16"/>
          <w:color w:val="auto"/>
        </w:rPr>
        <w:t>We do not survive the change in control, and all outstanding incentive awards (and corresponding outstanding dividend equivalents for time-based RSUs and PSUs) are cashed out and terminated in the transaction.</w:t>
      </w:r>
    </w:p>
    <w:p>
      <w:pPr>
        <w:spacing w:after="0" w:line="7" w:lineRule="exact"/>
        <w:rPr>
          <w:rFonts w:ascii="Arial" w:cs="Arial" w:eastAsia="Arial" w:hAnsi="Arial"/>
          <w:sz w:val="13"/>
          <w:szCs w:val="13"/>
          <w:color w:val="auto"/>
        </w:rPr>
      </w:pPr>
    </w:p>
    <w:p>
      <w:pPr>
        <w:ind w:left="340" w:right="640" w:hanging="170"/>
        <w:spacing w:after="0" w:line="321" w:lineRule="auto"/>
        <w:tabs>
          <w:tab w:leader="none" w:pos="317" w:val="left"/>
        </w:tabs>
        <w:numPr>
          <w:ilvl w:val="0"/>
          <w:numId w:val="79"/>
        </w:numPr>
        <w:rPr>
          <w:rFonts w:ascii="Arial" w:cs="Arial" w:eastAsia="Arial" w:hAnsi="Arial"/>
          <w:sz w:val="13"/>
          <w:szCs w:val="13"/>
          <w:color w:val="auto"/>
        </w:rPr>
      </w:pPr>
      <w:r>
        <w:rPr>
          <w:rFonts w:ascii="Arial" w:cs="Arial" w:eastAsia="Arial" w:hAnsi="Arial"/>
          <w:sz w:val="16"/>
          <w:szCs w:val="16"/>
          <w:color w:val="auto"/>
        </w:rPr>
        <w:t>Not included in the table below are payments each NEO earned or accrued prior to termination, such as previously vested equity and non-equity incentive awards, which are more fully described and quantified in the tables and narratives above.</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860" w:type="dxa"/>
            <w:vAlign w:val="bottom"/>
            <w:tcBorders>
              <w:left w:val="single" w:sz="8" w:color="3C3C3C"/>
            </w:tcBorders>
            <w:shd w:val="clear" w:color="auto" w:fill="3C3C3C"/>
          </w:tcPr>
          <w:p>
            <w:pPr>
              <w:spacing w:after="0"/>
              <w:rPr>
                <w:sz w:val="16"/>
                <w:szCs w:val="16"/>
                <w:color w:val="auto"/>
              </w:rPr>
            </w:pPr>
          </w:p>
        </w:tc>
        <w:tc>
          <w:tcPr>
            <w:tcW w:w="120" w:type="dxa"/>
            <w:vAlign w:val="bottom"/>
            <w:tcBorders>
              <w:right w:val="single" w:sz="8" w:color="3C3C3C"/>
            </w:tcBorders>
            <w:shd w:val="clear" w:color="auto" w:fill="3C3C3C"/>
          </w:tcPr>
          <w:p>
            <w:pPr>
              <w:spacing w:after="0"/>
              <w:rPr>
                <w:sz w:val="16"/>
                <w:szCs w:val="16"/>
                <w:color w:val="auto"/>
              </w:rPr>
            </w:pPr>
          </w:p>
        </w:tc>
        <w:tc>
          <w:tcPr>
            <w:tcW w:w="4020" w:type="dxa"/>
            <w:vAlign w:val="bottom"/>
            <w:shd w:val="clear" w:color="auto" w:fill="3C3C3C"/>
          </w:tcPr>
          <w:p>
            <w:pPr>
              <w:spacing w:after="0"/>
              <w:rPr>
                <w:sz w:val="16"/>
                <w:szCs w:val="16"/>
                <w:color w:val="auto"/>
              </w:rPr>
            </w:pPr>
          </w:p>
        </w:tc>
        <w:tc>
          <w:tcPr>
            <w:tcW w:w="120" w:type="dxa"/>
            <w:vAlign w:val="bottom"/>
            <w:tcBorders>
              <w:right w:val="single" w:sz="8" w:color="3C3C3C"/>
            </w:tcBorders>
            <w:shd w:val="clear" w:color="auto" w:fill="3C3C3C"/>
          </w:tcPr>
          <w:p>
            <w:pPr>
              <w:spacing w:after="0"/>
              <w:rPr>
                <w:sz w:val="16"/>
                <w:szCs w:val="16"/>
                <w:color w:val="auto"/>
              </w:rPr>
            </w:pPr>
          </w:p>
        </w:tc>
        <w:tc>
          <w:tcPr>
            <w:tcW w:w="2040" w:type="dxa"/>
            <w:vAlign w:val="bottom"/>
            <w:tcBorders>
              <w:right w:val="single" w:sz="8" w:color="3C3C3C"/>
            </w:tcBorders>
            <w:shd w:val="clear" w:color="auto" w:fill="3C3C3C"/>
          </w:tcPr>
          <w:p>
            <w:pPr>
              <w:jc w:val="center"/>
              <w:ind w:right="41"/>
              <w:spacing w:after="0"/>
              <w:rPr>
                <w:sz w:val="20"/>
                <w:szCs w:val="20"/>
                <w:color w:val="auto"/>
              </w:rPr>
            </w:pPr>
            <w:r>
              <w:rPr>
                <w:rFonts w:ascii="Arial" w:cs="Arial" w:eastAsia="Arial" w:hAnsi="Arial"/>
                <w:sz w:val="14"/>
                <w:szCs w:val="14"/>
                <w:b w:val="1"/>
                <w:bCs w:val="1"/>
                <w:color w:val="FFFFFF"/>
              </w:rPr>
              <w:t>Change in Control-With</w:t>
            </w:r>
          </w:p>
        </w:tc>
        <w:tc>
          <w:tcPr>
            <w:tcW w:w="21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Involuntary Termination</w:t>
            </w:r>
          </w:p>
        </w:tc>
        <w:tc>
          <w:tcPr>
            <w:tcW w:w="0" w:type="dxa"/>
            <w:vAlign w:val="bottom"/>
          </w:tcPr>
          <w:p>
            <w:pPr>
              <w:spacing w:after="0"/>
              <w:rPr>
                <w:sz w:val="1"/>
                <w:szCs w:val="1"/>
                <w:color w:val="auto"/>
              </w:rPr>
            </w:pPr>
          </w:p>
        </w:tc>
      </w:tr>
      <w:tr>
        <w:trPr>
          <w:trHeight w:val="162"/>
        </w:trPr>
        <w:tc>
          <w:tcPr>
            <w:tcW w:w="2860" w:type="dxa"/>
            <w:vAlign w:val="bottom"/>
            <w:tcBorders>
              <w:lef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Named Executive Officer</w:t>
            </w:r>
          </w:p>
        </w:tc>
        <w:tc>
          <w:tcPr>
            <w:tcW w:w="120" w:type="dxa"/>
            <w:vAlign w:val="bottom"/>
            <w:tcBorders>
              <w:right w:val="single" w:sz="8" w:color="3C3C3C"/>
            </w:tcBorders>
            <w:shd w:val="clear" w:color="auto" w:fill="3C3C3C"/>
          </w:tcPr>
          <w:p>
            <w:pPr>
              <w:spacing w:after="0"/>
              <w:rPr>
                <w:sz w:val="14"/>
                <w:szCs w:val="14"/>
                <w:color w:val="auto"/>
              </w:rPr>
            </w:pPr>
          </w:p>
        </w:tc>
        <w:tc>
          <w:tcPr>
            <w:tcW w:w="4020" w:type="dxa"/>
            <w:vAlign w:val="bottom"/>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Compensation Element</w:t>
            </w:r>
          </w:p>
        </w:tc>
        <w:tc>
          <w:tcPr>
            <w:tcW w:w="120" w:type="dxa"/>
            <w:vAlign w:val="bottom"/>
            <w:tcBorders>
              <w:right w:val="single" w:sz="8" w:color="3C3C3C"/>
            </w:tcBorders>
            <w:shd w:val="clear" w:color="auto" w:fill="3C3C3C"/>
          </w:tcPr>
          <w:p>
            <w:pPr>
              <w:spacing w:after="0"/>
              <w:rPr>
                <w:sz w:val="14"/>
                <w:szCs w:val="14"/>
                <w:color w:val="auto"/>
              </w:rPr>
            </w:pPr>
          </w:p>
        </w:tc>
        <w:tc>
          <w:tcPr>
            <w:tcW w:w="2040" w:type="dxa"/>
            <w:vAlign w:val="bottom"/>
            <w:tcBorders>
              <w:right w:val="single" w:sz="8" w:color="3C3C3C"/>
            </w:tcBorders>
            <w:shd w:val="clear" w:color="auto" w:fill="3C3C3C"/>
          </w:tcPr>
          <w:p>
            <w:pPr>
              <w:jc w:val="center"/>
              <w:ind w:right="61"/>
              <w:spacing w:after="0"/>
              <w:rPr>
                <w:sz w:val="20"/>
                <w:szCs w:val="20"/>
                <w:color w:val="auto"/>
              </w:rPr>
            </w:pPr>
            <w:r>
              <w:rPr>
                <w:rFonts w:ascii="Arial" w:cs="Arial" w:eastAsia="Arial" w:hAnsi="Arial"/>
                <w:sz w:val="14"/>
                <w:szCs w:val="14"/>
                <w:b w:val="1"/>
                <w:bCs w:val="1"/>
                <w:color w:val="FFFFFF"/>
              </w:rPr>
              <w:t>Termination Without Cause</w:t>
            </w:r>
          </w:p>
        </w:tc>
        <w:tc>
          <w:tcPr>
            <w:tcW w:w="21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Without Cause or For Good</w:t>
            </w:r>
          </w:p>
        </w:tc>
        <w:tc>
          <w:tcPr>
            <w:tcW w:w="0" w:type="dxa"/>
            <w:vAlign w:val="bottom"/>
          </w:tcPr>
          <w:p>
            <w:pPr>
              <w:spacing w:after="0"/>
              <w:rPr>
                <w:sz w:val="1"/>
                <w:szCs w:val="1"/>
                <w:color w:val="auto"/>
              </w:rPr>
            </w:pPr>
          </w:p>
        </w:tc>
      </w:tr>
      <w:tr>
        <w:trPr>
          <w:trHeight w:val="115"/>
        </w:trPr>
        <w:tc>
          <w:tcPr>
            <w:tcW w:w="2860" w:type="dxa"/>
            <w:vAlign w:val="bottom"/>
            <w:tcBorders>
              <w:left w:val="single" w:sz="8" w:color="3C3C3C"/>
            </w:tcBorders>
            <w:vMerge w:val="continue"/>
            <w:shd w:val="clear" w:color="auto" w:fill="3C3C3C"/>
          </w:tcPr>
          <w:p>
            <w:pPr>
              <w:spacing w:after="0"/>
              <w:rPr>
                <w:sz w:val="10"/>
                <w:szCs w:val="10"/>
                <w:color w:val="auto"/>
              </w:rPr>
            </w:pPr>
          </w:p>
        </w:tc>
        <w:tc>
          <w:tcPr>
            <w:tcW w:w="120" w:type="dxa"/>
            <w:vAlign w:val="bottom"/>
            <w:tcBorders>
              <w:right w:val="single" w:sz="8" w:color="3C3C3C"/>
            </w:tcBorders>
            <w:shd w:val="clear" w:color="auto" w:fill="3C3C3C"/>
          </w:tcPr>
          <w:p>
            <w:pPr>
              <w:spacing w:after="0"/>
              <w:rPr>
                <w:sz w:val="10"/>
                <w:szCs w:val="10"/>
                <w:color w:val="auto"/>
              </w:rPr>
            </w:pPr>
          </w:p>
        </w:tc>
        <w:tc>
          <w:tcPr>
            <w:tcW w:w="4020" w:type="dxa"/>
            <w:vAlign w:val="bottom"/>
            <w:vMerge w:val="continue"/>
            <w:shd w:val="clear" w:color="auto" w:fill="3C3C3C"/>
          </w:tcPr>
          <w:p>
            <w:pPr>
              <w:spacing w:after="0"/>
              <w:rPr>
                <w:sz w:val="10"/>
                <w:szCs w:val="10"/>
                <w:color w:val="auto"/>
              </w:rPr>
            </w:pPr>
          </w:p>
        </w:tc>
        <w:tc>
          <w:tcPr>
            <w:tcW w:w="120" w:type="dxa"/>
            <w:vAlign w:val="bottom"/>
            <w:tcBorders>
              <w:right w:val="single" w:sz="8" w:color="3C3C3C"/>
            </w:tcBorders>
            <w:shd w:val="clear" w:color="auto" w:fill="3C3C3C"/>
          </w:tcPr>
          <w:p>
            <w:pPr>
              <w:spacing w:after="0"/>
              <w:rPr>
                <w:sz w:val="10"/>
                <w:szCs w:val="10"/>
                <w:color w:val="auto"/>
              </w:rPr>
            </w:pPr>
          </w:p>
        </w:tc>
        <w:tc>
          <w:tcPr>
            <w:tcW w:w="2040" w:type="dxa"/>
            <w:vAlign w:val="bottom"/>
            <w:tcBorders>
              <w:right w:val="single" w:sz="8" w:color="3C3C3C"/>
            </w:tcBorders>
            <w:vMerge w:val="restart"/>
            <w:shd w:val="clear" w:color="auto" w:fill="3C3C3C"/>
          </w:tcPr>
          <w:p>
            <w:pPr>
              <w:jc w:val="center"/>
              <w:ind w:right="61"/>
              <w:spacing w:after="0"/>
              <w:rPr>
                <w:sz w:val="20"/>
                <w:szCs w:val="20"/>
                <w:color w:val="auto"/>
              </w:rPr>
            </w:pPr>
            <w:r>
              <w:rPr>
                <w:rFonts w:ascii="Arial" w:cs="Arial" w:eastAsia="Arial" w:hAnsi="Arial"/>
                <w:sz w:val="14"/>
                <w:szCs w:val="14"/>
                <w:b w:val="1"/>
                <w:bCs w:val="1"/>
                <w:color w:val="FFFFFF"/>
              </w:rPr>
              <w:t>or For Good Reason</w:t>
            </w:r>
          </w:p>
        </w:tc>
        <w:tc>
          <w:tcPr>
            <w:tcW w:w="21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Reason No Change in Control</w:t>
            </w:r>
          </w:p>
        </w:tc>
        <w:tc>
          <w:tcPr>
            <w:tcW w:w="0" w:type="dxa"/>
            <w:vAlign w:val="bottom"/>
          </w:tcPr>
          <w:p>
            <w:pPr>
              <w:spacing w:after="0"/>
              <w:rPr>
                <w:sz w:val="1"/>
                <w:szCs w:val="1"/>
                <w:color w:val="auto"/>
              </w:rPr>
            </w:pPr>
          </w:p>
        </w:tc>
      </w:tr>
      <w:tr>
        <w:trPr>
          <w:trHeight w:val="60"/>
        </w:trPr>
        <w:tc>
          <w:tcPr>
            <w:tcW w:w="2860" w:type="dxa"/>
            <w:vAlign w:val="bottom"/>
            <w:tcBorders>
              <w:left w:val="single" w:sz="8" w:color="3C3C3C"/>
            </w:tcBorders>
            <w:shd w:val="clear" w:color="auto" w:fill="3C3C3C"/>
          </w:tcPr>
          <w:p>
            <w:pPr>
              <w:spacing w:after="0"/>
              <w:rPr>
                <w:sz w:val="5"/>
                <w:szCs w:val="5"/>
                <w:color w:val="auto"/>
              </w:rPr>
            </w:pPr>
          </w:p>
        </w:tc>
        <w:tc>
          <w:tcPr>
            <w:tcW w:w="120" w:type="dxa"/>
            <w:vAlign w:val="bottom"/>
            <w:tcBorders>
              <w:right w:val="single" w:sz="8" w:color="3C3C3C"/>
            </w:tcBorders>
            <w:shd w:val="clear" w:color="auto" w:fill="3C3C3C"/>
          </w:tcPr>
          <w:p>
            <w:pPr>
              <w:spacing w:after="0"/>
              <w:rPr>
                <w:sz w:val="5"/>
                <w:szCs w:val="5"/>
                <w:color w:val="auto"/>
              </w:rPr>
            </w:pPr>
          </w:p>
        </w:tc>
        <w:tc>
          <w:tcPr>
            <w:tcW w:w="4020" w:type="dxa"/>
            <w:vAlign w:val="bottom"/>
            <w:shd w:val="clear" w:color="auto" w:fill="3C3C3C"/>
          </w:tcPr>
          <w:p>
            <w:pPr>
              <w:spacing w:after="0"/>
              <w:rPr>
                <w:sz w:val="5"/>
                <w:szCs w:val="5"/>
                <w:color w:val="auto"/>
              </w:rPr>
            </w:pPr>
          </w:p>
        </w:tc>
        <w:tc>
          <w:tcPr>
            <w:tcW w:w="120" w:type="dxa"/>
            <w:vAlign w:val="bottom"/>
            <w:tcBorders>
              <w:right w:val="single" w:sz="8" w:color="3C3C3C"/>
            </w:tcBorders>
            <w:shd w:val="clear" w:color="auto" w:fill="3C3C3C"/>
          </w:tcPr>
          <w:p>
            <w:pPr>
              <w:spacing w:after="0"/>
              <w:rPr>
                <w:sz w:val="5"/>
                <w:szCs w:val="5"/>
                <w:color w:val="auto"/>
              </w:rPr>
            </w:pPr>
          </w:p>
        </w:tc>
        <w:tc>
          <w:tcPr>
            <w:tcW w:w="2040" w:type="dxa"/>
            <w:vAlign w:val="bottom"/>
            <w:tcBorders>
              <w:right w:val="single" w:sz="8" w:color="3C3C3C"/>
            </w:tcBorders>
            <w:vMerge w:val="continue"/>
            <w:shd w:val="clear" w:color="auto" w:fill="3C3C3C"/>
          </w:tcPr>
          <w:p>
            <w:pPr>
              <w:spacing w:after="0"/>
              <w:rPr>
                <w:sz w:val="5"/>
                <w:szCs w:val="5"/>
                <w:color w:val="auto"/>
              </w:rPr>
            </w:pPr>
          </w:p>
        </w:tc>
        <w:tc>
          <w:tcPr>
            <w:tcW w:w="2100" w:type="dxa"/>
            <w:vAlign w:val="bottom"/>
            <w:tcBorders>
              <w:right w:val="single" w:sz="8" w:color="3C3C3C"/>
            </w:tcBorders>
            <w:vMerge w:val="continue"/>
            <w:shd w:val="clear" w:color="auto" w:fill="3C3C3C"/>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860" w:type="dxa"/>
            <w:vAlign w:val="bottom"/>
            <w:tcBorders>
              <w:left w:val="single" w:sz="8" w:color="3C3C3C"/>
            </w:tcBorders>
            <w:shd w:val="clear" w:color="auto" w:fill="3C3C3C"/>
          </w:tcPr>
          <w:p>
            <w:pPr>
              <w:spacing w:after="0"/>
              <w:rPr>
                <w:sz w:val="18"/>
                <w:szCs w:val="18"/>
                <w:color w:val="auto"/>
              </w:rPr>
            </w:pPr>
          </w:p>
        </w:tc>
        <w:tc>
          <w:tcPr>
            <w:tcW w:w="120" w:type="dxa"/>
            <w:vAlign w:val="bottom"/>
            <w:tcBorders>
              <w:right w:val="single" w:sz="8" w:color="3C3C3C"/>
            </w:tcBorders>
            <w:shd w:val="clear" w:color="auto" w:fill="3C3C3C"/>
          </w:tcPr>
          <w:p>
            <w:pPr>
              <w:spacing w:after="0"/>
              <w:rPr>
                <w:sz w:val="18"/>
                <w:szCs w:val="18"/>
                <w:color w:val="auto"/>
              </w:rPr>
            </w:pPr>
          </w:p>
        </w:tc>
        <w:tc>
          <w:tcPr>
            <w:tcW w:w="4020" w:type="dxa"/>
            <w:vAlign w:val="bottom"/>
            <w:shd w:val="clear" w:color="auto" w:fill="3C3C3C"/>
          </w:tcPr>
          <w:p>
            <w:pPr>
              <w:spacing w:after="0"/>
              <w:rPr>
                <w:sz w:val="18"/>
                <w:szCs w:val="18"/>
                <w:color w:val="auto"/>
              </w:rPr>
            </w:pPr>
          </w:p>
        </w:tc>
        <w:tc>
          <w:tcPr>
            <w:tcW w:w="2160" w:type="dxa"/>
            <w:vAlign w:val="bottom"/>
            <w:tcBorders>
              <w:right w:val="single" w:sz="8" w:color="3C3C3C"/>
            </w:tcBorders>
            <w:gridSpan w:val="2"/>
            <w:shd w:val="clear" w:color="auto" w:fill="3C3C3C"/>
          </w:tcPr>
          <w:p>
            <w:pPr>
              <w:jc w:val="center"/>
              <w:spacing w:after="0" w:line="212" w:lineRule="exact"/>
              <w:rPr>
                <w:sz w:val="20"/>
                <w:szCs w:val="20"/>
                <w:color w:val="auto"/>
              </w:rPr>
            </w:pPr>
            <w:r>
              <w:rPr>
                <w:rFonts w:ascii="Arial" w:cs="Arial" w:eastAsia="Arial" w:hAnsi="Arial"/>
                <w:sz w:val="24"/>
                <w:szCs w:val="24"/>
                <w:b w:val="1"/>
                <w:bCs w:val="1"/>
                <w:color w:val="FFFFFF"/>
                <w:w w:val="98"/>
                <w:vertAlign w:val="subscript"/>
              </w:rPr>
              <w:t>($)</w:t>
            </w:r>
            <w:r>
              <w:rPr>
                <w:rFonts w:ascii="Arial" w:cs="Arial" w:eastAsia="Arial" w:hAnsi="Arial"/>
                <w:sz w:val="9"/>
                <w:szCs w:val="9"/>
                <w:b w:val="1"/>
                <w:bCs w:val="1"/>
                <w:color w:val="FFFFFF"/>
                <w:w w:val="98"/>
              </w:rPr>
              <w:t>(1)</w:t>
            </w:r>
          </w:p>
        </w:tc>
        <w:tc>
          <w:tcPr>
            <w:tcW w:w="2100" w:type="dxa"/>
            <w:vAlign w:val="bottom"/>
            <w:tcBorders>
              <w:right w:val="single" w:sz="8" w:color="3C3C3C"/>
            </w:tcBorders>
            <w:shd w:val="clear" w:color="auto" w:fill="3C3C3C"/>
          </w:tcPr>
          <w:p>
            <w:pPr>
              <w:jc w:val="center"/>
              <w:spacing w:after="0" w:line="212" w:lineRule="exact"/>
              <w:rPr>
                <w:sz w:val="20"/>
                <w:szCs w:val="20"/>
                <w:color w:val="auto"/>
              </w:rPr>
            </w:pPr>
            <w:r>
              <w:rPr>
                <w:rFonts w:ascii="Arial" w:cs="Arial" w:eastAsia="Arial" w:hAnsi="Arial"/>
                <w:sz w:val="24"/>
                <w:szCs w:val="24"/>
                <w:b w:val="1"/>
                <w:bCs w:val="1"/>
                <w:color w:val="FFFFFF"/>
                <w:w w:val="98"/>
                <w:vertAlign w:val="subscript"/>
              </w:rPr>
              <w:t>($)</w:t>
            </w:r>
            <w:r>
              <w:rPr>
                <w:rFonts w:ascii="Arial" w:cs="Arial" w:eastAsia="Arial" w:hAnsi="Arial"/>
                <w:sz w:val="9"/>
                <w:szCs w:val="9"/>
                <w:b w:val="1"/>
                <w:bCs w:val="1"/>
                <w:color w:val="FFFFFF"/>
                <w:w w:val="98"/>
              </w:rPr>
              <w:t>(2)</w:t>
            </w:r>
          </w:p>
        </w:tc>
        <w:tc>
          <w:tcPr>
            <w:tcW w:w="0" w:type="dxa"/>
            <w:vAlign w:val="bottom"/>
          </w:tcPr>
          <w:p>
            <w:pPr>
              <w:spacing w:after="0"/>
              <w:rPr>
                <w:sz w:val="1"/>
                <w:szCs w:val="1"/>
                <w:color w:val="auto"/>
              </w:rPr>
            </w:pPr>
          </w:p>
        </w:tc>
      </w:tr>
      <w:tr>
        <w:trPr>
          <w:trHeight w:val="255"/>
        </w:trPr>
        <w:tc>
          <w:tcPr>
            <w:tcW w:w="2860" w:type="dxa"/>
            <w:vAlign w:val="bottom"/>
            <w:tcBorders>
              <w:left w:val="single" w:sz="8" w:color="929292"/>
            </w:tcBorders>
            <w:shd w:val="clear" w:color="auto" w:fill="FAF6EF"/>
          </w:tcPr>
          <w:p>
            <w:pPr>
              <w:spacing w:after="0"/>
              <w:rPr>
                <w:sz w:val="22"/>
                <w:szCs w:val="22"/>
                <w:color w:val="auto"/>
              </w:rPr>
            </w:pPr>
          </w:p>
        </w:tc>
        <w:tc>
          <w:tcPr>
            <w:tcW w:w="120" w:type="dxa"/>
            <w:vAlign w:val="bottom"/>
            <w:tcBorders>
              <w:right w:val="single" w:sz="8" w:color="929292"/>
            </w:tcBorders>
            <w:shd w:val="clear" w:color="auto" w:fill="FAF6EF"/>
          </w:tcPr>
          <w:p>
            <w:pPr>
              <w:spacing w:after="0"/>
              <w:rPr>
                <w:sz w:val="22"/>
                <w:szCs w:val="22"/>
                <w:color w:val="auto"/>
              </w:rPr>
            </w:pPr>
          </w:p>
        </w:tc>
        <w:tc>
          <w:tcPr>
            <w:tcW w:w="4020" w:type="dxa"/>
            <w:vAlign w:val="bottom"/>
            <w:shd w:val="clear" w:color="auto" w:fill="FAF6EF"/>
          </w:tcPr>
          <w:p>
            <w:pPr>
              <w:ind w:left="120"/>
              <w:spacing w:after="0"/>
              <w:rPr>
                <w:sz w:val="20"/>
                <w:szCs w:val="20"/>
                <w:color w:val="auto"/>
              </w:rPr>
            </w:pPr>
            <w:r>
              <w:rPr>
                <w:rFonts w:ascii="Arial" w:cs="Arial" w:eastAsia="Arial" w:hAnsi="Arial"/>
                <w:sz w:val="16"/>
                <w:szCs w:val="16"/>
                <w:color w:val="auto"/>
              </w:rPr>
              <w:t>Cash Severance</w:t>
            </w:r>
          </w:p>
        </w:tc>
        <w:tc>
          <w:tcPr>
            <w:tcW w:w="120" w:type="dxa"/>
            <w:vAlign w:val="bottom"/>
            <w:tcBorders>
              <w:right w:val="single" w:sz="8" w:color="929292"/>
            </w:tcBorders>
            <w:shd w:val="clear" w:color="auto" w:fill="FAF6EF"/>
          </w:tcPr>
          <w:p>
            <w:pPr>
              <w:spacing w:after="0"/>
              <w:rPr>
                <w:sz w:val="22"/>
                <w:szCs w:val="22"/>
                <w:color w:val="auto"/>
              </w:rPr>
            </w:pPr>
          </w:p>
        </w:tc>
        <w:tc>
          <w:tcPr>
            <w:tcW w:w="2040" w:type="dxa"/>
            <w:vAlign w:val="bottom"/>
            <w:tcBorders>
              <w:right w:val="single" w:sz="8" w:color="929292"/>
            </w:tcBorders>
            <w:shd w:val="clear" w:color="auto" w:fill="FAF6EF"/>
          </w:tcPr>
          <w:p>
            <w:pPr>
              <w:jc w:val="center"/>
              <w:ind w:right="61"/>
              <w:spacing w:after="0"/>
              <w:rPr>
                <w:sz w:val="20"/>
                <w:szCs w:val="20"/>
                <w:color w:val="auto"/>
              </w:rPr>
            </w:pPr>
            <w:r>
              <w:rPr>
                <w:rFonts w:ascii="Arial" w:cs="Arial" w:eastAsia="Arial" w:hAnsi="Arial"/>
                <w:sz w:val="16"/>
                <w:szCs w:val="16"/>
                <w:color w:val="auto"/>
              </w:rPr>
              <w:t>900,000</w:t>
            </w:r>
          </w:p>
        </w:tc>
        <w:tc>
          <w:tcPr>
            <w:tcW w:w="21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900,000</w:t>
            </w:r>
          </w:p>
        </w:tc>
        <w:tc>
          <w:tcPr>
            <w:tcW w:w="0" w:type="dxa"/>
            <w:vAlign w:val="bottom"/>
          </w:tcPr>
          <w:p>
            <w:pPr>
              <w:spacing w:after="0"/>
              <w:rPr>
                <w:sz w:val="1"/>
                <w:szCs w:val="1"/>
                <w:color w:val="auto"/>
              </w:rPr>
            </w:pPr>
          </w:p>
        </w:tc>
      </w:tr>
      <w:tr>
        <w:trPr>
          <w:trHeight w:val="354"/>
        </w:trPr>
        <w:tc>
          <w:tcPr>
            <w:tcW w:w="2860" w:type="dxa"/>
            <w:vAlign w:val="bottom"/>
            <w:tcBorders>
              <w:left w:val="single" w:sz="8" w:color="929292"/>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20" w:type="dxa"/>
            <w:vAlign w:val="bottom"/>
            <w:tcBorders>
              <w:right w:val="single" w:sz="8" w:color="929292"/>
            </w:tcBorders>
            <w:shd w:val="clear" w:color="auto" w:fill="FAF6EF"/>
          </w:tcPr>
          <w:p>
            <w:pPr>
              <w:spacing w:after="0"/>
              <w:rPr>
                <w:sz w:val="24"/>
                <w:szCs w:val="24"/>
                <w:color w:val="auto"/>
              </w:rPr>
            </w:pPr>
          </w:p>
        </w:tc>
        <w:tc>
          <w:tcPr>
            <w:tcW w:w="4020" w:type="dxa"/>
            <w:vAlign w:val="bottom"/>
            <w:shd w:val="clear" w:color="auto" w:fill="FAF6EF"/>
          </w:tcPr>
          <w:p>
            <w:pPr>
              <w:ind w:left="120"/>
              <w:spacing w:after="0"/>
              <w:rPr>
                <w:sz w:val="20"/>
                <w:szCs w:val="20"/>
                <w:color w:val="auto"/>
              </w:rPr>
            </w:pPr>
            <w:r>
              <w:rPr>
                <w:rFonts w:ascii="Arial" w:cs="Arial" w:eastAsia="Arial" w:hAnsi="Arial"/>
                <w:sz w:val="16"/>
                <w:szCs w:val="16"/>
                <w:color w:val="auto"/>
              </w:rPr>
              <w:t>Restricted Stock Unit Acceleration</w:t>
            </w:r>
            <w:r>
              <w:rPr>
                <w:rFonts w:ascii="Arial" w:cs="Arial" w:eastAsia="Arial" w:hAnsi="Arial"/>
                <w:sz w:val="21"/>
                <w:szCs w:val="21"/>
                <w:color w:val="auto"/>
                <w:vertAlign w:val="superscript"/>
              </w:rPr>
              <w:t>(3)</w:t>
            </w:r>
          </w:p>
        </w:tc>
        <w:tc>
          <w:tcPr>
            <w:tcW w:w="120" w:type="dxa"/>
            <w:vAlign w:val="bottom"/>
            <w:tcBorders>
              <w:right w:val="single" w:sz="8" w:color="929292"/>
            </w:tcBorders>
            <w:shd w:val="clear" w:color="auto" w:fill="FAF6EF"/>
          </w:tcPr>
          <w:p>
            <w:pPr>
              <w:spacing w:after="0"/>
              <w:rPr>
                <w:sz w:val="24"/>
                <w:szCs w:val="24"/>
                <w:color w:val="auto"/>
              </w:rPr>
            </w:pPr>
          </w:p>
        </w:tc>
        <w:tc>
          <w:tcPr>
            <w:tcW w:w="2040" w:type="dxa"/>
            <w:vAlign w:val="bottom"/>
            <w:tcBorders>
              <w:right w:val="single" w:sz="8" w:color="929292"/>
            </w:tcBorders>
            <w:shd w:val="clear" w:color="auto" w:fill="FAF6EF"/>
          </w:tcPr>
          <w:p>
            <w:pPr>
              <w:jc w:val="center"/>
              <w:ind w:right="41"/>
              <w:spacing w:after="0"/>
              <w:rPr>
                <w:sz w:val="20"/>
                <w:szCs w:val="20"/>
                <w:color w:val="auto"/>
              </w:rPr>
            </w:pPr>
            <w:r>
              <w:rPr>
                <w:rFonts w:ascii="Arial" w:cs="Arial" w:eastAsia="Arial" w:hAnsi="Arial"/>
                <w:sz w:val="16"/>
                <w:szCs w:val="16"/>
                <w:color w:val="auto"/>
              </w:rPr>
              <w:t>3,475,208</w:t>
            </w:r>
          </w:p>
        </w:tc>
        <w:tc>
          <w:tcPr>
            <w:tcW w:w="21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868,802</w:t>
            </w:r>
          </w:p>
        </w:tc>
        <w:tc>
          <w:tcPr>
            <w:tcW w:w="0" w:type="dxa"/>
            <w:vAlign w:val="bottom"/>
          </w:tcPr>
          <w:p>
            <w:pPr>
              <w:spacing w:after="0"/>
              <w:rPr>
                <w:sz w:val="1"/>
                <w:szCs w:val="1"/>
                <w:color w:val="auto"/>
              </w:rPr>
            </w:pPr>
          </w:p>
        </w:tc>
      </w:tr>
      <w:tr>
        <w:trPr>
          <w:trHeight w:val="126"/>
        </w:trPr>
        <w:tc>
          <w:tcPr>
            <w:tcW w:w="2860" w:type="dxa"/>
            <w:vAlign w:val="bottom"/>
            <w:tcBorders>
              <w:left w:val="single" w:sz="8" w:color="929292"/>
            </w:tcBorders>
            <w:vMerge w:val="continue"/>
            <w:shd w:val="clear" w:color="auto" w:fill="FAF6EF"/>
          </w:tcPr>
          <w:p>
            <w:pPr>
              <w:spacing w:after="0"/>
              <w:rPr>
                <w:sz w:val="10"/>
                <w:szCs w:val="10"/>
                <w:color w:val="auto"/>
              </w:rPr>
            </w:pPr>
          </w:p>
        </w:tc>
        <w:tc>
          <w:tcPr>
            <w:tcW w:w="120" w:type="dxa"/>
            <w:vAlign w:val="bottom"/>
            <w:tcBorders>
              <w:right w:val="single" w:sz="8" w:color="929292"/>
            </w:tcBorders>
            <w:shd w:val="clear" w:color="auto" w:fill="FAF6EF"/>
          </w:tcPr>
          <w:p>
            <w:pPr>
              <w:spacing w:after="0"/>
              <w:rPr>
                <w:sz w:val="10"/>
                <w:szCs w:val="10"/>
                <w:color w:val="auto"/>
              </w:rPr>
            </w:pPr>
          </w:p>
        </w:tc>
        <w:tc>
          <w:tcPr>
            <w:tcW w:w="4020" w:type="dxa"/>
            <w:vAlign w:val="bottom"/>
            <w:vMerge w:val="restart"/>
            <w:shd w:val="clear" w:color="auto" w:fill="FAF6EF"/>
          </w:tcPr>
          <w:p>
            <w:pPr>
              <w:ind w:left="120"/>
              <w:spacing w:after="0"/>
              <w:rPr>
                <w:sz w:val="20"/>
                <w:szCs w:val="20"/>
                <w:color w:val="auto"/>
              </w:rPr>
            </w:pPr>
            <w:r>
              <w:rPr>
                <w:rFonts w:ascii="Arial" w:cs="Arial" w:eastAsia="Arial" w:hAnsi="Arial"/>
                <w:sz w:val="16"/>
                <w:szCs w:val="16"/>
                <w:color w:val="auto"/>
              </w:rPr>
              <w:t>Performance Stock Unit Acceleration</w:t>
            </w:r>
            <w:r>
              <w:rPr>
                <w:rFonts w:ascii="Arial" w:cs="Arial" w:eastAsia="Arial" w:hAnsi="Arial"/>
                <w:sz w:val="21"/>
                <w:szCs w:val="21"/>
                <w:color w:val="auto"/>
                <w:vertAlign w:val="superscript"/>
              </w:rPr>
              <w:t>(4)</w:t>
            </w:r>
          </w:p>
        </w:tc>
        <w:tc>
          <w:tcPr>
            <w:tcW w:w="120" w:type="dxa"/>
            <w:vAlign w:val="bottom"/>
            <w:tcBorders>
              <w:right w:val="single" w:sz="8" w:color="929292"/>
            </w:tcBorders>
            <w:shd w:val="clear" w:color="auto" w:fill="FAF6EF"/>
          </w:tcPr>
          <w:p>
            <w:pPr>
              <w:spacing w:after="0"/>
              <w:rPr>
                <w:sz w:val="10"/>
                <w:szCs w:val="10"/>
                <w:color w:val="auto"/>
              </w:rPr>
            </w:pPr>
          </w:p>
        </w:tc>
        <w:tc>
          <w:tcPr>
            <w:tcW w:w="2040" w:type="dxa"/>
            <w:vAlign w:val="bottom"/>
            <w:tcBorders>
              <w:right w:val="single" w:sz="8" w:color="929292"/>
            </w:tcBorders>
            <w:vMerge w:val="restart"/>
            <w:shd w:val="clear" w:color="auto" w:fill="FAF6EF"/>
          </w:tcPr>
          <w:p>
            <w:pPr>
              <w:jc w:val="center"/>
              <w:ind w:right="41"/>
              <w:spacing w:after="0"/>
              <w:rPr>
                <w:sz w:val="20"/>
                <w:szCs w:val="20"/>
                <w:color w:val="auto"/>
              </w:rPr>
            </w:pPr>
            <w:r>
              <w:rPr>
                <w:rFonts w:ascii="Arial" w:cs="Arial" w:eastAsia="Arial" w:hAnsi="Arial"/>
                <w:sz w:val="16"/>
                <w:szCs w:val="16"/>
                <w:color w:val="auto"/>
              </w:rPr>
              <w:t>6,469,656</w:t>
            </w:r>
          </w:p>
        </w:tc>
        <w:tc>
          <w:tcPr>
            <w:tcW w:w="2100" w:type="dxa"/>
            <w:vAlign w:val="bottom"/>
            <w:tcBorders>
              <w:right w:val="single" w:sz="8" w:color="929292"/>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1,617,414</w:t>
            </w:r>
          </w:p>
        </w:tc>
        <w:tc>
          <w:tcPr>
            <w:tcW w:w="0" w:type="dxa"/>
            <w:vAlign w:val="bottom"/>
          </w:tcPr>
          <w:p>
            <w:pPr>
              <w:spacing w:after="0"/>
              <w:rPr>
                <w:sz w:val="1"/>
                <w:szCs w:val="1"/>
                <w:color w:val="auto"/>
              </w:rPr>
            </w:pPr>
          </w:p>
        </w:tc>
      </w:tr>
      <w:tr>
        <w:trPr>
          <w:trHeight w:val="184"/>
        </w:trPr>
        <w:tc>
          <w:tcPr>
            <w:tcW w:w="2860" w:type="dxa"/>
            <w:vAlign w:val="bottom"/>
            <w:tcBorders>
              <w:left w:val="single" w:sz="8" w:color="929292"/>
            </w:tcBorders>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4020" w:type="dxa"/>
            <w:vAlign w:val="bottom"/>
            <w:vMerge w:val="continue"/>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2040" w:type="dxa"/>
            <w:vAlign w:val="bottom"/>
            <w:tcBorders>
              <w:right w:val="single" w:sz="8" w:color="929292"/>
            </w:tcBorders>
            <w:vMerge w:val="continue"/>
            <w:shd w:val="clear" w:color="auto" w:fill="FAF6EF"/>
          </w:tcPr>
          <w:p>
            <w:pPr>
              <w:spacing w:after="0"/>
              <w:rPr>
                <w:sz w:val="16"/>
                <w:szCs w:val="16"/>
                <w:color w:val="auto"/>
              </w:rPr>
            </w:pPr>
          </w:p>
        </w:tc>
        <w:tc>
          <w:tcPr>
            <w:tcW w:w="2100" w:type="dxa"/>
            <w:vAlign w:val="bottom"/>
            <w:tcBorders>
              <w:right w:val="single" w:sz="8" w:color="929292"/>
            </w:tcBorders>
            <w:vMerge w:val="continue"/>
            <w:shd w:val="clear" w:color="auto" w:fill="FAF6E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860" w:type="dxa"/>
            <w:vAlign w:val="bottom"/>
            <w:tcBorders>
              <w:left w:val="single" w:sz="8" w:color="929292"/>
            </w:tcBorders>
            <w:shd w:val="clear" w:color="auto" w:fill="FAF6EF"/>
          </w:tcPr>
          <w:p>
            <w:pPr>
              <w:spacing w:after="0"/>
              <w:rPr>
                <w:sz w:val="24"/>
                <w:szCs w:val="24"/>
                <w:color w:val="auto"/>
              </w:rPr>
            </w:pPr>
          </w:p>
        </w:tc>
        <w:tc>
          <w:tcPr>
            <w:tcW w:w="120" w:type="dxa"/>
            <w:vAlign w:val="bottom"/>
            <w:tcBorders>
              <w:right w:val="single" w:sz="8" w:color="929292"/>
            </w:tcBorders>
            <w:shd w:val="clear" w:color="auto" w:fill="FAF6EF"/>
          </w:tcPr>
          <w:p>
            <w:pPr>
              <w:spacing w:after="0"/>
              <w:rPr>
                <w:sz w:val="24"/>
                <w:szCs w:val="24"/>
                <w:color w:val="auto"/>
              </w:rPr>
            </w:pPr>
          </w:p>
        </w:tc>
        <w:tc>
          <w:tcPr>
            <w:tcW w:w="4020" w:type="dxa"/>
            <w:vAlign w:val="bottom"/>
            <w:shd w:val="clear" w:color="auto" w:fill="FAF6EF"/>
          </w:tcPr>
          <w:p>
            <w:pPr>
              <w:ind w:left="120"/>
              <w:spacing w:after="0"/>
              <w:rPr>
                <w:sz w:val="20"/>
                <w:szCs w:val="20"/>
                <w:color w:val="auto"/>
              </w:rPr>
            </w:pPr>
            <w:r>
              <w:rPr>
                <w:rFonts w:ascii="Arial" w:cs="Arial" w:eastAsia="Arial" w:hAnsi="Arial"/>
                <w:sz w:val="16"/>
                <w:szCs w:val="16"/>
                <w:color w:val="auto"/>
              </w:rPr>
              <w:t>Continuation of Benefits</w:t>
            </w:r>
            <w:r>
              <w:rPr>
                <w:rFonts w:ascii="Arial" w:cs="Arial" w:eastAsia="Arial" w:hAnsi="Arial"/>
                <w:sz w:val="21"/>
                <w:szCs w:val="21"/>
                <w:color w:val="auto"/>
                <w:vertAlign w:val="superscript"/>
              </w:rPr>
              <w:t>(5)</w:t>
            </w:r>
          </w:p>
        </w:tc>
        <w:tc>
          <w:tcPr>
            <w:tcW w:w="120" w:type="dxa"/>
            <w:vAlign w:val="bottom"/>
            <w:tcBorders>
              <w:right w:val="single" w:sz="8" w:color="929292"/>
            </w:tcBorders>
            <w:shd w:val="clear" w:color="auto" w:fill="FAF6EF"/>
          </w:tcPr>
          <w:p>
            <w:pPr>
              <w:spacing w:after="0"/>
              <w:rPr>
                <w:sz w:val="24"/>
                <w:szCs w:val="24"/>
                <w:color w:val="auto"/>
              </w:rPr>
            </w:pPr>
          </w:p>
        </w:tc>
        <w:tc>
          <w:tcPr>
            <w:tcW w:w="2040" w:type="dxa"/>
            <w:vAlign w:val="bottom"/>
            <w:tcBorders>
              <w:right w:val="single" w:sz="8" w:color="929292"/>
            </w:tcBorders>
            <w:shd w:val="clear" w:color="auto" w:fill="FAF6EF"/>
          </w:tcPr>
          <w:p>
            <w:pPr>
              <w:jc w:val="center"/>
              <w:ind w:right="61"/>
              <w:spacing w:after="0"/>
              <w:rPr>
                <w:sz w:val="20"/>
                <w:szCs w:val="20"/>
                <w:color w:val="auto"/>
              </w:rPr>
            </w:pPr>
            <w:r>
              <w:rPr>
                <w:rFonts w:ascii="Arial" w:cs="Arial" w:eastAsia="Arial" w:hAnsi="Arial"/>
                <w:sz w:val="16"/>
                <w:szCs w:val="16"/>
                <w:color w:val="auto"/>
              </w:rPr>
              <w:t>25,419</w:t>
            </w:r>
          </w:p>
        </w:tc>
        <w:tc>
          <w:tcPr>
            <w:tcW w:w="21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25,419</w:t>
            </w:r>
          </w:p>
        </w:tc>
        <w:tc>
          <w:tcPr>
            <w:tcW w:w="0" w:type="dxa"/>
            <w:vAlign w:val="bottom"/>
          </w:tcPr>
          <w:p>
            <w:pPr>
              <w:spacing w:after="0"/>
              <w:rPr>
                <w:sz w:val="1"/>
                <w:szCs w:val="1"/>
                <w:color w:val="auto"/>
              </w:rPr>
            </w:pPr>
          </w:p>
        </w:tc>
      </w:tr>
      <w:tr>
        <w:trPr>
          <w:trHeight w:val="255"/>
        </w:trPr>
        <w:tc>
          <w:tcPr>
            <w:tcW w:w="2860" w:type="dxa"/>
            <w:vAlign w:val="bottom"/>
            <w:tcBorders>
              <w:left w:val="single" w:sz="8" w:color="929292"/>
            </w:tcBorders>
          </w:tcPr>
          <w:p>
            <w:pPr>
              <w:spacing w:after="0"/>
              <w:rPr>
                <w:sz w:val="22"/>
                <w:szCs w:val="22"/>
                <w:color w:val="auto"/>
              </w:rPr>
            </w:pPr>
          </w:p>
        </w:tc>
        <w:tc>
          <w:tcPr>
            <w:tcW w:w="120" w:type="dxa"/>
            <w:vAlign w:val="bottom"/>
            <w:tcBorders>
              <w:right w:val="single" w:sz="8" w:color="929292"/>
            </w:tcBorders>
          </w:tcPr>
          <w:p>
            <w:pPr>
              <w:spacing w:after="0"/>
              <w:rPr>
                <w:sz w:val="22"/>
                <w:szCs w:val="22"/>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Cash Severance</w:t>
            </w:r>
          </w:p>
        </w:tc>
        <w:tc>
          <w:tcPr>
            <w:tcW w:w="120" w:type="dxa"/>
            <w:vAlign w:val="bottom"/>
            <w:tcBorders>
              <w:right w:val="single" w:sz="8" w:color="929292"/>
            </w:tcBorders>
          </w:tcPr>
          <w:p>
            <w:pPr>
              <w:spacing w:after="0"/>
              <w:rPr>
                <w:sz w:val="22"/>
                <w:szCs w:val="22"/>
                <w:color w:val="auto"/>
              </w:rPr>
            </w:pPr>
          </w:p>
        </w:tc>
        <w:tc>
          <w:tcPr>
            <w:tcW w:w="2040" w:type="dxa"/>
            <w:vAlign w:val="bottom"/>
            <w:tcBorders>
              <w:right w:val="single" w:sz="8" w:color="929292"/>
            </w:tcBorders>
          </w:tcPr>
          <w:p>
            <w:pPr>
              <w:jc w:val="center"/>
              <w:ind w:right="61"/>
              <w:spacing w:after="0"/>
              <w:rPr>
                <w:sz w:val="20"/>
                <w:szCs w:val="20"/>
                <w:color w:val="auto"/>
              </w:rPr>
            </w:pPr>
            <w:r>
              <w:rPr>
                <w:rFonts w:ascii="Arial" w:cs="Arial" w:eastAsia="Arial" w:hAnsi="Arial"/>
                <w:sz w:val="16"/>
                <w:szCs w:val="16"/>
                <w:color w:val="auto"/>
              </w:rPr>
              <w:t>482,344</w:t>
            </w:r>
          </w:p>
        </w:tc>
        <w:tc>
          <w:tcPr>
            <w:tcW w:w="21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321,563</w:t>
            </w:r>
          </w:p>
        </w:tc>
        <w:tc>
          <w:tcPr>
            <w:tcW w:w="0" w:type="dxa"/>
            <w:vAlign w:val="bottom"/>
          </w:tcPr>
          <w:p>
            <w:pPr>
              <w:spacing w:after="0"/>
              <w:rPr>
                <w:sz w:val="1"/>
                <w:szCs w:val="1"/>
                <w:color w:val="auto"/>
              </w:rPr>
            </w:pPr>
          </w:p>
        </w:tc>
      </w:tr>
      <w:tr>
        <w:trPr>
          <w:trHeight w:val="354"/>
        </w:trPr>
        <w:tc>
          <w:tcPr>
            <w:tcW w:w="2860" w:type="dxa"/>
            <w:vAlign w:val="bottom"/>
            <w:tcBorders>
              <w:left w:val="single" w:sz="8" w:color="929292"/>
            </w:tcBorders>
            <w:vMerge w:val="restart"/>
          </w:tcPr>
          <w:p>
            <w:pPr>
              <w:ind w:left="120"/>
              <w:spacing w:after="0"/>
              <w:rPr>
                <w:sz w:val="20"/>
                <w:szCs w:val="20"/>
                <w:color w:val="auto"/>
              </w:rPr>
            </w:pPr>
            <w:r>
              <w:rPr>
                <w:rFonts w:ascii="Arial" w:cs="Arial" w:eastAsia="Arial" w:hAnsi="Arial"/>
                <w:sz w:val="16"/>
                <w:szCs w:val="16"/>
                <w:b w:val="1"/>
                <w:bCs w:val="1"/>
                <w:color w:val="auto"/>
              </w:rPr>
              <w:t>Mandy Yang</w:t>
            </w:r>
          </w:p>
        </w:tc>
        <w:tc>
          <w:tcPr>
            <w:tcW w:w="120" w:type="dxa"/>
            <w:vAlign w:val="bottom"/>
            <w:tcBorders>
              <w:right w:val="single" w:sz="8" w:color="929292"/>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Restricted Stock Unit Acceleration</w:t>
            </w:r>
            <w:r>
              <w:rPr>
                <w:rFonts w:ascii="Arial" w:cs="Arial" w:eastAsia="Arial" w:hAnsi="Arial"/>
                <w:sz w:val="21"/>
                <w:szCs w:val="21"/>
                <w:color w:val="auto"/>
                <w:vertAlign w:val="superscript"/>
              </w:rPr>
              <w:t>(3)</w:t>
            </w:r>
          </w:p>
        </w:tc>
        <w:tc>
          <w:tcPr>
            <w:tcW w:w="120" w:type="dxa"/>
            <w:vAlign w:val="bottom"/>
            <w:tcBorders>
              <w:right w:val="single" w:sz="8" w:color="929292"/>
            </w:tcBorders>
          </w:tcPr>
          <w:p>
            <w:pPr>
              <w:spacing w:after="0"/>
              <w:rPr>
                <w:sz w:val="24"/>
                <w:szCs w:val="24"/>
                <w:color w:val="auto"/>
              </w:rPr>
            </w:pPr>
          </w:p>
        </w:tc>
        <w:tc>
          <w:tcPr>
            <w:tcW w:w="2040" w:type="dxa"/>
            <w:vAlign w:val="bottom"/>
            <w:tcBorders>
              <w:right w:val="single" w:sz="8" w:color="929292"/>
            </w:tcBorders>
          </w:tcPr>
          <w:p>
            <w:pPr>
              <w:jc w:val="center"/>
              <w:ind w:right="41"/>
              <w:spacing w:after="0"/>
              <w:rPr>
                <w:sz w:val="20"/>
                <w:szCs w:val="20"/>
                <w:color w:val="auto"/>
              </w:rPr>
            </w:pPr>
            <w:r>
              <w:rPr>
                <w:rFonts w:ascii="Arial" w:cs="Arial" w:eastAsia="Arial" w:hAnsi="Arial"/>
                <w:sz w:val="16"/>
                <w:szCs w:val="16"/>
                <w:color w:val="auto"/>
              </w:rPr>
              <w:t>2,429,898</w:t>
            </w:r>
          </w:p>
        </w:tc>
        <w:tc>
          <w:tcPr>
            <w:tcW w:w="21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6"/>
        </w:trPr>
        <w:tc>
          <w:tcPr>
            <w:tcW w:w="2860" w:type="dxa"/>
            <w:vAlign w:val="bottom"/>
            <w:tcBorders>
              <w:left w:val="single" w:sz="8" w:color="929292"/>
            </w:tcBorders>
            <w:vMerge w:val="continue"/>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4020" w:type="dxa"/>
            <w:vAlign w:val="bottom"/>
            <w:vMerge w:val="restart"/>
          </w:tcPr>
          <w:p>
            <w:pPr>
              <w:ind w:left="120"/>
              <w:spacing w:after="0"/>
              <w:rPr>
                <w:sz w:val="20"/>
                <w:szCs w:val="20"/>
                <w:color w:val="auto"/>
              </w:rPr>
            </w:pPr>
            <w:r>
              <w:rPr>
                <w:rFonts w:ascii="Arial" w:cs="Arial" w:eastAsia="Arial" w:hAnsi="Arial"/>
                <w:sz w:val="16"/>
                <w:szCs w:val="16"/>
                <w:color w:val="auto"/>
              </w:rPr>
              <w:t>Performance Stock Unit Acceleration</w:t>
            </w:r>
            <w:r>
              <w:rPr>
                <w:rFonts w:ascii="Arial" w:cs="Arial" w:eastAsia="Arial" w:hAnsi="Arial"/>
                <w:sz w:val="21"/>
                <w:szCs w:val="21"/>
                <w:color w:val="auto"/>
                <w:vertAlign w:val="superscript"/>
              </w:rPr>
              <w:t>(4)</w:t>
            </w:r>
          </w:p>
        </w:tc>
        <w:tc>
          <w:tcPr>
            <w:tcW w:w="120" w:type="dxa"/>
            <w:vAlign w:val="bottom"/>
            <w:tcBorders>
              <w:right w:val="single" w:sz="8" w:color="929292"/>
            </w:tcBorders>
          </w:tcPr>
          <w:p>
            <w:pPr>
              <w:spacing w:after="0"/>
              <w:rPr>
                <w:sz w:val="10"/>
                <w:szCs w:val="10"/>
                <w:color w:val="auto"/>
              </w:rPr>
            </w:pPr>
          </w:p>
        </w:tc>
        <w:tc>
          <w:tcPr>
            <w:tcW w:w="2040" w:type="dxa"/>
            <w:vAlign w:val="bottom"/>
            <w:tcBorders>
              <w:right w:val="single" w:sz="8" w:color="929292"/>
            </w:tcBorders>
            <w:vMerge w:val="restart"/>
          </w:tcPr>
          <w:p>
            <w:pPr>
              <w:jc w:val="center"/>
              <w:ind w:right="41"/>
              <w:spacing w:after="0"/>
              <w:rPr>
                <w:sz w:val="20"/>
                <w:szCs w:val="20"/>
                <w:color w:val="auto"/>
              </w:rPr>
            </w:pPr>
            <w:r>
              <w:rPr>
                <w:rFonts w:ascii="Arial" w:cs="Arial" w:eastAsia="Arial" w:hAnsi="Arial"/>
                <w:sz w:val="16"/>
                <w:szCs w:val="16"/>
                <w:color w:val="auto"/>
              </w:rPr>
              <w:t>2,999,942</w:t>
            </w:r>
          </w:p>
        </w:tc>
        <w:tc>
          <w:tcPr>
            <w:tcW w:w="21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4"/>
        </w:trPr>
        <w:tc>
          <w:tcPr>
            <w:tcW w:w="2860" w:type="dxa"/>
            <w:vAlign w:val="bottom"/>
            <w:tcBorders>
              <w:left w:val="single" w:sz="8" w:color="929292"/>
            </w:tcBorders>
          </w:tcPr>
          <w:p>
            <w:pPr>
              <w:spacing w:after="0"/>
              <w:rPr>
                <w:sz w:val="16"/>
                <w:szCs w:val="16"/>
                <w:color w:val="auto"/>
              </w:rPr>
            </w:pPr>
          </w:p>
        </w:tc>
        <w:tc>
          <w:tcPr>
            <w:tcW w:w="120" w:type="dxa"/>
            <w:vAlign w:val="bottom"/>
            <w:tcBorders>
              <w:right w:val="single" w:sz="8" w:color="929292"/>
            </w:tcBorders>
          </w:tcPr>
          <w:p>
            <w:pPr>
              <w:spacing w:after="0"/>
              <w:rPr>
                <w:sz w:val="16"/>
                <w:szCs w:val="16"/>
                <w:color w:val="auto"/>
              </w:rPr>
            </w:pPr>
          </w:p>
        </w:tc>
        <w:tc>
          <w:tcPr>
            <w:tcW w:w="4020" w:type="dxa"/>
            <w:vAlign w:val="bottom"/>
            <w:vMerge w:val="continue"/>
          </w:tcPr>
          <w:p>
            <w:pPr>
              <w:spacing w:after="0"/>
              <w:rPr>
                <w:sz w:val="16"/>
                <w:szCs w:val="16"/>
                <w:color w:val="auto"/>
              </w:rPr>
            </w:pPr>
          </w:p>
        </w:tc>
        <w:tc>
          <w:tcPr>
            <w:tcW w:w="120" w:type="dxa"/>
            <w:vAlign w:val="bottom"/>
            <w:tcBorders>
              <w:right w:val="single" w:sz="8" w:color="929292"/>
            </w:tcBorders>
          </w:tcPr>
          <w:p>
            <w:pPr>
              <w:spacing w:after="0"/>
              <w:rPr>
                <w:sz w:val="16"/>
                <w:szCs w:val="16"/>
                <w:color w:val="auto"/>
              </w:rPr>
            </w:pPr>
          </w:p>
        </w:tc>
        <w:tc>
          <w:tcPr>
            <w:tcW w:w="2040" w:type="dxa"/>
            <w:vAlign w:val="bottom"/>
            <w:tcBorders>
              <w:right w:val="single" w:sz="8" w:color="929292"/>
            </w:tcBorders>
            <w:vMerge w:val="continue"/>
          </w:tcPr>
          <w:p>
            <w:pPr>
              <w:spacing w:after="0"/>
              <w:rPr>
                <w:sz w:val="16"/>
                <w:szCs w:val="16"/>
                <w:color w:val="auto"/>
              </w:rPr>
            </w:pPr>
          </w:p>
        </w:tc>
        <w:tc>
          <w:tcPr>
            <w:tcW w:w="2100" w:type="dxa"/>
            <w:vAlign w:val="bottom"/>
            <w:tcBorders>
              <w:right w:val="single" w:sz="8" w:color="929292"/>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860" w:type="dxa"/>
            <w:vAlign w:val="bottom"/>
            <w:tcBorders>
              <w:left w:val="single" w:sz="8" w:color="929292"/>
            </w:tcBorders>
          </w:tcPr>
          <w:p>
            <w:pPr>
              <w:spacing w:after="0"/>
              <w:rPr>
                <w:sz w:val="24"/>
                <w:szCs w:val="24"/>
                <w:color w:val="auto"/>
              </w:rPr>
            </w:pPr>
          </w:p>
        </w:tc>
        <w:tc>
          <w:tcPr>
            <w:tcW w:w="120" w:type="dxa"/>
            <w:vAlign w:val="bottom"/>
            <w:tcBorders>
              <w:right w:val="single" w:sz="8" w:color="929292"/>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Continuation of Benefits</w:t>
            </w:r>
            <w:r>
              <w:rPr>
                <w:rFonts w:ascii="Arial" w:cs="Arial" w:eastAsia="Arial" w:hAnsi="Arial"/>
                <w:sz w:val="21"/>
                <w:szCs w:val="21"/>
                <w:color w:val="auto"/>
                <w:vertAlign w:val="superscript"/>
              </w:rPr>
              <w:t>(5)</w:t>
            </w:r>
          </w:p>
        </w:tc>
        <w:tc>
          <w:tcPr>
            <w:tcW w:w="120" w:type="dxa"/>
            <w:vAlign w:val="bottom"/>
            <w:tcBorders>
              <w:right w:val="single" w:sz="8" w:color="929292"/>
            </w:tcBorders>
          </w:tcPr>
          <w:p>
            <w:pPr>
              <w:spacing w:after="0"/>
              <w:rPr>
                <w:sz w:val="24"/>
                <w:szCs w:val="24"/>
                <w:color w:val="auto"/>
              </w:rPr>
            </w:pPr>
          </w:p>
        </w:tc>
        <w:tc>
          <w:tcPr>
            <w:tcW w:w="2040" w:type="dxa"/>
            <w:vAlign w:val="bottom"/>
            <w:tcBorders>
              <w:right w:val="single" w:sz="8" w:color="929292"/>
            </w:tcBorders>
          </w:tcPr>
          <w:p>
            <w:pPr>
              <w:jc w:val="center"/>
              <w:ind w:right="61"/>
              <w:spacing w:after="0"/>
              <w:rPr>
                <w:sz w:val="20"/>
                <w:szCs w:val="20"/>
                <w:color w:val="auto"/>
              </w:rPr>
            </w:pPr>
            <w:r>
              <w:rPr>
                <w:rFonts w:ascii="Arial" w:cs="Arial" w:eastAsia="Arial" w:hAnsi="Arial"/>
                <w:sz w:val="16"/>
                <w:szCs w:val="16"/>
                <w:color w:val="auto"/>
              </w:rPr>
              <w:t>25,167</w:t>
            </w:r>
          </w:p>
        </w:tc>
        <w:tc>
          <w:tcPr>
            <w:tcW w:w="21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jc w:val="both"/>
        <w:ind w:left="260" w:right="20" w:hanging="252"/>
        <w:spacing w:after="0" w:line="273" w:lineRule="auto"/>
        <w:tabs>
          <w:tab w:leader="none" w:pos="245" w:val="left"/>
        </w:tabs>
        <w:numPr>
          <w:ilvl w:val="0"/>
          <w:numId w:val="80"/>
        </w:numPr>
        <w:rPr>
          <w:rFonts w:ascii="Arial" w:cs="Arial" w:eastAsia="Arial" w:hAnsi="Arial"/>
          <w:sz w:val="14"/>
          <w:szCs w:val="14"/>
          <w:color w:val="7D7D7D"/>
        </w:rPr>
      </w:pPr>
      <w:r>
        <w:rPr>
          <w:rFonts w:ascii="Arial" w:cs="Arial" w:eastAsia="Arial" w:hAnsi="Arial"/>
          <w:sz w:val="14"/>
          <w:szCs w:val="14"/>
          <w:color w:val="7D7D7D"/>
        </w:rPr>
        <w:t>The amounts shown represent the estimated value of the severance benefits payable under the Severance Plan (and the estimated value of equity acceleration under our stock incentive plans for awards not covered under the Severance Plan) in the event of a qualifying termination of employment in connection with a change in control, as such benefits are described more fully above.</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59" w:name="page60"/>
    <w:bookmarkEnd w:id="59"/>
    <w:p>
      <w:pPr>
        <w:ind w:left="260" w:right="20" w:hanging="252"/>
        <w:spacing w:after="0" w:line="301" w:lineRule="auto"/>
        <w:tabs>
          <w:tab w:leader="none" w:pos="245" w:val="left"/>
        </w:tabs>
        <w:numPr>
          <w:ilvl w:val="0"/>
          <w:numId w:val="81"/>
        </w:numPr>
        <w:rPr>
          <w:rFonts w:ascii="Arial" w:cs="Arial" w:eastAsia="Arial" w:hAnsi="Arial"/>
          <w:sz w:val="14"/>
          <w:szCs w:val="14"/>
          <w:color w:val="7D7D7D"/>
        </w:rPr>
      </w:pPr>
      <w:r>
        <w:rPr>
          <w:rFonts w:ascii="Arial" w:cs="Arial" w:eastAsia="Arial" w:hAnsi="Arial"/>
          <w:sz w:val="14"/>
          <w:szCs w:val="14"/>
          <w:color w:val="7D7D7D"/>
        </w:rPr>
        <w:t>The amounts shown represent the estimated value of the severance benefits payable under the Severance Plan in the event of a termination of employment by us without cause or for Good Reason, as such benefits are described more fully above.</w:t>
      </w:r>
    </w:p>
    <w:p>
      <w:pPr>
        <w:spacing w:after="0" w:line="1" w:lineRule="exact"/>
        <w:rPr>
          <w:sz w:val="20"/>
          <w:szCs w:val="20"/>
          <w:color w:val="auto"/>
        </w:rPr>
      </w:pPr>
    </w:p>
    <w:p>
      <w:pPr>
        <w:jc w:val="both"/>
        <w:ind w:left="260" w:hanging="252"/>
        <w:spacing w:after="0" w:line="273" w:lineRule="auto"/>
        <w:tabs>
          <w:tab w:leader="none" w:pos="245" w:val="left"/>
        </w:tabs>
        <w:numPr>
          <w:ilvl w:val="0"/>
          <w:numId w:val="82"/>
        </w:numPr>
        <w:rPr>
          <w:rFonts w:ascii="Arial" w:cs="Arial" w:eastAsia="Arial" w:hAnsi="Arial"/>
          <w:sz w:val="14"/>
          <w:szCs w:val="14"/>
          <w:color w:val="7D7D7D"/>
        </w:rPr>
      </w:pPr>
      <w:r>
        <w:rPr>
          <w:rFonts w:ascii="Arial" w:cs="Arial" w:eastAsia="Arial" w:hAnsi="Arial"/>
          <w:sz w:val="14"/>
          <w:szCs w:val="14"/>
          <w:color w:val="7D7D7D"/>
        </w:rPr>
        <w:t>The amounts shown represent the portion of the RSU award that would have accelerated in connection with the termination event and are based on the intrinsic value of that portion as of December 31, 2024. These intrinsic values were calculated by multiplying (i) $68.68, the Nasdaq Stock Market closing price of a share of our common stock on December 31, 2024, by (ii) the number of stock units that would have vested on an accelerated basis on December 31, 2024.</w:t>
      </w:r>
    </w:p>
    <w:p>
      <w:pPr>
        <w:spacing w:after="0" w:line="18" w:lineRule="exact"/>
        <w:rPr>
          <w:sz w:val="20"/>
          <w:szCs w:val="20"/>
          <w:color w:val="auto"/>
        </w:rPr>
      </w:pPr>
    </w:p>
    <w:p>
      <w:pPr>
        <w:jc w:val="both"/>
        <w:ind w:left="260" w:hanging="252"/>
        <w:spacing w:after="0" w:line="281" w:lineRule="auto"/>
        <w:tabs>
          <w:tab w:leader="none" w:pos="245" w:val="left"/>
        </w:tabs>
        <w:numPr>
          <w:ilvl w:val="0"/>
          <w:numId w:val="83"/>
        </w:numPr>
        <w:rPr>
          <w:rFonts w:ascii="Arial" w:cs="Arial" w:eastAsia="Arial" w:hAnsi="Arial"/>
          <w:sz w:val="14"/>
          <w:szCs w:val="14"/>
          <w:color w:val="7D7D7D"/>
        </w:rPr>
      </w:pPr>
      <w:r>
        <w:rPr>
          <w:rFonts w:ascii="Arial" w:cs="Arial" w:eastAsia="Arial" w:hAnsi="Arial"/>
          <w:sz w:val="14"/>
          <w:szCs w:val="14"/>
          <w:color w:val="7D7D7D"/>
        </w:rPr>
        <w:t>The amounts shown represent the target number of PSUs that would have accelerated in connection with the termination event and are based on the intrinsic value of those units as of December 31, 2024. These intrinsic values were calculated by multiplying (i) $68.68, the Nasdaq Stock Market closing price of a share of our common stock on December 31, 2024, by (ii) the target number of PSUs that would have vested on an accelerated basis on December 31, 2024.</w:t>
      </w:r>
    </w:p>
    <w:p>
      <w:pPr>
        <w:spacing w:after="0" w:line="2" w:lineRule="exact"/>
        <w:rPr>
          <w:sz w:val="20"/>
          <w:szCs w:val="20"/>
          <w:color w:val="auto"/>
        </w:rPr>
      </w:pPr>
    </w:p>
    <w:p>
      <w:pPr>
        <w:ind w:left="260" w:hanging="252"/>
        <w:spacing w:after="0" w:line="305" w:lineRule="auto"/>
        <w:tabs>
          <w:tab w:leader="none" w:pos="245" w:val="left"/>
        </w:tabs>
        <w:numPr>
          <w:ilvl w:val="0"/>
          <w:numId w:val="84"/>
        </w:numPr>
        <w:rPr>
          <w:rFonts w:ascii="Arial" w:cs="Arial" w:eastAsia="Arial" w:hAnsi="Arial"/>
          <w:sz w:val="14"/>
          <w:szCs w:val="14"/>
          <w:color w:val="7D7D7D"/>
        </w:rPr>
      </w:pPr>
      <w:r>
        <w:rPr>
          <w:rFonts w:ascii="Arial" w:cs="Arial" w:eastAsia="Arial" w:hAnsi="Arial"/>
          <w:sz w:val="14"/>
          <w:szCs w:val="14"/>
          <w:color w:val="7D7D7D"/>
        </w:rPr>
        <w:t>For purposes of the calculation for these amounts, expected costs have not been adjusted for any actuarial assumptions related to mortality, likelihood that the executive will find other employment, or discount rates for determining present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60" w:name="page61"/>
    <w:bookmarkEnd w:id="60"/>
    <w:p>
      <w:pPr>
        <w:spacing w:after="0"/>
        <w:rPr>
          <w:sz w:val="20"/>
          <w:szCs w:val="20"/>
          <w:color w:val="auto"/>
        </w:rPr>
      </w:pPr>
      <w:r>
        <w:rPr>
          <w:rFonts w:ascii="Arial" w:cs="Arial" w:eastAsia="Arial" w:hAnsi="Arial"/>
          <w:sz w:val="32"/>
          <w:szCs w:val="32"/>
          <w:b w:val="1"/>
          <w:bCs w:val="1"/>
          <w:color w:val="auto"/>
        </w:rPr>
        <w:t>CEO Pay Ratio</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Under rules adopted pursuant to the Dodd-Frank Act, we are required to calculate and disclose the annual total compensation paid to our median employee, as well as the ratio of the annual total compensation paid to the median employee as compared to the annual total compensation paid to our CEO (the “CEO Pay Ratio”).</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identify our median employee, we calculated the annual target total direct compensation for 2024 of each employee as of December 31, 2024. We identified the median compensated employee among an employee population of approximately 831 U.S. employees and 1,949 international employees. We did not exclude any employees whether pursuant to the de minimis exemption for foreign employees or any other permitted exclusion. For these purposes, annual target total direct compensation included each employee’s (a) base salary or base wages, (b) target cash incentive bonus opportunity and (c) the grant date fair value of equity awards. We selected this “consistently applied compensation measure,” because it reflects our primary compensation elements across our employee population. All amounts were annualized for regular full-time employees who did not work for the entire year of 2024. We did not apply any cost-of-living adjustment as part of the calculation. Further, in identifying the median employee, we converted compensation amounts paid in foreign currencies based on the applicable year-to-date average exchange rate as of December 31, 2024.</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accordance with the rules set forth in Item 402(u) of Regulation S-K promulgated under the Exchange Act, we calculated the median employee’s annual total compensation in the same manner as the calculation of the CEO’s annual total compensation in the Summary Compensation Table. Our median employee’s annual total compensation for 2024 was $59,557. Our CEO’s annual total compensation for 2024, as reported in the Summary Compensation Table, was $12,630,005. Therefore, our CEO Pay Ratio for 2024 was approximately 212:1.</w:t>
      </w:r>
    </w:p>
    <w:p>
      <w:pPr>
        <w:spacing w:after="0" w:line="12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Policies and Practices Related to the Grant of Certain Equity Awards</w:t>
      </w:r>
    </w:p>
    <w:p>
      <w:pPr>
        <w:spacing w:after="0" w:line="25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do not grant stock options, stock appreciation rights, or similar instruments with option-like features and have no policies or practices to disclose pursuant to Item 402(x)(1) of Regulation S-K.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61" w:name="page62"/>
    <w:bookmarkEnd w:id="61"/>
    <w:p>
      <w:pPr>
        <w:spacing w:after="0"/>
        <w:rPr>
          <w:sz w:val="20"/>
          <w:szCs w:val="20"/>
          <w:color w:val="auto"/>
        </w:rPr>
      </w:pPr>
      <w:r>
        <w:rPr>
          <w:rFonts w:ascii="Arial" w:cs="Arial" w:eastAsia="Arial" w:hAnsi="Arial"/>
          <w:sz w:val="32"/>
          <w:szCs w:val="32"/>
          <w:b w:val="1"/>
          <w:bCs w:val="1"/>
          <w:color w:val="auto"/>
        </w:rPr>
        <w:t>Pay Versus Performance</w:t>
      </w:r>
    </w:p>
    <w:p>
      <w:pPr>
        <w:spacing w:after="0" w:line="269"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executive compensation actually paid (or “CAP,” as defined by SEC rules and further described below) and certain Company financial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96520</wp:posOffset>
            </wp:positionV>
            <wp:extent cx="1714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700" w:type="dxa"/>
            <w:vAlign w:val="bottom"/>
            <w:gridSpan w:val="4"/>
          </w:tcPr>
          <w:p>
            <w:pPr>
              <w:jc w:val="center"/>
              <w:ind w:right="116"/>
              <w:spacing w:after="0"/>
              <w:rPr>
                <w:sz w:val="20"/>
                <w:szCs w:val="20"/>
                <w:color w:val="auto"/>
              </w:rPr>
            </w:pPr>
            <w:r>
              <w:rPr>
                <w:rFonts w:ascii="Arial" w:cs="Arial" w:eastAsia="Arial" w:hAnsi="Arial"/>
                <w:sz w:val="14"/>
                <w:szCs w:val="14"/>
                <w:b w:val="1"/>
                <w:bCs w:val="1"/>
                <w:color w:val="auto"/>
              </w:rPr>
              <w:t>Value of Initial Fixed $100 Investment</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gridSpan w:val="2"/>
          </w:tcPr>
          <w:p>
            <w:pPr>
              <w:jc w:val="center"/>
              <w:ind w:right="245"/>
              <w:spacing w:after="0"/>
              <w:rPr>
                <w:sz w:val="20"/>
                <w:szCs w:val="20"/>
                <w:color w:val="auto"/>
              </w:rPr>
            </w:pPr>
            <w:r>
              <w:rPr>
                <w:rFonts w:ascii="Arial" w:cs="Arial" w:eastAsia="Arial" w:hAnsi="Arial"/>
                <w:sz w:val="14"/>
                <w:szCs w:val="14"/>
                <w:b w:val="1"/>
                <w:bCs w:val="1"/>
                <w:color w:val="auto"/>
              </w:rPr>
              <w:t>Based On:</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0" w:type="dxa"/>
            <w:vAlign w:val="bottom"/>
            <w:tcBorders>
              <w:left w:val="single" w:sz="8" w:color="3C3C3C"/>
              <w:right w:val="single" w:sz="8" w:color="3C3C3C"/>
            </w:tcBorders>
            <w:shd w:val="clear" w:color="auto" w:fill="3C3C3C"/>
          </w:tcPr>
          <w:p>
            <w:pPr>
              <w:spacing w:after="0"/>
              <w:rPr>
                <w:sz w:val="15"/>
                <w:szCs w:val="15"/>
                <w:color w:val="auto"/>
              </w:rPr>
            </w:pPr>
          </w:p>
        </w:tc>
        <w:tc>
          <w:tcPr>
            <w:tcW w:w="680" w:type="dxa"/>
            <w:vAlign w:val="bottom"/>
            <w:shd w:val="clear" w:color="auto" w:fill="3C3C3C"/>
          </w:tcPr>
          <w:p>
            <w:pPr>
              <w:spacing w:after="0"/>
              <w:rPr>
                <w:sz w:val="15"/>
                <w:szCs w:val="15"/>
                <w:color w:val="auto"/>
              </w:rPr>
            </w:pPr>
          </w:p>
        </w:tc>
        <w:tc>
          <w:tcPr>
            <w:tcW w:w="760" w:type="dxa"/>
            <w:vAlign w:val="bottom"/>
            <w:tcBorders>
              <w:right w:val="single" w:sz="8" w:color="3C3C3C"/>
            </w:tcBorders>
            <w:shd w:val="clear" w:color="auto" w:fill="3C3C3C"/>
          </w:tcPr>
          <w:p>
            <w:pPr>
              <w:spacing w:after="0"/>
              <w:rPr>
                <w:sz w:val="15"/>
                <w:szCs w:val="15"/>
                <w:color w:val="auto"/>
              </w:rPr>
            </w:pPr>
          </w:p>
        </w:tc>
        <w:tc>
          <w:tcPr>
            <w:tcW w:w="620" w:type="dxa"/>
            <w:vAlign w:val="bottom"/>
            <w:shd w:val="clear" w:color="auto" w:fill="3C3C3C"/>
          </w:tcPr>
          <w:p>
            <w:pPr>
              <w:spacing w:after="0"/>
              <w:rPr>
                <w:sz w:val="15"/>
                <w:szCs w:val="15"/>
                <w:color w:val="auto"/>
              </w:rPr>
            </w:pPr>
          </w:p>
        </w:tc>
        <w:tc>
          <w:tcPr>
            <w:tcW w:w="700" w:type="dxa"/>
            <w:vAlign w:val="bottom"/>
            <w:tcBorders>
              <w:right w:val="single" w:sz="8" w:color="3C3C3C"/>
            </w:tcBorders>
            <w:shd w:val="clear" w:color="auto" w:fill="3C3C3C"/>
          </w:tcPr>
          <w:p>
            <w:pPr>
              <w:spacing w:after="0"/>
              <w:rPr>
                <w:sz w:val="15"/>
                <w:szCs w:val="15"/>
                <w:color w:val="auto"/>
              </w:rPr>
            </w:pPr>
          </w:p>
        </w:tc>
        <w:tc>
          <w:tcPr>
            <w:tcW w:w="1280" w:type="dxa"/>
            <w:vAlign w:val="bottom"/>
            <w:tcBorders>
              <w:right w:val="single" w:sz="8" w:color="3C3C3C"/>
            </w:tcBorders>
            <w:shd w:val="clear" w:color="auto" w:fill="3C3C3C"/>
          </w:tcPr>
          <w:p>
            <w:pPr>
              <w:jc w:val="center"/>
              <w:ind w:right="49"/>
              <w:spacing w:after="0"/>
              <w:rPr>
                <w:sz w:val="20"/>
                <w:szCs w:val="20"/>
                <w:color w:val="auto"/>
              </w:rPr>
            </w:pPr>
            <w:r>
              <w:rPr>
                <w:rFonts w:ascii="Arial" w:cs="Arial" w:eastAsia="Arial" w:hAnsi="Arial"/>
                <w:sz w:val="13"/>
                <w:szCs w:val="13"/>
                <w:b w:val="1"/>
                <w:bCs w:val="1"/>
                <w:color w:val="FFFFFF"/>
              </w:rPr>
              <w:t>Average</w:t>
            </w:r>
          </w:p>
        </w:tc>
        <w:tc>
          <w:tcPr>
            <w:tcW w:w="1380" w:type="dxa"/>
            <w:vAlign w:val="bottom"/>
            <w:tcBorders>
              <w:right w:val="single" w:sz="8" w:color="3C3C3C"/>
            </w:tcBorders>
            <w:vMerge w:val="restart"/>
            <w:shd w:val="clear" w:color="auto" w:fill="3C3C3C"/>
          </w:tcPr>
          <w:p>
            <w:pPr>
              <w:jc w:val="center"/>
              <w:ind w:right="49"/>
              <w:spacing w:after="0"/>
              <w:rPr>
                <w:sz w:val="20"/>
                <w:szCs w:val="20"/>
                <w:color w:val="auto"/>
              </w:rPr>
            </w:pPr>
            <w:r>
              <w:rPr>
                <w:rFonts w:ascii="Arial" w:cs="Arial" w:eastAsia="Arial" w:hAnsi="Arial"/>
                <w:sz w:val="13"/>
                <w:szCs w:val="13"/>
                <w:b w:val="1"/>
                <w:bCs w:val="1"/>
                <w:color w:val="FFFFFF"/>
              </w:rPr>
              <w:t>Average</w:t>
            </w:r>
          </w:p>
        </w:tc>
        <w:tc>
          <w:tcPr>
            <w:tcW w:w="880" w:type="dxa"/>
            <w:vAlign w:val="bottom"/>
            <w:shd w:val="clear" w:color="auto" w:fill="3C3C3C"/>
          </w:tcPr>
          <w:p>
            <w:pPr>
              <w:spacing w:after="0"/>
              <w:rPr>
                <w:sz w:val="15"/>
                <w:szCs w:val="15"/>
                <w:color w:val="auto"/>
              </w:rPr>
            </w:pPr>
          </w:p>
        </w:tc>
        <w:tc>
          <w:tcPr>
            <w:tcW w:w="500" w:type="dxa"/>
            <w:vAlign w:val="bottom"/>
            <w:tcBorders>
              <w:right w:val="single" w:sz="8" w:color="3C3C3C"/>
            </w:tcBorders>
            <w:shd w:val="clear" w:color="auto" w:fill="3C3C3C"/>
          </w:tcPr>
          <w:p>
            <w:pPr>
              <w:spacing w:after="0"/>
              <w:rPr>
                <w:sz w:val="15"/>
                <w:szCs w:val="15"/>
                <w:color w:val="auto"/>
              </w:rPr>
            </w:pPr>
          </w:p>
        </w:tc>
        <w:tc>
          <w:tcPr>
            <w:tcW w:w="620" w:type="dxa"/>
            <w:vAlign w:val="bottom"/>
            <w:shd w:val="clear" w:color="auto" w:fill="3C3C3C"/>
          </w:tcPr>
          <w:p>
            <w:pPr>
              <w:spacing w:after="0"/>
              <w:rPr>
                <w:sz w:val="15"/>
                <w:szCs w:val="15"/>
                <w:color w:val="auto"/>
              </w:rPr>
            </w:pPr>
          </w:p>
        </w:tc>
        <w:tc>
          <w:tcPr>
            <w:tcW w:w="700" w:type="dxa"/>
            <w:vAlign w:val="bottom"/>
            <w:tcBorders>
              <w:right w:val="single" w:sz="8" w:color="3C3C3C"/>
            </w:tcBorders>
            <w:shd w:val="clear" w:color="auto" w:fill="3C3C3C"/>
          </w:tcPr>
          <w:p>
            <w:pPr>
              <w:spacing w:after="0"/>
              <w:rPr>
                <w:sz w:val="15"/>
                <w:szCs w:val="15"/>
                <w:color w:val="auto"/>
              </w:rPr>
            </w:pPr>
          </w:p>
        </w:tc>
        <w:tc>
          <w:tcPr>
            <w:tcW w:w="1280" w:type="dxa"/>
            <w:vAlign w:val="bottom"/>
            <w:tcBorders>
              <w:right w:val="single" w:sz="8" w:color="3C3C3C"/>
            </w:tcBorders>
            <w:shd w:val="clear" w:color="auto" w:fill="3C3C3C"/>
          </w:tcPr>
          <w:p>
            <w:pPr>
              <w:spacing w:after="0"/>
              <w:rPr>
                <w:sz w:val="15"/>
                <w:szCs w:val="15"/>
                <w:color w:val="auto"/>
              </w:rPr>
            </w:pPr>
          </w:p>
        </w:tc>
        <w:tc>
          <w:tcPr>
            <w:tcW w:w="1060" w:type="dxa"/>
            <w:vAlign w:val="bottom"/>
            <w:tcBorders>
              <w:right w:val="single" w:sz="8" w:color="3C3C3C"/>
            </w:tcBorders>
            <w:shd w:val="clear" w:color="auto" w:fill="3C3C3C"/>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00" w:type="dxa"/>
            <w:vAlign w:val="bottom"/>
            <w:tcBorders>
              <w:left w:val="single" w:sz="8" w:color="3C3C3C"/>
              <w:right w:val="single" w:sz="8" w:color="3C3C3C"/>
            </w:tcBorders>
            <w:shd w:val="clear" w:color="auto" w:fill="3C3C3C"/>
          </w:tcPr>
          <w:p>
            <w:pPr>
              <w:spacing w:after="0"/>
              <w:rPr>
                <w:sz w:val="9"/>
                <w:szCs w:val="9"/>
                <w:color w:val="auto"/>
              </w:rPr>
            </w:pPr>
          </w:p>
        </w:tc>
        <w:tc>
          <w:tcPr>
            <w:tcW w:w="1440" w:type="dxa"/>
            <w:vAlign w:val="bottom"/>
            <w:tcBorders>
              <w:right w:val="single" w:sz="8" w:color="3C3C3C"/>
            </w:tcBorders>
            <w:gridSpan w:val="2"/>
            <w:vMerge w:val="restart"/>
            <w:shd w:val="clear" w:color="auto" w:fill="3C3C3C"/>
          </w:tcPr>
          <w:p>
            <w:pPr>
              <w:jc w:val="center"/>
              <w:ind w:right="76"/>
              <w:spacing w:after="0"/>
              <w:rPr>
                <w:sz w:val="20"/>
                <w:szCs w:val="20"/>
                <w:color w:val="auto"/>
              </w:rPr>
            </w:pPr>
            <w:r>
              <w:rPr>
                <w:rFonts w:ascii="Arial" w:cs="Arial" w:eastAsia="Arial" w:hAnsi="Arial"/>
                <w:sz w:val="13"/>
                <w:szCs w:val="13"/>
                <w:b w:val="1"/>
                <w:bCs w:val="1"/>
                <w:color w:val="FFFFFF"/>
              </w:rPr>
              <w:t>Summary</w:t>
            </w:r>
          </w:p>
        </w:tc>
        <w:tc>
          <w:tcPr>
            <w:tcW w:w="1320" w:type="dxa"/>
            <w:vAlign w:val="bottom"/>
            <w:tcBorders>
              <w:right w:val="single" w:sz="8" w:color="3C3C3C"/>
            </w:tcBorders>
            <w:gridSpan w:val="2"/>
            <w:vMerge w:val="restart"/>
            <w:shd w:val="clear" w:color="auto" w:fill="3C3C3C"/>
          </w:tcPr>
          <w:p>
            <w:pPr>
              <w:jc w:val="center"/>
              <w:ind w:right="96"/>
              <w:spacing w:after="0"/>
              <w:rPr>
                <w:sz w:val="20"/>
                <w:szCs w:val="20"/>
                <w:color w:val="auto"/>
              </w:rPr>
            </w:pPr>
            <w:r>
              <w:rPr>
                <w:rFonts w:ascii="Arial" w:cs="Arial" w:eastAsia="Arial" w:hAnsi="Arial"/>
                <w:sz w:val="13"/>
                <w:szCs w:val="13"/>
                <w:b w:val="1"/>
                <w:bCs w:val="1"/>
                <w:color w:val="FFFFFF"/>
              </w:rPr>
              <w:t>Compensation</w:t>
            </w:r>
          </w:p>
        </w:tc>
        <w:tc>
          <w:tcPr>
            <w:tcW w:w="1280" w:type="dxa"/>
            <w:vAlign w:val="bottom"/>
            <w:tcBorders>
              <w:right w:val="single" w:sz="8" w:color="3C3C3C"/>
            </w:tcBorders>
            <w:vMerge w:val="restart"/>
            <w:shd w:val="clear" w:color="auto" w:fill="3C3C3C"/>
          </w:tcPr>
          <w:p>
            <w:pPr>
              <w:jc w:val="center"/>
              <w:ind w:right="49"/>
              <w:spacing w:after="0"/>
              <w:rPr>
                <w:sz w:val="20"/>
                <w:szCs w:val="20"/>
                <w:color w:val="auto"/>
              </w:rPr>
            </w:pPr>
            <w:r>
              <w:rPr>
                <w:rFonts w:ascii="Arial" w:cs="Arial" w:eastAsia="Arial" w:hAnsi="Arial"/>
                <w:sz w:val="13"/>
                <w:szCs w:val="13"/>
                <w:b w:val="1"/>
                <w:bCs w:val="1"/>
                <w:color w:val="FFFFFF"/>
              </w:rPr>
              <w:t>Summary</w:t>
            </w:r>
          </w:p>
        </w:tc>
        <w:tc>
          <w:tcPr>
            <w:tcW w:w="1380" w:type="dxa"/>
            <w:vAlign w:val="bottom"/>
            <w:tcBorders>
              <w:right w:val="single" w:sz="8" w:color="3C3C3C"/>
            </w:tcBorders>
            <w:vMerge w:val="continue"/>
            <w:shd w:val="clear" w:color="auto" w:fill="3C3C3C"/>
          </w:tcPr>
          <w:p>
            <w:pPr>
              <w:spacing w:after="0"/>
              <w:rPr>
                <w:sz w:val="9"/>
                <w:szCs w:val="9"/>
                <w:color w:val="auto"/>
              </w:rPr>
            </w:pPr>
          </w:p>
        </w:tc>
        <w:tc>
          <w:tcPr>
            <w:tcW w:w="1380" w:type="dxa"/>
            <w:vAlign w:val="bottom"/>
            <w:tcBorders>
              <w:right w:val="single" w:sz="8" w:color="3C3C3C"/>
            </w:tcBorders>
            <w:gridSpan w:val="2"/>
            <w:vMerge w:val="restart"/>
            <w:shd w:val="clear" w:color="auto" w:fill="3C3C3C"/>
          </w:tcPr>
          <w:p>
            <w:pPr>
              <w:jc w:val="center"/>
              <w:ind w:right="48"/>
              <w:spacing w:after="0"/>
              <w:rPr>
                <w:sz w:val="20"/>
                <w:szCs w:val="20"/>
                <w:color w:val="auto"/>
              </w:rPr>
            </w:pPr>
            <w:r>
              <w:rPr>
                <w:rFonts w:ascii="Arial" w:cs="Arial" w:eastAsia="Arial" w:hAnsi="Arial"/>
                <w:sz w:val="13"/>
                <w:szCs w:val="13"/>
                <w:b w:val="1"/>
                <w:bCs w:val="1"/>
                <w:color w:val="FFFFFF"/>
              </w:rPr>
              <w:t>Total Shareholder</w:t>
            </w:r>
          </w:p>
        </w:tc>
        <w:tc>
          <w:tcPr>
            <w:tcW w:w="1320" w:type="dxa"/>
            <w:vAlign w:val="bottom"/>
            <w:tcBorders>
              <w:right w:val="single" w:sz="8" w:color="3C3C3C"/>
            </w:tcBorders>
            <w:gridSpan w:val="2"/>
            <w:vMerge w:val="restart"/>
            <w:shd w:val="clear" w:color="auto" w:fill="3C3C3C"/>
          </w:tcPr>
          <w:p>
            <w:pPr>
              <w:jc w:val="center"/>
              <w:ind w:right="76"/>
              <w:spacing w:after="0"/>
              <w:rPr>
                <w:sz w:val="20"/>
                <w:szCs w:val="20"/>
                <w:color w:val="auto"/>
              </w:rPr>
            </w:pPr>
            <w:r>
              <w:rPr>
                <w:rFonts w:ascii="Arial" w:cs="Arial" w:eastAsia="Arial" w:hAnsi="Arial"/>
                <w:sz w:val="13"/>
                <w:szCs w:val="13"/>
                <w:b w:val="1"/>
                <w:bCs w:val="1"/>
                <w:color w:val="FFFFFF"/>
              </w:rPr>
              <w:t>Peer Group Total</w:t>
            </w:r>
          </w:p>
        </w:tc>
        <w:tc>
          <w:tcPr>
            <w:tcW w:w="1280" w:type="dxa"/>
            <w:vAlign w:val="bottom"/>
            <w:tcBorders>
              <w:right w:val="single" w:sz="8" w:color="3C3C3C"/>
            </w:tcBorders>
            <w:shd w:val="clear" w:color="auto" w:fill="3C3C3C"/>
          </w:tcPr>
          <w:p>
            <w:pPr>
              <w:spacing w:after="0"/>
              <w:rPr>
                <w:sz w:val="9"/>
                <w:szCs w:val="9"/>
                <w:color w:val="auto"/>
              </w:rPr>
            </w:pPr>
          </w:p>
        </w:tc>
        <w:tc>
          <w:tcPr>
            <w:tcW w:w="1060" w:type="dxa"/>
            <w:vAlign w:val="bottom"/>
            <w:tcBorders>
              <w:right w:val="single" w:sz="8" w:color="3C3C3C"/>
            </w:tcBorders>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0" w:type="dxa"/>
            <w:vAlign w:val="bottom"/>
            <w:tcBorders>
              <w:left w:val="single" w:sz="8" w:color="3C3C3C"/>
              <w:right w:val="single" w:sz="8" w:color="3C3C3C"/>
            </w:tcBorders>
            <w:shd w:val="clear" w:color="auto" w:fill="3C3C3C"/>
          </w:tcPr>
          <w:p>
            <w:pPr>
              <w:spacing w:after="0"/>
              <w:rPr>
                <w:sz w:val="4"/>
                <w:szCs w:val="4"/>
                <w:color w:val="auto"/>
              </w:rPr>
            </w:pPr>
          </w:p>
        </w:tc>
        <w:tc>
          <w:tcPr>
            <w:tcW w:w="1440" w:type="dxa"/>
            <w:vAlign w:val="bottom"/>
            <w:tcBorders>
              <w:right w:val="single" w:sz="8" w:color="3C3C3C"/>
            </w:tcBorders>
            <w:gridSpan w:val="2"/>
            <w:vMerge w:val="continue"/>
            <w:shd w:val="clear" w:color="auto" w:fill="3C3C3C"/>
          </w:tcPr>
          <w:p>
            <w:pPr>
              <w:spacing w:after="0"/>
              <w:rPr>
                <w:sz w:val="4"/>
                <w:szCs w:val="4"/>
                <w:color w:val="auto"/>
              </w:rPr>
            </w:pPr>
          </w:p>
        </w:tc>
        <w:tc>
          <w:tcPr>
            <w:tcW w:w="1320" w:type="dxa"/>
            <w:vAlign w:val="bottom"/>
            <w:tcBorders>
              <w:right w:val="single" w:sz="8" w:color="3C3C3C"/>
            </w:tcBorders>
            <w:gridSpan w:val="2"/>
            <w:vMerge w:val="continue"/>
            <w:shd w:val="clear" w:color="auto" w:fill="3C3C3C"/>
          </w:tcPr>
          <w:p>
            <w:pPr>
              <w:spacing w:after="0"/>
              <w:rPr>
                <w:sz w:val="4"/>
                <w:szCs w:val="4"/>
                <w:color w:val="auto"/>
              </w:rPr>
            </w:pPr>
          </w:p>
        </w:tc>
        <w:tc>
          <w:tcPr>
            <w:tcW w:w="1280" w:type="dxa"/>
            <w:vAlign w:val="bottom"/>
            <w:tcBorders>
              <w:right w:val="single" w:sz="8" w:color="3C3C3C"/>
            </w:tcBorders>
            <w:vMerge w:val="continue"/>
            <w:shd w:val="clear" w:color="auto" w:fill="3C3C3C"/>
          </w:tcPr>
          <w:p>
            <w:pPr>
              <w:spacing w:after="0"/>
              <w:rPr>
                <w:sz w:val="4"/>
                <w:szCs w:val="4"/>
                <w:color w:val="auto"/>
              </w:rPr>
            </w:pPr>
          </w:p>
        </w:tc>
        <w:tc>
          <w:tcPr>
            <w:tcW w:w="1380" w:type="dxa"/>
            <w:vAlign w:val="bottom"/>
            <w:tcBorders>
              <w:right w:val="single" w:sz="8" w:color="3C3C3C"/>
            </w:tcBorders>
            <w:vMerge w:val="restart"/>
            <w:shd w:val="clear" w:color="auto" w:fill="3C3C3C"/>
          </w:tcPr>
          <w:p>
            <w:pPr>
              <w:jc w:val="center"/>
              <w:ind w:right="49"/>
              <w:spacing w:after="0" w:line="136" w:lineRule="exact"/>
              <w:rPr>
                <w:sz w:val="20"/>
                <w:szCs w:val="20"/>
                <w:color w:val="auto"/>
              </w:rPr>
            </w:pPr>
            <w:r>
              <w:rPr>
                <w:rFonts w:ascii="Arial" w:cs="Arial" w:eastAsia="Arial" w:hAnsi="Arial"/>
                <w:sz w:val="13"/>
                <w:szCs w:val="13"/>
                <w:b w:val="1"/>
                <w:bCs w:val="1"/>
                <w:color w:val="FFFFFF"/>
              </w:rPr>
              <w:t>Compensation</w:t>
            </w:r>
          </w:p>
        </w:tc>
        <w:tc>
          <w:tcPr>
            <w:tcW w:w="1380" w:type="dxa"/>
            <w:vAlign w:val="bottom"/>
            <w:tcBorders>
              <w:right w:val="single" w:sz="8" w:color="3C3C3C"/>
            </w:tcBorders>
            <w:gridSpan w:val="2"/>
            <w:vMerge w:val="continue"/>
            <w:shd w:val="clear" w:color="auto" w:fill="3C3C3C"/>
          </w:tcPr>
          <w:p>
            <w:pPr>
              <w:spacing w:after="0"/>
              <w:rPr>
                <w:sz w:val="4"/>
                <w:szCs w:val="4"/>
                <w:color w:val="auto"/>
              </w:rPr>
            </w:pPr>
          </w:p>
        </w:tc>
        <w:tc>
          <w:tcPr>
            <w:tcW w:w="1320" w:type="dxa"/>
            <w:vAlign w:val="bottom"/>
            <w:tcBorders>
              <w:right w:val="single" w:sz="8" w:color="3C3C3C"/>
            </w:tcBorders>
            <w:gridSpan w:val="2"/>
            <w:vMerge w:val="continue"/>
            <w:shd w:val="clear" w:color="auto" w:fill="3C3C3C"/>
          </w:tcPr>
          <w:p>
            <w:pPr>
              <w:spacing w:after="0"/>
              <w:rPr>
                <w:sz w:val="4"/>
                <w:szCs w:val="4"/>
                <w:color w:val="auto"/>
              </w:rPr>
            </w:pPr>
          </w:p>
        </w:tc>
        <w:tc>
          <w:tcPr>
            <w:tcW w:w="1280" w:type="dxa"/>
            <w:vAlign w:val="bottom"/>
            <w:tcBorders>
              <w:right w:val="single" w:sz="8" w:color="3C3C3C"/>
            </w:tcBorders>
            <w:shd w:val="clear" w:color="auto" w:fill="3C3C3C"/>
          </w:tcPr>
          <w:p>
            <w:pPr>
              <w:spacing w:after="0"/>
              <w:rPr>
                <w:sz w:val="4"/>
                <w:szCs w:val="4"/>
                <w:color w:val="auto"/>
              </w:rPr>
            </w:pPr>
          </w:p>
        </w:tc>
        <w:tc>
          <w:tcPr>
            <w:tcW w:w="1060" w:type="dxa"/>
            <w:vAlign w:val="bottom"/>
            <w:tcBorders>
              <w:right w:val="single" w:sz="8" w:color="3C3C3C"/>
            </w:tcBorders>
            <w:shd w:val="clear" w:color="auto" w:fill="3C3C3C"/>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800" w:type="dxa"/>
            <w:vAlign w:val="bottom"/>
            <w:tcBorders>
              <w:left w:val="single" w:sz="8" w:color="3C3C3C"/>
              <w:right w:val="single" w:sz="8" w:color="3C3C3C"/>
            </w:tcBorders>
            <w:shd w:val="clear" w:color="auto" w:fill="3C3C3C"/>
          </w:tcPr>
          <w:p>
            <w:pPr>
              <w:spacing w:after="0"/>
              <w:rPr>
                <w:sz w:val="7"/>
                <w:szCs w:val="7"/>
                <w:color w:val="auto"/>
              </w:rPr>
            </w:pPr>
          </w:p>
        </w:tc>
        <w:tc>
          <w:tcPr>
            <w:tcW w:w="1440" w:type="dxa"/>
            <w:vAlign w:val="bottom"/>
            <w:tcBorders>
              <w:right w:val="single" w:sz="8" w:color="3C3C3C"/>
            </w:tcBorders>
            <w:gridSpan w:val="2"/>
            <w:vMerge w:val="restart"/>
            <w:shd w:val="clear" w:color="auto" w:fill="3C3C3C"/>
          </w:tcPr>
          <w:p>
            <w:pPr>
              <w:jc w:val="center"/>
              <w:ind w:right="76"/>
              <w:spacing w:after="0"/>
              <w:rPr>
                <w:sz w:val="20"/>
                <w:szCs w:val="20"/>
                <w:color w:val="auto"/>
              </w:rPr>
            </w:pPr>
            <w:r>
              <w:rPr>
                <w:rFonts w:ascii="Arial" w:cs="Arial" w:eastAsia="Arial" w:hAnsi="Arial"/>
                <w:sz w:val="13"/>
                <w:szCs w:val="13"/>
                <w:b w:val="1"/>
                <w:bCs w:val="1"/>
                <w:color w:val="FFFFFF"/>
              </w:rPr>
              <w:t>Compensation</w:t>
            </w:r>
          </w:p>
        </w:tc>
        <w:tc>
          <w:tcPr>
            <w:tcW w:w="1320" w:type="dxa"/>
            <w:vAlign w:val="bottom"/>
            <w:tcBorders>
              <w:right w:val="single" w:sz="8" w:color="3C3C3C"/>
            </w:tcBorders>
            <w:gridSpan w:val="2"/>
            <w:vMerge w:val="restart"/>
            <w:shd w:val="clear" w:color="auto" w:fill="3C3C3C"/>
          </w:tcPr>
          <w:p>
            <w:pPr>
              <w:jc w:val="center"/>
              <w:ind w:right="76"/>
              <w:spacing w:after="0"/>
              <w:rPr>
                <w:sz w:val="20"/>
                <w:szCs w:val="20"/>
                <w:color w:val="auto"/>
              </w:rPr>
            </w:pPr>
            <w:r>
              <w:rPr>
                <w:rFonts w:ascii="Arial" w:cs="Arial" w:eastAsia="Arial" w:hAnsi="Arial"/>
                <w:sz w:val="13"/>
                <w:szCs w:val="13"/>
                <w:b w:val="1"/>
                <w:bCs w:val="1"/>
                <w:color w:val="FFFFFF"/>
              </w:rPr>
              <w:t>Actually Paid to</w:t>
            </w:r>
          </w:p>
        </w:tc>
        <w:tc>
          <w:tcPr>
            <w:tcW w:w="1280" w:type="dxa"/>
            <w:vAlign w:val="bottom"/>
            <w:tcBorders>
              <w:right w:val="single" w:sz="8" w:color="3C3C3C"/>
            </w:tcBorders>
            <w:vMerge w:val="restart"/>
            <w:shd w:val="clear" w:color="auto" w:fill="3C3C3C"/>
          </w:tcPr>
          <w:p>
            <w:pPr>
              <w:jc w:val="center"/>
              <w:ind w:right="49"/>
              <w:spacing w:after="0"/>
              <w:rPr>
                <w:sz w:val="20"/>
                <w:szCs w:val="20"/>
                <w:color w:val="auto"/>
              </w:rPr>
            </w:pPr>
            <w:r>
              <w:rPr>
                <w:rFonts w:ascii="Arial" w:cs="Arial" w:eastAsia="Arial" w:hAnsi="Arial"/>
                <w:sz w:val="13"/>
                <w:szCs w:val="13"/>
                <w:b w:val="1"/>
                <w:bCs w:val="1"/>
                <w:color w:val="FFFFFF"/>
              </w:rPr>
              <w:t>Compensation</w:t>
            </w:r>
          </w:p>
        </w:tc>
        <w:tc>
          <w:tcPr>
            <w:tcW w:w="1380" w:type="dxa"/>
            <w:vAlign w:val="bottom"/>
            <w:tcBorders>
              <w:right w:val="single" w:sz="8" w:color="3C3C3C"/>
            </w:tcBorders>
            <w:vMerge w:val="continue"/>
            <w:shd w:val="clear" w:color="auto" w:fill="3C3C3C"/>
          </w:tcPr>
          <w:p>
            <w:pPr>
              <w:spacing w:after="0"/>
              <w:rPr>
                <w:sz w:val="7"/>
                <w:szCs w:val="7"/>
                <w:color w:val="auto"/>
              </w:rPr>
            </w:pPr>
          </w:p>
        </w:tc>
        <w:tc>
          <w:tcPr>
            <w:tcW w:w="1380" w:type="dxa"/>
            <w:vAlign w:val="bottom"/>
            <w:tcBorders>
              <w:right w:val="single" w:sz="8" w:color="3C3C3C"/>
            </w:tcBorders>
            <w:gridSpan w:val="2"/>
            <w:vMerge w:val="continue"/>
            <w:shd w:val="clear" w:color="auto" w:fill="3C3C3C"/>
          </w:tcPr>
          <w:p>
            <w:pPr>
              <w:spacing w:after="0"/>
              <w:rPr>
                <w:sz w:val="7"/>
                <w:szCs w:val="7"/>
                <w:color w:val="auto"/>
              </w:rPr>
            </w:pPr>
          </w:p>
        </w:tc>
        <w:tc>
          <w:tcPr>
            <w:tcW w:w="1320" w:type="dxa"/>
            <w:vAlign w:val="bottom"/>
            <w:tcBorders>
              <w:right w:val="single" w:sz="8" w:color="3C3C3C"/>
            </w:tcBorders>
            <w:gridSpan w:val="2"/>
            <w:vMerge w:val="restart"/>
            <w:shd w:val="clear" w:color="auto" w:fill="3C3C3C"/>
          </w:tcPr>
          <w:p>
            <w:pPr>
              <w:jc w:val="center"/>
              <w:ind w:right="96"/>
              <w:spacing w:after="0"/>
              <w:rPr>
                <w:sz w:val="20"/>
                <w:szCs w:val="20"/>
                <w:color w:val="auto"/>
              </w:rPr>
            </w:pPr>
            <w:r>
              <w:rPr>
                <w:rFonts w:ascii="Arial" w:cs="Arial" w:eastAsia="Arial" w:hAnsi="Arial"/>
                <w:sz w:val="13"/>
                <w:szCs w:val="13"/>
                <w:b w:val="1"/>
                <w:bCs w:val="1"/>
                <w:color w:val="FFFFFF"/>
              </w:rPr>
              <w:t>Shareholder</w:t>
            </w:r>
          </w:p>
        </w:tc>
        <w:tc>
          <w:tcPr>
            <w:tcW w:w="1280" w:type="dxa"/>
            <w:vAlign w:val="bottom"/>
            <w:tcBorders>
              <w:right w:val="single" w:sz="8" w:color="3C3C3C"/>
            </w:tcBorders>
            <w:vMerge w:val="restart"/>
            <w:shd w:val="clear" w:color="auto" w:fill="3C3C3C"/>
          </w:tcPr>
          <w:p>
            <w:pPr>
              <w:jc w:val="center"/>
              <w:ind w:right="44"/>
              <w:spacing w:after="0"/>
              <w:rPr>
                <w:sz w:val="20"/>
                <w:szCs w:val="20"/>
                <w:color w:val="auto"/>
              </w:rPr>
            </w:pPr>
            <w:r>
              <w:rPr>
                <w:rFonts w:ascii="Arial" w:cs="Arial" w:eastAsia="Arial" w:hAnsi="Arial"/>
                <w:sz w:val="13"/>
                <w:szCs w:val="13"/>
                <w:b w:val="1"/>
                <w:bCs w:val="1"/>
                <w:color w:val="FFFFFF"/>
              </w:rPr>
              <w:t>Net Income</w:t>
            </w:r>
          </w:p>
        </w:tc>
        <w:tc>
          <w:tcPr>
            <w:tcW w:w="10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3"/>
                <w:szCs w:val="13"/>
                <w:b w:val="1"/>
                <w:bCs w:val="1"/>
                <w:color w:val="FFFFFF"/>
              </w:rPr>
              <w:t>Net Revenues</w:t>
            </w:r>
          </w:p>
        </w:tc>
        <w:tc>
          <w:tcPr>
            <w:tcW w:w="0" w:type="dxa"/>
            <w:vAlign w:val="bottom"/>
          </w:tcPr>
          <w:p>
            <w:pPr>
              <w:spacing w:after="0"/>
              <w:rPr>
                <w:sz w:val="1"/>
                <w:szCs w:val="1"/>
                <w:color w:val="auto"/>
              </w:rPr>
            </w:pPr>
          </w:p>
        </w:tc>
      </w:tr>
      <w:tr>
        <w:trPr>
          <w:trHeight w:val="80"/>
        </w:trPr>
        <w:tc>
          <w:tcPr>
            <w:tcW w:w="80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3"/>
                <w:szCs w:val="13"/>
                <w:b w:val="1"/>
                <w:bCs w:val="1"/>
                <w:color w:val="FFFFFF"/>
              </w:rPr>
              <w:t>Year</w:t>
            </w:r>
          </w:p>
        </w:tc>
        <w:tc>
          <w:tcPr>
            <w:tcW w:w="1440" w:type="dxa"/>
            <w:vAlign w:val="bottom"/>
            <w:tcBorders>
              <w:right w:val="single" w:sz="8" w:color="3C3C3C"/>
            </w:tcBorders>
            <w:gridSpan w:val="2"/>
            <w:vMerge w:val="continue"/>
            <w:shd w:val="clear" w:color="auto" w:fill="3C3C3C"/>
          </w:tcPr>
          <w:p>
            <w:pPr>
              <w:spacing w:after="0"/>
              <w:rPr>
                <w:sz w:val="6"/>
                <w:szCs w:val="6"/>
                <w:color w:val="auto"/>
              </w:rPr>
            </w:pPr>
          </w:p>
        </w:tc>
        <w:tc>
          <w:tcPr>
            <w:tcW w:w="1320" w:type="dxa"/>
            <w:vAlign w:val="bottom"/>
            <w:tcBorders>
              <w:right w:val="single" w:sz="8" w:color="3C3C3C"/>
            </w:tcBorders>
            <w:gridSpan w:val="2"/>
            <w:vMerge w:val="continue"/>
            <w:shd w:val="clear" w:color="auto" w:fill="3C3C3C"/>
          </w:tcPr>
          <w:p>
            <w:pPr>
              <w:spacing w:after="0"/>
              <w:rPr>
                <w:sz w:val="6"/>
                <w:szCs w:val="6"/>
                <w:color w:val="auto"/>
              </w:rPr>
            </w:pPr>
          </w:p>
        </w:tc>
        <w:tc>
          <w:tcPr>
            <w:tcW w:w="1280" w:type="dxa"/>
            <w:vAlign w:val="bottom"/>
            <w:tcBorders>
              <w:right w:val="single" w:sz="8" w:color="3C3C3C"/>
            </w:tcBorders>
            <w:vMerge w:val="continue"/>
            <w:shd w:val="clear" w:color="auto" w:fill="3C3C3C"/>
          </w:tcPr>
          <w:p>
            <w:pPr>
              <w:spacing w:after="0"/>
              <w:rPr>
                <w:sz w:val="6"/>
                <w:szCs w:val="6"/>
                <w:color w:val="auto"/>
              </w:rPr>
            </w:pPr>
          </w:p>
        </w:tc>
        <w:tc>
          <w:tcPr>
            <w:tcW w:w="1380" w:type="dxa"/>
            <w:vAlign w:val="bottom"/>
            <w:tcBorders>
              <w:right w:val="single" w:sz="8" w:color="3C3C3C"/>
            </w:tcBorders>
            <w:vMerge w:val="restart"/>
            <w:shd w:val="clear" w:color="auto" w:fill="3C3C3C"/>
          </w:tcPr>
          <w:p>
            <w:pPr>
              <w:jc w:val="center"/>
              <w:ind w:right="49"/>
              <w:spacing w:after="0"/>
              <w:rPr>
                <w:sz w:val="20"/>
                <w:szCs w:val="20"/>
                <w:color w:val="auto"/>
              </w:rPr>
            </w:pPr>
            <w:r>
              <w:rPr>
                <w:rFonts w:ascii="Arial" w:cs="Arial" w:eastAsia="Arial" w:hAnsi="Arial"/>
                <w:sz w:val="13"/>
                <w:szCs w:val="13"/>
                <w:b w:val="1"/>
                <w:bCs w:val="1"/>
                <w:color w:val="FFFFFF"/>
              </w:rPr>
              <w:t>Actually Paid to</w:t>
            </w:r>
          </w:p>
        </w:tc>
        <w:tc>
          <w:tcPr>
            <w:tcW w:w="880" w:type="dxa"/>
            <w:vAlign w:val="bottom"/>
            <w:vMerge w:val="restart"/>
            <w:shd w:val="clear" w:color="auto" w:fill="3C3C3C"/>
          </w:tcPr>
          <w:p>
            <w:pPr>
              <w:jc w:val="center"/>
              <w:ind w:left="286"/>
              <w:spacing w:after="0"/>
              <w:rPr>
                <w:sz w:val="20"/>
                <w:szCs w:val="20"/>
                <w:color w:val="auto"/>
              </w:rPr>
            </w:pPr>
            <w:r>
              <w:rPr>
                <w:rFonts w:ascii="Arial" w:cs="Arial" w:eastAsia="Arial" w:hAnsi="Arial"/>
                <w:sz w:val="13"/>
                <w:szCs w:val="13"/>
                <w:b w:val="1"/>
                <w:bCs w:val="1"/>
                <w:color w:val="FFFFFF"/>
              </w:rPr>
              <w:t>Return</w:t>
            </w:r>
          </w:p>
        </w:tc>
        <w:tc>
          <w:tcPr>
            <w:tcW w:w="500" w:type="dxa"/>
            <w:vAlign w:val="bottom"/>
            <w:tcBorders>
              <w:right w:val="single" w:sz="8" w:color="3C3C3C"/>
            </w:tcBorders>
            <w:shd w:val="clear" w:color="auto" w:fill="3C3C3C"/>
          </w:tcPr>
          <w:p>
            <w:pPr>
              <w:spacing w:after="0"/>
              <w:rPr>
                <w:sz w:val="6"/>
                <w:szCs w:val="6"/>
                <w:color w:val="auto"/>
              </w:rPr>
            </w:pPr>
          </w:p>
        </w:tc>
        <w:tc>
          <w:tcPr>
            <w:tcW w:w="1320" w:type="dxa"/>
            <w:vAlign w:val="bottom"/>
            <w:tcBorders>
              <w:right w:val="single" w:sz="8" w:color="3C3C3C"/>
            </w:tcBorders>
            <w:gridSpan w:val="2"/>
            <w:vMerge w:val="continue"/>
            <w:shd w:val="clear" w:color="auto" w:fill="3C3C3C"/>
          </w:tcPr>
          <w:p>
            <w:pPr>
              <w:spacing w:after="0"/>
              <w:rPr>
                <w:sz w:val="6"/>
                <w:szCs w:val="6"/>
                <w:color w:val="auto"/>
              </w:rPr>
            </w:pPr>
          </w:p>
        </w:tc>
        <w:tc>
          <w:tcPr>
            <w:tcW w:w="1280" w:type="dxa"/>
            <w:vAlign w:val="bottom"/>
            <w:tcBorders>
              <w:right w:val="single" w:sz="8" w:color="3C3C3C"/>
            </w:tcBorders>
            <w:vMerge w:val="continue"/>
            <w:shd w:val="clear" w:color="auto" w:fill="3C3C3C"/>
          </w:tcPr>
          <w:p>
            <w:pPr>
              <w:spacing w:after="0"/>
              <w:rPr>
                <w:sz w:val="6"/>
                <w:szCs w:val="6"/>
                <w:color w:val="auto"/>
              </w:rPr>
            </w:pPr>
          </w:p>
        </w:tc>
        <w:tc>
          <w:tcPr>
            <w:tcW w:w="1060" w:type="dxa"/>
            <w:vAlign w:val="bottom"/>
            <w:tcBorders>
              <w:right w:val="single" w:sz="8" w:color="3C3C3C"/>
            </w:tcBorders>
            <w:vMerge w:val="continue"/>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800" w:type="dxa"/>
            <w:vAlign w:val="bottom"/>
            <w:tcBorders>
              <w:left w:val="single" w:sz="8" w:color="3C3C3C"/>
              <w:right w:val="single" w:sz="8" w:color="3C3C3C"/>
            </w:tcBorders>
            <w:vMerge w:val="continue"/>
            <w:shd w:val="clear" w:color="auto" w:fill="3C3C3C"/>
          </w:tcPr>
          <w:p>
            <w:pPr>
              <w:spacing w:after="0"/>
              <w:rPr>
                <w:sz w:val="11"/>
                <w:szCs w:val="11"/>
                <w:color w:val="auto"/>
              </w:rPr>
            </w:pPr>
          </w:p>
        </w:tc>
        <w:tc>
          <w:tcPr>
            <w:tcW w:w="1440" w:type="dxa"/>
            <w:vAlign w:val="bottom"/>
            <w:tcBorders>
              <w:right w:val="single" w:sz="8" w:color="3C3C3C"/>
            </w:tcBorders>
            <w:gridSpan w:val="2"/>
            <w:shd w:val="clear" w:color="auto" w:fill="3C3C3C"/>
          </w:tcPr>
          <w:p>
            <w:pPr>
              <w:jc w:val="center"/>
              <w:ind w:right="76"/>
              <w:spacing w:after="0" w:line="136" w:lineRule="exact"/>
              <w:rPr>
                <w:sz w:val="20"/>
                <w:szCs w:val="20"/>
                <w:color w:val="auto"/>
              </w:rPr>
            </w:pPr>
            <w:r>
              <w:rPr>
                <w:rFonts w:ascii="Arial" w:cs="Arial" w:eastAsia="Arial" w:hAnsi="Arial"/>
                <w:sz w:val="13"/>
                <w:szCs w:val="13"/>
                <w:b w:val="1"/>
                <w:bCs w:val="1"/>
                <w:color w:val="FFFFFF"/>
              </w:rPr>
              <w:t>Table Total for CEO</w:t>
            </w:r>
          </w:p>
        </w:tc>
        <w:tc>
          <w:tcPr>
            <w:tcW w:w="1320" w:type="dxa"/>
            <w:vAlign w:val="bottom"/>
            <w:tcBorders>
              <w:right w:val="single" w:sz="8" w:color="3C3C3C"/>
            </w:tcBorders>
            <w:gridSpan w:val="2"/>
            <w:shd w:val="clear" w:color="auto" w:fill="3C3C3C"/>
          </w:tcPr>
          <w:p>
            <w:pPr>
              <w:jc w:val="center"/>
              <w:ind w:right="76"/>
              <w:spacing w:after="0" w:line="136" w:lineRule="exact"/>
              <w:rPr>
                <w:sz w:val="20"/>
                <w:szCs w:val="20"/>
                <w:color w:val="auto"/>
              </w:rPr>
            </w:pPr>
            <w:r>
              <w:rPr>
                <w:rFonts w:ascii="Arial" w:cs="Arial" w:eastAsia="Arial" w:hAnsi="Arial"/>
                <w:sz w:val="13"/>
                <w:szCs w:val="13"/>
                <w:b w:val="1"/>
                <w:bCs w:val="1"/>
                <w:color w:val="FFFFFF"/>
                <w:w w:val="99"/>
              </w:rPr>
              <w:t>CEO</w:t>
            </w:r>
          </w:p>
        </w:tc>
        <w:tc>
          <w:tcPr>
            <w:tcW w:w="1280" w:type="dxa"/>
            <w:vAlign w:val="bottom"/>
            <w:tcBorders>
              <w:right w:val="single" w:sz="8" w:color="3C3C3C"/>
            </w:tcBorders>
            <w:shd w:val="clear" w:color="auto" w:fill="3C3C3C"/>
          </w:tcPr>
          <w:p>
            <w:pPr>
              <w:jc w:val="center"/>
              <w:ind w:right="49"/>
              <w:spacing w:after="0" w:line="136" w:lineRule="exact"/>
              <w:rPr>
                <w:sz w:val="20"/>
                <w:szCs w:val="20"/>
                <w:color w:val="auto"/>
              </w:rPr>
            </w:pPr>
            <w:r>
              <w:rPr>
                <w:rFonts w:ascii="Arial" w:cs="Arial" w:eastAsia="Arial" w:hAnsi="Arial"/>
                <w:sz w:val="13"/>
                <w:szCs w:val="13"/>
                <w:b w:val="1"/>
                <w:bCs w:val="1"/>
                <w:color w:val="FFFFFF"/>
              </w:rPr>
              <w:t>Table Total for</w:t>
            </w:r>
          </w:p>
        </w:tc>
        <w:tc>
          <w:tcPr>
            <w:tcW w:w="1380" w:type="dxa"/>
            <w:vAlign w:val="bottom"/>
            <w:tcBorders>
              <w:right w:val="single" w:sz="8" w:color="3C3C3C"/>
            </w:tcBorders>
            <w:vMerge w:val="continue"/>
            <w:shd w:val="clear" w:color="auto" w:fill="3C3C3C"/>
          </w:tcPr>
          <w:p>
            <w:pPr>
              <w:spacing w:after="0"/>
              <w:rPr>
                <w:sz w:val="11"/>
                <w:szCs w:val="11"/>
                <w:color w:val="auto"/>
              </w:rPr>
            </w:pPr>
          </w:p>
        </w:tc>
        <w:tc>
          <w:tcPr>
            <w:tcW w:w="880" w:type="dxa"/>
            <w:vAlign w:val="bottom"/>
            <w:vMerge w:val="continue"/>
            <w:shd w:val="clear" w:color="auto" w:fill="3C3C3C"/>
          </w:tcPr>
          <w:p>
            <w:pPr>
              <w:spacing w:after="0"/>
              <w:rPr>
                <w:sz w:val="11"/>
                <w:szCs w:val="11"/>
                <w:color w:val="auto"/>
              </w:rPr>
            </w:pPr>
          </w:p>
        </w:tc>
        <w:tc>
          <w:tcPr>
            <w:tcW w:w="500" w:type="dxa"/>
            <w:vAlign w:val="bottom"/>
            <w:tcBorders>
              <w:right w:val="single" w:sz="8" w:color="3C3C3C"/>
            </w:tcBorders>
            <w:shd w:val="clear" w:color="auto" w:fill="3C3C3C"/>
          </w:tcPr>
          <w:p>
            <w:pPr>
              <w:spacing w:after="0"/>
              <w:rPr>
                <w:sz w:val="11"/>
                <w:szCs w:val="11"/>
                <w:color w:val="auto"/>
              </w:rPr>
            </w:pPr>
          </w:p>
        </w:tc>
        <w:tc>
          <w:tcPr>
            <w:tcW w:w="1320" w:type="dxa"/>
            <w:vAlign w:val="bottom"/>
            <w:tcBorders>
              <w:right w:val="single" w:sz="8" w:color="3C3C3C"/>
            </w:tcBorders>
            <w:gridSpan w:val="2"/>
            <w:shd w:val="clear" w:color="auto" w:fill="3C3C3C"/>
          </w:tcPr>
          <w:p>
            <w:pPr>
              <w:jc w:val="center"/>
              <w:ind w:right="76"/>
              <w:spacing w:after="0" w:line="136" w:lineRule="exact"/>
              <w:rPr>
                <w:sz w:val="20"/>
                <w:szCs w:val="20"/>
                <w:color w:val="auto"/>
              </w:rPr>
            </w:pPr>
            <w:r>
              <w:rPr>
                <w:rFonts w:ascii="Arial" w:cs="Arial" w:eastAsia="Arial" w:hAnsi="Arial"/>
                <w:sz w:val="13"/>
                <w:szCs w:val="13"/>
                <w:b w:val="1"/>
                <w:bCs w:val="1"/>
                <w:color w:val="FFFFFF"/>
              </w:rPr>
              <w:t>Return</w:t>
            </w:r>
          </w:p>
        </w:tc>
        <w:tc>
          <w:tcPr>
            <w:tcW w:w="1280" w:type="dxa"/>
            <w:vAlign w:val="bottom"/>
            <w:tcBorders>
              <w:right w:val="single" w:sz="8" w:color="3C3C3C"/>
            </w:tcBorders>
            <w:shd w:val="clear" w:color="auto" w:fill="3C3C3C"/>
          </w:tcPr>
          <w:p>
            <w:pPr>
              <w:jc w:val="center"/>
              <w:ind w:right="44"/>
              <w:spacing w:after="0" w:line="136" w:lineRule="exact"/>
              <w:rPr>
                <w:sz w:val="20"/>
                <w:szCs w:val="20"/>
                <w:color w:val="auto"/>
              </w:rPr>
            </w:pPr>
            <w:r>
              <w:rPr>
                <w:rFonts w:ascii="Arial" w:cs="Arial" w:eastAsia="Arial" w:hAnsi="Arial"/>
                <w:sz w:val="12"/>
                <w:szCs w:val="12"/>
                <w:b w:val="1"/>
                <w:bCs w:val="1"/>
                <w:color w:val="FFFFFF"/>
              </w:rPr>
              <w:t>($ in millions)</w:t>
            </w:r>
            <w:r>
              <w:rPr>
                <w:rFonts w:ascii="Arial" w:cs="Arial" w:eastAsia="Arial" w:hAnsi="Arial"/>
                <w:sz w:val="15"/>
                <w:szCs w:val="15"/>
                <w:b w:val="1"/>
                <w:bCs w:val="1"/>
                <w:color w:val="FFFFFF"/>
                <w:vertAlign w:val="superscript"/>
              </w:rPr>
              <w:t>(7)</w:t>
            </w:r>
          </w:p>
        </w:tc>
        <w:tc>
          <w:tcPr>
            <w:tcW w:w="1060" w:type="dxa"/>
            <w:vAlign w:val="bottom"/>
            <w:tcBorders>
              <w:right w:val="single" w:sz="8" w:color="3C3C3C"/>
            </w:tcBorders>
            <w:shd w:val="clear" w:color="auto" w:fill="3C3C3C"/>
          </w:tcPr>
          <w:p>
            <w:pPr>
              <w:jc w:val="center"/>
              <w:spacing w:after="0" w:line="136" w:lineRule="exact"/>
              <w:rPr>
                <w:sz w:val="20"/>
                <w:szCs w:val="20"/>
                <w:color w:val="auto"/>
              </w:rPr>
            </w:pPr>
            <w:r>
              <w:rPr>
                <w:rFonts w:ascii="Arial" w:cs="Arial" w:eastAsia="Arial" w:hAnsi="Arial"/>
                <w:sz w:val="12"/>
                <w:szCs w:val="12"/>
                <w:b w:val="1"/>
                <w:bCs w:val="1"/>
                <w:color w:val="FFFFFF"/>
              </w:rPr>
              <w:t>($ in millions)</w:t>
            </w:r>
            <w:r>
              <w:rPr>
                <w:rFonts w:ascii="Arial" w:cs="Arial" w:eastAsia="Arial" w:hAnsi="Arial"/>
                <w:sz w:val="15"/>
                <w:szCs w:val="15"/>
                <w:b w:val="1"/>
                <w:bCs w:val="1"/>
                <w:color w:val="FFFFFF"/>
                <w:vertAlign w:val="superscript"/>
              </w:rPr>
              <w:t>(8)</w:t>
            </w:r>
          </w:p>
        </w:tc>
        <w:tc>
          <w:tcPr>
            <w:tcW w:w="0" w:type="dxa"/>
            <w:vAlign w:val="bottom"/>
          </w:tcPr>
          <w:p>
            <w:pPr>
              <w:spacing w:after="0"/>
              <w:rPr>
                <w:sz w:val="1"/>
                <w:szCs w:val="1"/>
                <w:color w:val="auto"/>
              </w:rPr>
            </w:pPr>
          </w:p>
        </w:tc>
      </w:tr>
      <w:tr>
        <w:trPr>
          <w:trHeight w:val="121"/>
        </w:trPr>
        <w:tc>
          <w:tcPr>
            <w:tcW w:w="800" w:type="dxa"/>
            <w:vAlign w:val="bottom"/>
            <w:tcBorders>
              <w:left w:val="single" w:sz="8" w:color="3C3C3C"/>
              <w:right w:val="single" w:sz="8" w:color="3C3C3C"/>
            </w:tcBorders>
            <w:shd w:val="clear" w:color="auto" w:fill="3C3C3C"/>
          </w:tcPr>
          <w:p>
            <w:pPr>
              <w:spacing w:after="0"/>
              <w:rPr>
                <w:sz w:val="10"/>
                <w:szCs w:val="10"/>
                <w:color w:val="auto"/>
              </w:rPr>
            </w:pPr>
          </w:p>
        </w:tc>
        <w:tc>
          <w:tcPr>
            <w:tcW w:w="680" w:type="dxa"/>
            <w:vAlign w:val="bottom"/>
            <w:vMerge w:val="restart"/>
            <w:shd w:val="clear" w:color="auto" w:fill="3C3C3C"/>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right w:val="single" w:sz="8" w:color="3C3C3C"/>
            </w:tcBorders>
            <w:shd w:val="clear" w:color="auto" w:fill="3C3C3C"/>
          </w:tcPr>
          <w:p>
            <w:pPr>
              <w:jc w:val="right"/>
              <w:ind w:right="596"/>
              <w:spacing w:after="0"/>
              <w:rPr>
                <w:sz w:val="20"/>
                <w:szCs w:val="20"/>
                <w:color w:val="auto"/>
              </w:rPr>
            </w:pPr>
            <w:r>
              <w:rPr>
                <w:rFonts w:ascii="Arial" w:cs="Arial" w:eastAsia="Arial" w:hAnsi="Arial"/>
                <w:sz w:val="9"/>
                <w:szCs w:val="9"/>
                <w:b w:val="1"/>
                <w:bCs w:val="1"/>
                <w:color w:val="FFFFFF"/>
                <w:w w:val="90"/>
              </w:rPr>
              <w:t>(1)</w:t>
            </w:r>
          </w:p>
        </w:tc>
        <w:tc>
          <w:tcPr>
            <w:tcW w:w="620" w:type="dxa"/>
            <w:vAlign w:val="bottom"/>
            <w:vMerge w:val="restart"/>
            <w:shd w:val="clear" w:color="auto" w:fill="3C3C3C"/>
          </w:tcPr>
          <w:p>
            <w:pPr>
              <w:jc w:val="right"/>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right w:val="single" w:sz="8" w:color="3C3C3C"/>
            </w:tcBorders>
            <w:shd w:val="clear" w:color="auto" w:fill="3C3C3C"/>
          </w:tcPr>
          <w:p>
            <w:pPr>
              <w:jc w:val="right"/>
              <w:ind w:right="536"/>
              <w:spacing w:after="0"/>
              <w:rPr>
                <w:sz w:val="20"/>
                <w:szCs w:val="20"/>
                <w:color w:val="auto"/>
              </w:rPr>
            </w:pPr>
            <w:r>
              <w:rPr>
                <w:rFonts w:ascii="Arial" w:cs="Arial" w:eastAsia="Arial" w:hAnsi="Arial"/>
                <w:sz w:val="9"/>
                <w:szCs w:val="9"/>
                <w:b w:val="1"/>
                <w:bCs w:val="1"/>
                <w:color w:val="FFFFFF"/>
                <w:w w:val="90"/>
              </w:rPr>
              <w:t>(2)</w:t>
            </w:r>
          </w:p>
        </w:tc>
        <w:tc>
          <w:tcPr>
            <w:tcW w:w="1280" w:type="dxa"/>
            <w:vAlign w:val="bottom"/>
            <w:tcBorders>
              <w:right w:val="single" w:sz="8" w:color="3C3C3C"/>
            </w:tcBorders>
            <w:vMerge w:val="restart"/>
            <w:shd w:val="clear" w:color="auto" w:fill="3C3C3C"/>
          </w:tcPr>
          <w:p>
            <w:pPr>
              <w:jc w:val="center"/>
              <w:ind w:right="49"/>
              <w:spacing w:after="0"/>
              <w:rPr>
                <w:sz w:val="20"/>
                <w:szCs w:val="20"/>
                <w:color w:val="auto"/>
              </w:rPr>
            </w:pPr>
            <w:r>
              <w:rPr>
                <w:rFonts w:ascii="Arial" w:cs="Arial" w:eastAsia="Arial" w:hAnsi="Arial"/>
                <w:sz w:val="13"/>
                <w:szCs w:val="13"/>
                <w:b w:val="1"/>
                <w:bCs w:val="1"/>
                <w:color w:val="FFFFFF"/>
              </w:rPr>
              <w:t>Non-CEO NEOs</w:t>
            </w:r>
          </w:p>
        </w:tc>
        <w:tc>
          <w:tcPr>
            <w:tcW w:w="1380" w:type="dxa"/>
            <w:vAlign w:val="bottom"/>
            <w:tcBorders>
              <w:right w:val="single" w:sz="8" w:color="3C3C3C"/>
            </w:tcBorders>
            <w:shd w:val="clear" w:color="auto" w:fill="3C3C3C"/>
          </w:tcPr>
          <w:p>
            <w:pPr>
              <w:jc w:val="center"/>
              <w:ind w:right="49"/>
              <w:spacing w:after="0" w:line="122" w:lineRule="exact"/>
              <w:rPr>
                <w:sz w:val="20"/>
                <w:szCs w:val="20"/>
                <w:color w:val="auto"/>
              </w:rPr>
            </w:pPr>
            <w:r>
              <w:rPr>
                <w:rFonts w:ascii="Arial" w:cs="Arial" w:eastAsia="Arial" w:hAnsi="Arial"/>
                <w:sz w:val="13"/>
                <w:szCs w:val="13"/>
                <w:b w:val="1"/>
                <w:bCs w:val="1"/>
                <w:color w:val="FFFFFF"/>
              </w:rPr>
              <w:t>Non-CEO NEOs ($)</w:t>
            </w:r>
          </w:p>
        </w:tc>
        <w:tc>
          <w:tcPr>
            <w:tcW w:w="880" w:type="dxa"/>
            <w:vAlign w:val="bottom"/>
            <w:shd w:val="clear" w:color="auto" w:fill="3C3C3C"/>
          </w:tcPr>
          <w:p>
            <w:pPr>
              <w:jc w:val="center"/>
              <w:ind w:left="286"/>
              <w:spacing w:after="0" w:line="12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4"/>
                <w:szCs w:val="14"/>
                <w:b w:val="1"/>
                <w:bCs w:val="1"/>
                <w:color w:val="FFFFFF"/>
                <w:vertAlign w:val="superscript"/>
              </w:rPr>
              <w:t>(5)</w:t>
            </w:r>
          </w:p>
        </w:tc>
        <w:tc>
          <w:tcPr>
            <w:tcW w:w="500" w:type="dxa"/>
            <w:vAlign w:val="bottom"/>
            <w:tcBorders>
              <w:right w:val="single" w:sz="8" w:color="3C3C3C"/>
            </w:tcBorders>
            <w:shd w:val="clear" w:color="auto" w:fill="3C3C3C"/>
          </w:tcPr>
          <w:p>
            <w:pPr>
              <w:spacing w:after="0"/>
              <w:rPr>
                <w:sz w:val="10"/>
                <w:szCs w:val="10"/>
                <w:color w:val="auto"/>
              </w:rPr>
            </w:pPr>
          </w:p>
        </w:tc>
        <w:tc>
          <w:tcPr>
            <w:tcW w:w="620" w:type="dxa"/>
            <w:vAlign w:val="bottom"/>
            <w:vMerge w:val="restart"/>
            <w:shd w:val="clear" w:color="auto" w:fill="3C3C3C"/>
          </w:tcPr>
          <w:p>
            <w:pPr>
              <w:jc w:val="right"/>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right w:val="single" w:sz="8" w:color="3C3C3C"/>
            </w:tcBorders>
            <w:shd w:val="clear" w:color="auto" w:fill="3C3C3C"/>
          </w:tcPr>
          <w:p>
            <w:pPr>
              <w:jc w:val="right"/>
              <w:ind w:right="536"/>
              <w:spacing w:after="0"/>
              <w:rPr>
                <w:sz w:val="20"/>
                <w:szCs w:val="20"/>
                <w:color w:val="auto"/>
              </w:rPr>
            </w:pPr>
            <w:r>
              <w:rPr>
                <w:rFonts w:ascii="Arial" w:cs="Arial" w:eastAsia="Arial" w:hAnsi="Arial"/>
                <w:sz w:val="9"/>
                <w:szCs w:val="9"/>
                <w:b w:val="1"/>
                <w:bCs w:val="1"/>
                <w:color w:val="FFFFFF"/>
                <w:w w:val="90"/>
              </w:rPr>
              <w:t>(6)</w:t>
            </w:r>
          </w:p>
        </w:tc>
        <w:tc>
          <w:tcPr>
            <w:tcW w:w="1280" w:type="dxa"/>
            <w:vAlign w:val="bottom"/>
            <w:tcBorders>
              <w:right w:val="single" w:sz="8" w:color="3C3C3C"/>
            </w:tcBorders>
            <w:shd w:val="clear" w:color="auto" w:fill="3C3C3C"/>
          </w:tcPr>
          <w:p>
            <w:pPr>
              <w:spacing w:after="0"/>
              <w:rPr>
                <w:sz w:val="10"/>
                <w:szCs w:val="10"/>
                <w:color w:val="auto"/>
              </w:rPr>
            </w:pPr>
          </w:p>
        </w:tc>
        <w:tc>
          <w:tcPr>
            <w:tcW w:w="1060" w:type="dxa"/>
            <w:vAlign w:val="bottom"/>
            <w:tcBorders>
              <w:right w:val="single" w:sz="8" w:color="3C3C3C"/>
            </w:tcBorders>
            <w:shd w:val="clear" w:color="auto" w:fill="3C3C3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3C3C3C"/>
              <w:right w:val="single" w:sz="8" w:color="3C3C3C"/>
            </w:tcBorders>
            <w:shd w:val="clear" w:color="auto" w:fill="3C3C3C"/>
          </w:tcPr>
          <w:p>
            <w:pPr>
              <w:spacing w:after="0"/>
              <w:rPr>
                <w:sz w:val="5"/>
                <w:szCs w:val="5"/>
                <w:color w:val="auto"/>
              </w:rPr>
            </w:pPr>
          </w:p>
        </w:tc>
        <w:tc>
          <w:tcPr>
            <w:tcW w:w="680" w:type="dxa"/>
            <w:vAlign w:val="bottom"/>
            <w:vMerge w:val="continue"/>
            <w:shd w:val="clear" w:color="auto" w:fill="3C3C3C"/>
          </w:tcPr>
          <w:p>
            <w:pPr>
              <w:spacing w:after="0"/>
              <w:rPr>
                <w:sz w:val="5"/>
                <w:szCs w:val="5"/>
                <w:color w:val="auto"/>
              </w:rPr>
            </w:pPr>
          </w:p>
        </w:tc>
        <w:tc>
          <w:tcPr>
            <w:tcW w:w="760" w:type="dxa"/>
            <w:vAlign w:val="bottom"/>
            <w:tcBorders>
              <w:right w:val="single" w:sz="8" w:color="3C3C3C"/>
            </w:tcBorders>
            <w:shd w:val="clear" w:color="auto" w:fill="3C3C3C"/>
          </w:tcPr>
          <w:p>
            <w:pPr>
              <w:spacing w:after="0"/>
              <w:rPr>
                <w:sz w:val="5"/>
                <w:szCs w:val="5"/>
                <w:color w:val="auto"/>
              </w:rPr>
            </w:pPr>
          </w:p>
        </w:tc>
        <w:tc>
          <w:tcPr>
            <w:tcW w:w="620" w:type="dxa"/>
            <w:vAlign w:val="bottom"/>
            <w:vMerge w:val="continue"/>
            <w:shd w:val="clear" w:color="auto" w:fill="3C3C3C"/>
          </w:tcPr>
          <w:p>
            <w:pPr>
              <w:spacing w:after="0"/>
              <w:rPr>
                <w:sz w:val="5"/>
                <w:szCs w:val="5"/>
                <w:color w:val="auto"/>
              </w:rPr>
            </w:pPr>
          </w:p>
        </w:tc>
        <w:tc>
          <w:tcPr>
            <w:tcW w:w="700" w:type="dxa"/>
            <w:vAlign w:val="bottom"/>
            <w:tcBorders>
              <w:right w:val="single" w:sz="8" w:color="3C3C3C"/>
            </w:tcBorders>
            <w:shd w:val="clear" w:color="auto" w:fill="3C3C3C"/>
          </w:tcPr>
          <w:p>
            <w:pPr>
              <w:spacing w:after="0"/>
              <w:rPr>
                <w:sz w:val="5"/>
                <w:szCs w:val="5"/>
                <w:color w:val="auto"/>
              </w:rPr>
            </w:pPr>
          </w:p>
        </w:tc>
        <w:tc>
          <w:tcPr>
            <w:tcW w:w="1280" w:type="dxa"/>
            <w:vAlign w:val="bottom"/>
            <w:tcBorders>
              <w:right w:val="single" w:sz="8" w:color="3C3C3C"/>
            </w:tcBorders>
            <w:vMerge w:val="continue"/>
            <w:shd w:val="clear" w:color="auto" w:fill="3C3C3C"/>
          </w:tcPr>
          <w:p>
            <w:pPr>
              <w:spacing w:after="0"/>
              <w:rPr>
                <w:sz w:val="5"/>
                <w:szCs w:val="5"/>
                <w:color w:val="auto"/>
              </w:rPr>
            </w:pPr>
          </w:p>
        </w:tc>
        <w:tc>
          <w:tcPr>
            <w:tcW w:w="1380" w:type="dxa"/>
            <w:vAlign w:val="bottom"/>
            <w:tcBorders>
              <w:right w:val="single" w:sz="8" w:color="3C3C3C"/>
            </w:tcBorders>
            <w:shd w:val="clear" w:color="auto" w:fill="3C3C3C"/>
          </w:tcPr>
          <w:p>
            <w:pPr>
              <w:jc w:val="center"/>
              <w:ind w:right="49"/>
              <w:spacing w:after="0" w:line="68" w:lineRule="exact"/>
              <w:rPr>
                <w:sz w:val="20"/>
                <w:szCs w:val="20"/>
                <w:color w:val="auto"/>
              </w:rPr>
            </w:pPr>
            <w:r>
              <w:rPr>
                <w:rFonts w:ascii="Arial" w:cs="Arial" w:eastAsia="Arial" w:hAnsi="Arial"/>
                <w:sz w:val="7"/>
                <w:szCs w:val="7"/>
                <w:b w:val="1"/>
                <w:bCs w:val="1"/>
                <w:color w:val="FFFFFF"/>
              </w:rPr>
              <w:t>(4)</w:t>
            </w:r>
          </w:p>
        </w:tc>
        <w:tc>
          <w:tcPr>
            <w:tcW w:w="880" w:type="dxa"/>
            <w:vAlign w:val="bottom"/>
            <w:shd w:val="clear" w:color="auto" w:fill="3C3C3C"/>
          </w:tcPr>
          <w:p>
            <w:pPr>
              <w:spacing w:after="0"/>
              <w:rPr>
                <w:sz w:val="5"/>
                <w:szCs w:val="5"/>
                <w:color w:val="auto"/>
              </w:rPr>
            </w:pPr>
          </w:p>
        </w:tc>
        <w:tc>
          <w:tcPr>
            <w:tcW w:w="500" w:type="dxa"/>
            <w:vAlign w:val="bottom"/>
            <w:tcBorders>
              <w:right w:val="single" w:sz="8" w:color="3C3C3C"/>
            </w:tcBorders>
            <w:shd w:val="clear" w:color="auto" w:fill="3C3C3C"/>
          </w:tcPr>
          <w:p>
            <w:pPr>
              <w:spacing w:after="0"/>
              <w:rPr>
                <w:sz w:val="5"/>
                <w:szCs w:val="5"/>
                <w:color w:val="auto"/>
              </w:rPr>
            </w:pPr>
          </w:p>
        </w:tc>
        <w:tc>
          <w:tcPr>
            <w:tcW w:w="620" w:type="dxa"/>
            <w:vAlign w:val="bottom"/>
            <w:vMerge w:val="continue"/>
            <w:shd w:val="clear" w:color="auto" w:fill="3C3C3C"/>
          </w:tcPr>
          <w:p>
            <w:pPr>
              <w:spacing w:after="0"/>
              <w:rPr>
                <w:sz w:val="5"/>
                <w:szCs w:val="5"/>
                <w:color w:val="auto"/>
              </w:rPr>
            </w:pPr>
          </w:p>
        </w:tc>
        <w:tc>
          <w:tcPr>
            <w:tcW w:w="700" w:type="dxa"/>
            <w:vAlign w:val="bottom"/>
            <w:tcBorders>
              <w:right w:val="single" w:sz="8" w:color="3C3C3C"/>
            </w:tcBorders>
            <w:shd w:val="clear" w:color="auto" w:fill="3C3C3C"/>
          </w:tcPr>
          <w:p>
            <w:pPr>
              <w:spacing w:after="0"/>
              <w:rPr>
                <w:sz w:val="5"/>
                <w:szCs w:val="5"/>
                <w:color w:val="auto"/>
              </w:rPr>
            </w:pPr>
          </w:p>
        </w:tc>
        <w:tc>
          <w:tcPr>
            <w:tcW w:w="1280" w:type="dxa"/>
            <w:vAlign w:val="bottom"/>
            <w:tcBorders>
              <w:right w:val="single" w:sz="8" w:color="3C3C3C"/>
            </w:tcBorders>
            <w:shd w:val="clear" w:color="auto" w:fill="3C3C3C"/>
          </w:tcPr>
          <w:p>
            <w:pPr>
              <w:spacing w:after="0"/>
              <w:rPr>
                <w:sz w:val="5"/>
                <w:szCs w:val="5"/>
                <w:color w:val="auto"/>
              </w:rPr>
            </w:pPr>
          </w:p>
        </w:tc>
        <w:tc>
          <w:tcPr>
            <w:tcW w:w="1060" w:type="dxa"/>
            <w:vAlign w:val="bottom"/>
            <w:tcBorders>
              <w:right w:val="single" w:sz="8" w:color="3C3C3C"/>
            </w:tcBorders>
            <w:shd w:val="clear" w:color="auto" w:fill="3C3C3C"/>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3C3C3C"/>
              <w:right w:val="single" w:sz="8" w:color="3C3C3C"/>
            </w:tcBorders>
            <w:shd w:val="clear" w:color="auto" w:fill="3C3C3C"/>
          </w:tcPr>
          <w:p>
            <w:pPr>
              <w:spacing w:after="0"/>
              <w:rPr>
                <w:sz w:val="17"/>
                <w:szCs w:val="17"/>
                <w:color w:val="auto"/>
              </w:rPr>
            </w:pPr>
          </w:p>
        </w:tc>
        <w:tc>
          <w:tcPr>
            <w:tcW w:w="680" w:type="dxa"/>
            <w:vAlign w:val="bottom"/>
            <w:shd w:val="clear" w:color="auto" w:fill="3C3C3C"/>
          </w:tcPr>
          <w:p>
            <w:pPr>
              <w:spacing w:after="0"/>
              <w:rPr>
                <w:sz w:val="17"/>
                <w:szCs w:val="17"/>
                <w:color w:val="auto"/>
              </w:rPr>
            </w:pPr>
          </w:p>
        </w:tc>
        <w:tc>
          <w:tcPr>
            <w:tcW w:w="760" w:type="dxa"/>
            <w:vAlign w:val="bottom"/>
            <w:tcBorders>
              <w:right w:val="single" w:sz="8" w:color="3C3C3C"/>
            </w:tcBorders>
            <w:shd w:val="clear" w:color="auto" w:fill="3C3C3C"/>
          </w:tcPr>
          <w:p>
            <w:pPr>
              <w:spacing w:after="0"/>
              <w:rPr>
                <w:sz w:val="17"/>
                <w:szCs w:val="17"/>
                <w:color w:val="auto"/>
              </w:rPr>
            </w:pPr>
          </w:p>
        </w:tc>
        <w:tc>
          <w:tcPr>
            <w:tcW w:w="620" w:type="dxa"/>
            <w:vAlign w:val="bottom"/>
            <w:shd w:val="clear" w:color="auto" w:fill="3C3C3C"/>
          </w:tcPr>
          <w:p>
            <w:pPr>
              <w:spacing w:after="0"/>
              <w:rPr>
                <w:sz w:val="17"/>
                <w:szCs w:val="17"/>
                <w:color w:val="auto"/>
              </w:rPr>
            </w:pPr>
          </w:p>
        </w:tc>
        <w:tc>
          <w:tcPr>
            <w:tcW w:w="700" w:type="dxa"/>
            <w:vAlign w:val="bottom"/>
            <w:tcBorders>
              <w:right w:val="single" w:sz="8" w:color="3C3C3C"/>
            </w:tcBorders>
            <w:shd w:val="clear" w:color="auto" w:fill="3C3C3C"/>
          </w:tcPr>
          <w:p>
            <w:pPr>
              <w:spacing w:after="0"/>
              <w:rPr>
                <w:sz w:val="17"/>
                <w:szCs w:val="17"/>
                <w:color w:val="auto"/>
              </w:rPr>
            </w:pPr>
          </w:p>
        </w:tc>
        <w:tc>
          <w:tcPr>
            <w:tcW w:w="1280" w:type="dxa"/>
            <w:vAlign w:val="bottom"/>
            <w:tcBorders>
              <w:right w:val="single" w:sz="8" w:color="3C3C3C"/>
            </w:tcBorders>
            <w:shd w:val="clear" w:color="auto" w:fill="3C3C3C"/>
          </w:tcPr>
          <w:p>
            <w:pPr>
              <w:jc w:val="center"/>
              <w:ind w:right="49"/>
              <w:spacing w:after="0" w:line="202" w:lineRule="exact"/>
              <w:rPr>
                <w:sz w:val="20"/>
                <w:szCs w:val="20"/>
                <w:color w:val="auto"/>
              </w:rPr>
            </w:pPr>
            <w:r>
              <w:rPr>
                <w:rFonts w:ascii="Arial" w:cs="Arial" w:eastAsia="Arial" w:hAnsi="Arial"/>
                <w:sz w:val="23"/>
                <w:szCs w:val="23"/>
                <w:b w:val="1"/>
                <w:bCs w:val="1"/>
                <w:color w:val="FFFFFF"/>
                <w:w w:val="98"/>
                <w:vertAlign w:val="subscript"/>
              </w:rPr>
              <w:t>($)</w:t>
            </w:r>
            <w:r>
              <w:rPr>
                <w:rFonts w:ascii="Arial" w:cs="Arial" w:eastAsia="Arial" w:hAnsi="Arial"/>
                <w:sz w:val="8"/>
                <w:szCs w:val="8"/>
                <w:b w:val="1"/>
                <w:bCs w:val="1"/>
                <w:color w:val="FFFFFF"/>
                <w:w w:val="98"/>
              </w:rPr>
              <w:t>(3)</w:t>
            </w:r>
          </w:p>
        </w:tc>
        <w:tc>
          <w:tcPr>
            <w:tcW w:w="1380" w:type="dxa"/>
            <w:vAlign w:val="bottom"/>
            <w:tcBorders>
              <w:right w:val="single" w:sz="8" w:color="3C3C3C"/>
            </w:tcBorders>
            <w:shd w:val="clear" w:color="auto" w:fill="3C3C3C"/>
          </w:tcPr>
          <w:p>
            <w:pPr>
              <w:spacing w:after="0"/>
              <w:rPr>
                <w:sz w:val="17"/>
                <w:szCs w:val="17"/>
                <w:color w:val="auto"/>
              </w:rPr>
            </w:pPr>
          </w:p>
        </w:tc>
        <w:tc>
          <w:tcPr>
            <w:tcW w:w="880" w:type="dxa"/>
            <w:vAlign w:val="bottom"/>
            <w:shd w:val="clear" w:color="auto" w:fill="3C3C3C"/>
          </w:tcPr>
          <w:p>
            <w:pPr>
              <w:spacing w:after="0"/>
              <w:rPr>
                <w:sz w:val="17"/>
                <w:szCs w:val="17"/>
                <w:color w:val="auto"/>
              </w:rPr>
            </w:pPr>
          </w:p>
        </w:tc>
        <w:tc>
          <w:tcPr>
            <w:tcW w:w="500" w:type="dxa"/>
            <w:vAlign w:val="bottom"/>
            <w:tcBorders>
              <w:right w:val="single" w:sz="8" w:color="3C3C3C"/>
            </w:tcBorders>
            <w:shd w:val="clear" w:color="auto" w:fill="3C3C3C"/>
          </w:tcPr>
          <w:p>
            <w:pPr>
              <w:spacing w:after="0"/>
              <w:rPr>
                <w:sz w:val="17"/>
                <w:szCs w:val="17"/>
                <w:color w:val="auto"/>
              </w:rPr>
            </w:pPr>
          </w:p>
        </w:tc>
        <w:tc>
          <w:tcPr>
            <w:tcW w:w="620" w:type="dxa"/>
            <w:vAlign w:val="bottom"/>
            <w:shd w:val="clear" w:color="auto" w:fill="3C3C3C"/>
          </w:tcPr>
          <w:p>
            <w:pPr>
              <w:spacing w:after="0"/>
              <w:rPr>
                <w:sz w:val="17"/>
                <w:szCs w:val="17"/>
                <w:color w:val="auto"/>
              </w:rPr>
            </w:pPr>
          </w:p>
        </w:tc>
        <w:tc>
          <w:tcPr>
            <w:tcW w:w="700" w:type="dxa"/>
            <w:vAlign w:val="bottom"/>
            <w:tcBorders>
              <w:right w:val="single" w:sz="8" w:color="3C3C3C"/>
            </w:tcBorders>
            <w:shd w:val="clear" w:color="auto" w:fill="3C3C3C"/>
          </w:tcPr>
          <w:p>
            <w:pPr>
              <w:spacing w:after="0"/>
              <w:rPr>
                <w:sz w:val="17"/>
                <w:szCs w:val="17"/>
                <w:color w:val="auto"/>
              </w:rPr>
            </w:pPr>
          </w:p>
        </w:tc>
        <w:tc>
          <w:tcPr>
            <w:tcW w:w="1280" w:type="dxa"/>
            <w:vAlign w:val="bottom"/>
            <w:tcBorders>
              <w:right w:val="single" w:sz="8" w:color="3C3C3C"/>
            </w:tcBorders>
            <w:shd w:val="clear" w:color="auto" w:fill="3C3C3C"/>
          </w:tcPr>
          <w:p>
            <w:pPr>
              <w:spacing w:after="0"/>
              <w:rPr>
                <w:sz w:val="17"/>
                <w:szCs w:val="17"/>
                <w:color w:val="auto"/>
              </w:rPr>
            </w:pPr>
          </w:p>
        </w:tc>
        <w:tc>
          <w:tcPr>
            <w:tcW w:w="1060" w:type="dxa"/>
            <w:vAlign w:val="bottom"/>
            <w:tcBorders>
              <w:right w:val="single" w:sz="8" w:color="3C3C3C"/>
            </w:tcBorders>
            <w:shd w:val="clear" w:color="auto" w:fill="3C3C3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right w:val="single" w:sz="8" w:color="929292"/>
            </w:tcBorders>
            <w:gridSpan w:val="2"/>
            <w:shd w:val="clear" w:color="auto" w:fill="FAF6EF"/>
          </w:tcPr>
          <w:p>
            <w:pPr>
              <w:jc w:val="center"/>
              <w:ind w:right="76"/>
              <w:spacing w:after="0"/>
              <w:rPr>
                <w:sz w:val="20"/>
                <w:szCs w:val="20"/>
                <w:color w:val="auto"/>
              </w:rPr>
            </w:pPr>
            <w:r>
              <w:rPr>
                <w:rFonts w:ascii="Arial" w:cs="Arial" w:eastAsia="Arial" w:hAnsi="Arial"/>
                <w:sz w:val="16"/>
                <w:szCs w:val="16"/>
                <w:color w:val="auto"/>
                <w:w w:val="99"/>
              </w:rPr>
              <w:t>12,630,005</w:t>
            </w:r>
          </w:p>
        </w:tc>
        <w:tc>
          <w:tcPr>
            <w:tcW w:w="1320" w:type="dxa"/>
            <w:vAlign w:val="bottom"/>
            <w:tcBorders>
              <w:right w:val="single" w:sz="8" w:color="929292"/>
            </w:tcBorders>
            <w:gridSpan w:val="2"/>
            <w:shd w:val="clear" w:color="auto" w:fill="FAF6EF"/>
          </w:tcPr>
          <w:p>
            <w:pPr>
              <w:jc w:val="center"/>
              <w:ind w:right="76"/>
              <w:spacing w:after="0"/>
              <w:rPr>
                <w:sz w:val="20"/>
                <w:szCs w:val="20"/>
                <w:color w:val="auto"/>
              </w:rPr>
            </w:pPr>
            <w:r>
              <w:rPr>
                <w:rFonts w:ascii="Arial" w:cs="Arial" w:eastAsia="Arial" w:hAnsi="Arial"/>
                <w:sz w:val="16"/>
                <w:szCs w:val="16"/>
                <w:color w:val="auto"/>
              </w:rPr>
              <w:t>3,357,725</w:t>
            </w:r>
          </w:p>
        </w:tc>
        <w:tc>
          <w:tcPr>
            <w:tcW w:w="1280" w:type="dxa"/>
            <w:vAlign w:val="bottom"/>
            <w:tcBorders>
              <w:right w:val="single" w:sz="8" w:color="929292"/>
            </w:tcBorders>
            <w:shd w:val="clear" w:color="auto" w:fill="FAF6EF"/>
          </w:tcPr>
          <w:p>
            <w:pPr>
              <w:jc w:val="center"/>
              <w:ind w:right="49"/>
              <w:spacing w:after="0"/>
              <w:rPr>
                <w:sz w:val="20"/>
                <w:szCs w:val="20"/>
                <w:color w:val="auto"/>
              </w:rPr>
            </w:pPr>
            <w:r>
              <w:rPr>
                <w:rFonts w:ascii="Arial" w:cs="Arial" w:eastAsia="Arial" w:hAnsi="Arial"/>
                <w:sz w:val="16"/>
                <w:szCs w:val="16"/>
                <w:color w:val="auto"/>
              </w:rPr>
              <w:t>6,672,535</w:t>
            </w:r>
          </w:p>
        </w:tc>
        <w:tc>
          <w:tcPr>
            <w:tcW w:w="1380" w:type="dxa"/>
            <w:vAlign w:val="bottom"/>
            <w:tcBorders>
              <w:right w:val="single" w:sz="8" w:color="929292"/>
            </w:tcBorders>
            <w:shd w:val="clear" w:color="auto" w:fill="FAF6EF"/>
          </w:tcPr>
          <w:p>
            <w:pPr>
              <w:jc w:val="center"/>
              <w:ind w:right="49"/>
              <w:spacing w:after="0"/>
              <w:rPr>
                <w:sz w:val="20"/>
                <w:szCs w:val="20"/>
                <w:color w:val="auto"/>
              </w:rPr>
            </w:pPr>
            <w:r>
              <w:rPr>
                <w:rFonts w:ascii="Arial" w:cs="Arial" w:eastAsia="Arial" w:hAnsi="Arial"/>
                <w:sz w:val="16"/>
                <w:szCs w:val="16"/>
                <w:color w:val="auto"/>
              </w:rPr>
              <w:t>805,193</w:t>
            </w:r>
          </w:p>
        </w:tc>
        <w:tc>
          <w:tcPr>
            <w:tcW w:w="880" w:type="dxa"/>
            <w:vAlign w:val="bottom"/>
            <w:shd w:val="clear" w:color="auto" w:fill="FAF6EF"/>
          </w:tcPr>
          <w:p>
            <w:pPr>
              <w:jc w:val="center"/>
              <w:ind w:left="306"/>
              <w:spacing w:after="0"/>
              <w:rPr>
                <w:sz w:val="20"/>
                <w:szCs w:val="20"/>
                <w:color w:val="auto"/>
              </w:rPr>
            </w:pPr>
            <w:r>
              <w:rPr>
                <w:rFonts w:ascii="Arial" w:cs="Arial" w:eastAsia="Arial" w:hAnsi="Arial"/>
                <w:sz w:val="16"/>
                <w:szCs w:val="16"/>
                <w:color w:val="auto"/>
                <w:w w:val="97"/>
              </w:rPr>
              <w:t>263</w:t>
            </w:r>
          </w:p>
        </w:tc>
        <w:tc>
          <w:tcPr>
            <w:tcW w:w="500" w:type="dxa"/>
            <w:vAlign w:val="bottom"/>
            <w:tcBorders>
              <w:right w:val="single" w:sz="8" w:color="929292"/>
            </w:tcBorders>
            <w:shd w:val="clear" w:color="auto" w:fill="FAF6EF"/>
          </w:tcPr>
          <w:p>
            <w:pPr>
              <w:spacing w:after="0"/>
              <w:rPr>
                <w:sz w:val="21"/>
                <w:szCs w:val="21"/>
                <w:color w:val="auto"/>
              </w:rPr>
            </w:pPr>
          </w:p>
        </w:tc>
        <w:tc>
          <w:tcPr>
            <w:tcW w:w="1320" w:type="dxa"/>
            <w:vAlign w:val="bottom"/>
            <w:tcBorders>
              <w:right w:val="single" w:sz="8" w:color="929292"/>
            </w:tcBorders>
            <w:gridSpan w:val="2"/>
            <w:shd w:val="clear" w:color="auto" w:fill="FAF6EF"/>
          </w:tcPr>
          <w:p>
            <w:pPr>
              <w:jc w:val="right"/>
              <w:ind w:right="536"/>
              <w:spacing w:after="0"/>
              <w:rPr>
                <w:sz w:val="20"/>
                <w:szCs w:val="20"/>
                <w:color w:val="auto"/>
              </w:rPr>
            </w:pPr>
            <w:r>
              <w:rPr>
                <w:rFonts w:ascii="Arial" w:cs="Arial" w:eastAsia="Arial" w:hAnsi="Arial"/>
                <w:sz w:val="16"/>
                <w:szCs w:val="16"/>
                <w:color w:val="auto"/>
              </w:rPr>
              <w:t>108</w:t>
            </w:r>
          </w:p>
        </w:tc>
        <w:tc>
          <w:tcPr>
            <w:tcW w:w="12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w w:val="99"/>
              </w:rPr>
              <w:t>102.7</w:t>
            </w:r>
          </w:p>
        </w:tc>
        <w:tc>
          <w:tcPr>
            <w:tcW w:w="1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1,330.4</w:t>
            </w:r>
          </w:p>
        </w:tc>
        <w:tc>
          <w:tcPr>
            <w:tcW w:w="0" w:type="dxa"/>
            <w:vAlign w:val="bottom"/>
          </w:tcPr>
          <w:p>
            <w:pPr>
              <w:spacing w:after="0"/>
              <w:rPr>
                <w:sz w:val="1"/>
                <w:szCs w:val="1"/>
                <w:color w:val="auto"/>
              </w:rPr>
            </w:pPr>
          </w:p>
        </w:tc>
      </w:tr>
      <w:tr>
        <w:trPr>
          <w:trHeight w:val="239"/>
        </w:trPr>
        <w:tc>
          <w:tcPr>
            <w:tcW w:w="80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right w:val="single" w:sz="8" w:color="929292"/>
            </w:tcBorders>
            <w:gridSpan w:val="2"/>
          </w:tcPr>
          <w:p>
            <w:pPr>
              <w:jc w:val="center"/>
              <w:ind w:right="76"/>
              <w:spacing w:after="0"/>
              <w:rPr>
                <w:sz w:val="20"/>
                <w:szCs w:val="20"/>
                <w:color w:val="auto"/>
              </w:rPr>
            </w:pPr>
            <w:r>
              <w:rPr>
                <w:rFonts w:ascii="Arial" w:cs="Arial" w:eastAsia="Arial" w:hAnsi="Arial"/>
                <w:sz w:val="16"/>
                <w:szCs w:val="16"/>
                <w:color w:val="auto"/>
                <w:w w:val="99"/>
              </w:rPr>
              <w:t>19,527,534</w:t>
            </w:r>
          </w:p>
        </w:tc>
        <w:tc>
          <w:tcPr>
            <w:tcW w:w="1320" w:type="dxa"/>
            <w:vAlign w:val="bottom"/>
            <w:tcBorders>
              <w:right w:val="single" w:sz="8" w:color="929292"/>
            </w:tcBorders>
            <w:gridSpan w:val="2"/>
          </w:tcPr>
          <w:p>
            <w:pPr>
              <w:jc w:val="center"/>
              <w:ind w:right="76"/>
              <w:spacing w:after="0"/>
              <w:rPr>
                <w:sz w:val="20"/>
                <w:szCs w:val="20"/>
                <w:color w:val="auto"/>
              </w:rPr>
            </w:pPr>
            <w:r>
              <w:rPr>
                <w:rFonts w:ascii="Arial" w:cs="Arial" w:eastAsia="Arial" w:hAnsi="Arial"/>
                <w:sz w:val="16"/>
                <w:szCs w:val="16"/>
                <w:color w:val="auto"/>
              </w:rPr>
              <w:t>2,544,470</w:t>
            </w:r>
          </w:p>
        </w:tc>
        <w:tc>
          <w:tcPr>
            <w:tcW w:w="1280" w:type="dxa"/>
            <w:vAlign w:val="bottom"/>
            <w:tcBorders>
              <w:right w:val="single" w:sz="8" w:color="929292"/>
            </w:tcBorders>
          </w:tcPr>
          <w:p>
            <w:pPr>
              <w:jc w:val="center"/>
              <w:ind w:right="49"/>
              <w:spacing w:after="0"/>
              <w:rPr>
                <w:sz w:val="20"/>
                <w:szCs w:val="20"/>
                <w:color w:val="auto"/>
              </w:rPr>
            </w:pPr>
            <w:r>
              <w:rPr>
                <w:rFonts w:ascii="Arial" w:cs="Arial" w:eastAsia="Arial" w:hAnsi="Arial"/>
                <w:sz w:val="16"/>
                <w:szCs w:val="16"/>
                <w:color w:val="auto"/>
              </w:rPr>
              <w:t>8,903,959</w:t>
            </w:r>
          </w:p>
        </w:tc>
        <w:tc>
          <w:tcPr>
            <w:tcW w:w="1380" w:type="dxa"/>
            <w:vAlign w:val="bottom"/>
            <w:tcBorders>
              <w:right w:val="single" w:sz="8" w:color="929292"/>
            </w:tcBorders>
          </w:tcPr>
          <w:p>
            <w:pPr>
              <w:jc w:val="center"/>
              <w:ind w:right="49"/>
              <w:spacing w:after="0"/>
              <w:rPr>
                <w:sz w:val="20"/>
                <w:szCs w:val="20"/>
                <w:color w:val="auto"/>
              </w:rPr>
            </w:pPr>
            <w:r>
              <w:rPr>
                <w:rFonts w:ascii="Arial" w:cs="Arial" w:eastAsia="Arial" w:hAnsi="Arial"/>
                <w:sz w:val="16"/>
                <w:szCs w:val="16"/>
                <w:color w:val="auto"/>
              </w:rPr>
              <w:t>903,495</w:t>
            </w:r>
          </w:p>
        </w:tc>
        <w:tc>
          <w:tcPr>
            <w:tcW w:w="880" w:type="dxa"/>
            <w:vAlign w:val="bottom"/>
          </w:tcPr>
          <w:p>
            <w:pPr>
              <w:jc w:val="center"/>
              <w:ind w:left="306"/>
              <w:spacing w:after="0"/>
              <w:rPr>
                <w:sz w:val="20"/>
                <w:szCs w:val="20"/>
                <w:color w:val="auto"/>
              </w:rPr>
            </w:pPr>
            <w:r>
              <w:rPr>
                <w:rFonts w:ascii="Arial" w:cs="Arial" w:eastAsia="Arial" w:hAnsi="Arial"/>
                <w:sz w:val="16"/>
                <w:szCs w:val="16"/>
                <w:color w:val="auto"/>
                <w:w w:val="97"/>
              </w:rPr>
              <w:t>506</w:t>
            </w:r>
          </w:p>
        </w:tc>
        <w:tc>
          <w:tcPr>
            <w:tcW w:w="500" w:type="dxa"/>
            <w:vAlign w:val="bottom"/>
            <w:tcBorders>
              <w:right w:val="single" w:sz="8" w:color="929292"/>
            </w:tcBorders>
          </w:tcPr>
          <w:p>
            <w:pPr>
              <w:spacing w:after="0"/>
              <w:rPr>
                <w:sz w:val="20"/>
                <w:szCs w:val="20"/>
                <w:color w:val="auto"/>
              </w:rPr>
            </w:pPr>
          </w:p>
        </w:tc>
        <w:tc>
          <w:tcPr>
            <w:tcW w:w="1320" w:type="dxa"/>
            <w:vAlign w:val="bottom"/>
            <w:tcBorders>
              <w:right w:val="single" w:sz="8" w:color="929292"/>
            </w:tcBorders>
            <w:gridSpan w:val="2"/>
          </w:tcPr>
          <w:p>
            <w:pPr>
              <w:jc w:val="right"/>
              <w:ind w:right="536"/>
              <w:spacing w:after="0"/>
              <w:rPr>
                <w:sz w:val="20"/>
                <w:szCs w:val="20"/>
                <w:color w:val="auto"/>
              </w:rPr>
            </w:pPr>
            <w:r>
              <w:rPr>
                <w:rFonts w:ascii="Arial" w:cs="Arial" w:eastAsia="Arial" w:hAnsi="Arial"/>
                <w:sz w:val="16"/>
                <w:szCs w:val="16"/>
                <w:color w:val="auto"/>
              </w:rPr>
              <w:t>173</w:t>
            </w:r>
          </w:p>
        </w:tc>
        <w:tc>
          <w:tcPr>
            <w:tcW w:w="1280" w:type="dxa"/>
            <w:vAlign w:val="bottom"/>
            <w:tcBorders>
              <w:right w:val="single" w:sz="8" w:color="929292"/>
            </w:tcBorders>
          </w:tcPr>
          <w:p>
            <w:pPr>
              <w:jc w:val="center"/>
              <w:ind w:right="44"/>
              <w:spacing w:after="0"/>
              <w:rPr>
                <w:sz w:val="20"/>
                <w:szCs w:val="20"/>
                <w:color w:val="auto"/>
              </w:rPr>
            </w:pPr>
            <w:r>
              <w:rPr>
                <w:rFonts w:ascii="Arial" w:cs="Arial" w:eastAsia="Arial" w:hAnsi="Arial"/>
                <w:sz w:val="16"/>
                <w:szCs w:val="16"/>
                <w:color w:val="auto"/>
                <w:w w:val="99"/>
              </w:rPr>
              <w:t>438.9</w:t>
            </w:r>
          </w:p>
        </w:tc>
        <w:tc>
          <w:tcPr>
            <w:tcW w:w="1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2,290.8</w:t>
            </w:r>
          </w:p>
        </w:tc>
        <w:tc>
          <w:tcPr>
            <w:tcW w:w="0" w:type="dxa"/>
            <w:vAlign w:val="bottom"/>
          </w:tcPr>
          <w:p>
            <w:pPr>
              <w:spacing w:after="0"/>
              <w:rPr>
                <w:sz w:val="1"/>
                <w:szCs w:val="1"/>
                <w:color w:val="auto"/>
              </w:rPr>
            </w:pPr>
          </w:p>
        </w:tc>
      </w:tr>
      <w:tr>
        <w:trPr>
          <w:trHeight w:val="247"/>
        </w:trPr>
        <w:tc>
          <w:tcPr>
            <w:tcW w:w="8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2022</w:t>
            </w:r>
          </w:p>
        </w:tc>
        <w:tc>
          <w:tcPr>
            <w:tcW w:w="1440" w:type="dxa"/>
            <w:vAlign w:val="bottom"/>
            <w:tcBorders>
              <w:right w:val="single" w:sz="8" w:color="929292"/>
            </w:tcBorders>
            <w:gridSpan w:val="2"/>
            <w:shd w:val="clear" w:color="auto" w:fill="FAF6EF"/>
          </w:tcPr>
          <w:p>
            <w:pPr>
              <w:jc w:val="center"/>
              <w:ind w:right="76"/>
              <w:spacing w:after="0"/>
              <w:rPr>
                <w:sz w:val="20"/>
                <w:szCs w:val="20"/>
                <w:color w:val="auto"/>
              </w:rPr>
            </w:pPr>
            <w:r>
              <w:rPr>
                <w:rFonts w:ascii="Arial" w:cs="Arial" w:eastAsia="Arial" w:hAnsi="Arial"/>
                <w:sz w:val="16"/>
                <w:szCs w:val="16"/>
                <w:color w:val="auto"/>
                <w:w w:val="99"/>
              </w:rPr>
              <w:t>16,627,977</w:t>
            </w:r>
          </w:p>
        </w:tc>
        <w:tc>
          <w:tcPr>
            <w:tcW w:w="1320" w:type="dxa"/>
            <w:vAlign w:val="bottom"/>
            <w:tcBorders>
              <w:right w:val="single" w:sz="8" w:color="929292"/>
            </w:tcBorders>
            <w:gridSpan w:val="2"/>
            <w:shd w:val="clear" w:color="auto" w:fill="FAF6EF"/>
          </w:tcPr>
          <w:p>
            <w:pPr>
              <w:jc w:val="center"/>
              <w:ind w:right="76"/>
              <w:spacing w:after="0"/>
              <w:rPr>
                <w:sz w:val="20"/>
                <w:szCs w:val="20"/>
                <w:color w:val="auto"/>
              </w:rPr>
            </w:pPr>
            <w:r>
              <w:rPr>
                <w:rFonts w:ascii="Arial" w:cs="Arial" w:eastAsia="Arial" w:hAnsi="Arial"/>
                <w:sz w:val="16"/>
                <w:szCs w:val="16"/>
                <w:color w:val="auto"/>
                <w:w w:val="99"/>
              </w:rPr>
              <w:t>22,990,176</w:t>
            </w:r>
          </w:p>
        </w:tc>
        <w:tc>
          <w:tcPr>
            <w:tcW w:w="1280" w:type="dxa"/>
            <w:vAlign w:val="bottom"/>
            <w:tcBorders>
              <w:right w:val="single" w:sz="8" w:color="929292"/>
            </w:tcBorders>
            <w:shd w:val="clear" w:color="auto" w:fill="FAF6EF"/>
          </w:tcPr>
          <w:p>
            <w:pPr>
              <w:jc w:val="center"/>
              <w:ind w:right="49"/>
              <w:spacing w:after="0"/>
              <w:rPr>
                <w:sz w:val="20"/>
                <w:szCs w:val="20"/>
                <w:color w:val="auto"/>
              </w:rPr>
            </w:pPr>
            <w:r>
              <w:rPr>
                <w:rFonts w:ascii="Arial" w:cs="Arial" w:eastAsia="Arial" w:hAnsi="Arial"/>
                <w:sz w:val="16"/>
                <w:szCs w:val="16"/>
                <w:color w:val="auto"/>
              </w:rPr>
              <w:t>8,146,540</w:t>
            </w:r>
          </w:p>
        </w:tc>
        <w:tc>
          <w:tcPr>
            <w:tcW w:w="1380" w:type="dxa"/>
            <w:vAlign w:val="bottom"/>
            <w:tcBorders>
              <w:right w:val="single" w:sz="8" w:color="929292"/>
            </w:tcBorders>
            <w:shd w:val="clear" w:color="auto" w:fill="FAF6EF"/>
          </w:tcPr>
          <w:p>
            <w:pPr>
              <w:jc w:val="center"/>
              <w:ind w:right="49"/>
              <w:spacing w:after="0"/>
              <w:rPr>
                <w:sz w:val="20"/>
                <w:szCs w:val="20"/>
                <w:color w:val="auto"/>
              </w:rPr>
            </w:pPr>
            <w:r>
              <w:rPr>
                <w:rFonts w:ascii="Arial" w:cs="Arial" w:eastAsia="Arial" w:hAnsi="Arial"/>
                <w:sz w:val="16"/>
                <w:szCs w:val="16"/>
                <w:color w:val="auto"/>
                <w:w w:val="98"/>
              </w:rPr>
              <w:t>9,419,711</w:t>
            </w:r>
          </w:p>
        </w:tc>
        <w:tc>
          <w:tcPr>
            <w:tcW w:w="880" w:type="dxa"/>
            <w:vAlign w:val="bottom"/>
            <w:shd w:val="clear" w:color="auto" w:fill="FAF6EF"/>
          </w:tcPr>
          <w:p>
            <w:pPr>
              <w:jc w:val="center"/>
              <w:ind w:left="286"/>
              <w:spacing w:after="0"/>
              <w:rPr>
                <w:sz w:val="20"/>
                <w:szCs w:val="20"/>
                <w:color w:val="auto"/>
              </w:rPr>
            </w:pPr>
            <w:r>
              <w:rPr>
                <w:rFonts w:ascii="Arial" w:cs="Arial" w:eastAsia="Arial" w:hAnsi="Arial"/>
                <w:sz w:val="16"/>
                <w:szCs w:val="16"/>
                <w:color w:val="auto"/>
                <w:w w:val="99"/>
              </w:rPr>
              <w:t>1,014</w:t>
            </w:r>
          </w:p>
        </w:tc>
        <w:tc>
          <w:tcPr>
            <w:tcW w:w="500" w:type="dxa"/>
            <w:vAlign w:val="bottom"/>
            <w:tcBorders>
              <w:right w:val="single" w:sz="8" w:color="929292"/>
            </w:tcBorders>
            <w:shd w:val="clear" w:color="auto" w:fill="FAF6EF"/>
          </w:tcPr>
          <w:p>
            <w:pPr>
              <w:spacing w:after="0"/>
              <w:rPr>
                <w:sz w:val="21"/>
                <w:szCs w:val="21"/>
                <w:color w:val="auto"/>
              </w:rPr>
            </w:pPr>
          </w:p>
        </w:tc>
        <w:tc>
          <w:tcPr>
            <w:tcW w:w="1320" w:type="dxa"/>
            <w:vAlign w:val="bottom"/>
            <w:tcBorders>
              <w:right w:val="single" w:sz="8" w:color="929292"/>
            </w:tcBorders>
            <w:gridSpan w:val="2"/>
            <w:shd w:val="clear" w:color="auto" w:fill="FAF6EF"/>
          </w:tcPr>
          <w:p>
            <w:pPr>
              <w:jc w:val="right"/>
              <w:ind w:right="536"/>
              <w:spacing w:after="0"/>
              <w:rPr>
                <w:sz w:val="20"/>
                <w:szCs w:val="20"/>
                <w:color w:val="auto"/>
              </w:rPr>
            </w:pPr>
            <w:r>
              <w:rPr>
                <w:rFonts w:ascii="Arial" w:cs="Arial" w:eastAsia="Arial" w:hAnsi="Arial"/>
                <w:sz w:val="16"/>
                <w:szCs w:val="16"/>
                <w:color w:val="auto"/>
              </w:rPr>
              <w:t>237</w:t>
            </w:r>
          </w:p>
        </w:tc>
        <w:tc>
          <w:tcPr>
            <w:tcW w:w="12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w w:val="99"/>
              </w:rPr>
              <w:t>397.4</w:t>
            </w:r>
          </w:p>
        </w:tc>
        <w:tc>
          <w:tcPr>
            <w:tcW w:w="1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2,330.9</w:t>
            </w:r>
          </w:p>
        </w:tc>
        <w:tc>
          <w:tcPr>
            <w:tcW w:w="0" w:type="dxa"/>
            <w:vAlign w:val="bottom"/>
          </w:tcPr>
          <w:p>
            <w:pPr>
              <w:spacing w:after="0"/>
              <w:rPr>
                <w:sz w:val="1"/>
                <w:szCs w:val="1"/>
                <w:color w:val="auto"/>
              </w:rPr>
            </w:pPr>
          </w:p>
        </w:tc>
      </w:tr>
      <w:tr>
        <w:trPr>
          <w:trHeight w:val="239"/>
        </w:trPr>
        <w:tc>
          <w:tcPr>
            <w:tcW w:w="80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right w:val="single" w:sz="8" w:color="929292"/>
            </w:tcBorders>
            <w:gridSpan w:val="2"/>
          </w:tcPr>
          <w:p>
            <w:pPr>
              <w:jc w:val="center"/>
              <w:ind w:right="76"/>
              <w:spacing w:after="0"/>
              <w:rPr>
                <w:sz w:val="20"/>
                <w:szCs w:val="20"/>
                <w:color w:val="auto"/>
              </w:rPr>
            </w:pPr>
            <w:r>
              <w:rPr>
                <w:rFonts w:ascii="Arial" w:cs="Arial" w:eastAsia="Arial" w:hAnsi="Arial"/>
                <w:sz w:val="16"/>
                <w:szCs w:val="16"/>
                <w:color w:val="auto"/>
                <w:w w:val="99"/>
              </w:rPr>
              <w:t>19,019,162</w:t>
            </w:r>
          </w:p>
        </w:tc>
        <w:tc>
          <w:tcPr>
            <w:tcW w:w="1320" w:type="dxa"/>
            <w:vAlign w:val="bottom"/>
            <w:tcBorders>
              <w:right w:val="single" w:sz="8" w:color="929292"/>
            </w:tcBorders>
            <w:gridSpan w:val="2"/>
          </w:tcPr>
          <w:p>
            <w:pPr>
              <w:jc w:val="center"/>
              <w:ind w:right="76"/>
              <w:spacing w:after="0"/>
              <w:rPr>
                <w:sz w:val="20"/>
                <w:szCs w:val="20"/>
                <w:color w:val="auto"/>
              </w:rPr>
            </w:pPr>
            <w:r>
              <w:rPr>
                <w:rFonts w:ascii="Arial" w:cs="Arial" w:eastAsia="Arial" w:hAnsi="Arial"/>
                <w:sz w:val="16"/>
                <w:szCs w:val="16"/>
                <w:color w:val="auto"/>
                <w:w w:val="99"/>
              </w:rPr>
              <w:t>13,787,093</w:t>
            </w:r>
          </w:p>
        </w:tc>
        <w:tc>
          <w:tcPr>
            <w:tcW w:w="1280" w:type="dxa"/>
            <w:vAlign w:val="bottom"/>
            <w:tcBorders>
              <w:right w:val="single" w:sz="8" w:color="929292"/>
            </w:tcBorders>
          </w:tcPr>
          <w:p>
            <w:pPr>
              <w:jc w:val="center"/>
              <w:ind w:right="49"/>
              <w:spacing w:after="0"/>
              <w:rPr>
                <w:sz w:val="20"/>
                <w:szCs w:val="20"/>
                <w:color w:val="auto"/>
              </w:rPr>
            </w:pPr>
            <w:r>
              <w:rPr>
                <w:rFonts w:ascii="Arial" w:cs="Arial" w:eastAsia="Arial" w:hAnsi="Arial"/>
                <w:sz w:val="16"/>
                <w:szCs w:val="16"/>
                <w:color w:val="auto"/>
              </w:rPr>
              <w:t>9,443,797</w:t>
            </w:r>
          </w:p>
        </w:tc>
        <w:tc>
          <w:tcPr>
            <w:tcW w:w="1380" w:type="dxa"/>
            <w:vAlign w:val="bottom"/>
            <w:tcBorders>
              <w:right w:val="single" w:sz="8" w:color="929292"/>
            </w:tcBorders>
          </w:tcPr>
          <w:p>
            <w:pPr>
              <w:jc w:val="center"/>
              <w:ind w:right="69"/>
              <w:spacing w:after="0"/>
              <w:rPr>
                <w:sz w:val="20"/>
                <w:szCs w:val="20"/>
                <w:color w:val="auto"/>
              </w:rPr>
            </w:pPr>
            <w:r>
              <w:rPr>
                <w:rFonts w:ascii="Arial" w:cs="Arial" w:eastAsia="Arial" w:hAnsi="Arial"/>
                <w:sz w:val="16"/>
                <w:szCs w:val="16"/>
                <w:color w:val="auto"/>
              </w:rPr>
              <w:t>9,339,538</w:t>
            </w:r>
          </w:p>
        </w:tc>
        <w:tc>
          <w:tcPr>
            <w:tcW w:w="880" w:type="dxa"/>
            <w:vAlign w:val="bottom"/>
          </w:tcPr>
          <w:p>
            <w:pPr>
              <w:jc w:val="center"/>
              <w:ind w:left="306"/>
              <w:spacing w:after="0"/>
              <w:rPr>
                <w:sz w:val="20"/>
                <w:szCs w:val="20"/>
                <w:color w:val="auto"/>
              </w:rPr>
            </w:pPr>
            <w:r>
              <w:rPr>
                <w:rFonts w:ascii="Arial" w:cs="Arial" w:eastAsia="Arial" w:hAnsi="Arial"/>
                <w:sz w:val="16"/>
                <w:szCs w:val="16"/>
                <w:color w:val="auto"/>
                <w:w w:val="97"/>
              </w:rPr>
              <w:t>700</w:t>
            </w:r>
          </w:p>
        </w:tc>
        <w:tc>
          <w:tcPr>
            <w:tcW w:w="500" w:type="dxa"/>
            <w:vAlign w:val="bottom"/>
            <w:tcBorders>
              <w:right w:val="single" w:sz="8" w:color="929292"/>
            </w:tcBorders>
          </w:tcPr>
          <w:p>
            <w:pPr>
              <w:spacing w:after="0"/>
              <w:rPr>
                <w:sz w:val="20"/>
                <w:szCs w:val="20"/>
                <w:color w:val="auto"/>
              </w:rPr>
            </w:pPr>
          </w:p>
        </w:tc>
        <w:tc>
          <w:tcPr>
            <w:tcW w:w="1320" w:type="dxa"/>
            <w:vAlign w:val="bottom"/>
            <w:tcBorders>
              <w:right w:val="single" w:sz="8" w:color="929292"/>
            </w:tcBorders>
            <w:gridSpan w:val="2"/>
          </w:tcPr>
          <w:p>
            <w:pPr>
              <w:jc w:val="right"/>
              <w:ind w:right="536"/>
              <w:spacing w:after="0"/>
              <w:rPr>
                <w:sz w:val="20"/>
                <w:szCs w:val="20"/>
                <w:color w:val="auto"/>
              </w:rPr>
            </w:pPr>
            <w:r>
              <w:rPr>
                <w:rFonts w:ascii="Arial" w:cs="Arial" w:eastAsia="Arial" w:hAnsi="Arial"/>
                <w:sz w:val="16"/>
                <w:szCs w:val="16"/>
                <w:color w:val="auto"/>
              </w:rPr>
              <w:t>250</w:t>
            </w:r>
          </w:p>
        </w:tc>
        <w:tc>
          <w:tcPr>
            <w:tcW w:w="1280" w:type="dxa"/>
            <w:vAlign w:val="bottom"/>
            <w:tcBorders>
              <w:right w:val="single" w:sz="8" w:color="929292"/>
            </w:tcBorders>
          </w:tcPr>
          <w:p>
            <w:pPr>
              <w:jc w:val="center"/>
              <w:ind w:right="44"/>
              <w:spacing w:after="0"/>
              <w:rPr>
                <w:sz w:val="20"/>
                <w:szCs w:val="20"/>
                <w:color w:val="auto"/>
              </w:rPr>
            </w:pPr>
            <w:r>
              <w:rPr>
                <w:rFonts w:ascii="Arial" w:cs="Arial" w:eastAsia="Arial" w:hAnsi="Arial"/>
                <w:sz w:val="16"/>
                <w:szCs w:val="16"/>
                <w:color w:val="auto"/>
                <w:w w:val="99"/>
              </w:rPr>
              <w:t>145.4</w:t>
            </w:r>
          </w:p>
        </w:tc>
        <w:tc>
          <w:tcPr>
            <w:tcW w:w="10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1,382.0</w:t>
            </w:r>
          </w:p>
        </w:tc>
        <w:tc>
          <w:tcPr>
            <w:tcW w:w="0" w:type="dxa"/>
            <w:vAlign w:val="bottom"/>
          </w:tcPr>
          <w:p>
            <w:pPr>
              <w:spacing w:after="0"/>
              <w:rPr>
                <w:sz w:val="1"/>
                <w:szCs w:val="1"/>
                <w:color w:val="auto"/>
              </w:rPr>
            </w:pPr>
          </w:p>
        </w:tc>
      </w:tr>
      <w:tr>
        <w:trPr>
          <w:trHeight w:val="247"/>
        </w:trPr>
        <w:tc>
          <w:tcPr>
            <w:tcW w:w="8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right w:val="single" w:sz="8" w:color="929292"/>
            </w:tcBorders>
            <w:gridSpan w:val="2"/>
            <w:shd w:val="clear" w:color="auto" w:fill="FAF6EF"/>
          </w:tcPr>
          <w:p>
            <w:pPr>
              <w:jc w:val="center"/>
              <w:ind w:right="76"/>
              <w:spacing w:after="0"/>
              <w:rPr>
                <w:sz w:val="20"/>
                <w:szCs w:val="20"/>
                <w:color w:val="auto"/>
              </w:rPr>
            </w:pPr>
            <w:r>
              <w:rPr>
                <w:rFonts w:ascii="Arial" w:cs="Arial" w:eastAsia="Arial" w:hAnsi="Arial"/>
                <w:sz w:val="16"/>
                <w:szCs w:val="16"/>
                <w:color w:val="auto"/>
              </w:rPr>
              <w:t>5,238,605</w:t>
            </w:r>
          </w:p>
        </w:tc>
        <w:tc>
          <w:tcPr>
            <w:tcW w:w="1320" w:type="dxa"/>
            <w:vAlign w:val="bottom"/>
            <w:tcBorders>
              <w:right w:val="single" w:sz="8" w:color="929292"/>
            </w:tcBorders>
            <w:gridSpan w:val="2"/>
            <w:shd w:val="clear" w:color="auto" w:fill="FAF6EF"/>
          </w:tcPr>
          <w:p>
            <w:pPr>
              <w:jc w:val="center"/>
              <w:ind w:right="76"/>
              <w:spacing w:after="0"/>
              <w:rPr>
                <w:sz w:val="20"/>
                <w:szCs w:val="20"/>
                <w:color w:val="auto"/>
              </w:rPr>
            </w:pPr>
            <w:r>
              <w:rPr>
                <w:rFonts w:ascii="Arial" w:cs="Arial" w:eastAsia="Arial" w:hAnsi="Arial"/>
                <w:sz w:val="16"/>
                <w:szCs w:val="16"/>
                <w:color w:val="auto"/>
                <w:w w:val="99"/>
              </w:rPr>
              <w:t>90,491,915</w:t>
            </w:r>
          </w:p>
        </w:tc>
        <w:tc>
          <w:tcPr>
            <w:tcW w:w="1280" w:type="dxa"/>
            <w:vAlign w:val="bottom"/>
            <w:tcBorders>
              <w:right w:val="single" w:sz="8" w:color="929292"/>
            </w:tcBorders>
            <w:shd w:val="clear" w:color="auto" w:fill="FAF6EF"/>
          </w:tcPr>
          <w:p>
            <w:pPr>
              <w:jc w:val="center"/>
              <w:ind w:right="49"/>
              <w:spacing w:after="0"/>
              <w:rPr>
                <w:sz w:val="20"/>
                <w:szCs w:val="20"/>
                <w:color w:val="auto"/>
              </w:rPr>
            </w:pPr>
            <w:r>
              <w:rPr>
                <w:rFonts w:ascii="Arial" w:cs="Arial" w:eastAsia="Arial" w:hAnsi="Arial"/>
                <w:sz w:val="16"/>
                <w:szCs w:val="16"/>
                <w:color w:val="auto"/>
              </w:rPr>
              <w:t>2,406,866</w:t>
            </w:r>
          </w:p>
        </w:tc>
        <w:tc>
          <w:tcPr>
            <w:tcW w:w="1380" w:type="dxa"/>
            <w:vAlign w:val="bottom"/>
            <w:tcBorders>
              <w:right w:val="single" w:sz="8" w:color="929292"/>
            </w:tcBorders>
            <w:shd w:val="clear" w:color="auto" w:fill="FAF6EF"/>
          </w:tcPr>
          <w:p>
            <w:pPr>
              <w:jc w:val="center"/>
              <w:ind w:right="49"/>
              <w:spacing w:after="0"/>
              <w:rPr>
                <w:sz w:val="20"/>
                <w:szCs w:val="20"/>
                <w:color w:val="auto"/>
              </w:rPr>
            </w:pPr>
            <w:r>
              <w:rPr>
                <w:rFonts w:ascii="Arial" w:cs="Arial" w:eastAsia="Arial" w:hAnsi="Arial"/>
                <w:sz w:val="16"/>
                <w:szCs w:val="16"/>
                <w:color w:val="auto"/>
              </w:rPr>
              <w:t>41,805,393</w:t>
            </w:r>
          </w:p>
        </w:tc>
        <w:tc>
          <w:tcPr>
            <w:tcW w:w="880" w:type="dxa"/>
            <w:vAlign w:val="bottom"/>
            <w:shd w:val="clear" w:color="auto" w:fill="FAF6EF"/>
          </w:tcPr>
          <w:p>
            <w:pPr>
              <w:jc w:val="center"/>
              <w:ind w:left="306"/>
              <w:spacing w:after="0"/>
              <w:rPr>
                <w:sz w:val="20"/>
                <w:szCs w:val="20"/>
                <w:color w:val="auto"/>
              </w:rPr>
            </w:pPr>
            <w:r>
              <w:rPr>
                <w:rFonts w:ascii="Arial" w:cs="Arial" w:eastAsia="Arial" w:hAnsi="Arial"/>
                <w:sz w:val="16"/>
                <w:szCs w:val="16"/>
                <w:color w:val="auto"/>
                <w:w w:val="97"/>
              </w:rPr>
              <w:t>672</w:t>
            </w:r>
          </w:p>
        </w:tc>
        <w:tc>
          <w:tcPr>
            <w:tcW w:w="500" w:type="dxa"/>
            <w:vAlign w:val="bottom"/>
            <w:tcBorders>
              <w:right w:val="single" w:sz="8" w:color="929292"/>
            </w:tcBorders>
            <w:shd w:val="clear" w:color="auto" w:fill="FAF6EF"/>
          </w:tcPr>
          <w:p>
            <w:pPr>
              <w:spacing w:after="0"/>
              <w:rPr>
                <w:sz w:val="21"/>
                <w:szCs w:val="21"/>
                <w:color w:val="auto"/>
              </w:rPr>
            </w:pPr>
          </w:p>
        </w:tc>
        <w:tc>
          <w:tcPr>
            <w:tcW w:w="1320" w:type="dxa"/>
            <w:vAlign w:val="bottom"/>
            <w:tcBorders>
              <w:right w:val="single" w:sz="8" w:color="929292"/>
            </w:tcBorders>
            <w:gridSpan w:val="2"/>
            <w:shd w:val="clear" w:color="auto" w:fill="FAF6EF"/>
          </w:tcPr>
          <w:p>
            <w:pPr>
              <w:jc w:val="right"/>
              <w:ind w:right="536"/>
              <w:spacing w:after="0"/>
              <w:rPr>
                <w:sz w:val="20"/>
                <w:szCs w:val="20"/>
                <w:color w:val="auto"/>
              </w:rPr>
            </w:pPr>
            <w:r>
              <w:rPr>
                <w:rFonts w:ascii="Arial" w:cs="Arial" w:eastAsia="Arial" w:hAnsi="Arial"/>
                <w:sz w:val="16"/>
                <w:szCs w:val="16"/>
                <w:color w:val="auto"/>
              </w:rPr>
              <w:t>334</w:t>
            </w:r>
          </w:p>
        </w:tc>
        <w:tc>
          <w:tcPr>
            <w:tcW w:w="1280" w:type="dxa"/>
            <w:vAlign w:val="bottom"/>
            <w:tcBorders>
              <w:right w:val="single" w:sz="8" w:color="929292"/>
            </w:tcBorders>
            <w:shd w:val="clear" w:color="auto" w:fill="FAF6EF"/>
          </w:tcPr>
          <w:p>
            <w:pPr>
              <w:jc w:val="center"/>
              <w:ind w:right="44"/>
              <w:spacing w:after="0"/>
              <w:rPr>
                <w:sz w:val="20"/>
                <w:szCs w:val="20"/>
                <w:color w:val="auto"/>
              </w:rPr>
            </w:pPr>
            <w:r>
              <w:rPr>
                <w:rFonts w:ascii="Arial" w:cs="Arial" w:eastAsia="Arial" w:hAnsi="Arial"/>
                <w:sz w:val="16"/>
                <w:szCs w:val="16"/>
                <w:color w:val="auto"/>
                <w:w w:val="99"/>
              </w:rPr>
              <w:t>134.0</w:t>
            </w:r>
          </w:p>
        </w:tc>
        <w:tc>
          <w:tcPr>
            <w:tcW w:w="10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774.4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60" w:right="20" w:hanging="252"/>
        <w:spacing w:after="0" w:line="305" w:lineRule="auto"/>
        <w:tabs>
          <w:tab w:leader="none" w:pos="245" w:val="left"/>
        </w:tabs>
        <w:numPr>
          <w:ilvl w:val="0"/>
          <w:numId w:val="85"/>
        </w:numPr>
        <w:rPr>
          <w:rFonts w:ascii="Arial" w:cs="Arial" w:eastAsia="Arial" w:hAnsi="Arial"/>
          <w:sz w:val="14"/>
          <w:szCs w:val="14"/>
          <w:color w:val="7D7D7D"/>
        </w:rPr>
      </w:pPr>
      <w:r>
        <w:rPr>
          <w:rFonts w:ascii="Arial" w:cs="Arial" w:eastAsia="Arial" w:hAnsi="Arial"/>
          <w:sz w:val="14"/>
          <w:szCs w:val="14"/>
          <w:color w:val="7D7D7D"/>
        </w:rPr>
        <w:t>The dollar amounts reported in this column are the amounts of total compensation reported for our CEO, Badri Kothandaraman in the Summary Compensation Table for fiscal years 2024, 2023, 2022, 2021 and 2020. Mr. Kothandaraman served as CEO for each of the years presented.</w:t>
      </w:r>
    </w:p>
    <w:p>
      <w:pPr>
        <w:spacing w:after="0" w:line="23" w:lineRule="exact"/>
        <w:rPr>
          <w:sz w:val="20"/>
          <w:szCs w:val="20"/>
          <w:color w:val="auto"/>
        </w:rPr>
      </w:pPr>
    </w:p>
    <w:p>
      <w:pPr>
        <w:jc w:val="both"/>
        <w:ind w:left="260" w:right="20" w:hanging="252"/>
        <w:spacing w:after="0" w:line="274" w:lineRule="auto"/>
        <w:tabs>
          <w:tab w:leader="none" w:pos="245" w:val="left"/>
        </w:tabs>
        <w:numPr>
          <w:ilvl w:val="0"/>
          <w:numId w:val="86"/>
        </w:numPr>
        <w:rPr>
          <w:rFonts w:ascii="Arial" w:cs="Arial" w:eastAsia="Arial" w:hAnsi="Arial"/>
          <w:sz w:val="14"/>
          <w:szCs w:val="14"/>
          <w:color w:val="7D7D7D"/>
        </w:rPr>
      </w:pPr>
      <w:r>
        <w:rPr>
          <w:rFonts w:ascii="Arial" w:cs="Arial" w:eastAsia="Arial" w:hAnsi="Arial"/>
          <w:sz w:val="14"/>
          <w:szCs w:val="14"/>
          <w:color w:val="7D7D7D"/>
        </w:rPr>
        <w:t>“Compensation actually paid” to our CEO in each of 2024, 2023, 2022, 2021 and 2020 reflects the respective amounts set forth in this column of the table above, adjusted as set forth in the table below, as determined in accordance with SEC rules. The dollar amounts reflected in the table above do not reflect the actual amount of compensation earned by or paid to our CEO during the applicable year. For information regarding the decisions made by the Compensation Committee regarding the CEO’s compensation for each fiscal year, please see the Compensation Discussion and Analysis section of the proxy statements reporting pay for the fiscal years covered in the table above.</w:t>
      </w:r>
    </w:p>
    <w:p>
      <w:pPr>
        <w:spacing w:after="0" w:line="196" w:lineRule="exact"/>
        <w:rPr>
          <w:sz w:val="20"/>
          <w:szCs w:val="20"/>
          <w:color w:val="auto"/>
        </w:rPr>
      </w:pPr>
    </w:p>
    <w:p>
      <w:pPr>
        <w:jc w:val="both"/>
        <w:ind w:left="260" w:right="20" w:hanging="252"/>
        <w:spacing w:after="0" w:line="269" w:lineRule="auto"/>
        <w:tabs>
          <w:tab w:leader="none" w:pos="245" w:val="left"/>
        </w:tabs>
        <w:numPr>
          <w:ilvl w:val="0"/>
          <w:numId w:val="87"/>
        </w:numPr>
        <w:rPr>
          <w:rFonts w:ascii="Arial" w:cs="Arial" w:eastAsia="Arial" w:hAnsi="Arial"/>
          <w:sz w:val="14"/>
          <w:szCs w:val="14"/>
          <w:color w:val="7D7D7D"/>
        </w:rPr>
      </w:pPr>
      <w:r>
        <w:rPr>
          <w:rFonts w:ascii="Arial" w:cs="Arial" w:eastAsia="Arial" w:hAnsi="Arial"/>
          <w:sz w:val="14"/>
          <w:szCs w:val="14"/>
          <w:color w:val="7D7D7D"/>
        </w:rPr>
        <w:t>The dollar amounts reported in this column are the average amounts of total compensation reported for our NEOs as a group, other than our CEO in the Summary Compensation Table for the applicable fiscal years. The names of the NEOs (excluding our CEO) included for purposes of calculating the average amounts in each applicable year are as follows: (i) for 2024, Ms. Yang and Mr. Ranhoff; (ii) for 2023, Ms. Yang, Mr. McNeil and Mr. Ranhoff; (iii) for 2022, Ms. Yang, Mr. Branderiz, Mr. McNeil and Mr. Ranhoff; and (iv) for 2021 and 2020, Mr. Branderiz, Mr. McNeil and Mr. Ranhoff.</w:t>
      </w:r>
    </w:p>
    <w:p>
      <w:pPr>
        <w:spacing w:after="0" w:line="21" w:lineRule="exact"/>
        <w:rPr>
          <w:sz w:val="20"/>
          <w:szCs w:val="20"/>
          <w:color w:val="auto"/>
        </w:rPr>
      </w:pPr>
    </w:p>
    <w:p>
      <w:pPr>
        <w:jc w:val="both"/>
        <w:ind w:left="260" w:right="20" w:hanging="252"/>
        <w:spacing w:after="0" w:line="267" w:lineRule="auto"/>
        <w:tabs>
          <w:tab w:leader="none" w:pos="245" w:val="left"/>
        </w:tabs>
        <w:numPr>
          <w:ilvl w:val="0"/>
          <w:numId w:val="88"/>
        </w:numPr>
        <w:rPr>
          <w:rFonts w:ascii="Arial" w:cs="Arial" w:eastAsia="Arial" w:hAnsi="Arial"/>
          <w:sz w:val="14"/>
          <w:szCs w:val="14"/>
          <w:color w:val="7D7D7D"/>
        </w:rPr>
      </w:pPr>
      <w:r>
        <w:rPr>
          <w:rFonts w:ascii="Arial" w:cs="Arial" w:eastAsia="Arial" w:hAnsi="Arial"/>
          <w:sz w:val="14"/>
          <w:szCs w:val="14"/>
          <w:color w:val="7D7D7D"/>
        </w:rPr>
        <w:t>Average “compensation actually paid” for our non-CEO NEOs in each of 2024, 2023, 2022, 2021 and 2020 reflects the respective amounts set forth in this column of the table above, adjusted as set forth in the table below, as determined in accordance with SEC rules. The dollar amounts reflected in the table above do not reflect the actual amount of compensation earned by or paid to our non-CEO NEOs during the applicable year. For information regarding the decisions made by the Compensation Committee regarding the non-CEO NEOs’ compensation for each fiscal year, please the Compensation Discussion and Analysis section of the proxy statements reporting pay for the fiscal years covered in the table above.</w:t>
      </w:r>
    </w:p>
    <w:p>
      <w:pPr>
        <w:spacing w:after="0" w:line="22" w:lineRule="exact"/>
        <w:rPr>
          <w:rFonts w:ascii="Arial" w:cs="Arial" w:eastAsia="Arial" w:hAnsi="Arial"/>
          <w:sz w:val="14"/>
          <w:szCs w:val="14"/>
          <w:color w:val="7D7D7D"/>
        </w:rPr>
      </w:pPr>
    </w:p>
    <w:p>
      <w:pPr>
        <w:jc w:val="both"/>
        <w:ind w:left="260" w:right="20"/>
        <w:spacing w:after="0" w:line="266" w:lineRule="auto"/>
        <w:rPr>
          <w:rFonts w:ascii="Arial" w:cs="Arial" w:eastAsia="Arial" w:hAnsi="Arial"/>
          <w:sz w:val="14"/>
          <w:szCs w:val="14"/>
          <w:color w:val="7D7D7D"/>
        </w:rPr>
      </w:pPr>
      <w:r>
        <w:rPr>
          <w:rFonts w:ascii="Arial" w:cs="Arial" w:eastAsia="Arial" w:hAnsi="Arial"/>
          <w:sz w:val="14"/>
          <w:szCs w:val="14"/>
          <w:color w:val="7D7D7D"/>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PSU grant date fair values are calculated using the stock price as of date of grant assuming target performance. Adjustments have been made using the performance modifier as of year end and as of the date of vest. Time-based restricted stock unit grant date fair values are calculated using the stock price as of date of grant. Adjustments have been made using the stock price as of year end and as of each date of vest. The valuation assumptions used to calculate fair values did not materially differ from those disclosed as of the grant date of the equity awards.</w:t>
      </w:r>
    </w:p>
    <w:p>
      <w:pPr>
        <w:spacing w:after="0" w:line="23" w:lineRule="exact"/>
        <w:rPr>
          <w:sz w:val="20"/>
          <w:szCs w:val="20"/>
          <w:color w:val="auto"/>
        </w:rPr>
      </w:pPr>
    </w:p>
    <w:p>
      <w:pPr>
        <w:jc w:val="both"/>
        <w:ind w:left="260" w:right="20" w:hanging="252"/>
        <w:spacing w:after="0" w:line="269" w:lineRule="auto"/>
        <w:tabs>
          <w:tab w:leader="none" w:pos="245" w:val="left"/>
        </w:tabs>
        <w:numPr>
          <w:ilvl w:val="0"/>
          <w:numId w:val="89"/>
        </w:numPr>
        <w:rPr>
          <w:rFonts w:ascii="Arial" w:cs="Arial" w:eastAsia="Arial" w:hAnsi="Arial"/>
          <w:sz w:val="14"/>
          <w:szCs w:val="14"/>
          <w:color w:val="7D7D7D"/>
        </w:rPr>
      </w:pPr>
      <w:r>
        <w:rPr>
          <w:rFonts w:ascii="Arial" w:cs="Arial" w:eastAsia="Arial" w:hAnsi="Arial"/>
          <w:sz w:val="14"/>
          <w:szCs w:val="14"/>
          <w:color w:val="7D7D7D"/>
        </w:rPr>
        <w:t>For the relevant fiscal year, represents our TSR for the measurement periods ended on December 31 of 2024, 2023, 2022, 2021 and 2020 respectively. An investment of $100 is assumed to have been made in our common stock on December 31, 2019 all dividends were reinvested, and the performance of the investment is tracked through December 31, 2024. The information shown is historical, and stockholder returns over the indicated period should not be considered indicative of future stockholder returns or future performance.</w:t>
      </w:r>
    </w:p>
    <w:p>
      <w:pPr>
        <w:spacing w:after="0" w:line="21" w:lineRule="exact"/>
        <w:rPr>
          <w:sz w:val="20"/>
          <w:szCs w:val="20"/>
          <w:color w:val="auto"/>
        </w:rPr>
      </w:pPr>
    </w:p>
    <w:p>
      <w:pPr>
        <w:jc w:val="both"/>
        <w:ind w:left="260" w:right="20" w:hanging="252"/>
        <w:spacing w:after="0" w:line="269" w:lineRule="auto"/>
        <w:tabs>
          <w:tab w:leader="none" w:pos="245" w:val="left"/>
        </w:tabs>
        <w:numPr>
          <w:ilvl w:val="0"/>
          <w:numId w:val="90"/>
        </w:numPr>
        <w:rPr>
          <w:rFonts w:ascii="Arial" w:cs="Arial" w:eastAsia="Arial" w:hAnsi="Arial"/>
          <w:sz w:val="14"/>
          <w:szCs w:val="14"/>
          <w:color w:val="7D7D7D"/>
        </w:rPr>
      </w:pPr>
      <w:r>
        <w:rPr>
          <w:rFonts w:ascii="Arial" w:cs="Arial" w:eastAsia="Arial" w:hAnsi="Arial"/>
          <w:sz w:val="14"/>
          <w:szCs w:val="14"/>
          <w:color w:val="7D7D7D"/>
        </w:rPr>
        <w:t>Represents comparison of cumulative TSR for our common stock and cumulative TSR for the Invesco Solar ETF for the period from December 31, 2019 to December 31, 2024. An investment of $100 is assumed to have been made in our common stock and in each index on December 31, 2019, all dividends were reinvested, and the relative performance of the investments are tracked through December 31, 2024. The information shown is historical and stockholder returns over the indicated period should not be considered indicative of future stockholder returns or future performance.</w:t>
      </w:r>
    </w:p>
    <w:p>
      <w:pPr>
        <w:spacing w:after="0" w:line="21" w:lineRule="exact"/>
        <w:rPr>
          <w:sz w:val="20"/>
          <w:szCs w:val="20"/>
          <w:color w:val="auto"/>
        </w:rPr>
      </w:pPr>
    </w:p>
    <w:p>
      <w:pPr>
        <w:ind w:left="240" w:hanging="232"/>
        <w:spacing w:after="0"/>
        <w:tabs>
          <w:tab w:leader="none" w:pos="240" w:val="left"/>
        </w:tabs>
        <w:numPr>
          <w:ilvl w:val="0"/>
          <w:numId w:val="91"/>
        </w:numPr>
        <w:rPr>
          <w:rFonts w:ascii="Arial" w:cs="Arial" w:eastAsia="Arial" w:hAnsi="Arial"/>
          <w:sz w:val="14"/>
          <w:szCs w:val="14"/>
          <w:color w:val="7D7D7D"/>
        </w:rPr>
      </w:pPr>
      <w:r>
        <w:rPr>
          <w:rFonts w:ascii="Arial" w:cs="Arial" w:eastAsia="Arial" w:hAnsi="Arial"/>
          <w:sz w:val="14"/>
          <w:szCs w:val="14"/>
          <w:color w:val="7D7D7D"/>
        </w:rPr>
        <w:t>The dollar amounts reported represent the amount of net income reflected in our audited financial statements for the applicable year.</w:t>
      </w:r>
    </w:p>
    <w:p>
      <w:pPr>
        <w:spacing w:after="0" w:line="69" w:lineRule="exact"/>
        <w:rPr>
          <w:sz w:val="20"/>
          <w:szCs w:val="20"/>
          <w:color w:val="auto"/>
        </w:rPr>
      </w:pPr>
    </w:p>
    <w:p>
      <w:pPr>
        <w:spacing w:after="0"/>
        <w:tabs>
          <w:tab w:leader="none" w:pos="220" w:val="left"/>
          <w:tab w:leader="none" w:pos="8900" w:val="left"/>
        </w:tabs>
        <w:rPr>
          <w:sz w:val="20"/>
          <w:szCs w:val="20"/>
          <w:color w:val="auto"/>
        </w:rPr>
      </w:pPr>
      <w:r>
        <w:rPr>
          <w:rFonts w:ascii="Arial" w:cs="Arial" w:eastAsia="Arial" w:hAnsi="Arial"/>
          <w:sz w:val="14"/>
          <w:szCs w:val="14"/>
          <w:color w:val="7D7D7D"/>
        </w:rPr>
        <w:t>8</w:t>
        <w:tab/>
        <w:t>The dollar amounts reported represent the amount of net revenues reflected in our audited financial statements for the applicable year</w:t>
        <w:tab/>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62" w:name="page63"/>
    <w:bookmarkEnd w:id="62"/>
    <w:p>
      <w:pPr>
        <w:ind w:right="20"/>
        <w:spacing w:after="0" w:line="339" w:lineRule="auto"/>
        <w:rPr>
          <w:sz w:val="20"/>
          <w:szCs w:val="20"/>
          <w:color w:val="auto"/>
        </w:rPr>
      </w:pPr>
      <w:r>
        <w:rPr>
          <w:rFonts w:ascii="Arial" w:cs="Arial" w:eastAsia="Arial" w:hAnsi="Arial"/>
          <w:sz w:val="16"/>
          <w:szCs w:val="16"/>
          <w:color w:val="auto"/>
        </w:rPr>
        <w:t>To calculate the amounts in the “Compensation Actually Paid to CEO” column in the table above for 2024, the following amounts were deducted from and added to (as applicable) the “Total” compensation of CEO, as reported in the Summary Compensation Table for 2024:</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600" w:type="dxa"/>
            <w:vAlign w:val="bottom"/>
            <w:tcBorders>
              <w:left w:val="single" w:sz="8" w:color="3C3C3C"/>
              <w:right w:val="single" w:sz="8" w:color="3C3C3C"/>
            </w:tcBorders>
            <w:shd w:val="clear" w:color="auto" w:fill="3C3C3C"/>
          </w:tcPr>
          <w:p>
            <w:pPr>
              <w:spacing w:after="0"/>
              <w:rPr>
                <w:sz w:val="15"/>
                <w:szCs w:val="15"/>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Reported Summary</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Reported Value of</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Equity Award</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Reported Change in</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Pension Benefit</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81"/>
        </w:trPr>
        <w:tc>
          <w:tcPr>
            <w:tcW w:w="1600" w:type="dxa"/>
            <w:vAlign w:val="bottom"/>
            <w:tcBorders>
              <w:left w:val="single" w:sz="8" w:color="3C3C3C"/>
              <w:right w:val="single" w:sz="8" w:color="3C3C3C"/>
            </w:tcBorders>
            <w:shd w:val="clear" w:color="auto" w:fill="3C3C3C"/>
          </w:tcPr>
          <w:p>
            <w:pPr>
              <w:spacing w:after="0"/>
              <w:rPr>
                <w:sz w:val="7"/>
                <w:szCs w:val="7"/>
                <w:color w:val="auto"/>
              </w:rPr>
            </w:pPr>
          </w:p>
        </w:tc>
        <w:tc>
          <w:tcPr>
            <w:tcW w:w="1600" w:type="dxa"/>
            <w:vAlign w:val="bottom"/>
            <w:tcBorders>
              <w:right w:val="single" w:sz="8" w:color="3C3C3C"/>
            </w:tcBorders>
            <w:vMerge w:val="continue"/>
            <w:shd w:val="clear" w:color="auto" w:fill="3C3C3C"/>
          </w:tcPr>
          <w:p>
            <w:pPr>
              <w:spacing w:after="0"/>
              <w:rPr>
                <w:sz w:val="7"/>
                <w:szCs w:val="7"/>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Equity Awards for</w:t>
            </w:r>
          </w:p>
        </w:tc>
        <w:tc>
          <w:tcPr>
            <w:tcW w:w="1600" w:type="dxa"/>
            <w:vAlign w:val="bottom"/>
            <w:tcBorders>
              <w:right w:val="single" w:sz="8" w:color="3C3C3C"/>
            </w:tcBorders>
            <w:vMerge w:val="continue"/>
            <w:shd w:val="clear" w:color="auto" w:fill="3C3C3C"/>
          </w:tcPr>
          <w:p>
            <w:pPr>
              <w:spacing w:after="0"/>
              <w:rPr>
                <w:sz w:val="7"/>
                <w:szCs w:val="7"/>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the Actuarial Present</w:t>
            </w:r>
          </w:p>
        </w:tc>
        <w:tc>
          <w:tcPr>
            <w:tcW w:w="1600" w:type="dxa"/>
            <w:vAlign w:val="bottom"/>
            <w:tcBorders>
              <w:right w:val="single" w:sz="8" w:color="3C3C3C"/>
            </w:tcBorders>
            <w:vMerge w:val="continue"/>
            <w:shd w:val="clear" w:color="auto" w:fill="3C3C3C"/>
          </w:tcPr>
          <w:p>
            <w:pPr>
              <w:spacing w:after="0"/>
              <w:rPr>
                <w:sz w:val="7"/>
                <w:szCs w:val="7"/>
                <w:color w:val="auto"/>
              </w:rPr>
            </w:pPr>
          </w:p>
        </w:tc>
        <w:tc>
          <w:tcPr>
            <w:tcW w:w="1600" w:type="dxa"/>
            <w:vAlign w:val="bottom"/>
            <w:tcBorders>
              <w:right w:val="single" w:sz="8" w:color="3C3C3C"/>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3C3C3C"/>
              <w:right w:val="single" w:sz="8" w:color="3C3C3C"/>
            </w:tcBorders>
            <w:shd w:val="clear" w:color="auto" w:fill="3C3C3C"/>
          </w:tcPr>
          <w:p>
            <w:pPr>
              <w:jc w:val="center"/>
              <w:ind w:right="924"/>
              <w:spacing w:after="0" w:line="145" w:lineRule="exact"/>
              <w:rPr>
                <w:sz w:val="20"/>
                <w:szCs w:val="20"/>
                <w:color w:val="auto"/>
              </w:rPr>
            </w:pPr>
            <w:r>
              <w:rPr>
                <w:rFonts w:ascii="Arial" w:cs="Arial" w:eastAsia="Arial" w:hAnsi="Arial"/>
                <w:sz w:val="14"/>
                <w:szCs w:val="14"/>
                <w:b w:val="1"/>
                <w:bCs w:val="1"/>
                <w:color w:val="FFFFFF"/>
              </w:rPr>
              <w:t>Year</w:t>
            </w:r>
          </w:p>
        </w:tc>
        <w:tc>
          <w:tcPr>
            <w:tcW w:w="160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Compensation Table</w:t>
            </w:r>
          </w:p>
        </w:tc>
        <w:tc>
          <w:tcPr>
            <w:tcW w:w="1600" w:type="dxa"/>
            <w:vAlign w:val="bottom"/>
            <w:tcBorders>
              <w:right w:val="single" w:sz="8" w:color="3C3C3C"/>
            </w:tcBorders>
            <w:vMerge w:val="continue"/>
            <w:shd w:val="clear" w:color="auto" w:fill="3C3C3C"/>
          </w:tcPr>
          <w:p>
            <w:pPr>
              <w:spacing w:after="0"/>
              <w:rPr>
                <w:sz w:val="12"/>
                <w:szCs w:val="12"/>
                <w:color w:val="auto"/>
              </w:rPr>
            </w:pPr>
          </w:p>
        </w:tc>
        <w:tc>
          <w:tcPr>
            <w:tcW w:w="160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Adjustments for CEO</w:t>
            </w:r>
          </w:p>
        </w:tc>
        <w:tc>
          <w:tcPr>
            <w:tcW w:w="1600" w:type="dxa"/>
            <w:vAlign w:val="bottom"/>
            <w:tcBorders>
              <w:right w:val="single" w:sz="8" w:color="3C3C3C"/>
            </w:tcBorders>
            <w:vMerge w:val="continue"/>
            <w:shd w:val="clear" w:color="auto" w:fill="3C3C3C"/>
          </w:tcPr>
          <w:p>
            <w:pPr>
              <w:spacing w:after="0"/>
              <w:rPr>
                <w:sz w:val="12"/>
                <w:szCs w:val="12"/>
                <w:color w:val="auto"/>
              </w:rPr>
            </w:pPr>
          </w:p>
        </w:tc>
        <w:tc>
          <w:tcPr>
            <w:tcW w:w="160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Adjustments for CEO</w:t>
            </w:r>
          </w:p>
        </w:tc>
        <w:tc>
          <w:tcPr>
            <w:tcW w:w="160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Actually Paid to CEO</w:t>
            </w:r>
          </w:p>
        </w:tc>
        <w:tc>
          <w:tcPr>
            <w:tcW w:w="0" w:type="dxa"/>
            <w:vAlign w:val="bottom"/>
          </w:tcPr>
          <w:p>
            <w:pPr>
              <w:spacing w:after="0"/>
              <w:rPr>
                <w:sz w:val="1"/>
                <w:szCs w:val="1"/>
                <w:color w:val="auto"/>
              </w:rPr>
            </w:pPr>
          </w:p>
        </w:tc>
      </w:tr>
      <w:tr>
        <w:trPr>
          <w:trHeight w:val="176"/>
        </w:trPr>
        <w:tc>
          <w:tcPr>
            <w:tcW w:w="1600" w:type="dxa"/>
            <w:vAlign w:val="bottom"/>
            <w:tcBorders>
              <w:left w:val="single" w:sz="8" w:color="3C3C3C"/>
              <w:right w:val="single" w:sz="8" w:color="3C3C3C"/>
            </w:tcBorders>
            <w:shd w:val="clear" w:color="auto" w:fill="3C3C3C"/>
          </w:tcPr>
          <w:p>
            <w:pPr>
              <w:spacing w:after="0"/>
              <w:rPr>
                <w:sz w:val="15"/>
                <w:szCs w:val="15"/>
                <w:color w:val="auto"/>
              </w:rPr>
            </w:pP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Total for CEO ($)</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CEO</w:t>
            </w:r>
          </w:p>
        </w:tc>
        <w:tc>
          <w:tcPr>
            <w:tcW w:w="1600" w:type="dxa"/>
            <w:vAlign w:val="bottom"/>
            <w:tcBorders>
              <w:right w:val="single" w:sz="8" w:color="3C3C3C"/>
            </w:tcBorders>
            <w:shd w:val="clear" w:color="auto" w:fill="3C3C3C"/>
          </w:tcPr>
          <w:p>
            <w:pPr>
              <w:jc w:val="center"/>
              <w:ind w:right="594"/>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8"/>
                <w:szCs w:val="8"/>
                <w:b w:val="1"/>
                <w:bCs w:val="1"/>
                <w:color w:val="FFFFFF"/>
              </w:rPr>
              <w:t>(2)</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Value of Pension</w:t>
            </w:r>
          </w:p>
        </w:tc>
        <w:tc>
          <w:tcPr>
            <w:tcW w:w="1600" w:type="dxa"/>
            <w:vAlign w:val="bottom"/>
            <w:tcBorders>
              <w:right w:val="single" w:sz="8" w:color="3C3C3C"/>
            </w:tcBorders>
            <w:shd w:val="clear" w:color="auto" w:fill="3C3C3C"/>
          </w:tcPr>
          <w:p>
            <w:pPr>
              <w:jc w:val="center"/>
              <w:ind w:right="594"/>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8"/>
                <w:szCs w:val="8"/>
                <w:b w:val="1"/>
                <w:bCs w:val="1"/>
                <w:color w:val="FFFFFF"/>
              </w:rPr>
              <w:t>(3)</w:t>
            </w:r>
          </w:p>
        </w:tc>
        <w:tc>
          <w:tcPr>
            <w:tcW w:w="1600" w:type="dxa"/>
            <w:vAlign w:val="bottom"/>
            <w:tcBorders>
              <w:right w:val="single" w:sz="8" w:color="3C3C3C"/>
            </w:tcBorders>
            <w:shd w:val="clear" w:color="auto" w:fill="3C3C3C"/>
          </w:tcPr>
          <w:p>
            <w:pPr>
              <w:jc w:val="right"/>
              <w:ind w:right="646"/>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1600" w:type="dxa"/>
            <w:vAlign w:val="bottom"/>
            <w:tcBorders>
              <w:left w:val="single" w:sz="8" w:color="3C3C3C"/>
              <w:right w:val="single" w:sz="8" w:color="3C3C3C"/>
            </w:tcBorders>
            <w:shd w:val="clear" w:color="auto" w:fill="3C3C3C"/>
          </w:tcPr>
          <w:p>
            <w:pPr>
              <w:spacing w:after="0"/>
              <w:rPr>
                <w:sz w:val="14"/>
                <w:szCs w:val="14"/>
                <w:color w:val="auto"/>
              </w:rPr>
            </w:pPr>
          </w:p>
        </w:tc>
        <w:tc>
          <w:tcPr>
            <w:tcW w:w="1600" w:type="dxa"/>
            <w:vAlign w:val="bottom"/>
            <w:tcBorders>
              <w:right w:val="single" w:sz="8" w:color="3C3C3C"/>
            </w:tcBorders>
            <w:shd w:val="clear" w:color="auto" w:fill="3C3C3C"/>
          </w:tcPr>
          <w:p>
            <w:pPr>
              <w:spacing w:after="0"/>
              <w:rPr>
                <w:sz w:val="14"/>
                <w:szCs w:val="14"/>
                <w:color w:val="auto"/>
              </w:rPr>
            </w:pPr>
          </w:p>
        </w:tc>
        <w:tc>
          <w:tcPr>
            <w:tcW w:w="1600" w:type="dxa"/>
            <w:vAlign w:val="bottom"/>
            <w:tcBorders>
              <w:right w:val="single" w:sz="8" w:color="3C3C3C"/>
            </w:tcBorders>
            <w:shd w:val="clear" w:color="auto" w:fill="3C3C3C"/>
          </w:tcPr>
          <w:p>
            <w:pPr>
              <w:jc w:val="center"/>
              <w:ind w:right="586"/>
              <w:spacing w:after="0" w:line="16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600" w:type="dxa"/>
            <w:vAlign w:val="bottom"/>
            <w:tcBorders>
              <w:right w:val="single" w:sz="8" w:color="3C3C3C"/>
            </w:tcBorders>
            <w:shd w:val="clear" w:color="auto" w:fill="3C3C3C"/>
          </w:tcPr>
          <w:p>
            <w:pPr>
              <w:spacing w:after="0"/>
              <w:rPr>
                <w:sz w:val="14"/>
                <w:szCs w:val="14"/>
                <w:color w:val="auto"/>
              </w:rPr>
            </w:pPr>
          </w:p>
        </w:tc>
        <w:tc>
          <w:tcPr>
            <w:tcW w:w="1600" w:type="dxa"/>
            <w:vAlign w:val="bottom"/>
            <w:tcBorders>
              <w:right w:val="single" w:sz="8" w:color="3C3C3C"/>
            </w:tcBorders>
            <w:shd w:val="clear" w:color="auto" w:fill="3C3C3C"/>
          </w:tcPr>
          <w:p>
            <w:pPr>
              <w:jc w:val="center"/>
              <w:spacing w:after="0" w:line="162" w:lineRule="exact"/>
              <w:rPr>
                <w:sz w:val="20"/>
                <w:szCs w:val="20"/>
                <w:color w:val="auto"/>
              </w:rPr>
            </w:pPr>
            <w:r>
              <w:rPr>
                <w:rFonts w:ascii="Arial" w:cs="Arial" w:eastAsia="Arial" w:hAnsi="Arial"/>
                <w:sz w:val="14"/>
                <w:szCs w:val="14"/>
                <w:b w:val="1"/>
                <w:bCs w:val="1"/>
                <w:color w:val="FFFFFF"/>
              </w:rPr>
              <w:t>Benefits for CEO ($)</w:t>
            </w:r>
            <w:r>
              <w:rPr>
                <w:rFonts w:ascii="Arial" w:cs="Arial" w:eastAsia="Arial" w:hAnsi="Arial"/>
                <w:sz w:val="18"/>
                <w:szCs w:val="18"/>
                <w:b w:val="1"/>
                <w:bCs w:val="1"/>
                <w:color w:val="FFFFFF"/>
                <w:vertAlign w:val="superscript"/>
              </w:rPr>
              <w:t>(3)</w:t>
            </w:r>
          </w:p>
        </w:tc>
        <w:tc>
          <w:tcPr>
            <w:tcW w:w="1600" w:type="dxa"/>
            <w:vAlign w:val="bottom"/>
            <w:tcBorders>
              <w:right w:val="single" w:sz="8" w:color="3C3C3C"/>
            </w:tcBorders>
            <w:shd w:val="clear" w:color="auto" w:fill="3C3C3C"/>
          </w:tcPr>
          <w:p>
            <w:pPr>
              <w:spacing w:after="0"/>
              <w:rPr>
                <w:sz w:val="14"/>
                <w:szCs w:val="14"/>
                <w:color w:val="auto"/>
              </w:rPr>
            </w:pPr>
          </w:p>
        </w:tc>
        <w:tc>
          <w:tcPr>
            <w:tcW w:w="1600" w:type="dxa"/>
            <w:vAlign w:val="bottom"/>
            <w:tcBorders>
              <w:right w:val="single" w:sz="8" w:color="3C3C3C"/>
            </w:tcBorders>
            <w:shd w:val="clear" w:color="auto" w:fill="3C3C3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00" w:type="dxa"/>
            <w:vAlign w:val="bottom"/>
            <w:tcBorders>
              <w:left w:val="single" w:sz="8" w:color="929292"/>
              <w:right w:val="single" w:sz="8" w:color="929292"/>
            </w:tcBorders>
            <w:shd w:val="clear" w:color="auto" w:fill="FAF6EF"/>
          </w:tcPr>
          <w:p>
            <w:pPr>
              <w:jc w:val="right"/>
              <w:ind w:right="1044"/>
              <w:spacing w:after="0"/>
              <w:rPr>
                <w:sz w:val="20"/>
                <w:szCs w:val="20"/>
                <w:color w:val="auto"/>
              </w:rPr>
            </w:pPr>
            <w:r>
              <w:rPr>
                <w:rFonts w:ascii="Arial" w:cs="Arial" w:eastAsia="Arial" w:hAnsi="Arial"/>
                <w:sz w:val="16"/>
                <w:szCs w:val="16"/>
                <w:b w:val="1"/>
                <w:bCs w:val="1"/>
                <w:color w:val="auto"/>
              </w:rPr>
              <w:t>2024</w:t>
            </w: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12,630,005</w:t>
            </w:r>
          </w:p>
        </w:tc>
        <w:tc>
          <w:tcPr>
            <w:tcW w:w="1600" w:type="dxa"/>
            <w:vAlign w:val="bottom"/>
            <w:tcBorders>
              <w:right w:val="single" w:sz="8" w:color="929292"/>
            </w:tcBorders>
            <w:shd w:val="clear" w:color="auto" w:fill="FAF6EF"/>
          </w:tcPr>
          <w:p>
            <w:pPr>
              <w:jc w:val="right"/>
              <w:ind w:right="286"/>
              <w:spacing w:after="0"/>
              <w:rPr>
                <w:sz w:val="20"/>
                <w:szCs w:val="20"/>
                <w:color w:val="auto"/>
              </w:rPr>
            </w:pPr>
            <w:r>
              <w:rPr>
                <w:rFonts w:ascii="Arial" w:cs="Arial" w:eastAsia="Arial" w:hAnsi="Arial"/>
                <w:sz w:val="16"/>
                <w:szCs w:val="16"/>
                <w:color w:val="auto"/>
              </w:rPr>
              <w:t>(12,156,580)</w:t>
            </w:r>
          </w:p>
        </w:tc>
        <w:tc>
          <w:tcPr>
            <w:tcW w:w="1600" w:type="dxa"/>
            <w:vAlign w:val="bottom"/>
            <w:tcBorders>
              <w:right w:val="single" w:sz="8" w:color="929292"/>
            </w:tcBorders>
            <w:shd w:val="clear" w:color="auto" w:fill="FAF6EF"/>
          </w:tcPr>
          <w:p>
            <w:pPr>
              <w:jc w:val="right"/>
              <w:ind w:right="394"/>
              <w:spacing w:after="0"/>
              <w:rPr>
                <w:sz w:val="20"/>
                <w:szCs w:val="20"/>
                <w:color w:val="auto"/>
              </w:rPr>
            </w:pPr>
            <w:r>
              <w:rPr>
                <w:rFonts w:ascii="Arial" w:cs="Arial" w:eastAsia="Arial" w:hAnsi="Arial"/>
                <w:sz w:val="16"/>
                <w:szCs w:val="16"/>
                <w:color w:val="auto"/>
              </w:rPr>
              <w:t>2,884,300</w:t>
            </w: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tcBorders>
              <w:right w:val="single" w:sz="8" w:color="929292"/>
            </w:tcBorders>
            <w:shd w:val="clear" w:color="auto" w:fill="FAF6EF"/>
          </w:tcPr>
          <w:p>
            <w:pPr>
              <w:jc w:val="right"/>
              <w:ind w:right="386"/>
              <w:spacing w:after="0"/>
              <w:rPr>
                <w:sz w:val="20"/>
                <w:szCs w:val="20"/>
                <w:color w:val="auto"/>
              </w:rPr>
            </w:pPr>
            <w:r>
              <w:rPr>
                <w:rFonts w:ascii="Arial" w:cs="Arial" w:eastAsia="Arial" w:hAnsi="Arial"/>
                <w:sz w:val="16"/>
                <w:szCs w:val="16"/>
                <w:color w:val="auto"/>
              </w:rPr>
              <w:t>3,357,725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40" w:hanging="232"/>
        <w:spacing w:after="0"/>
        <w:tabs>
          <w:tab w:leader="none" w:pos="240" w:val="left"/>
        </w:tabs>
        <w:numPr>
          <w:ilvl w:val="0"/>
          <w:numId w:val="92"/>
        </w:numPr>
        <w:rPr>
          <w:rFonts w:ascii="Arial" w:cs="Arial" w:eastAsia="Arial" w:hAnsi="Arial"/>
          <w:sz w:val="14"/>
          <w:szCs w:val="14"/>
          <w:color w:val="7D7D7D"/>
        </w:rPr>
      </w:pPr>
      <w:r>
        <w:rPr>
          <w:rFonts w:ascii="Arial" w:cs="Arial" w:eastAsia="Arial" w:hAnsi="Arial"/>
          <w:sz w:val="14"/>
          <w:szCs w:val="14"/>
          <w:color w:val="7D7D7D"/>
        </w:rPr>
        <w:t>Represents the grant date fair value of the equity awards to our CEO, as reported in the “Stock Awards” column in the Summary Compensation Table for 2024.</w:t>
      </w:r>
    </w:p>
    <w:p>
      <w:pPr>
        <w:spacing w:after="0" w:line="69" w:lineRule="exact"/>
        <w:rPr>
          <w:sz w:val="20"/>
          <w:szCs w:val="20"/>
          <w:color w:val="auto"/>
        </w:rPr>
      </w:pPr>
    </w:p>
    <w:p>
      <w:pPr>
        <w:jc w:val="both"/>
        <w:ind w:left="260" w:right="20" w:hanging="252"/>
        <w:spacing w:after="0" w:line="283" w:lineRule="auto"/>
        <w:tabs>
          <w:tab w:leader="none" w:pos="245" w:val="left"/>
        </w:tabs>
        <w:numPr>
          <w:ilvl w:val="0"/>
          <w:numId w:val="93"/>
        </w:numPr>
        <w:rPr>
          <w:rFonts w:ascii="Arial" w:cs="Arial" w:eastAsia="Arial" w:hAnsi="Arial"/>
          <w:sz w:val="14"/>
          <w:szCs w:val="14"/>
          <w:color w:val="7D7D7D"/>
        </w:rPr>
      </w:pPr>
      <w:r>
        <w:rPr>
          <w:rFonts w:ascii="Arial" w:cs="Arial" w:eastAsia="Arial" w:hAnsi="Arial"/>
          <w:sz w:val="14"/>
          <w:szCs w:val="14"/>
          <w:color w:val="7D7D7D"/>
        </w:rPr>
        <w:t>Represents the year-over-year change in the fair value of equity awards to our CEO, as itemized in the table below. No awards vested in the year they were granted and there is no value to report for dividends or other earnings on stock awards in the applicable year prior to the vesting date that were not otherwise reflected in the fair value of such awards.</w:t>
      </w:r>
    </w:p>
    <w:p>
      <w:pPr>
        <w:spacing w:after="0" w:line="101"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9380" w:type="dxa"/>
            <w:vAlign w:val="bottom"/>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Fair Value of Equity Awards for CEO</w:t>
            </w:r>
          </w:p>
        </w:tc>
        <w:tc>
          <w:tcPr>
            <w:tcW w:w="1320" w:type="dxa"/>
            <w:vAlign w:val="bottom"/>
            <w:tcBorders>
              <w:right w:val="single" w:sz="8" w:color="7D7D7D"/>
            </w:tcBorders>
            <w:shd w:val="clear" w:color="auto" w:fill="3C3C3C"/>
          </w:tcPr>
          <w:p>
            <w:pPr>
              <w:jc w:val="right"/>
              <w:ind w:right="428"/>
              <w:spacing w:after="0"/>
              <w:rPr>
                <w:sz w:val="20"/>
                <w:szCs w:val="20"/>
                <w:color w:val="auto"/>
              </w:rPr>
            </w:pPr>
            <w:r>
              <w:rPr>
                <w:rFonts w:ascii="Arial" w:cs="Arial" w:eastAsia="Arial" w:hAnsi="Arial"/>
                <w:sz w:val="14"/>
                <w:szCs w:val="14"/>
                <w:b w:val="1"/>
                <w:bCs w:val="1"/>
                <w:color w:val="FFFFFF"/>
              </w:rPr>
              <w:t>2024</w:t>
            </w:r>
          </w:p>
        </w:tc>
        <w:tc>
          <w:tcPr>
            <w:tcW w:w="0" w:type="dxa"/>
            <w:vAlign w:val="bottom"/>
          </w:tcPr>
          <w:p>
            <w:pPr>
              <w:spacing w:after="0"/>
              <w:rPr>
                <w:sz w:val="1"/>
                <w:szCs w:val="1"/>
                <w:color w:val="auto"/>
              </w:rPr>
            </w:pPr>
          </w:p>
        </w:tc>
      </w:tr>
      <w:tr>
        <w:trPr>
          <w:trHeight w:val="115"/>
        </w:trPr>
        <w:tc>
          <w:tcPr>
            <w:tcW w:w="9380" w:type="dxa"/>
            <w:vAlign w:val="bottom"/>
            <w:vMerge w:val="continue"/>
            <w:shd w:val="clear" w:color="auto" w:fill="3C3C3C"/>
          </w:tcPr>
          <w:p>
            <w:pPr>
              <w:spacing w:after="0"/>
              <w:rPr>
                <w:sz w:val="10"/>
                <w:szCs w:val="10"/>
                <w:color w:val="auto"/>
              </w:rPr>
            </w:pPr>
          </w:p>
        </w:tc>
        <w:tc>
          <w:tcPr>
            <w:tcW w:w="1320" w:type="dxa"/>
            <w:vAlign w:val="bottom"/>
            <w:tcBorders>
              <w:right w:val="single" w:sz="8" w:color="7D7D7D"/>
            </w:tcBorders>
            <w:vMerge w:val="restart"/>
            <w:shd w:val="clear" w:color="auto" w:fill="3C3C3C"/>
          </w:tcPr>
          <w:p>
            <w:pPr>
              <w:jc w:val="right"/>
              <w:ind w:right="5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1"/>
        </w:trPr>
        <w:tc>
          <w:tcPr>
            <w:tcW w:w="9380" w:type="dxa"/>
            <w:vAlign w:val="bottom"/>
            <w:shd w:val="clear" w:color="auto" w:fill="3C3C3C"/>
          </w:tcPr>
          <w:p>
            <w:pPr>
              <w:spacing w:after="0"/>
              <w:rPr>
                <w:sz w:val="7"/>
                <w:szCs w:val="7"/>
                <w:color w:val="auto"/>
              </w:rPr>
            </w:pPr>
          </w:p>
        </w:tc>
        <w:tc>
          <w:tcPr>
            <w:tcW w:w="1320" w:type="dxa"/>
            <w:vAlign w:val="bottom"/>
            <w:tcBorders>
              <w:right w:val="single" w:sz="8" w:color="7D7D7D"/>
            </w:tcBorders>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9380" w:type="dxa"/>
            <w:vAlign w:val="bottom"/>
            <w:shd w:val="clear" w:color="auto" w:fill="3C3C3C"/>
          </w:tcPr>
          <w:p>
            <w:pPr>
              <w:spacing w:after="0"/>
              <w:rPr>
                <w:sz w:val="2"/>
                <w:szCs w:val="2"/>
                <w:color w:val="auto"/>
              </w:rPr>
            </w:pPr>
          </w:p>
        </w:tc>
        <w:tc>
          <w:tcPr>
            <w:tcW w:w="1320" w:type="dxa"/>
            <w:vAlign w:val="bottom"/>
            <w:tcBorders>
              <w:right w:val="single" w:sz="8" w:color="7D7D7D"/>
            </w:tcBorders>
            <w:shd w:val="clear" w:color="auto" w:fill="3C3C3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70" w:type="dxa"/>
        <w:tblCellMar>
          <w:top w:w="0" w:type="dxa"/>
          <w:left w:w="0" w:type="dxa"/>
          <w:bottom w:w="0" w:type="dxa"/>
          <w:right w:w="0" w:type="dxa"/>
        </w:tblCellMar>
      </w:tblPr>
      <w:tr>
        <w:trPr>
          <w:trHeight w:val="223"/>
        </w:trPr>
        <w:tc>
          <w:tcPr>
            <w:tcW w:w="940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As of year-end for awards granted during the year</w:t>
            </w:r>
          </w:p>
        </w:tc>
        <w:tc>
          <w:tcPr>
            <w:tcW w:w="13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6,040,780</w:t>
            </w:r>
          </w:p>
        </w:tc>
      </w:tr>
      <w:tr>
        <w:trPr>
          <w:trHeight w:val="235"/>
        </w:trPr>
        <w:tc>
          <w:tcPr>
            <w:tcW w:w="9400" w:type="dxa"/>
            <w:vAlign w:val="bottom"/>
            <w:tcBorders>
              <w:left w:val="single" w:sz="8" w:color="929292"/>
              <w:right w:val="single" w:sz="8" w:color="929292"/>
            </w:tcBorders>
          </w:tcPr>
          <w:p>
            <w:pPr>
              <w:ind w:left="100"/>
              <w:spacing w:after="0"/>
              <w:rPr>
                <w:sz w:val="20"/>
                <w:szCs w:val="20"/>
                <w:color w:val="auto"/>
              </w:rPr>
            </w:pPr>
            <w:r>
              <w:rPr>
                <w:rFonts w:ascii="Arial" w:cs="Arial" w:eastAsia="Arial" w:hAnsi="Arial"/>
                <w:sz w:val="16"/>
                <w:szCs w:val="16"/>
                <w:color w:val="auto"/>
              </w:rPr>
              <w:t>Year-over-year increase (decrease) of unvested awards granted in prior years</w:t>
            </w:r>
          </w:p>
        </w:tc>
        <w:tc>
          <w:tcPr>
            <w:tcW w:w="13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(3,062,240)</w:t>
            </w:r>
          </w:p>
        </w:tc>
      </w:tr>
      <w:tr>
        <w:trPr>
          <w:trHeight w:val="251"/>
        </w:trPr>
        <w:tc>
          <w:tcPr>
            <w:tcW w:w="9400" w:type="dxa"/>
            <w:vAlign w:val="bottom"/>
            <w:tcBorders>
              <w:left w:val="single" w:sz="8" w:color="929292"/>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Increase (decrease) from prior fiscal year-end for awards that vested during the year</w:t>
            </w:r>
          </w:p>
        </w:tc>
        <w:tc>
          <w:tcPr>
            <w:tcW w:w="1300" w:type="dxa"/>
            <w:vAlign w:val="bottom"/>
            <w:tcBorders>
              <w:bottom w:val="single" w:sz="8" w:color="3C3C3C"/>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(94,240)</w:t>
            </w:r>
          </w:p>
        </w:tc>
      </w:tr>
      <w:tr>
        <w:trPr>
          <w:trHeight w:val="273"/>
        </w:trPr>
        <w:tc>
          <w:tcPr>
            <w:tcW w:w="9400" w:type="dxa"/>
            <w:vAlign w:val="bottom"/>
            <w:tcBorders>
              <w:left w:val="single" w:sz="8" w:color="929292"/>
              <w:right w:val="single" w:sz="8" w:color="929292"/>
            </w:tcBorders>
          </w:tcPr>
          <w:p>
            <w:pPr>
              <w:ind w:left="220"/>
              <w:spacing w:after="0"/>
              <w:rPr>
                <w:sz w:val="20"/>
                <w:szCs w:val="20"/>
                <w:color w:val="auto"/>
              </w:rPr>
            </w:pPr>
            <w:r>
              <w:rPr>
                <w:rFonts w:ascii="Arial" w:cs="Arial" w:eastAsia="Arial" w:hAnsi="Arial"/>
                <w:sz w:val="16"/>
                <w:szCs w:val="16"/>
                <w:b w:val="1"/>
                <w:bCs w:val="1"/>
                <w:color w:val="auto"/>
              </w:rPr>
              <w:t>Total Equity Award Adjustment</w:t>
            </w:r>
          </w:p>
        </w:tc>
        <w:tc>
          <w:tcPr>
            <w:tcW w:w="1300" w:type="dxa"/>
            <w:vAlign w:val="bottom"/>
            <w:tcBorders>
              <w:bottom w:val="single" w:sz="8" w:color="3C3C3C"/>
              <w:right w:val="single" w:sz="8" w:color="929292"/>
            </w:tcBorders>
          </w:tcPr>
          <w:p>
            <w:pPr>
              <w:jc w:val="center"/>
              <w:spacing w:after="0"/>
              <w:rPr>
                <w:sz w:val="20"/>
                <w:szCs w:val="20"/>
                <w:color w:val="auto"/>
              </w:rPr>
            </w:pPr>
            <w:r>
              <w:rPr>
                <w:rFonts w:ascii="Arial" w:cs="Arial" w:eastAsia="Arial" w:hAnsi="Arial"/>
                <w:sz w:val="16"/>
                <w:szCs w:val="16"/>
                <w:b w:val="1"/>
                <w:bCs w:val="1"/>
                <w:color w:val="auto"/>
              </w:rPr>
              <w:t>$2,884,300</w:t>
            </w:r>
          </w:p>
        </w:tc>
      </w:tr>
    </w:tbl>
    <w:p>
      <w:pPr>
        <w:spacing w:after="0" w:line="288" w:lineRule="exact"/>
        <w:rPr>
          <w:sz w:val="20"/>
          <w:szCs w:val="20"/>
          <w:color w:val="auto"/>
        </w:rPr>
      </w:pPr>
    </w:p>
    <w:p>
      <w:pPr>
        <w:ind w:left="240" w:hanging="232"/>
        <w:spacing w:after="0"/>
        <w:tabs>
          <w:tab w:leader="none" w:pos="240" w:val="left"/>
        </w:tabs>
        <w:numPr>
          <w:ilvl w:val="0"/>
          <w:numId w:val="94"/>
        </w:numPr>
        <w:rPr>
          <w:rFonts w:ascii="Arial" w:cs="Arial" w:eastAsia="Arial" w:hAnsi="Arial"/>
          <w:sz w:val="14"/>
          <w:szCs w:val="14"/>
          <w:color w:val="7D7D7D"/>
        </w:rPr>
      </w:pPr>
      <w:r>
        <w:rPr>
          <w:rFonts w:ascii="Arial" w:cs="Arial" w:eastAsia="Arial" w:hAnsi="Arial"/>
          <w:sz w:val="14"/>
          <w:szCs w:val="14"/>
          <w:color w:val="7D7D7D"/>
        </w:rPr>
        <w:t>No pension benefit plans are offered by Enphase.</w:t>
      </w:r>
    </w:p>
    <w:p>
      <w:pPr>
        <w:spacing w:after="0" w:line="239"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auto"/>
        </w:rPr>
        <w:t>To calculate the amounts in the “Average Compensation Actually Paid to Non-CEO NEOs” column in the table above for 2024, the following amounts were deducted from and added to (as applicable) the average of the “Total” compensation of our non-CEO named executive officers, as reported in the Summary Compensation Table for 2024:</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180" w:type="dxa"/>
            <w:vAlign w:val="bottom"/>
            <w:tcBorders>
              <w:left w:val="single" w:sz="8" w:color="3C3C3C"/>
              <w:right w:val="single" w:sz="8" w:color="3C3C3C"/>
            </w:tcBorders>
            <w:shd w:val="clear" w:color="auto" w:fill="3C3C3C"/>
          </w:tcPr>
          <w:p>
            <w:pPr>
              <w:spacing w:after="0"/>
              <w:rPr>
                <w:sz w:val="16"/>
                <w:szCs w:val="16"/>
                <w:color w:val="auto"/>
              </w:rPr>
            </w:pPr>
          </w:p>
        </w:tc>
        <w:tc>
          <w:tcPr>
            <w:tcW w:w="19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5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 Equity</w:t>
            </w: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 Reported Change</w:t>
            </w:r>
          </w:p>
        </w:tc>
        <w:tc>
          <w:tcPr>
            <w:tcW w:w="15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 Pension</w:t>
            </w:r>
          </w:p>
        </w:tc>
        <w:tc>
          <w:tcPr>
            <w:tcW w:w="15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w:t>
            </w:r>
          </w:p>
        </w:tc>
        <w:tc>
          <w:tcPr>
            <w:tcW w:w="0" w:type="dxa"/>
            <w:vAlign w:val="bottom"/>
          </w:tcPr>
          <w:p>
            <w:pPr>
              <w:spacing w:after="0"/>
              <w:rPr>
                <w:sz w:val="1"/>
                <w:szCs w:val="1"/>
                <w:color w:val="auto"/>
              </w:rPr>
            </w:pPr>
          </w:p>
        </w:tc>
      </w:tr>
      <w:tr>
        <w:trPr>
          <w:trHeight w:val="81"/>
        </w:trPr>
        <w:tc>
          <w:tcPr>
            <w:tcW w:w="1180" w:type="dxa"/>
            <w:vAlign w:val="bottom"/>
            <w:tcBorders>
              <w:left w:val="single" w:sz="8" w:color="3C3C3C"/>
              <w:right w:val="single" w:sz="8" w:color="3C3C3C"/>
            </w:tcBorders>
            <w:shd w:val="clear" w:color="auto" w:fill="3C3C3C"/>
          </w:tcPr>
          <w:p>
            <w:pPr>
              <w:spacing w:after="0"/>
              <w:rPr>
                <w:sz w:val="7"/>
                <w:szCs w:val="7"/>
                <w:color w:val="auto"/>
              </w:rPr>
            </w:pP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Summary Compensation</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9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in the Actuarial Present</w:t>
            </w:r>
          </w:p>
        </w:tc>
        <w:tc>
          <w:tcPr>
            <w:tcW w:w="1540" w:type="dxa"/>
            <w:vAlign w:val="bottom"/>
            <w:tcBorders>
              <w:right w:val="single" w:sz="8" w:color="3C3C3C"/>
            </w:tcBorders>
            <w:vMerge w:val="continue"/>
            <w:shd w:val="clear" w:color="auto" w:fill="3C3C3C"/>
          </w:tcPr>
          <w:p>
            <w:pPr>
              <w:spacing w:after="0"/>
              <w:rPr>
                <w:sz w:val="7"/>
                <w:szCs w:val="7"/>
                <w:color w:val="auto"/>
              </w:rPr>
            </w:pP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95"/>
        </w:trPr>
        <w:tc>
          <w:tcPr>
            <w:tcW w:w="118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Year</w:t>
            </w:r>
          </w:p>
        </w:tc>
        <w:tc>
          <w:tcPr>
            <w:tcW w:w="1920" w:type="dxa"/>
            <w:vAlign w:val="bottom"/>
            <w:tcBorders>
              <w:right w:val="single" w:sz="8" w:color="3C3C3C"/>
            </w:tcBorders>
            <w:vMerge w:val="continue"/>
            <w:shd w:val="clear" w:color="auto" w:fill="3C3C3C"/>
          </w:tcPr>
          <w:p>
            <w:pPr>
              <w:spacing w:after="0"/>
              <w:rPr>
                <w:sz w:val="8"/>
                <w:szCs w:val="8"/>
                <w:color w:val="auto"/>
              </w:rPr>
            </w:pPr>
          </w:p>
        </w:tc>
        <w:tc>
          <w:tcPr>
            <w:tcW w:w="1560" w:type="dxa"/>
            <w:vAlign w:val="bottom"/>
            <w:tcBorders>
              <w:right w:val="single" w:sz="8" w:color="3C3C3C"/>
            </w:tcBorders>
            <w:vMerge w:val="continue"/>
            <w:shd w:val="clear" w:color="auto" w:fill="3C3C3C"/>
          </w:tcPr>
          <w:p>
            <w:pPr>
              <w:spacing w:after="0"/>
              <w:rPr>
                <w:sz w:val="8"/>
                <w:szCs w:val="8"/>
                <w:color w:val="auto"/>
              </w:rPr>
            </w:pP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Award Adjustments</w:t>
            </w:r>
          </w:p>
        </w:tc>
        <w:tc>
          <w:tcPr>
            <w:tcW w:w="1940" w:type="dxa"/>
            <w:vAlign w:val="bottom"/>
            <w:tcBorders>
              <w:right w:val="single" w:sz="8" w:color="3C3C3C"/>
            </w:tcBorders>
            <w:vMerge w:val="continue"/>
            <w:shd w:val="clear" w:color="auto" w:fill="3C3C3C"/>
          </w:tcPr>
          <w:p>
            <w:pPr>
              <w:spacing w:after="0"/>
              <w:rPr>
                <w:sz w:val="8"/>
                <w:szCs w:val="8"/>
                <w:color w:val="auto"/>
              </w:rPr>
            </w:pPr>
          </w:p>
        </w:tc>
        <w:tc>
          <w:tcPr>
            <w:tcW w:w="15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Benefit Adjustments</w:t>
            </w:r>
          </w:p>
        </w:tc>
        <w:tc>
          <w:tcPr>
            <w:tcW w:w="1560" w:type="dxa"/>
            <w:vAlign w:val="bottom"/>
            <w:tcBorders>
              <w:right w:val="single" w:sz="8" w:color="3C3C3C"/>
            </w:tcBorders>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80" w:type="dxa"/>
            <w:vAlign w:val="bottom"/>
            <w:tcBorders>
              <w:left w:val="single" w:sz="8" w:color="3C3C3C"/>
              <w:right w:val="single" w:sz="8" w:color="3C3C3C"/>
            </w:tcBorders>
            <w:vMerge w:val="continue"/>
            <w:shd w:val="clear" w:color="auto" w:fill="3C3C3C"/>
          </w:tcPr>
          <w:p>
            <w:pPr>
              <w:spacing w:after="0"/>
              <w:rPr>
                <w:sz w:val="12"/>
                <w:szCs w:val="12"/>
                <w:color w:val="auto"/>
              </w:rPr>
            </w:pPr>
          </w:p>
        </w:tc>
        <w:tc>
          <w:tcPr>
            <w:tcW w:w="192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Table Total for Non-CEO</w:t>
            </w:r>
          </w:p>
        </w:tc>
        <w:tc>
          <w:tcPr>
            <w:tcW w:w="156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Awards for Non-CEO</w:t>
            </w:r>
          </w:p>
        </w:tc>
        <w:tc>
          <w:tcPr>
            <w:tcW w:w="1560" w:type="dxa"/>
            <w:vAlign w:val="bottom"/>
            <w:tcBorders>
              <w:right w:val="single" w:sz="8" w:color="3C3C3C"/>
            </w:tcBorders>
            <w:vMerge w:val="continue"/>
            <w:shd w:val="clear" w:color="auto" w:fill="3C3C3C"/>
          </w:tcPr>
          <w:p>
            <w:pPr>
              <w:spacing w:after="0"/>
              <w:rPr>
                <w:sz w:val="12"/>
                <w:szCs w:val="12"/>
                <w:color w:val="auto"/>
              </w:rPr>
            </w:pPr>
          </w:p>
        </w:tc>
        <w:tc>
          <w:tcPr>
            <w:tcW w:w="194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Value of Pension Benefits</w:t>
            </w:r>
          </w:p>
        </w:tc>
        <w:tc>
          <w:tcPr>
            <w:tcW w:w="1540" w:type="dxa"/>
            <w:vAlign w:val="bottom"/>
            <w:tcBorders>
              <w:right w:val="single" w:sz="8" w:color="3C3C3C"/>
            </w:tcBorders>
            <w:vMerge w:val="continue"/>
            <w:shd w:val="clear" w:color="auto" w:fill="3C3C3C"/>
          </w:tcPr>
          <w:p>
            <w:pPr>
              <w:spacing w:after="0"/>
              <w:rPr>
                <w:sz w:val="12"/>
                <w:szCs w:val="12"/>
                <w:color w:val="auto"/>
              </w:rPr>
            </w:pPr>
          </w:p>
        </w:tc>
        <w:tc>
          <w:tcPr>
            <w:tcW w:w="1560" w:type="dxa"/>
            <w:vAlign w:val="bottom"/>
            <w:tcBorders>
              <w:right w:val="single" w:sz="8" w:color="3C3C3C"/>
            </w:tcBorders>
            <w:shd w:val="clear" w:color="auto" w:fill="3C3C3C"/>
          </w:tcPr>
          <w:p>
            <w:pPr>
              <w:jc w:val="center"/>
              <w:spacing w:after="0" w:line="145" w:lineRule="exact"/>
              <w:rPr>
                <w:sz w:val="20"/>
                <w:szCs w:val="20"/>
                <w:color w:val="auto"/>
              </w:rPr>
            </w:pPr>
            <w:r>
              <w:rPr>
                <w:rFonts w:ascii="Arial" w:cs="Arial" w:eastAsia="Arial" w:hAnsi="Arial"/>
                <w:sz w:val="14"/>
                <w:szCs w:val="14"/>
                <w:b w:val="1"/>
                <w:bCs w:val="1"/>
                <w:color w:val="FFFFFF"/>
              </w:rPr>
              <w:t>Actually Paid to Non-</w:t>
            </w:r>
          </w:p>
        </w:tc>
        <w:tc>
          <w:tcPr>
            <w:tcW w:w="0" w:type="dxa"/>
            <w:vAlign w:val="bottom"/>
          </w:tcPr>
          <w:p>
            <w:pPr>
              <w:spacing w:after="0"/>
              <w:rPr>
                <w:sz w:val="1"/>
                <w:szCs w:val="1"/>
                <w:color w:val="auto"/>
              </w:rPr>
            </w:pPr>
          </w:p>
        </w:tc>
      </w:tr>
      <w:tr>
        <w:trPr>
          <w:trHeight w:val="110"/>
        </w:trPr>
        <w:tc>
          <w:tcPr>
            <w:tcW w:w="1180" w:type="dxa"/>
            <w:vAlign w:val="bottom"/>
            <w:tcBorders>
              <w:left w:val="single" w:sz="8" w:color="3C3C3C"/>
              <w:right w:val="single" w:sz="8" w:color="3C3C3C"/>
            </w:tcBorders>
            <w:shd w:val="clear" w:color="auto" w:fill="3C3C3C"/>
          </w:tcPr>
          <w:p>
            <w:pPr>
              <w:spacing w:after="0"/>
              <w:rPr>
                <w:sz w:val="9"/>
                <w:szCs w:val="9"/>
                <w:color w:val="auto"/>
              </w:rPr>
            </w:pP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NEOs</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NEOs</w:t>
            </w:r>
          </w:p>
        </w:tc>
        <w:tc>
          <w:tcPr>
            <w:tcW w:w="1560" w:type="dxa"/>
            <w:vAlign w:val="bottom"/>
            <w:tcBorders>
              <w:right w:val="single" w:sz="8" w:color="3C3C3C"/>
            </w:tcBorders>
            <w:shd w:val="clear" w:color="auto" w:fill="3C3C3C"/>
          </w:tcPr>
          <w:p>
            <w:pPr>
              <w:jc w:val="center"/>
              <w:spacing w:after="0" w:line="110" w:lineRule="exact"/>
              <w:rPr>
                <w:sz w:val="20"/>
                <w:szCs w:val="20"/>
                <w:color w:val="auto"/>
              </w:rPr>
            </w:pPr>
            <w:r>
              <w:rPr>
                <w:rFonts w:ascii="Arial" w:cs="Arial" w:eastAsia="Arial" w:hAnsi="Arial"/>
                <w:sz w:val="12"/>
                <w:szCs w:val="12"/>
                <w:b w:val="1"/>
                <w:bCs w:val="1"/>
                <w:color w:val="FFFFFF"/>
              </w:rPr>
              <w:t>for Non-CEO NEOs</w:t>
            </w:r>
          </w:p>
        </w:tc>
        <w:tc>
          <w:tcPr>
            <w:tcW w:w="19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for Non-CEO NEOs</w:t>
            </w:r>
          </w:p>
        </w:tc>
        <w:tc>
          <w:tcPr>
            <w:tcW w:w="1540" w:type="dxa"/>
            <w:vAlign w:val="bottom"/>
            <w:tcBorders>
              <w:right w:val="single" w:sz="8" w:color="3C3C3C"/>
            </w:tcBorders>
            <w:shd w:val="clear" w:color="auto" w:fill="3C3C3C"/>
          </w:tcPr>
          <w:p>
            <w:pPr>
              <w:jc w:val="center"/>
              <w:spacing w:after="0" w:line="110" w:lineRule="exact"/>
              <w:rPr>
                <w:sz w:val="20"/>
                <w:szCs w:val="20"/>
                <w:color w:val="auto"/>
              </w:rPr>
            </w:pPr>
            <w:r>
              <w:rPr>
                <w:rFonts w:ascii="Arial" w:cs="Arial" w:eastAsia="Arial" w:hAnsi="Arial"/>
                <w:sz w:val="12"/>
                <w:szCs w:val="12"/>
                <w:b w:val="1"/>
                <w:bCs w:val="1"/>
                <w:color w:val="FFFFFF"/>
              </w:rPr>
              <w:t>for Non-CEO NEOs</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CEO NEOs</w:t>
            </w:r>
          </w:p>
        </w:tc>
        <w:tc>
          <w:tcPr>
            <w:tcW w:w="0" w:type="dxa"/>
            <w:vAlign w:val="bottom"/>
          </w:tcPr>
          <w:p>
            <w:pPr>
              <w:spacing w:after="0"/>
              <w:rPr>
                <w:sz w:val="1"/>
                <w:szCs w:val="1"/>
                <w:color w:val="auto"/>
              </w:rPr>
            </w:pPr>
          </w:p>
        </w:tc>
      </w:tr>
      <w:tr>
        <w:trPr>
          <w:trHeight w:val="103"/>
        </w:trPr>
        <w:tc>
          <w:tcPr>
            <w:tcW w:w="1180" w:type="dxa"/>
            <w:vAlign w:val="bottom"/>
            <w:tcBorders>
              <w:left w:val="single" w:sz="8" w:color="3C3C3C"/>
              <w:right w:val="single" w:sz="8" w:color="3C3C3C"/>
            </w:tcBorders>
            <w:shd w:val="clear" w:color="auto" w:fill="3C3C3C"/>
          </w:tcPr>
          <w:p>
            <w:pPr>
              <w:spacing w:after="0"/>
              <w:rPr>
                <w:sz w:val="8"/>
                <w:szCs w:val="8"/>
                <w:color w:val="auto"/>
              </w:rPr>
            </w:pPr>
          </w:p>
        </w:tc>
        <w:tc>
          <w:tcPr>
            <w:tcW w:w="1920" w:type="dxa"/>
            <w:vAlign w:val="bottom"/>
            <w:tcBorders>
              <w:right w:val="single" w:sz="8" w:color="3C3C3C"/>
            </w:tcBorders>
            <w:vMerge w:val="continue"/>
            <w:shd w:val="clear" w:color="auto" w:fill="3C3C3C"/>
          </w:tcPr>
          <w:p>
            <w:pPr>
              <w:spacing w:after="0"/>
              <w:rPr>
                <w:sz w:val="8"/>
                <w:szCs w:val="8"/>
                <w:color w:val="auto"/>
              </w:rPr>
            </w:pPr>
          </w:p>
        </w:tc>
        <w:tc>
          <w:tcPr>
            <w:tcW w:w="1560" w:type="dxa"/>
            <w:vAlign w:val="bottom"/>
            <w:tcBorders>
              <w:right w:val="single" w:sz="8" w:color="3C3C3C"/>
            </w:tcBorders>
            <w:vMerge w:val="continue"/>
            <w:shd w:val="clear" w:color="auto" w:fill="3C3C3C"/>
          </w:tcPr>
          <w:p>
            <w:pPr>
              <w:spacing w:after="0"/>
              <w:rPr>
                <w:sz w:val="8"/>
                <w:szCs w:val="8"/>
                <w:color w:val="auto"/>
              </w:rPr>
            </w:pPr>
          </w:p>
        </w:tc>
        <w:tc>
          <w:tcPr>
            <w:tcW w:w="1560" w:type="dxa"/>
            <w:vAlign w:val="bottom"/>
            <w:tcBorders>
              <w:right w:val="single" w:sz="8" w:color="3C3C3C"/>
            </w:tcBorders>
            <w:shd w:val="clear" w:color="auto" w:fill="3C3C3C"/>
          </w:tcPr>
          <w:p>
            <w:pPr>
              <w:jc w:val="center"/>
              <w:ind w:right="574"/>
              <w:spacing w:after="0" w:line="103" w:lineRule="exact"/>
              <w:rPr>
                <w:sz w:val="20"/>
                <w:szCs w:val="20"/>
                <w:color w:val="auto"/>
              </w:rPr>
            </w:pPr>
            <w:r>
              <w:rPr>
                <w:rFonts w:ascii="Arial" w:cs="Arial" w:eastAsia="Arial" w:hAnsi="Arial"/>
                <w:sz w:val="9"/>
                <w:szCs w:val="9"/>
                <w:b w:val="1"/>
                <w:bCs w:val="1"/>
                <w:color w:val="FFFFFF"/>
              </w:rPr>
              <w:t>($)</w:t>
            </w:r>
            <w:r>
              <w:rPr>
                <w:rFonts w:ascii="Arial" w:cs="Arial" w:eastAsia="Arial" w:hAnsi="Arial"/>
                <w:sz w:val="11"/>
                <w:szCs w:val="11"/>
                <w:b w:val="1"/>
                <w:bCs w:val="1"/>
                <w:color w:val="FFFFFF"/>
                <w:vertAlign w:val="superscript"/>
              </w:rPr>
              <w:t>(2)</w:t>
            </w:r>
          </w:p>
        </w:tc>
        <w:tc>
          <w:tcPr>
            <w:tcW w:w="1940" w:type="dxa"/>
            <w:vAlign w:val="bottom"/>
            <w:tcBorders>
              <w:right w:val="single" w:sz="8" w:color="3C3C3C"/>
            </w:tcBorders>
            <w:vMerge w:val="continue"/>
            <w:shd w:val="clear" w:color="auto" w:fill="3C3C3C"/>
          </w:tcPr>
          <w:p>
            <w:pPr>
              <w:spacing w:after="0"/>
              <w:rPr>
                <w:sz w:val="8"/>
                <w:szCs w:val="8"/>
                <w:color w:val="auto"/>
              </w:rPr>
            </w:pPr>
          </w:p>
        </w:tc>
        <w:tc>
          <w:tcPr>
            <w:tcW w:w="1540" w:type="dxa"/>
            <w:vAlign w:val="bottom"/>
            <w:tcBorders>
              <w:right w:val="single" w:sz="8" w:color="3C3C3C"/>
            </w:tcBorders>
            <w:shd w:val="clear" w:color="auto" w:fill="3C3C3C"/>
          </w:tcPr>
          <w:p>
            <w:pPr>
              <w:jc w:val="center"/>
              <w:ind w:right="554"/>
              <w:spacing w:after="0" w:line="103" w:lineRule="exact"/>
              <w:rPr>
                <w:sz w:val="20"/>
                <w:szCs w:val="20"/>
                <w:color w:val="auto"/>
              </w:rPr>
            </w:pPr>
            <w:r>
              <w:rPr>
                <w:rFonts w:ascii="Arial" w:cs="Arial" w:eastAsia="Arial" w:hAnsi="Arial"/>
                <w:sz w:val="9"/>
                <w:szCs w:val="9"/>
                <w:b w:val="1"/>
                <w:bCs w:val="1"/>
                <w:color w:val="FFFFFF"/>
              </w:rPr>
              <w:t>($)</w:t>
            </w:r>
            <w:r>
              <w:rPr>
                <w:rFonts w:ascii="Arial" w:cs="Arial" w:eastAsia="Arial" w:hAnsi="Arial"/>
                <w:sz w:val="11"/>
                <w:szCs w:val="11"/>
                <w:b w:val="1"/>
                <w:bCs w:val="1"/>
                <w:color w:val="FFFFFF"/>
                <w:vertAlign w:val="superscript"/>
              </w:rPr>
              <w:t>(3)</w:t>
            </w:r>
          </w:p>
        </w:tc>
        <w:tc>
          <w:tcPr>
            <w:tcW w:w="1560" w:type="dxa"/>
            <w:vAlign w:val="bottom"/>
            <w:tcBorders>
              <w:right w:val="single" w:sz="8" w:color="3C3C3C"/>
            </w:tcBorders>
            <w:vMerge w:val="continue"/>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80" w:type="dxa"/>
            <w:vAlign w:val="bottom"/>
            <w:tcBorders>
              <w:left w:val="single" w:sz="8" w:color="3C3C3C"/>
              <w:right w:val="single" w:sz="8" w:color="3C3C3C"/>
            </w:tcBorders>
            <w:shd w:val="clear" w:color="auto" w:fill="3C3C3C"/>
          </w:tcPr>
          <w:p>
            <w:pPr>
              <w:spacing w:after="0"/>
              <w:rPr>
                <w:sz w:val="16"/>
                <w:szCs w:val="16"/>
                <w:color w:val="auto"/>
              </w:rPr>
            </w:pPr>
          </w:p>
        </w:tc>
        <w:tc>
          <w:tcPr>
            <w:tcW w:w="1920" w:type="dxa"/>
            <w:vAlign w:val="bottom"/>
            <w:tcBorders>
              <w:right w:val="single" w:sz="8" w:color="3C3C3C"/>
            </w:tcBorders>
            <w:shd w:val="clear" w:color="auto" w:fill="3C3C3C"/>
          </w:tcPr>
          <w:p>
            <w:pPr>
              <w:jc w:val="right"/>
              <w:ind w:right="807"/>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3C3C3C"/>
            </w:tcBorders>
            <w:shd w:val="clear" w:color="auto" w:fill="3C3C3C"/>
          </w:tcPr>
          <w:p>
            <w:pPr>
              <w:jc w:val="center"/>
              <w:ind w:right="547"/>
              <w:spacing w:after="0" w:line="193"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560" w:type="dxa"/>
            <w:vAlign w:val="bottom"/>
            <w:tcBorders>
              <w:right w:val="single" w:sz="8" w:color="3C3C3C"/>
            </w:tcBorders>
            <w:shd w:val="clear" w:color="auto" w:fill="3C3C3C"/>
          </w:tcPr>
          <w:p>
            <w:pPr>
              <w:spacing w:after="0"/>
              <w:rPr>
                <w:sz w:val="16"/>
                <w:szCs w:val="16"/>
                <w:color w:val="auto"/>
              </w:rPr>
            </w:pPr>
          </w:p>
        </w:tc>
        <w:tc>
          <w:tcPr>
            <w:tcW w:w="1940" w:type="dxa"/>
            <w:vAlign w:val="bottom"/>
            <w:tcBorders>
              <w:right w:val="single" w:sz="8" w:color="3C3C3C"/>
            </w:tcBorders>
            <w:shd w:val="clear" w:color="auto" w:fill="3C3C3C"/>
          </w:tcPr>
          <w:p>
            <w:pPr>
              <w:jc w:val="center"/>
              <w:ind w:right="747"/>
              <w:spacing w:after="0" w:line="193"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1540" w:type="dxa"/>
            <w:vAlign w:val="bottom"/>
            <w:tcBorders>
              <w:right w:val="single" w:sz="8" w:color="3C3C3C"/>
            </w:tcBorders>
            <w:shd w:val="clear" w:color="auto" w:fill="3C3C3C"/>
          </w:tcPr>
          <w:p>
            <w:pPr>
              <w:spacing w:after="0"/>
              <w:rPr>
                <w:sz w:val="16"/>
                <w:szCs w:val="16"/>
                <w:color w:val="auto"/>
              </w:rPr>
            </w:pPr>
          </w:p>
        </w:tc>
        <w:tc>
          <w:tcPr>
            <w:tcW w:w="1560" w:type="dxa"/>
            <w:vAlign w:val="bottom"/>
            <w:tcBorders>
              <w:right w:val="single" w:sz="8" w:color="3C3C3C"/>
            </w:tcBorders>
            <w:shd w:val="clear" w:color="auto" w:fill="3C3C3C"/>
          </w:tcPr>
          <w:p>
            <w:pPr>
              <w:jc w:val="right"/>
              <w:ind w:right="627"/>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118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2024</w:t>
            </w:r>
          </w:p>
        </w:tc>
        <w:tc>
          <w:tcPr>
            <w:tcW w:w="1920" w:type="dxa"/>
            <w:vAlign w:val="bottom"/>
            <w:tcBorders>
              <w:right w:val="single" w:sz="8" w:color="929292"/>
            </w:tcBorders>
            <w:shd w:val="clear" w:color="auto" w:fill="FAF6EF"/>
          </w:tcPr>
          <w:p>
            <w:pPr>
              <w:jc w:val="right"/>
              <w:ind w:right="527"/>
              <w:spacing w:after="0"/>
              <w:rPr>
                <w:sz w:val="20"/>
                <w:szCs w:val="20"/>
                <w:color w:val="auto"/>
              </w:rPr>
            </w:pPr>
            <w:r>
              <w:rPr>
                <w:rFonts w:ascii="Arial" w:cs="Arial" w:eastAsia="Arial" w:hAnsi="Arial"/>
                <w:sz w:val="16"/>
                <w:szCs w:val="16"/>
                <w:color w:val="auto"/>
              </w:rPr>
              <w:t>6,672,535</w:t>
            </w:r>
          </w:p>
        </w:tc>
        <w:tc>
          <w:tcPr>
            <w:tcW w:w="1560" w:type="dxa"/>
            <w:vAlign w:val="bottom"/>
            <w:tcBorders>
              <w:right w:val="single" w:sz="8" w:color="929292"/>
            </w:tcBorders>
            <w:shd w:val="clear" w:color="auto" w:fill="FAF6EF"/>
          </w:tcPr>
          <w:p>
            <w:pPr>
              <w:jc w:val="right"/>
              <w:ind w:right="307"/>
              <w:spacing w:after="0"/>
              <w:rPr>
                <w:sz w:val="20"/>
                <w:szCs w:val="20"/>
                <w:color w:val="auto"/>
              </w:rPr>
            </w:pPr>
            <w:r>
              <w:rPr>
                <w:rFonts w:ascii="Arial" w:cs="Arial" w:eastAsia="Arial" w:hAnsi="Arial"/>
                <w:sz w:val="16"/>
                <w:szCs w:val="16"/>
                <w:color w:val="auto"/>
              </w:rPr>
              <w:t>(6,321,421)</w:t>
            </w:r>
          </w:p>
        </w:tc>
        <w:tc>
          <w:tcPr>
            <w:tcW w:w="1560" w:type="dxa"/>
            <w:vAlign w:val="bottom"/>
            <w:tcBorders>
              <w:right w:val="single" w:sz="8" w:color="929292"/>
            </w:tcBorders>
            <w:shd w:val="clear" w:color="auto" w:fill="FAF6EF"/>
          </w:tcPr>
          <w:p>
            <w:pPr>
              <w:jc w:val="right"/>
              <w:ind w:right="434"/>
              <w:spacing w:after="0"/>
              <w:rPr>
                <w:sz w:val="20"/>
                <w:szCs w:val="20"/>
                <w:color w:val="auto"/>
              </w:rPr>
            </w:pPr>
            <w:r>
              <w:rPr>
                <w:rFonts w:ascii="Arial" w:cs="Arial" w:eastAsia="Arial" w:hAnsi="Arial"/>
                <w:sz w:val="16"/>
                <w:szCs w:val="16"/>
                <w:color w:val="auto"/>
              </w:rPr>
              <w:t>454,079</w:t>
            </w:r>
          </w:p>
        </w:tc>
        <w:tc>
          <w:tcPr>
            <w:tcW w:w="19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right w:val="single" w:sz="8" w:color="929292"/>
            </w:tcBorders>
            <w:shd w:val="clear" w:color="auto" w:fill="FAF6EF"/>
          </w:tcPr>
          <w:p>
            <w:pPr>
              <w:jc w:val="right"/>
              <w:ind w:right="427"/>
              <w:spacing w:after="0"/>
              <w:rPr>
                <w:sz w:val="20"/>
                <w:szCs w:val="20"/>
                <w:color w:val="auto"/>
              </w:rPr>
            </w:pPr>
            <w:r>
              <w:rPr>
                <w:rFonts w:ascii="Arial" w:cs="Arial" w:eastAsia="Arial" w:hAnsi="Arial"/>
                <w:sz w:val="16"/>
                <w:szCs w:val="16"/>
                <w:color w:val="auto"/>
              </w:rPr>
              <w:t>805,193</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60" w:right="20" w:hanging="252"/>
        <w:spacing w:after="0" w:line="301" w:lineRule="auto"/>
        <w:tabs>
          <w:tab w:leader="none" w:pos="245" w:val="left"/>
        </w:tabs>
        <w:numPr>
          <w:ilvl w:val="0"/>
          <w:numId w:val="95"/>
        </w:numPr>
        <w:rPr>
          <w:rFonts w:ascii="Arial" w:cs="Arial" w:eastAsia="Arial" w:hAnsi="Arial"/>
          <w:sz w:val="14"/>
          <w:szCs w:val="14"/>
          <w:color w:val="7D7D7D"/>
        </w:rPr>
      </w:pPr>
      <w:r>
        <w:rPr>
          <w:rFonts w:ascii="Arial" w:cs="Arial" w:eastAsia="Arial" w:hAnsi="Arial"/>
          <w:sz w:val="14"/>
          <w:szCs w:val="14"/>
          <w:color w:val="7D7D7D"/>
        </w:rPr>
        <w:t>Represents the average grant date fair value of the equity awards to our non-CEO NEOs, as reported in the “Stock Awards” column in the Summary Compensation Table for 2024.</w:t>
      </w:r>
    </w:p>
    <w:p>
      <w:pPr>
        <w:spacing w:after="0" w:line="1" w:lineRule="exact"/>
        <w:rPr>
          <w:sz w:val="20"/>
          <w:szCs w:val="20"/>
          <w:color w:val="auto"/>
        </w:rPr>
      </w:pPr>
    </w:p>
    <w:p>
      <w:pPr>
        <w:jc w:val="both"/>
        <w:ind w:left="260" w:right="20" w:hanging="252"/>
        <w:spacing w:after="0" w:line="283" w:lineRule="auto"/>
        <w:tabs>
          <w:tab w:leader="none" w:pos="245" w:val="left"/>
        </w:tabs>
        <w:numPr>
          <w:ilvl w:val="0"/>
          <w:numId w:val="96"/>
        </w:numPr>
        <w:rPr>
          <w:rFonts w:ascii="Arial" w:cs="Arial" w:eastAsia="Arial" w:hAnsi="Arial"/>
          <w:sz w:val="14"/>
          <w:szCs w:val="14"/>
          <w:color w:val="7D7D7D"/>
        </w:rPr>
      </w:pPr>
      <w:r>
        <w:rPr>
          <w:rFonts w:ascii="Arial" w:cs="Arial" w:eastAsia="Arial" w:hAnsi="Arial"/>
          <w:sz w:val="14"/>
          <w:szCs w:val="14"/>
          <w:color w:val="7D7D7D"/>
        </w:rPr>
        <w:t>Represents the average year-over-year change in the fair value of equity awards to our non-CEO NEOs, as itemized in the table below. No awards vested in the year they were granted, and there is no value to report for dividends or other earnings on stock awards in the applicable year prior to the vesting date that were not otherwise reflected in the fair value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55880</wp:posOffset>
            </wp:positionV>
            <wp:extent cx="6772275"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2275" cy="25717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p>
      <w:pPr>
        <w:spacing w:after="0" w:line="18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FFFFF"/>
        </w:rPr>
        <w:t>Average Fair Value of Equity Awards for Non-CEO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92075</wp:posOffset>
            </wp:positionV>
            <wp:extent cx="6772275" cy="643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2275" cy="643255"/>
                    </a:xfrm>
                    <a:prstGeom prst="rect">
                      <a:avLst/>
                    </a:prstGeom>
                    <a:noFill/>
                  </pic:spPr>
                </pic:pic>
              </a:graphicData>
            </a:graphic>
          </wp:anchor>
        </w:drawing>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year-end for awards granted during the year</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Year-over-year increase (decrease) of unvested awards granted in prior years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Increase (decrease) from prior fiscal year-end for awards that vested during the year</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Average Equity Award Adjustment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FFFFFF"/>
        </w:rPr>
        <w:t>2024</w:t>
      </w:r>
    </w:p>
    <w:p>
      <w:pPr>
        <w:spacing w:after="0" w:line="29"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FFFFFF"/>
        </w:rPr>
        <w:t>($)</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3,141,206</w:t>
      </w:r>
    </w:p>
    <w:p>
      <w:pPr>
        <w:spacing w:after="0" w:line="5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(2,303,847)</w:t>
      </w:r>
    </w:p>
    <w:p>
      <w:pPr>
        <w:spacing w:after="0" w:line="5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(383,280)</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$454,079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55245</wp:posOffset>
            </wp:positionV>
            <wp:extent cx="8058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0" w:space="720"/>
            <w:col w:w="1400"/>
          </w:cols>
          <w:pgMar w:left="320" w:top="787" w:right="319" w:bottom="1440" w:gutter="0" w:footer="0" w:header="0"/>
          <w:type w:val="continuous"/>
        </w:sectPr>
      </w:pPr>
    </w:p>
    <w:p>
      <w:pPr>
        <w:spacing w:after="0" w:line="201" w:lineRule="exact"/>
        <w:rPr>
          <w:sz w:val="20"/>
          <w:szCs w:val="20"/>
          <w:color w:val="auto"/>
        </w:rPr>
      </w:pPr>
    </w:p>
    <w:p>
      <w:pPr>
        <w:ind w:left="240" w:hanging="232"/>
        <w:spacing w:after="0"/>
        <w:tabs>
          <w:tab w:leader="none" w:pos="240" w:val="left"/>
        </w:tabs>
        <w:numPr>
          <w:ilvl w:val="0"/>
          <w:numId w:val="97"/>
        </w:numPr>
        <w:rPr>
          <w:rFonts w:ascii="Arial" w:cs="Arial" w:eastAsia="Arial" w:hAnsi="Arial"/>
          <w:sz w:val="14"/>
          <w:szCs w:val="14"/>
          <w:color w:val="7D7D7D"/>
        </w:rPr>
      </w:pPr>
      <w:r>
        <w:rPr>
          <w:rFonts w:ascii="Arial" w:cs="Arial" w:eastAsia="Arial" w:hAnsi="Arial"/>
          <w:sz w:val="14"/>
          <w:szCs w:val="14"/>
          <w:color w:val="7D7D7D"/>
        </w:rPr>
        <w:t>No pension benefit plans are offered by Enphase.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w:t>
      </w:r>
      <w:r>
        <w:rPr>
          <w:rFonts w:ascii="Arial" w:cs="Arial" w:eastAsia="Arial" w:hAnsi="Arial"/>
          <w:sz w:val="12"/>
          <w:szCs w:val="12"/>
          <w:color w:val="F37321"/>
        </w:rPr>
        <w:t xml:space="preserve"> </w:t>
      </w:r>
      <w:r>
        <w:rPr>
          <w:rFonts w:ascii="Arial" w:cs="Arial" w:eastAsia="Arial" w:hAnsi="Arial"/>
          <w:sz w:val="12"/>
          <w:szCs w:val="12"/>
          <w:color w:val="6D6D6D"/>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32"/>
          <w:szCs w:val="32"/>
          <w:b w:val="1"/>
          <w:bCs w:val="1"/>
          <w:color w:val="auto"/>
        </w:rPr>
        <w:t>Financial Performance Measures</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following table identifies the four most important financial performance measures used by the Compensation Committee to link the “compensation actually paid” to our CEO and other NEOs in 2024, calculated in accordance with SEC regulations, to company performance. The role of each of these performance measures in our NEOs’ compensation is discussed in the CD&amp;A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4057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0575" cy="146050"/>
                    </a:xfrm>
                    <a:prstGeom prst="rect">
                      <a:avLst/>
                    </a:prstGeom>
                    <a:noFill/>
                  </pic:spPr>
                </pic:pic>
              </a:graphicData>
            </a:graphic>
          </wp:anchor>
        </w:drawing>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40575" cy="6172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0575" cy="617220"/>
                    </a:xfrm>
                    <a:prstGeom prst="rect">
                      <a:avLst/>
                    </a:prstGeom>
                    <a:noFill/>
                  </pic:spPr>
                </pic:pic>
              </a:graphicData>
            </a:graphic>
          </wp:anchor>
        </w:drawing>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Net Revenues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Non-GAAP Gross Margin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Total Stockholder Return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Free Cash Flow</w:t>
      </w:r>
    </w:p>
    <w:p>
      <w:pPr>
        <w:spacing w:after="0" w:line="35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Below are graphs showing the relationship of “compensation actually paid” to our CEO and other NEOs in 2024, 2023, 2022, 2021 and 2020 to (1) our TSR and the TSR of the Invesco Solar ETF, (2) our net income and (3) our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55880</wp:posOffset>
            </wp:positionV>
            <wp:extent cx="5915025" cy="43802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15025"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color w:val="auto"/>
        </w:rPr>
        <w:t>All information provided above under the “Pay Versus Performance” heading will not be deemed to be incorporated by reference into any filing of Enphase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64" w:name="page65"/>
    <w:bookmarkEnd w:id="64"/>
    <w:p>
      <w:pPr>
        <w:spacing w:after="0"/>
        <w:rPr>
          <w:sz w:val="20"/>
          <w:szCs w:val="20"/>
          <w:color w:val="auto"/>
        </w:rPr>
      </w:pPr>
      <w:r>
        <w:rPr>
          <w:rFonts w:ascii="Arial" w:cs="Arial" w:eastAsia="Arial" w:hAnsi="Arial"/>
          <w:sz w:val="43"/>
          <w:szCs w:val="43"/>
          <w:b w:val="1"/>
          <w:bCs w:val="1"/>
          <w:color w:val="F45270"/>
        </w:rPr>
        <w:t>Proposal 2</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Advisory Vote to Approve Executive Compensation</w:t>
      </w:r>
    </w:p>
    <w:p>
      <w:pPr>
        <w:spacing w:after="0" w:line="25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Under the Dodd-Frank Act and Section 14A of the Exchange Act, our stockholders are entitled to vote to approve, on an advisory basis, the compensation of our NEOs as disclosed in this proxy statement in accordance with SEC rules. We are seeking an advisory vote from our stockholders to approve the compensation paid to our NEOs, as disclosed in this proxy statement.</w:t>
      </w:r>
    </w:p>
    <w:p>
      <w:pPr>
        <w:spacing w:after="0" w:line="11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Compensation Committee, with assistance from an external compensation consultant, has structured our executive compensation program to stress a pay-for-performance philosophy. The compensation opportunities provided to our NEOs are significantly dependent on our financial performance, the performance of our stock and rigorous corporate goals, which are intended to drive creation of sustainable stockholder value. The Compensation Committee will continue to emphasize what it believes to be responsible compensation arrangements that attract, retain and motivate high-caliber executive officers, and motivate those officers to achieve our short- and long-term business strategies and objectives.</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You have the opportunity to vote “FOR” or “AGAINST” or to “ABSTAIN” from voting to approve, on an advisory basis, the compensation paid to our NEOs as disclosed in this proxy statement. In deciding how to vote on this proposal, we encourage you to consider our executive compensation philosophy and objectives, and the design principles and the elements of our executive compensation program. As described in this proxy statement, a guiding principle of our compensation philosophy is that compensation should be linked to performance and that the interests of our executives and stockholders should be aligned. Our compensation program is a mix of short- and long-term components, cash and equity elements and fixed and contingent payments in proportions we believe will provide the proper incentives, reward our NEOs and help us achieve our goals and increase stockholder value. For example:</w:t>
      </w:r>
    </w:p>
    <w:p>
      <w:pPr>
        <w:spacing w:after="0" w:line="132" w:lineRule="exact"/>
        <w:rPr>
          <w:sz w:val="20"/>
          <w:szCs w:val="20"/>
          <w:color w:val="auto"/>
        </w:rPr>
      </w:pPr>
    </w:p>
    <w:p>
      <w:pPr>
        <w:ind w:left="300" w:hanging="130"/>
        <w:spacing w:after="0"/>
        <w:tabs>
          <w:tab w:leader="none" w:pos="300" w:val="left"/>
        </w:tabs>
        <w:numPr>
          <w:ilvl w:val="0"/>
          <w:numId w:val="98"/>
        </w:numPr>
        <w:rPr>
          <w:rFonts w:ascii="Arial" w:cs="Arial" w:eastAsia="Arial" w:hAnsi="Arial"/>
          <w:sz w:val="13"/>
          <w:szCs w:val="13"/>
          <w:color w:val="auto"/>
        </w:rPr>
      </w:pPr>
      <w:r>
        <w:rPr>
          <w:rFonts w:ascii="Arial" w:cs="Arial" w:eastAsia="Arial" w:hAnsi="Arial"/>
          <w:sz w:val="16"/>
          <w:szCs w:val="16"/>
          <w:color w:val="auto"/>
        </w:rPr>
        <w:t>Our NEOs receive a market-based compensation package.</w:t>
      </w:r>
    </w:p>
    <w:p>
      <w:pPr>
        <w:spacing w:after="0" w:line="194" w:lineRule="exact"/>
        <w:rPr>
          <w:rFonts w:ascii="Arial" w:cs="Arial" w:eastAsia="Arial" w:hAnsi="Arial"/>
          <w:sz w:val="13"/>
          <w:szCs w:val="13"/>
          <w:color w:val="auto"/>
        </w:rPr>
      </w:pPr>
    </w:p>
    <w:p>
      <w:pPr>
        <w:ind w:left="340" w:hanging="170"/>
        <w:spacing w:after="0" w:line="339" w:lineRule="auto"/>
        <w:tabs>
          <w:tab w:leader="none" w:pos="317" w:val="left"/>
        </w:tabs>
        <w:numPr>
          <w:ilvl w:val="0"/>
          <w:numId w:val="98"/>
        </w:numPr>
        <w:rPr>
          <w:rFonts w:ascii="Arial" w:cs="Arial" w:eastAsia="Arial" w:hAnsi="Arial"/>
          <w:sz w:val="13"/>
          <w:szCs w:val="13"/>
          <w:color w:val="auto"/>
        </w:rPr>
      </w:pPr>
      <w:r>
        <w:rPr>
          <w:rFonts w:ascii="Arial" w:cs="Arial" w:eastAsia="Arial" w:hAnsi="Arial"/>
          <w:sz w:val="16"/>
          <w:szCs w:val="16"/>
          <w:color w:val="auto"/>
        </w:rPr>
        <w:t>Our NEOs’ compensation is substantially tied to performance. A significant portion of their cash and equity compensation is based upon our financial and company performance along with TSR performance.</w:t>
      </w:r>
    </w:p>
    <w:p>
      <w:pPr>
        <w:spacing w:after="0" w:line="1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The compensation of our NEOs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Compensation of our NEOs is designed to enable us to attract, motivate and retain talented and experienced executives to lead us successfully in a competitive environment.</w:t>
      </w:r>
    </w:p>
    <w:p>
      <w:pPr>
        <w:spacing w:after="0" w:line="13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Accordingly, the Board is asking the stockholders to indicate their support for the compensation of our NEOs as described in this proxy statement by casting a non-binding advisory vote “FOR” the following resolution:</w:t>
      </w:r>
    </w:p>
    <w:p>
      <w:pPr>
        <w:spacing w:after="0" w:line="10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narrative discussion, is APPROVED.”</w:t>
      </w:r>
    </w:p>
    <w:p>
      <w:pPr>
        <w:spacing w:after="0" w:line="11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While your vote on this proposal is advisory and will not be binding on the Compensation Committee, the Board or on us, we value the opinions of our stockholders on executive compensation matters and will take the results of this advisory vote into consideration when making future decisions regarding our executive compensation program.</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2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Approval of this Proposal 2 requires “FOR” votes from the holders of a majority of shares present in person or represented by proxy and entitled to vote on the matter at the Annual Meeting. If you “ABSTAIN” from voting, it will have the same effect as an “AGAINST” vote.</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 xml:space="preserve">The Board of Directors recommends a vote </w:t>
      </w:r>
      <w:r>
        <w:rPr>
          <w:rFonts w:ascii="Arial" w:cs="Arial" w:eastAsia="Arial" w:hAnsi="Arial"/>
          <w:sz w:val="25"/>
          <w:szCs w:val="25"/>
          <w:b w:val="1"/>
          <w:bCs w:val="1"/>
          <w:color w:val="E86100"/>
        </w:rPr>
        <w:t>FOR</w:t>
      </w:r>
      <w:r>
        <w:rPr>
          <w:rFonts w:ascii="Arial" w:cs="Arial" w:eastAsia="Arial" w:hAnsi="Arial"/>
          <w:sz w:val="25"/>
          <w:szCs w:val="25"/>
          <w:b w:val="1"/>
          <w:bCs w:val="1"/>
          <w:i w:val="1"/>
          <w:i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65" w:name="page66"/>
    <w:bookmarkEnd w:id="65"/>
    <w:p>
      <w:pPr>
        <w:spacing w:after="0"/>
        <w:rPr>
          <w:sz w:val="20"/>
          <w:szCs w:val="20"/>
          <w:color w:val="auto"/>
        </w:rPr>
      </w:pPr>
      <w:r>
        <w:rPr>
          <w:rFonts w:ascii="Arial" w:cs="Arial" w:eastAsia="Arial" w:hAnsi="Arial"/>
          <w:sz w:val="43"/>
          <w:szCs w:val="43"/>
          <w:b w:val="1"/>
          <w:bCs w:val="1"/>
          <w:color w:val="2C436F"/>
        </w:rPr>
        <w:t>Proposal 3</w:t>
      </w:r>
    </w:p>
    <w:p>
      <w:pPr>
        <w:spacing w:after="0" w:line="329" w:lineRule="exact"/>
        <w:rPr>
          <w:sz w:val="20"/>
          <w:szCs w:val="20"/>
          <w:color w:val="auto"/>
        </w:rPr>
      </w:pPr>
    </w:p>
    <w:p>
      <w:pPr>
        <w:ind w:right="520"/>
        <w:spacing w:after="0" w:line="276" w:lineRule="auto"/>
        <w:rPr>
          <w:sz w:val="20"/>
          <w:szCs w:val="20"/>
          <w:color w:val="auto"/>
        </w:rPr>
      </w:pPr>
      <w:r>
        <w:rPr>
          <w:rFonts w:ascii="Arial" w:cs="Arial" w:eastAsia="Arial" w:hAnsi="Arial"/>
          <w:sz w:val="32"/>
          <w:szCs w:val="32"/>
          <w:b w:val="1"/>
          <w:bCs w:val="1"/>
          <w:color w:val="auto"/>
        </w:rPr>
        <w:t>Approval of the Amendment and Restatement of the Enphase Energy, Inc. 2021 Equity Incentive Plan to Increase the Number of Shares of Common Stock Authorized for Issuance thereunder</w:t>
      </w:r>
    </w:p>
    <w:p>
      <w:pPr>
        <w:spacing w:after="0" w:line="1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opinion of the Board, our future success depends, in large part, on our ability to maintain a competitive position in attracting, retaining and motivating key employees with experience and ability. On March 31, 2025, following the Compensation Committee’s approval and recommendation, the Board adopted, subject to stockholder approval, an amendment and restatement of the Enphase Energy, Inc. 2021 Equity Incentive Plan (the “2021 Plan”) to increase the number of shares of common stock authorized for issuance thereunder by an additional 4,000,000 shares.</w:t>
      </w:r>
    </w:p>
    <w:p>
      <w:pPr>
        <w:spacing w:after="0" w:line="1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stockholders’ approval of the amendment and restatement of the 2021 Plan will allow us to continue to grant restricted stock unit awards, stock options and other awards at levels determined appropriate by the Board or Compensation Committee. The amendment and restatement of the 2021 Plan will also allow us to further utilize a broad array of equity incentives in order to secure and retain the services of our employees, directors and consultants, and to continue to provide long-term incentives that align the interests of our employees, directors and consultants with the interests of our stockholders.</w:t>
      </w:r>
    </w:p>
    <w:p>
      <w:pPr>
        <w:spacing w:after="0" w:line="1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If this Proposal 3 is approved by our stockholders, the amendment and restatement of the 2021 Plan will become effective as of the date of the Annual Meeting and the maximum number of shares that may be issued pursuant to awards granted under the 2021 Plan, as amended and restated, as of the date of the Annual Meeting would be the sum of (1) 13,530,000 shares, representing 9,530,000 shares originally reserved under the 2021 Plan when it was adopted and an additional 4,000,000 shares, and (2) any shares subject to outstanding awards under the 2011 Equity Incentive Plan (the “2011 Plan”) that are terminated, canceled, surrendered or forfeited. As of the Record Date, 3,666,523 shares were available for future awards under the 2021 Plan and 4,095,764 shares were subject to outstanding awards under the 2021 Plan and the 2011 Plan.</w:t>
      </w:r>
    </w:p>
    <w:p>
      <w:pPr>
        <w:spacing w:after="0" w:line="13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the event that our stockholders do not approve this Proposal 3, the increase in shares will not become effective and the 2021 Plan will continue in accordance with its terms. Therefore, if our stockholders do not approve this Proposal 3, we may not be able to grant equity incentive awards in the future to our employees, directors and consultants, which would significantly impact our ability to attract, motivate and retain the highly skilled talent we need.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You Should Vote for the Amendment and Restatement of the 2021 Plan to Increase Shares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Equity Incentive Award Use Carefully</w:t>
      </w:r>
    </w:p>
    <w:p>
      <w:pPr>
        <w:spacing w:after="0" w:line="1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continue to believe that equity incentive awards such as RSU and PSU awards are a vital part of our overall compensation program. Our compensation philosophy reflects broad-based eligibility for equity incentive awards, and we grant awards to substantially all of our employees. However, we recognize that equity incentive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To that end, our three-year average burn rate was 1.14% as further detailed below.</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Moreover, we repurchase shares to reduce the dilution associated with our equity incentive program. During 2024, we withheld shares to cover taxes for employee stock vesting that reduced the diluted shares by 675,000 shares. In addition, under our share repurchase programs, we repurchased 4,543,016 shares and 3,284,368 shares in 2024 and 2023, respectively. As a result of our share repurchase program, as of January 1, 2023, we had 136,441,102 shares outstanding, and as of the Record Date, the shares outstanding had been reduced to 131,185,907 shares outstanding.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The Size of Our Share Reserve Request Is Reasonable</w:t>
      </w:r>
    </w:p>
    <w:p>
      <w:pPr>
        <w:spacing w:after="0" w:line="1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recognize the dilutive impact of our equity compensation on our stockholders and continuously strive to balance this concern with the competition for talent. If this Proposal 3 is approved by our stockholders, we will have 4,000,000 new shares available for grant under the 2021 Plan. Based on our historical grant practices and planned headcount, we expect that the total number of shares available under the 2021 Plan, if the proposed amendment and restatement is approved, would meet our needs for approximately two to three more years. However, the actual duration of the shares reserve will depend on currently unknown factors, such as changes in participation, future grant practices, competitive market practices, acquisitions, forfeiture rates and our stock price, among others.</w:t>
      </w:r>
    </w:p>
    <w:p>
      <w:pPr>
        <w:spacing w:after="0" w:line="13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developing our share request for an increase in the number of shares available for issuance under the 2021 Plan, and analyzing the impact of utilizing equity on our stockholders, our management and the Compensation Committee considered both our “burn rate” and “overhang,” which they consider important metrics of how our equity compensation program impacts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Burn Rate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detailed information regarding the activity related to our equity incentive program for fiscal years 2024, 2023 and 2022.</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6320" w:type="dxa"/>
            <w:vAlign w:val="bottom"/>
            <w:tcBorders>
              <w:left w:val="single" w:sz="8" w:color="3C3C3C"/>
              <w:right w:val="single" w:sz="8" w:color="3C3C3C"/>
            </w:tcBorders>
            <w:shd w:val="clear" w:color="auto" w:fill="3C3C3C"/>
          </w:tcPr>
          <w:p>
            <w:pPr>
              <w:spacing w:after="0"/>
              <w:rPr>
                <w:sz w:val="22"/>
                <w:szCs w:val="22"/>
                <w:color w:val="auto"/>
              </w:rPr>
            </w:pPr>
          </w:p>
        </w:tc>
        <w:tc>
          <w:tcPr>
            <w:tcW w:w="1520" w:type="dxa"/>
            <w:vAlign w:val="bottom"/>
            <w:tcBorders>
              <w:right w:val="single" w:sz="8" w:color="3C3C3C"/>
            </w:tcBorders>
            <w:shd w:val="clear" w:color="auto" w:fill="3C3C3C"/>
          </w:tcPr>
          <w:p>
            <w:pPr>
              <w:spacing w:after="0"/>
              <w:rPr>
                <w:sz w:val="22"/>
                <w:szCs w:val="22"/>
                <w:color w:val="auto"/>
              </w:rPr>
            </w:pPr>
          </w:p>
        </w:tc>
        <w:tc>
          <w:tcPr>
            <w:tcW w:w="1700" w:type="dxa"/>
            <w:vAlign w:val="bottom"/>
            <w:tcBorders>
              <w:right w:val="single" w:sz="8" w:color="3C3C3C"/>
            </w:tcBorders>
            <w:shd w:val="clear" w:color="auto" w:fill="3C3C3C"/>
          </w:tcPr>
          <w:p>
            <w:pPr>
              <w:ind w:left="440"/>
              <w:spacing w:after="0"/>
              <w:rPr>
                <w:sz w:val="20"/>
                <w:szCs w:val="20"/>
                <w:color w:val="auto"/>
              </w:rPr>
            </w:pPr>
            <w:r>
              <w:rPr>
                <w:rFonts w:ascii="Arial" w:cs="Arial" w:eastAsia="Arial" w:hAnsi="Arial"/>
                <w:sz w:val="14"/>
                <w:szCs w:val="14"/>
                <w:b w:val="1"/>
                <w:bCs w:val="1"/>
                <w:color w:val="FFFFFF"/>
              </w:rPr>
              <w:t>Fiscal Year</w:t>
            </w:r>
          </w:p>
        </w:tc>
        <w:tc>
          <w:tcPr>
            <w:tcW w:w="1500" w:type="dxa"/>
            <w:vAlign w:val="bottom"/>
            <w:tcBorders>
              <w:right w:val="single" w:sz="8" w:color="3C3C3C"/>
            </w:tcBorders>
            <w:shd w:val="clear" w:color="auto" w:fill="3C3C3C"/>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6320" w:type="dxa"/>
            <w:vAlign w:val="bottom"/>
            <w:tcBorders>
              <w:left w:val="single" w:sz="8" w:color="3C3C3C"/>
              <w:right w:val="single" w:sz="8" w:color="3C3C3C"/>
            </w:tcBorders>
            <w:shd w:val="clear" w:color="auto" w:fill="3C3C3C"/>
          </w:tcPr>
          <w:p>
            <w:pPr>
              <w:spacing w:after="0"/>
              <w:rPr>
                <w:sz w:val="24"/>
                <w:szCs w:val="24"/>
                <w:color w:val="auto"/>
              </w:rPr>
            </w:pPr>
          </w:p>
        </w:tc>
        <w:tc>
          <w:tcPr>
            <w:tcW w:w="15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2024</w:t>
            </w:r>
          </w:p>
        </w:tc>
        <w:tc>
          <w:tcPr>
            <w:tcW w:w="17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2023</w:t>
            </w:r>
          </w:p>
        </w:tc>
        <w:tc>
          <w:tcPr>
            <w:tcW w:w="15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70"/>
        </w:trPr>
        <w:tc>
          <w:tcPr>
            <w:tcW w:w="6320" w:type="dxa"/>
            <w:vAlign w:val="bottom"/>
            <w:tcBorders>
              <w:left w:val="single" w:sz="8" w:color="3C3C3C"/>
              <w:right w:val="single" w:sz="8" w:color="3C3C3C"/>
            </w:tcBorders>
            <w:shd w:val="clear" w:color="auto" w:fill="3C3C3C"/>
          </w:tcPr>
          <w:p>
            <w:pPr>
              <w:spacing w:after="0"/>
              <w:rPr>
                <w:sz w:val="6"/>
                <w:szCs w:val="6"/>
                <w:color w:val="auto"/>
              </w:rPr>
            </w:pPr>
          </w:p>
        </w:tc>
        <w:tc>
          <w:tcPr>
            <w:tcW w:w="1520" w:type="dxa"/>
            <w:vAlign w:val="bottom"/>
            <w:tcBorders>
              <w:right w:val="single" w:sz="8" w:color="3C3C3C"/>
            </w:tcBorders>
            <w:shd w:val="clear" w:color="auto" w:fill="3C3C3C"/>
          </w:tcPr>
          <w:p>
            <w:pPr>
              <w:spacing w:after="0"/>
              <w:rPr>
                <w:sz w:val="6"/>
                <w:szCs w:val="6"/>
                <w:color w:val="auto"/>
              </w:rPr>
            </w:pPr>
          </w:p>
        </w:tc>
        <w:tc>
          <w:tcPr>
            <w:tcW w:w="1700" w:type="dxa"/>
            <w:vAlign w:val="bottom"/>
            <w:tcBorders>
              <w:right w:val="single" w:sz="8" w:color="3C3C3C"/>
            </w:tcBorders>
            <w:shd w:val="clear" w:color="auto" w:fill="3C3C3C"/>
          </w:tcPr>
          <w:p>
            <w:pPr>
              <w:spacing w:after="0"/>
              <w:rPr>
                <w:sz w:val="6"/>
                <w:szCs w:val="6"/>
                <w:color w:val="auto"/>
              </w:rPr>
            </w:pPr>
          </w:p>
        </w:tc>
        <w:tc>
          <w:tcPr>
            <w:tcW w:w="1500" w:type="dxa"/>
            <w:vAlign w:val="bottom"/>
            <w:tcBorders>
              <w:right w:val="single" w:sz="8" w:color="3C3C3C"/>
            </w:tcBorders>
            <w:shd w:val="clear" w:color="auto" w:fill="3C3C3C"/>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Total number of shares of common stock subject to stock options granted</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2"/>
        </w:trPr>
        <w:tc>
          <w:tcPr>
            <w:tcW w:w="63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Total number of shares of common stock subject to time-based full value awards</w:t>
            </w:r>
          </w:p>
        </w:tc>
        <w:tc>
          <w:tcPr>
            <w:tcW w:w="152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1,309,000</w:t>
            </w:r>
          </w:p>
        </w:tc>
        <w:tc>
          <w:tcPr>
            <w:tcW w:w="17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1,409,000</w:t>
            </w:r>
          </w:p>
        </w:tc>
        <w:tc>
          <w:tcPr>
            <w:tcW w:w="15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rPr>
              <w:t>1,159,000</w:t>
            </w:r>
          </w:p>
        </w:tc>
        <w:tc>
          <w:tcPr>
            <w:tcW w:w="0" w:type="dxa"/>
            <w:vAlign w:val="bottom"/>
          </w:tcPr>
          <w:p>
            <w:pPr>
              <w:spacing w:after="0"/>
              <w:rPr>
                <w:sz w:val="1"/>
                <w:szCs w:val="1"/>
                <w:color w:val="auto"/>
              </w:rPr>
            </w:pPr>
          </w:p>
        </w:tc>
      </w:tr>
      <w:tr>
        <w:trPr>
          <w:trHeight w:val="120"/>
        </w:trPr>
        <w:tc>
          <w:tcPr>
            <w:tcW w:w="6320" w:type="dxa"/>
            <w:vAlign w:val="bottom"/>
            <w:tcBorders>
              <w:left w:val="single" w:sz="8" w:color="929292"/>
              <w:right w:val="single" w:sz="8" w:color="929292"/>
            </w:tcBorders>
            <w:vMerge w:val="restart"/>
          </w:tcPr>
          <w:p>
            <w:pPr>
              <w:ind w:left="120"/>
              <w:spacing w:after="0"/>
              <w:rPr>
                <w:sz w:val="20"/>
                <w:szCs w:val="20"/>
                <w:color w:val="auto"/>
              </w:rPr>
            </w:pPr>
            <w:r>
              <w:rPr>
                <w:rFonts w:ascii="Arial" w:cs="Arial" w:eastAsia="Arial" w:hAnsi="Arial"/>
                <w:sz w:val="16"/>
                <w:szCs w:val="16"/>
                <w:color w:val="auto"/>
              </w:rPr>
              <w:t>granted</w:t>
            </w:r>
          </w:p>
        </w:tc>
        <w:tc>
          <w:tcPr>
            <w:tcW w:w="1520" w:type="dxa"/>
            <w:vAlign w:val="bottom"/>
            <w:tcBorders>
              <w:right w:val="single" w:sz="8" w:color="929292"/>
            </w:tcBorders>
            <w:vMerge w:val="continue"/>
          </w:tcPr>
          <w:p>
            <w:pPr>
              <w:spacing w:after="0"/>
              <w:rPr>
                <w:sz w:val="10"/>
                <w:szCs w:val="10"/>
                <w:color w:val="auto"/>
              </w:rPr>
            </w:pPr>
          </w:p>
        </w:tc>
        <w:tc>
          <w:tcPr>
            <w:tcW w:w="1700" w:type="dxa"/>
            <w:vAlign w:val="bottom"/>
            <w:tcBorders>
              <w:right w:val="single" w:sz="8" w:color="929292"/>
            </w:tcBorders>
            <w:vMerge w:val="continue"/>
          </w:tcPr>
          <w:p>
            <w:pPr>
              <w:spacing w:after="0"/>
              <w:rPr>
                <w:sz w:val="10"/>
                <w:szCs w:val="10"/>
                <w:color w:val="auto"/>
              </w:rPr>
            </w:pPr>
          </w:p>
        </w:tc>
        <w:tc>
          <w:tcPr>
            <w:tcW w:w="150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320" w:type="dxa"/>
            <w:vAlign w:val="bottom"/>
            <w:tcBorders>
              <w:left w:val="single" w:sz="8" w:color="929292"/>
              <w:right w:val="single" w:sz="8" w:color="929292"/>
            </w:tcBorders>
            <w:vMerge w:val="continue"/>
          </w:tcPr>
          <w:p>
            <w:pPr>
              <w:spacing w:after="0"/>
              <w:rPr>
                <w:sz w:val="8"/>
                <w:szCs w:val="8"/>
                <w:color w:val="auto"/>
              </w:rPr>
            </w:pPr>
          </w:p>
        </w:tc>
        <w:tc>
          <w:tcPr>
            <w:tcW w:w="1520" w:type="dxa"/>
            <w:vAlign w:val="bottom"/>
            <w:tcBorders>
              <w:right w:val="single" w:sz="8" w:color="929292"/>
            </w:tcBorders>
          </w:tcPr>
          <w:p>
            <w:pPr>
              <w:spacing w:after="0"/>
              <w:rPr>
                <w:sz w:val="8"/>
                <w:szCs w:val="8"/>
                <w:color w:val="auto"/>
              </w:rPr>
            </w:pPr>
          </w:p>
        </w:tc>
        <w:tc>
          <w:tcPr>
            <w:tcW w:w="1700" w:type="dxa"/>
            <w:vAlign w:val="bottom"/>
            <w:tcBorders>
              <w:right w:val="single" w:sz="8" w:color="929292"/>
            </w:tcBorders>
          </w:tcPr>
          <w:p>
            <w:pPr>
              <w:spacing w:after="0"/>
              <w:rPr>
                <w:sz w:val="8"/>
                <w:szCs w:val="8"/>
                <w:color w:val="auto"/>
              </w:rPr>
            </w:pPr>
          </w:p>
        </w:tc>
        <w:tc>
          <w:tcPr>
            <w:tcW w:w="1500" w:type="dxa"/>
            <w:vAlign w:val="bottom"/>
            <w:tcBorders>
              <w:right w:val="single" w:sz="8" w:color="929292"/>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320" w:type="dxa"/>
            <w:vAlign w:val="bottom"/>
            <w:tcBorders>
              <w:left w:val="single" w:sz="8" w:color="929292"/>
              <w:right w:val="single" w:sz="8" w:color="929292"/>
            </w:tcBorders>
          </w:tcPr>
          <w:p>
            <w:pPr>
              <w:spacing w:after="0"/>
              <w:rPr>
                <w:sz w:val="2"/>
                <w:szCs w:val="2"/>
                <w:color w:val="auto"/>
              </w:rPr>
            </w:pPr>
          </w:p>
        </w:tc>
        <w:tc>
          <w:tcPr>
            <w:tcW w:w="1520" w:type="dxa"/>
            <w:vAlign w:val="bottom"/>
            <w:tcBorders>
              <w:right w:val="single" w:sz="8" w:color="929292"/>
            </w:tcBorders>
          </w:tcPr>
          <w:p>
            <w:pPr>
              <w:spacing w:after="0"/>
              <w:rPr>
                <w:sz w:val="2"/>
                <w:szCs w:val="2"/>
                <w:color w:val="auto"/>
              </w:rPr>
            </w:pPr>
          </w:p>
        </w:tc>
        <w:tc>
          <w:tcPr>
            <w:tcW w:w="1700" w:type="dxa"/>
            <w:vAlign w:val="bottom"/>
            <w:tcBorders>
              <w:right w:val="single" w:sz="8" w:color="929292"/>
            </w:tcBorders>
          </w:tcPr>
          <w:p>
            <w:pPr>
              <w:spacing w:after="0"/>
              <w:rPr>
                <w:sz w:val="2"/>
                <w:szCs w:val="2"/>
                <w:color w:val="auto"/>
              </w:rPr>
            </w:pPr>
          </w:p>
        </w:tc>
        <w:tc>
          <w:tcPr>
            <w:tcW w:w="1500" w:type="dxa"/>
            <w:vAlign w:val="bottom"/>
            <w:tcBorders>
              <w:right w:val="single" w:sz="8" w:color="92929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Total number of performance-based full value awards earned/vested</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100,000</w:t>
            </w:r>
          </w:p>
        </w:tc>
        <w:tc>
          <w:tcPr>
            <w:tcW w:w="17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380,000</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303,000</w:t>
            </w:r>
          </w:p>
        </w:tc>
        <w:tc>
          <w:tcPr>
            <w:tcW w:w="0" w:type="dxa"/>
            <w:vAlign w:val="bottom"/>
          </w:tcPr>
          <w:p>
            <w:pPr>
              <w:spacing w:after="0"/>
              <w:rPr>
                <w:sz w:val="1"/>
                <w:szCs w:val="1"/>
                <w:color w:val="auto"/>
              </w:rPr>
            </w:pPr>
          </w:p>
        </w:tc>
      </w:tr>
      <w:tr>
        <w:trPr>
          <w:trHeight w:val="235"/>
        </w:trPr>
        <w:tc>
          <w:tcPr>
            <w:tcW w:w="632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Weighted-average number of shares common stock outstanding</w:t>
            </w:r>
          </w:p>
        </w:tc>
        <w:tc>
          <w:tcPr>
            <w:tcW w:w="152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135,167,000</w:t>
            </w:r>
          </w:p>
        </w:tc>
        <w:tc>
          <w:tcPr>
            <w:tcW w:w="17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136,376,000</w:t>
            </w:r>
          </w:p>
        </w:tc>
        <w:tc>
          <w:tcPr>
            <w:tcW w:w="15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135,349,000</w:t>
            </w:r>
          </w:p>
        </w:tc>
        <w:tc>
          <w:tcPr>
            <w:tcW w:w="0" w:type="dxa"/>
            <w:vAlign w:val="bottom"/>
          </w:tcPr>
          <w:p>
            <w:pPr>
              <w:spacing w:after="0"/>
              <w:rPr>
                <w:sz w:val="1"/>
                <w:szCs w:val="1"/>
                <w:color w:val="auto"/>
              </w:rPr>
            </w:pPr>
          </w:p>
        </w:tc>
      </w:tr>
      <w:tr>
        <w:trPr>
          <w:trHeight w:val="305"/>
        </w:trPr>
        <w:tc>
          <w:tcPr>
            <w:tcW w:w="632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Burn Rate</w:t>
            </w:r>
            <w:r>
              <w:rPr>
                <w:rFonts w:ascii="Arial" w:cs="Arial" w:eastAsia="Arial" w:hAnsi="Arial"/>
                <w:sz w:val="21"/>
                <w:szCs w:val="21"/>
                <w:color w:val="auto"/>
                <w:vertAlign w:val="superscript"/>
              </w:rPr>
              <w:t>(1)</w:t>
            </w:r>
          </w:p>
        </w:tc>
        <w:tc>
          <w:tcPr>
            <w:tcW w:w="152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1.04%</w:t>
            </w:r>
          </w:p>
        </w:tc>
        <w:tc>
          <w:tcPr>
            <w:tcW w:w="17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1.31%</w:t>
            </w:r>
          </w:p>
        </w:tc>
        <w:tc>
          <w:tcPr>
            <w:tcW w:w="15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3"/>
        </w:trPr>
        <w:tc>
          <w:tcPr>
            <w:tcW w:w="6320" w:type="dxa"/>
            <w:vAlign w:val="bottom"/>
            <w:tcBorders>
              <w:left w:val="single" w:sz="8" w:color="929292"/>
              <w:right w:val="single" w:sz="8" w:color="929292"/>
            </w:tcBorders>
          </w:tcPr>
          <w:p>
            <w:pPr>
              <w:ind w:left="440"/>
              <w:spacing w:after="0"/>
              <w:rPr>
                <w:sz w:val="20"/>
                <w:szCs w:val="20"/>
                <w:color w:val="auto"/>
              </w:rPr>
            </w:pPr>
            <w:r>
              <w:rPr>
                <w:rFonts w:ascii="Arial" w:cs="Arial" w:eastAsia="Arial" w:hAnsi="Arial"/>
                <w:sz w:val="16"/>
                <w:szCs w:val="16"/>
                <w:b w:val="1"/>
                <w:bCs w:val="1"/>
                <w:color w:val="auto"/>
              </w:rPr>
              <w:t>Three Year Average</w:t>
            </w:r>
          </w:p>
        </w:tc>
        <w:tc>
          <w:tcPr>
            <w:tcW w:w="15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1.14%</w:t>
            </w:r>
          </w:p>
        </w:tc>
        <w:tc>
          <w:tcPr>
            <w:tcW w:w="1500" w:type="dxa"/>
            <w:vAlign w:val="bottom"/>
            <w:tcBorders>
              <w:right w:val="single" w:sz="8" w:color="929292"/>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77" w:lineRule="exact"/>
        <w:rPr>
          <w:sz w:val="20"/>
          <w:szCs w:val="20"/>
          <w:color w:val="auto"/>
        </w:rPr>
      </w:pPr>
    </w:p>
    <w:p>
      <w:pPr>
        <w:ind w:left="260" w:hanging="252"/>
        <w:spacing w:after="0" w:line="285" w:lineRule="auto"/>
        <w:tabs>
          <w:tab w:leader="none" w:pos="245" w:val="left"/>
        </w:tabs>
        <w:numPr>
          <w:ilvl w:val="0"/>
          <w:numId w:val="99"/>
        </w:numPr>
        <w:rPr>
          <w:rFonts w:ascii="Arial" w:cs="Arial" w:eastAsia="Arial" w:hAnsi="Arial"/>
          <w:sz w:val="14"/>
          <w:szCs w:val="14"/>
          <w:color w:val="7D7D7D"/>
        </w:rPr>
      </w:pPr>
      <w:r>
        <w:rPr>
          <w:rFonts w:ascii="Arial" w:cs="Arial" w:eastAsia="Arial" w:hAnsi="Arial"/>
          <w:sz w:val="14"/>
          <w:szCs w:val="14"/>
          <w:color w:val="7D7D7D"/>
        </w:rPr>
        <w:t>Burn Rate is calculated as (shares subject to stock options granted + shares subject to time-based full value awards granted + shares subject to performance-based full value awards earned/vested) / weighted average common stock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Overhang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regarding the current status of our equity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020560"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spacing w:after="0" w:line="233"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FFFFFF"/>
        </w:rPr>
        <w:t>As of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20560" cy="18688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20560" cy="186880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number of shares of common stock subject to outstanding options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Weighted-average exercise price of outstanding stock options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Weighted-average remaining term of outstanding stock options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number of shares of common stock subject to outstanding full value awards</w:t>
      </w:r>
      <w:r>
        <w:rPr>
          <w:rFonts w:ascii="Arial" w:cs="Arial" w:eastAsia="Arial" w:hAnsi="Arial"/>
          <w:sz w:val="21"/>
          <w:szCs w:val="21"/>
          <w:color w:val="auto"/>
          <w:vertAlign w:val="superscript"/>
        </w:rPr>
        <w:t>(1)</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number of shares of common stock available for grant under the 2021 Plan</w:t>
      </w:r>
      <w:r>
        <w:rPr>
          <w:rFonts w:ascii="Arial" w:cs="Arial" w:eastAsia="Arial" w:hAnsi="Arial"/>
          <w:sz w:val="21"/>
          <w:szCs w:val="21"/>
          <w:color w:val="auto"/>
          <w:vertAlign w:val="superscript"/>
        </w:rPr>
        <w:t>(2)</w:t>
      </w:r>
    </w:p>
    <w:p>
      <w:pPr>
        <w:spacing w:after="0" w:line="56" w:lineRule="exact"/>
        <w:rPr>
          <w:sz w:val="20"/>
          <w:szCs w:val="20"/>
          <w:color w:val="auto"/>
        </w:rPr>
      </w:pPr>
    </w:p>
    <w:p>
      <w:pPr>
        <w:ind w:left="120" w:right="2180"/>
        <w:spacing w:after="0" w:line="308" w:lineRule="auto"/>
        <w:rPr>
          <w:sz w:val="20"/>
          <w:szCs w:val="20"/>
          <w:color w:val="auto"/>
        </w:rPr>
      </w:pPr>
      <w:r>
        <w:rPr>
          <w:rFonts w:ascii="Arial" w:cs="Arial" w:eastAsia="Arial" w:hAnsi="Arial"/>
          <w:sz w:val="16"/>
          <w:szCs w:val="16"/>
          <w:color w:val="auto"/>
        </w:rPr>
        <w:t>Total number of shares of common stock outstanding Per-share closing price of common stocks as reported on Nasdaq Global Select Market Warrants and convertible shares</w:t>
      </w:r>
      <w:r>
        <w:rPr>
          <w:rFonts w:ascii="Arial" w:cs="Arial" w:eastAsia="Arial" w:hAnsi="Arial"/>
          <w:sz w:val="21"/>
          <w:szCs w:val="21"/>
          <w:color w:val="auto"/>
          <w:vertAlign w:val="superscript"/>
        </w:rPr>
        <w:t>(3)</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Fully-diluted overhang as of the record date</w:t>
      </w:r>
      <w:r>
        <w:rPr>
          <w:rFonts w:ascii="Arial" w:cs="Arial" w:eastAsia="Arial" w:hAnsi="Arial"/>
          <w:sz w:val="21"/>
          <w:szCs w:val="21"/>
          <w:color w:val="auto"/>
          <w:vertAlign w:val="superscript"/>
        </w:rPr>
        <w:t>(4)</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share request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Fully-diluted overhang as of the record date with new share request</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2,475</w:t>
      </w:r>
    </w:p>
    <w:p>
      <w:pPr>
        <w:spacing w:after="0" w:line="59"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$64.17</w:t>
      </w:r>
    </w:p>
    <w:p>
      <w:pPr>
        <w:spacing w:after="0" w:line="59"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2.16 years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4,093,289</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3,666,523</w:t>
      </w:r>
    </w:p>
    <w:p>
      <w:pPr>
        <w:spacing w:after="0" w:line="86"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131,185,907</w:t>
      </w:r>
    </w:p>
    <w:p>
      <w:pPr>
        <w:spacing w:after="0" w:line="59"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$61.69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17,335,317</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5.0%</w:t>
      </w:r>
    </w:p>
    <w:p>
      <w:pPr>
        <w:spacing w:after="0" w:line="86"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4,000,000</w:t>
      </w:r>
    </w:p>
    <w:p>
      <w:pPr>
        <w:spacing w:after="0" w:line="86"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7.3%</w:t>
      </w:r>
    </w:p>
    <w:p>
      <w:pPr>
        <w:spacing w:after="0" w:line="230" w:lineRule="exact"/>
        <w:rPr>
          <w:sz w:val="20"/>
          <w:szCs w:val="20"/>
          <w:color w:val="auto"/>
        </w:rPr>
      </w:pPr>
    </w:p>
    <w:p>
      <w:pPr>
        <w:sectPr>
          <w:pgSz w:w="11900" w:h="16838" w:orient="portrait"/>
          <w:cols w:equalWidth="0" w:num="2">
            <w:col w:w="8540" w:space="720"/>
            <w:col w:w="1980"/>
          </w:cols>
          <w:pgMar w:left="320" w:top="771" w:right="3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w:t>
      </w:r>
      <w:r>
        <w:rPr>
          <w:rFonts w:ascii="Arial" w:cs="Arial" w:eastAsia="Arial" w:hAnsi="Arial"/>
          <w:sz w:val="12"/>
          <w:szCs w:val="12"/>
          <w:color w:val="F37321"/>
        </w:rPr>
        <w:t xml:space="preserve"> </w:t>
      </w:r>
      <w:r>
        <w:rPr>
          <w:rFonts w:ascii="Arial" w:cs="Arial" w:eastAsia="Arial" w:hAnsi="Arial"/>
          <w:sz w:val="12"/>
          <w:szCs w:val="12"/>
          <w:color w:val="6D6D6D"/>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ind w:left="260" w:hanging="252"/>
        <w:spacing w:after="0" w:line="301" w:lineRule="auto"/>
        <w:tabs>
          <w:tab w:leader="none" w:pos="245" w:val="left"/>
        </w:tabs>
        <w:numPr>
          <w:ilvl w:val="0"/>
          <w:numId w:val="100"/>
        </w:numPr>
        <w:rPr>
          <w:rFonts w:ascii="Arial" w:cs="Arial" w:eastAsia="Arial" w:hAnsi="Arial"/>
          <w:sz w:val="14"/>
          <w:szCs w:val="14"/>
          <w:color w:val="7D7D7D"/>
        </w:rPr>
      </w:pPr>
      <w:r>
        <w:rPr>
          <w:rFonts w:ascii="Arial" w:cs="Arial" w:eastAsia="Arial" w:hAnsi="Arial"/>
          <w:sz w:val="14"/>
          <w:szCs w:val="14"/>
          <w:color w:val="7D7D7D"/>
        </w:rPr>
        <w:t>A “full value award” is any award other than a stock option or stock appreciation right with respect to which the exercise or strike price is at least 100% of the fair market value of our common stock on the date of grant.</w:t>
      </w:r>
    </w:p>
    <w:p>
      <w:pPr>
        <w:spacing w:after="0" w:line="1" w:lineRule="exact"/>
        <w:rPr>
          <w:sz w:val="20"/>
          <w:szCs w:val="20"/>
          <w:color w:val="auto"/>
        </w:rPr>
      </w:pPr>
    </w:p>
    <w:p>
      <w:pPr>
        <w:ind w:left="240" w:hanging="232"/>
        <w:spacing w:after="0"/>
        <w:tabs>
          <w:tab w:leader="none" w:pos="240" w:val="left"/>
        </w:tabs>
        <w:numPr>
          <w:ilvl w:val="0"/>
          <w:numId w:val="101"/>
        </w:numPr>
        <w:rPr>
          <w:rFonts w:ascii="Arial" w:cs="Arial" w:eastAsia="Arial" w:hAnsi="Arial"/>
          <w:sz w:val="14"/>
          <w:szCs w:val="14"/>
          <w:color w:val="7D7D7D"/>
        </w:rPr>
      </w:pPr>
      <w:r>
        <w:rPr>
          <w:rFonts w:ascii="Arial" w:cs="Arial" w:eastAsia="Arial" w:hAnsi="Arial"/>
          <w:sz w:val="14"/>
          <w:szCs w:val="14"/>
          <w:color w:val="7D7D7D"/>
        </w:rPr>
        <w:t>There were no shares of common stock available for grant under any of our other equity incentive plans.</w:t>
      </w:r>
    </w:p>
    <w:p>
      <w:pPr>
        <w:spacing w:after="0" w:line="69" w:lineRule="exact"/>
        <w:rPr>
          <w:sz w:val="20"/>
          <w:szCs w:val="20"/>
          <w:color w:val="auto"/>
        </w:rPr>
      </w:pPr>
    </w:p>
    <w:p>
      <w:pPr>
        <w:jc w:val="both"/>
        <w:ind w:left="260" w:hanging="252"/>
        <w:spacing w:after="0" w:line="273" w:lineRule="auto"/>
        <w:tabs>
          <w:tab w:leader="none" w:pos="245" w:val="left"/>
        </w:tabs>
        <w:numPr>
          <w:ilvl w:val="0"/>
          <w:numId w:val="102"/>
        </w:numPr>
        <w:rPr>
          <w:rFonts w:ascii="Arial" w:cs="Arial" w:eastAsia="Arial" w:hAnsi="Arial"/>
          <w:sz w:val="14"/>
          <w:szCs w:val="14"/>
          <w:color w:val="7D7D7D"/>
        </w:rPr>
      </w:pPr>
      <w:r>
        <w:rPr>
          <w:rFonts w:ascii="Arial" w:cs="Arial" w:eastAsia="Arial" w:hAnsi="Arial"/>
          <w:sz w:val="14"/>
          <w:szCs w:val="14"/>
          <w:color w:val="7D7D7D"/>
        </w:rPr>
        <w:t>Includes (i) 2,508,171 shares for warrants related to the notes due 2025; (ii) 3,496,966 shares related to the convertible notes due 2026; (iii) 4,114,160 for warrants related to the notes due 2026; (iv) 3,179,060 shares related to the convertible notes due 2028; and (v) 4,036,960 shares for warrants related to the notes due 2028. This assumes the maximum conversion rate for these warrants and convertible notes.</w:t>
      </w:r>
    </w:p>
    <w:p>
      <w:pPr>
        <w:spacing w:after="0" w:line="18" w:lineRule="exact"/>
        <w:rPr>
          <w:sz w:val="20"/>
          <w:szCs w:val="20"/>
          <w:color w:val="auto"/>
        </w:rPr>
      </w:pPr>
    </w:p>
    <w:p>
      <w:pPr>
        <w:jc w:val="both"/>
        <w:ind w:left="260" w:right="20" w:hanging="252"/>
        <w:spacing w:after="0" w:line="281" w:lineRule="auto"/>
        <w:tabs>
          <w:tab w:leader="none" w:pos="245" w:val="left"/>
        </w:tabs>
        <w:numPr>
          <w:ilvl w:val="0"/>
          <w:numId w:val="103"/>
        </w:numPr>
        <w:rPr>
          <w:rFonts w:ascii="Arial" w:cs="Arial" w:eastAsia="Arial" w:hAnsi="Arial"/>
          <w:sz w:val="14"/>
          <w:szCs w:val="14"/>
          <w:color w:val="7D7D7D"/>
        </w:rPr>
      </w:pPr>
      <w:r>
        <w:rPr>
          <w:rFonts w:ascii="Arial" w:cs="Arial" w:eastAsia="Arial" w:hAnsi="Arial"/>
          <w:sz w:val="14"/>
          <w:szCs w:val="14"/>
          <w:color w:val="7D7D7D"/>
        </w:rPr>
        <w:t>Fully-diluted overhang is calculated as (a) the number of shares available for grant under the 2021 Plan plus the total number of awards outstanding divided by (b) the number of shares available for grant under the 2021 Plan plus the total number of awards outstanding plus the number of common stock outstanding plus the warrants and convertible shares.</w:t>
      </w:r>
    </w:p>
    <w:p>
      <w:pPr>
        <w:spacing w:after="0" w:line="2" w:lineRule="exact"/>
        <w:rPr>
          <w:sz w:val="20"/>
          <w:szCs w:val="20"/>
          <w:color w:val="auto"/>
        </w:rPr>
      </w:pPr>
    </w:p>
    <w:p>
      <w:pPr>
        <w:jc w:val="both"/>
        <w:ind w:left="260" w:hanging="252"/>
        <w:spacing w:after="0" w:line="283" w:lineRule="auto"/>
        <w:tabs>
          <w:tab w:leader="none" w:pos="245" w:val="left"/>
        </w:tabs>
        <w:numPr>
          <w:ilvl w:val="0"/>
          <w:numId w:val="104"/>
        </w:numPr>
        <w:rPr>
          <w:rFonts w:ascii="Arial" w:cs="Arial" w:eastAsia="Arial" w:hAnsi="Arial"/>
          <w:sz w:val="14"/>
          <w:szCs w:val="14"/>
          <w:color w:val="7D7D7D"/>
        </w:rPr>
      </w:pPr>
      <w:r>
        <w:rPr>
          <w:rFonts w:ascii="Arial" w:cs="Arial" w:eastAsia="Arial" w:hAnsi="Arial"/>
          <w:sz w:val="14"/>
          <w:szCs w:val="14"/>
          <w:color w:val="7D7D7D"/>
        </w:rPr>
        <w:t>Fully-diluted overhang is calculated as (a) the 4,000,000 new share request plus the number of shares available for grant under the 2021 Plan plus the total number of awards outstanding divided by (b) the 4,000,000 new share request plus the number of shares available for grant under the 2021 Plan plus the total number of awards outstanding plus the number of common stock outstanding plus the warrants and convertible shares.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2021 Plan Combines Compensation and Governance Best Practices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2021 Plan includes provisions that are designed to protect our stockholders’ interests and to reflect corporate governance best practices, including:</w:t>
      </w:r>
    </w:p>
    <w:p>
      <w:pPr>
        <w:spacing w:after="0" w:line="208" w:lineRule="exact"/>
        <w:rPr>
          <w:sz w:val="20"/>
          <w:szCs w:val="20"/>
          <w:color w:val="auto"/>
        </w:rPr>
      </w:pPr>
    </w:p>
    <w:p>
      <w:pPr>
        <w:ind w:left="340" w:hanging="170"/>
        <w:spacing w:after="0" w:line="339" w:lineRule="auto"/>
        <w:tabs>
          <w:tab w:leader="none" w:pos="31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Stockholder approval required for future additional shares. </w:t>
      </w:r>
      <w:r>
        <w:rPr>
          <w:rFonts w:ascii="Arial" w:cs="Arial" w:eastAsia="Arial" w:hAnsi="Arial"/>
          <w:sz w:val="16"/>
          <w:szCs w:val="16"/>
          <w:color w:val="auto"/>
        </w:rPr>
        <w:t>The 2021 Plan does not contain an annual “evergreen” provision. The 2021 Plan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a fixed number of shares, so that stockholder approval is required to issue any additional shares.</w:t>
      </w:r>
    </w:p>
    <w:p>
      <w:pPr>
        <w:spacing w:after="0" w:line="87" w:lineRule="exact"/>
        <w:rPr>
          <w:rFonts w:ascii="Arial" w:cs="Arial" w:eastAsia="Arial" w:hAnsi="Arial"/>
          <w:sz w:val="16"/>
          <w:szCs w:val="16"/>
          <w:color w:val="auto"/>
        </w:rPr>
      </w:pPr>
    </w:p>
    <w:p>
      <w:pPr>
        <w:ind w:left="300" w:hanging="130"/>
        <w:spacing w:after="0"/>
        <w:tabs>
          <w:tab w:leader="none" w:pos="300"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Repricing is not allowed. </w:t>
      </w:r>
      <w:r>
        <w:rPr>
          <w:rFonts w:ascii="Arial" w:cs="Arial" w:eastAsia="Arial" w:hAnsi="Arial"/>
          <w:sz w:val="16"/>
          <w:szCs w:val="16"/>
          <w:color w:val="auto"/>
        </w:rPr>
        <w:t>The 2021 Plan prohibits the repricing of stock options and stock appreciation rights without prior stockholder approval.</w:t>
      </w:r>
    </w:p>
    <w:p>
      <w:pPr>
        <w:spacing w:after="0" w:line="207" w:lineRule="exact"/>
        <w:rPr>
          <w:rFonts w:ascii="Arial" w:cs="Arial" w:eastAsia="Arial" w:hAnsi="Arial"/>
          <w:sz w:val="16"/>
          <w:szCs w:val="16"/>
          <w:color w:val="auto"/>
        </w:rPr>
      </w:pPr>
    </w:p>
    <w:p>
      <w:pPr>
        <w:jc w:val="both"/>
        <w:ind w:left="340" w:hanging="170"/>
        <w:spacing w:after="0" w:line="319" w:lineRule="auto"/>
        <w:tabs>
          <w:tab w:leader="none" w:pos="31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No discounted stock options or stock appreciation rights</w:t>
      </w:r>
      <w:r>
        <w:rPr>
          <w:rFonts w:ascii="Arial" w:cs="Arial" w:eastAsia="Arial" w:hAnsi="Arial"/>
          <w:sz w:val="16"/>
          <w:szCs w:val="16"/>
          <w:color w:val="auto"/>
        </w:rPr>
        <w:t>. All stock options and stock appreciation rights granted under the 2021 Plan must have an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equal to or greater than the fair market value of our common stock on the date that the stock option or stock appreciation right is granted. As of the Record Date, the closing price of a share of our common stock on the Nasdaq Stock Market was $61.69.</w:t>
      </w:r>
    </w:p>
    <w:p>
      <w:pPr>
        <w:spacing w:after="0" w:line="116" w:lineRule="exact"/>
        <w:rPr>
          <w:rFonts w:ascii="Arial" w:cs="Arial" w:eastAsia="Arial" w:hAnsi="Arial"/>
          <w:sz w:val="16"/>
          <w:szCs w:val="16"/>
          <w:color w:val="auto"/>
        </w:rPr>
      </w:pPr>
    </w:p>
    <w:p>
      <w:pPr>
        <w:jc w:val="both"/>
        <w:ind w:left="340" w:hanging="170"/>
        <w:spacing w:after="0" w:line="303" w:lineRule="auto"/>
        <w:tabs>
          <w:tab w:leader="none" w:pos="31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No liberal share counting provisions for stock options or stock appreciation rights</w:t>
      </w:r>
      <w:r>
        <w:rPr>
          <w:rFonts w:ascii="Arial" w:cs="Arial" w:eastAsia="Arial" w:hAnsi="Arial"/>
          <w:sz w:val="16"/>
          <w:szCs w:val="16"/>
          <w:color w:val="auto"/>
        </w:rPr>
        <w:t>. The following shares will not become available again for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under the 2021 Plan: (i) any shares that are reacquired or withheld (or not issued) by us to satisfy the exercise or strike price of a stock option or stock appreciation right; (ii) any shares that are reacquired or withheld (or not issued) by us to satisfy a tax withholding obligation in connection with a stock option or stock appreciation right; (iii) any shares repurchased by us on the open market with the proceeds of the exercise or strike price of a stock option or stock appreciation right; and (iv) in the event that a stock appreciation right is settled in shares, the gross number of shares subject to such award.</w:t>
      </w:r>
    </w:p>
    <w:p>
      <w:pPr>
        <w:spacing w:after="0" w:line="118" w:lineRule="exact"/>
        <w:rPr>
          <w:rFonts w:ascii="Arial" w:cs="Arial" w:eastAsia="Arial" w:hAnsi="Arial"/>
          <w:sz w:val="16"/>
          <w:szCs w:val="16"/>
          <w:color w:val="auto"/>
        </w:rPr>
      </w:pPr>
    </w:p>
    <w:p>
      <w:pPr>
        <w:jc w:val="both"/>
        <w:ind w:left="340" w:hanging="170"/>
        <w:spacing w:after="0" w:line="304" w:lineRule="auto"/>
        <w:tabs>
          <w:tab w:leader="none" w:pos="31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Restrictions on dividend payouts</w:t>
      </w:r>
      <w:r>
        <w:rPr>
          <w:rFonts w:ascii="Arial" w:cs="Arial" w:eastAsia="Arial" w:hAnsi="Arial"/>
          <w:sz w:val="16"/>
          <w:szCs w:val="16"/>
          <w:color w:val="auto"/>
        </w:rPr>
        <w:t>. The 2021 Plan provides that (i) no dividends or dividend equivalents may be paid with respect to any shares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spacing w:after="0" w:line="130" w:lineRule="exact"/>
        <w:rPr>
          <w:rFonts w:ascii="Arial" w:cs="Arial" w:eastAsia="Arial" w:hAnsi="Arial"/>
          <w:sz w:val="16"/>
          <w:szCs w:val="16"/>
          <w:color w:val="auto"/>
        </w:rPr>
      </w:pPr>
    </w:p>
    <w:p>
      <w:pPr>
        <w:ind w:left="340" w:right="20" w:hanging="170"/>
        <w:spacing w:after="0" w:line="339" w:lineRule="auto"/>
        <w:tabs>
          <w:tab w:leader="none" w:pos="31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Administered by an independent committee</w:t>
      </w:r>
      <w:r>
        <w:rPr>
          <w:rFonts w:ascii="Arial" w:cs="Arial" w:eastAsia="Arial" w:hAnsi="Arial"/>
          <w:sz w:val="16"/>
          <w:szCs w:val="16"/>
          <w:color w:val="auto"/>
        </w:rPr>
        <w:t>. The 2021 Plan is administered by the Compensation Committee, which is made up entirely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directors.</w:t>
      </w:r>
    </w:p>
    <w:p>
      <w:pPr>
        <w:spacing w:after="0" w:line="101" w:lineRule="exact"/>
        <w:rPr>
          <w:rFonts w:ascii="Arial" w:cs="Arial" w:eastAsia="Arial" w:hAnsi="Arial"/>
          <w:sz w:val="16"/>
          <w:szCs w:val="16"/>
          <w:color w:val="auto"/>
        </w:rPr>
      </w:pPr>
    </w:p>
    <w:p>
      <w:pPr>
        <w:jc w:val="both"/>
        <w:ind w:left="340" w:hanging="170"/>
        <w:spacing w:after="0" w:line="310" w:lineRule="auto"/>
        <w:tabs>
          <w:tab w:leader="none" w:pos="31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Awards subject to forfeiture/clawback</w:t>
      </w:r>
      <w:r>
        <w:rPr>
          <w:rFonts w:ascii="Arial" w:cs="Arial" w:eastAsia="Arial" w:hAnsi="Arial"/>
          <w:sz w:val="16"/>
          <w:szCs w:val="16"/>
          <w:color w:val="auto"/>
        </w:rPr>
        <w:t>. Awards under the 2021 Plan, are subject to recoupment under certain circumstances. See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 Compensation Discussion and Analysis - Other Compensation Policies and Practices - Clawback Policy” discussion of this Proxy Statement.</w:t>
      </w:r>
    </w:p>
    <w:p>
      <w:pPr>
        <w:spacing w:after="0" w:line="124"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Additionally in 2023 and 2024, two-thirds of executives’ annual equity awards were performance based. Annual equity awards to our executive team, including our NEOs, are 33% service-based and 67% performance-based, with shares not earned being forfeited.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Description of the 2021 Plan</w:t>
      </w:r>
    </w:p>
    <w:p>
      <w:pPr>
        <w:spacing w:after="0" w:line="12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A summary of the principal features of the 2021 Plan follows below. The summary is qualified by the full text of the 2021 Plan that is attached as Appendix B to this proxy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33"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2021 Plan is designed to secure and retain the services of our employees, directors and consultants, provide incentives for our employees, directors and consultants to exert maximum efforts for the success of the Company and its affiliates, and provide a means by which our employees, directors and consultants may be given an opportunity to benefit from increases in the value of our common stock. We have not granted stock options under the 2021 Plan.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13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2021 Plan provides for the grant of incentive stock options, nonstatutory stock options, stock appreciation rights, restricted stock awards, restricted stock unit awards, performance stock awards, and other stock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Subject to adjustment for certain changes in our capitalization, the aggregate number of shares of our common stock that may be issued under the 2021 Plan will not exceed: the sum of (i) 13,530,000 shares, representing 9,530,000 shares originally reserved under the 2021 Plan when it was adopted and an additional 4,000,000 shares, and (ii) the Prior Plan Returning Shares (as defined in the 2021 Plan and described below), as such shares become available from time to time; minus the number of shares subject to any award granted under the 2021 Plan after the Record Date but prior to the date of the Annual Meeting.</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For purposes of the 2021 Plan, the term “Prior Plan Returning Shares” refers to the following shares of our common stock: (i) any shares subject to an award granted under the 2011 Plan that was outstanding (a “Prior Plan Award”) as of May 18, 2021 (the “Original Effective Date”) that on or following the Original Effective Date are not issued because such Prior Plan Award or any portion thereof expires or otherwise terminates without all of the shares covered by such Prior Plan Award having been issued; (ii) any shares subject to a Prior Plan Award that on or following the Original Effective Date are not issued because such Prior Plan Award or any portion thereof is settled in cash; (iii) any shares issued pursuant to a Prior Plan Award that on or following the Original Effective Date are forfeited back to or repurchased by the Company because of a failure to vest; (iv) any shares that on or following the Original Effective Date are reacquired or withheld (or not issued) by the Company to satisfy the purchase price of a Prior Plan Award that is a full value award; and (v) any shares that on or following the Original Effective Date are reacquired or withheld (or not issued) by the Company to satisfy a tax withholding obligation in connection with a Prior Plan Award that is a full value award.</w:t>
      </w:r>
    </w:p>
    <w:p>
      <w:pPr>
        <w:spacing w:after="0" w:line="13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share reserve of the 2021 Plan will not be reduced by any of the following shares of our common stock and such shares will remain available for issuance under the 2021 Plan: (i) any shares subject to an award granted under the 2021 Plan that are not issued because such award or any portion thereof expires or otherwise terminates without all of the shares covered by such award having been issued; and (ii) any shares subject to an award granted under the 2021 Plan that are not issued because such award or any portion thereof is settled in cash.</w:t>
      </w:r>
    </w:p>
    <w:p>
      <w:pPr>
        <w:spacing w:after="0" w:line="12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following shares of our common stock will revert to the share reserve of the 2021 Plan and become available again for issuance under the 2021 Plan: (i) any shares issued pursuant to an award granted under the 2021 Plan that are forfeited back to or repurchased by the Company because of a failure to vest;</w:t>
      </w:r>
    </w:p>
    <w:p>
      <w:pPr>
        <w:spacing w:after="0" w:line="1" w:lineRule="exact"/>
        <w:rPr>
          <w:sz w:val="20"/>
          <w:szCs w:val="20"/>
          <w:color w:val="auto"/>
        </w:rPr>
      </w:pPr>
    </w:p>
    <w:p>
      <w:pPr>
        <w:jc w:val="both"/>
        <w:ind w:firstLine="8"/>
        <w:spacing w:after="0" w:line="310" w:lineRule="auto"/>
        <w:tabs>
          <w:tab w:leader="none" w:pos="23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shares that are reacquired or withheld (or not issued) by the Company to satisfy the purchase price of a full value award granted under the 2021 Plan; and (iii) any shares that are reacquired or withheld (or not issued) by the Company to satisfy a tax withholding obligation in connection with a full value award granted under the 2021 Plan.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shares of our common stock will not revert to the share reserve of the 2021 Plan or become available again for issuance under the 2021 Plan:</w:t>
      </w:r>
    </w:p>
    <w:p>
      <w:pPr>
        <w:spacing w:after="0" w:line="46" w:lineRule="exact"/>
        <w:rPr>
          <w:sz w:val="20"/>
          <w:szCs w:val="20"/>
          <w:color w:val="auto"/>
        </w:rPr>
      </w:pPr>
    </w:p>
    <w:p>
      <w:pPr>
        <w:jc w:val="both"/>
        <w:ind w:firstLine="8"/>
        <w:spacing w:after="0" w:line="303" w:lineRule="auto"/>
        <w:tabs>
          <w:tab w:leader="none" w:pos="20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shares that are reacquired or withheld (or not issued) by the Company to satisfy the exercise or strike price of a stock option or stock appreciation right granted under the 2021 Plan or the 2011 Plan; (ii) any shares that are reacquired or withheld (or not issued) by the Company to satisfy a tax withholding obligation in connection with a stock option or stock appreciation right granted under the 2021 Plan or the 2011 Plan; (iii) any shares repurchased by the Company on the open market with the proceeds of the exercise or strike price of a stock option or stock appreciation right granted under the 2021 Plan or the 2011 Plan; and (iv) in the event that a stock appreciation right granted under the 2021 Plan or the 2011 Plan is settled in shares, the gross number of shares subject to such award.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Eligibility</w:t>
      </w:r>
    </w:p>
    <w:p>
      <w:pPr>
        <w:spacing w:after="0" w:line="12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All of our (including our affiliates’) employees, non-employee directors and consultants are eligible to participate in the 2021 Plan and may receive all types of awards other than incentive stock options. Incentive stock options may be granted under the 2021 Plan only to our (including our affiliates’) employees.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As of the Record Date, we (including our affiliates) had approximately 2,700 employees, six non-employee directors and no consultants.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Administration</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2021 Plan will be administered by our Board, which may in turn delegate authority to administer the 2021 Plan to a committee. Our Board has delegated concurrent authority to administer the 2021 Plan to our Compensation Committee, but may, at any time, re-vest in itself some or all of the power delegated to our Compensation Committee. Our Board and Compensation Committee are each considered to be a Plan Administrator for purposes of this Proposal 3.</w:t>
      </w:r>
    </w:p>
    <w:p>
      <w:pPr>
        <w:spacing w:after="0" w:line="12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Subject to the terms of the 2021 Plan, the Plan Administrator may determine the recipients, the types of awards to be granted, the number of shares of our common subject to or the cash value of awards, and the terms and conditions of awards granted under the 2021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2021 Plan.</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Plan Administrator may also delegate to one or more persons or bodies the authority to designate recipients (other than officers) of awards, the number of shares of our common stock subject to such awards, and certain terms of such awards in a manner permitted by applicable law (including the General Corporation Law of the State of Delaware). Any person or body who is delegated such authority may not grant an award to themselves.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Repricing; Cancellation and Re-Grant of Awards</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the 2021 Plan, the Plan Administrator does not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awards without obtaining the approval of our stockholders. Such approval must be obtained within 12 months prior to such an event.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Dividend Equivalents</w:t>
      </w:r>
    </w:p>
    <w:p>
      <w:pPr>
        <w:spacing w:after="0" w:line="12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2021 Plan provides that dividends or dividend equivalents may be paid or credited with respect to any shares of our common stock subject to an award, as determined by the Plan Administrator and contained in the applicable award agreement; provided, however, that (i) no dividends or dividend equivalents may be paid with respect to any such shares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2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Stock options may be granted under the 2021 Plan pursuant to stock option agreements. The 2021 Plan permits the grant of stock options that are intended to qualify as incentive stock options and nonstatutory stock options.</w:t>
      </w:r>
    </w:p>
    <w:p>
      <w:pPr>
        <w:spacing w:after="0" w:line="101"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The exercise price of a stock option granted under the 2021 Plan may not be less than 100% of the fair market value of our common stock on the date of grant and, in some cases (see “Limitations on Incentive Stock Options” below), may not be less than 110% of such fair market value.</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 of stock options granted under the 2021 Plan may not exceed 10 years from the date of grant and, in some cases (see “Limitations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3 as “continuous service”) terminates (other than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0" w:name="page71"/>
    <w:bookmarkEnd w:id="70"/>
    <w:p>
      <w:pPr>
        <w:jc w:val="both"/>
        <w:spacing w:after="0" w:line="299" w:lineRule="auto"/>
        <w:rPr>
          <w:sz w:val="20"/>
          <w:szCs w:val="20"/>
          <w:color w:val="auto"/>
        </w:rPr>
      </w:pPr>
      <w:r>
        <w:rPr>
          <w:rFonts w:ascii="Arial" w:cs="Arial" w:eastAsia="Arial" w:hAnsi="Arial"/>
          <w:sz w:val="16"/>
          <w:szCs w:val="16"/>
          <w:color w:val="auto"/>
        </w:rPr>
        <w:t>for cause and other than upon the participant’s death or disability),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18 months following the participant’s termination due to the participant’s disability or death. Except as explicitly provided otherwise in a participant’s stock option agreement or other written agreement with us or one of our affiliates, if a participant’s continuous service is terminated for cause (as defined in the 2021 Plan),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Acceptable forms of consideration for the purchase of our common stock pursuant to the exercise of a stock option under the 2021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nonstatutory stock options only); or (v) in other legal consideration approved by the Plan Administrator.</w:t>
      </w:r>
    </w:p>
    <w:p>
      <w:pPr>
        <w:spacing w:after="0" w:line="1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Stock options granted under the 2021 Plan may vest and become exercisable in cumulative increments, as determined by the Plan Administrator at the rate specified in the stock option agreement. Shares covered by different stock options granted under the 2021 Plan may be subject to different vesting schedules as the Plan Administrator may determine.</w:t>
      </w:r>
    </w:p>
    <w:p>
      <w:pPr>
        <w:spacing w:after="0" w:line="12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Plan Administrator may impose limitations on the transferability of stock options granted under the 2021 Plan in its discretion. Generally, a participant may not transfer a stock option granted under the 2021 Plan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 applicable tax and securities laws. In addition, subject to approval by the Plan Administrator, a participant may designate a beneficiary who may exercise the stock option following the participant’s death. Notwithstanding the foregoing, no option may be transferred to any financial institution without prior stockholder approval.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Incentive Stock Options</w:t>
      </w:r>
    </w:p>
    <w:p>
      <w:pPr>
        <w:spacing w:after="0" w:line="12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aggregate fair market value, determined at the time of grant, of shares of our common stock with respect to incentive stock options that are exercisable for the first time by a participant during any calendar year under all of our stock plans may not exceed $100,000. The stock options or portions of stock options that exceed this limit or otherwise fail to qualify as incentive stock options are treated as nonstatutory stock options. No incentive stock option may be granted to any person who, at the time of grant, owns or is deemed to own stock possessing more than 10% of our total combined voting power or that of any affiliate unless the following conditions are satisfied:</w:t>
      </w:r>
    </w:p>
    <w:p>
      <w:pPr>
        <w:spacing w:after="0" w:line="131" w:lineRule="exact"/>
        <w:rPr>
          <w:sz w:val="20"/>
          <w:szCs w:val="20"/>
          <w:color w:val="auto"/>
        </w:rPr>
      </w:pPr>
    </w:p>
    <w:p>
      <w:pPr>
        <w:ind w:left="300" w:hanging="130"/>
        <w:spacing w:after="0"/>
        <w:tabs>
          <w:tab w:leader="none" w:pos="3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exercise price of the incentive stock option must be at least 110% of the fair market value of our common stock on the date of grant; and</w:t>
      </w:r>
    </w:p>
    <w:p>
      <w:pPr>
        <w:spacing w:after="0" w:line="207" w:lineRule="exact"/>
        <w:rPr>
          <w:rFonts w:ascii="Arial" w:cs="Arial" w:eastAsia="Arial" w:hAnsi="Arial"/>
          <w:sz w:val="16"/>
          <w:szCs w:val="16"/>
          <w:color w:val="auto"/>
        </w:rPr>
      </w:pPr>
    </w:p>
    <w:p>
      <w:pPr>
        <w:ind w:left="300" w:hanging="130"/>
        <w:spacing w:after="0"/>
        <w:tabs>
          <w:tab w:leader="none" w:pos="3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term of the incentive stock option must not exceed five years from the date of grant.</w:t>
      </w:r>
    </w:p>
    <w:p>
      <w:pPr>
        <w:spacing w:after="0" w:line="208"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Subject to adjustment for certain changes in our capitalization, the aggregate maximum number of shares of our common stock that may be issued pursuant to the exercise of incentive stock options under the 2021 Plan is 30,000,000 shares.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Stock Appreciation Rights</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Stock appreciation rights may be granted under the 2021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our common stock on the date of grant. The term of stock appreciation rights granted under the 2021 Plan may not exceed 10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2021 Plan.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Awards</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Restricted stock awards may be granted under the 2021 Plan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provided, however, that no restricted stock award may be transferred to any financial institution without prior stockholder approval. Upon a participant’s termination of continuous service for any reason, any shares subject to restricted stock awards held by the participant that have not vested as of such termination date may be forfeited to or repurchased by us.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 Awards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Restricted stock unit awards may be granted under the 2021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or one of our affiliates, restricted stock units that have not vested will be forfeited upon the participant’s termination of continuous service for any reason.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Stock Awards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performance stock award is a stock award that is payable (including that may be granted, may vest, or may be exercised) contingent upon the attainment of pre-determined performance goals that are established by the Plan Administrator for the relevant performance period prior to the grant of the award. A performance stock award may require the completion of a specified period of continuous service. The Plan Administrator will determine and set forth in the award agreement such terms as (i) the nature, length and starting date of any performance period; (ii) the applicable performance goals that will be used to determine the time and extent to which the award has been earned; and (iii) the effect of a termination of participant’s service on a performance award. At the end of the applicable performance period, the Plan Administrator will determine the extent to which a performance award has been earned, including the extent to which performance goals have been attained and the degree of achievement between minimum and maximum levels. To the extent permitted by applicable law and the performance stock award agreement, the Plan Administrator may determine that cash may be used in payment of performance stock awards.</w:t>
      </w:r>
    </w:p>
    <w:p>
      <w:pPr>
        <w:spacing w:after="0" w:line="7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In addition, the Plan Administrator retains the discretion to reduce or eliminate the compensation or economic benefit due upon the attainment of any performance goals and to define the manner of calculating the performance criteria it selects to use for a performance period.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Stock Awards</w:t>
      </w:r>
    </w:p>
    <w:p>
      <w:pPr>
        <w:spacing w:after="0" w:line="12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Other forms of awards valued in whole or in part by reference to, or otherwise based on, our common stock may be granted either alone or in addition to other awards under the 2021 Plan. Subject to the terms of the 2021 Plan,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Clawback/Recoupment</w:t>
      </w:r>
    </w:p>
    <w:p>
      <w:pPr>
        <w:spacing w:after="0" w:line="12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Awards granted under the 2021 Plan are subject to recoupment in accordance with the Required Clawback Policy as discussed further in the CD&amp;A. In addition, the Plan Administrator may impose other clawback, recovery or recoupment provisions in an award agreement, including a reacquisition right in respect of previously acquired shares or other cash or property upon the occurrence of cause.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to Capital Structure</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the event of certain capitalization adjustments, the Plan Administrator will appropriately adjust: (i) the class(es) and maximum number of securities subject to the 2021 Plan; (ii) the class(es) and maximum number of securities that may be issued pursuant to the exercise of incentive stock options; and (iii) the class(es) and number of securities and price per share of stock subject to outstanding awards.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Transaction</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following provisions will apply to outstanding awards under the 2021 Plan in the event of a corporate transaction (as defined in the 2021 Plan and described below) unless otherwise provided in the instrument evidencing the award, in any other written agreement between us or one of our affiliates and the participant, or in our director compensation policy, or unless otherwise expressly provided by the Plan Administrator at the time of grant of the award.</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a corporate transaction, the Plan Administrator will take one or more of the following actions with respect to outstanding awards under the 2021 Plan, contingent upon the closing or completion of such corporate transaction: (i) arrange for the surviving or acquiring corporation (or its parent company) to assume or continue the award or to substitute a similar stock award for the award (including, but not limited to, an award to acquire the same consideration paid to the stockholders of the Company pursuant to such corporate transaction); (ii) arrange for the assignment of any reacquisition or repurchase rights held by the Company in respect of our common stock issued pursuant to the award to the surviving or acquiring corporation (or its parent company); (iii) accelerate the vesting (and exercisability, if applicable), in whole or in part, of the award to a date prior to the effective time of such corporate transaction as the Plan Administrator will determine (or, if the Plan Administrator does not determine such a date, to the date that is five days prior to the effective time of such corporate transaction), with such award terminating if not exercised (if applicable) prior to the effective time of such corporate transaction in accordance with the exercise procedures determined by the Plan Administrator; (iv) arrange for the lapse of any reacquisition or repurchase rights held by the Company with respect to the award; (v) cancel or arrange for the cancellation of the award, to the extent not vested or not exercised prior to the effective time of such corporate transaction, in exchange for such cash consideration, if any, as the Plan Administrator may consider appropriate; or</w:t>
      </w:r>
    </w:p>
    <w:p>
      <w:pPr>
        <w:spacing w:after="0" w:line="3" w:lineRule="exact"/>
        <w:rPr>
          <w:sz w:val="20"/>
          <w:szCs w:val="20"/>
          <w:color w:val="auto"/>
        </w:rPr>
      </w:pPr>
    </w:p>
    <w:p>
      <w:pPr>
        <w:jc w:val="both"/>
        <w:ind w:right="20" w:firstLine="8"/>
        <w:spacing w:after="0" w:line="310" w:lineRule="auto"/>
        <w:tabs>
          <w:tab w:leader="none" w:pos="27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make a payment, in such form as may be determined by the Plan Administrator, equal to the excess, if any, of (a) the value of the property the participant would have received upon the exercise of the award immediately prior to the effective time of such corporate transaction, over (b) any exercise price payable by the participant in connection with such exercise.</w:t>
      </w:r>
    </w:p>
    <w:p>
      <w:pPr>
        <w:spacing w:after="0" w:line="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For purposes of the 2021 Plan, a corporate transaction generally will be deemed to occur in the event of the consummation of: (i) a sale or other disposition of all or substantially all of our consolidated assets; (ii) a sale or other disposition of at least 90%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the transaction are converted or exchanged into other property by virtue of the transaction.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Control</w:t>
      </w:r>
    </w:p>
    <w:p>
      <w:pPr>
        <w:spacing w:after="0" w:line="13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Awards under the 2021 Plan may be subject to additional acceleration of vesting and exercisability upon or after a change in control (as defined in the 2021 Plan and described below) as may be provided in the applicable award agreement, in any other written agreement or plan between us or one of our affiliates and the participant, or in our director compensation policy, but in the absence of such provision, no such acceleration will occur.</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purposes of the 2021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3" w:name="page74"/>
    <w:bookmarkEnd w:id="73"/>
    <w:p>
      <w:pPr>
        <w:jc w:val="both"/>
        <w:spacing w:after="0" w:line="281" w:lineRule="auto"/>
        <w:rPr>
          <w:sz w:val="20"/>
          <w:szCs w:val="20"/>
          <w:color w:val="auto"/>
        </w:rPr>
      </w:pPr>
      <w:r>
        <w:rPr>
          <w:rFonts w:ascii="Arial" w:cs="Arial" w:eastAsia="Arial" w:hAnsi="Arial"/>
          <w:sz w:val="16"/>
          <w:szCs w:val="16"/>
          <w:color w:val="auto"/>
        </w:rPr>
        <w:t>voting securities immediately prior to such transaction; (iii) 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 w:lineRule="exact"/>
        <w:rPr>
          <w:sz w:val="20"/>
          <w:szCs w:val="20"/>
          <w:color w:val="auto"/>
        </w:rPr>
      </w:pPr>
    </w:p>
    <w:p>
      <w:pPr>
        <w:jc w:val="both"/>
        <w:ind w:firstLine="8"/>
        <w:spacing w:after="0" w:line="300" w:lineRule="auto"/>
        <w:tabs>
          <w:tab w:leader="none" w:pos="27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(v) a majority of our Board becomes comprised of individuals whose nomination, appointment, or election was not approved by a majority of the Board members or their approved successors.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Amendments and Termination</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Plan Administrator has the authority to amend or terminate the 2021 Plan at any time. However, except as otherwise provided in the 2021 Plan or an award agreement, no amendment or termination of the 2021 Plan may materially impair a participant’s rights under his or her outstanding awards without the participant’s consent.</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obtain stockholder approval of any amendment to the 2021 Plan as required by applicable law and listing requirements. No incentive stock options may be granted under the 2021 Plan after March 31, 2035, which is the tenth anniversary of the date the amendment and restatement of the 2021 Plan was adopted by the Board.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is a summary of the principal United States federal income tax consequences to participants and us with respect to participation in the 2021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2021 Plan. The 2021 Plan is not qualified under the provisions of Section 401(a) of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Nonstatutory Stock Options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Generally, there is no taxation upon the grant of a nonstatutory stock option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will generally be entitled to a tax deduction equal to the taxable ordinary income realized by the participant.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Stock Options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2021 Plan provides for the grant of stock options that are intended to qualify as “incentive stock options,” as defined in Section 422 of the Code. Under the Code, a participant generally is not subject to ordinary income tax upon the grant or exercise of an incentive stock option. If the participant holds a share received upon exercise of an incentive stock option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4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If, however, a participant disposes of a share acquired upon exercise of an incentive stock option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4" w:name="page75"/>
    <w:bookmarkEnd w:id="74"/>
    <w:p>
      <w:pPr>
        <w:jc w:val="both"/>
        <w:spacing w:after="0" w:line="303"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upon exercise of an incentive stock option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incentive stock option is increased by the amount of the adjustment taken into account with respect to that share for alternative minimum tax purposes in the year the stock option is exercised.</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allowed a tax deduction with respect to the grant or exercise of an incentive stock option or the disposition of a share acquired upon exercise of an incentive stock option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Awards</w:t>
      </w:r>
    </w:p>
    <w:p>
      <w:pPr>
        <w:spacing w:after="0" w:line="12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award, to recognize ordinary income, as of the date the recipient receives the award, equal to the excess, if any, of the fair market value of the stock on the date the award is granted over any amount paid by the recipient for the stock.</w:t>
      </w:r>
    </w:p>
    <w:p>
      <w:pPr>
        <w:spacing w:after="0" w:line="129"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We will generally be entitled to a tax deduction equal to the taxable ordinary income realized by the recipient of the restricted stock award.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 Awards</w:t>
      </w:r>
    </w:p>
    <w:p>
      <w:pPr>
        <w:spacing w:after="0" w:line="12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exemption to the requirements of Section 409A of the Code, in addition to the tax treatment described above, the recipient will owe an additional 20% federal tax and interest on any taxes owed.</w:t>
      </w:r>
    </w:p>
    <w:p>
      <w:pPr>
        <w:spacing w:after="0" w:line="129"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We will generally be entitled to a tax deduction equal to the taxable ordinary income realized by the recipient of the restricted stock unit award.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Appreciation Rights</w:t>
      </w:r>
    </w:p>
    <w:p>
      <w:pPr>
        <w:spacing w:after="0" w:line="12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We will generally be entitled to a tax deduction equal to the taxable ordinary income realized by the recipient of the stock appreciation right.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Section 162(m) Limitations</w:t>
      </w:r>
    </w:p>
    <w:p>
      <w:pPr>
        <w:spacing w:after="0" w:line="12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Under Section 162(m) of the Code (“Section 162(m)”), compensation paid to any publicly held corporation’s “covered employees” that exceeds $1 million per taxable year for any covered employee is generally non-deductible. Awards granted under the 2021 Plan will be subject to the deduction limit under Section 162(m) and will not be eligible to qualify for the performance-based compensation exception under Section 162(m) pursuant to the transition relief provided by the Tax Cuts and Jobs Act.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500" w:type="dxa"/>
            <w:vAlign w:val="bottom"/>
            <w:tcBorders>
              <w:left w:val="single" w:sz="8" w:color="3C3C3C"/>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Name and Position</w:t>
            </w:r>
          </w:p>
        </w:tc>
        <w:tc>
          <w:tcPr>
            <w:tcW w:w="2760" w:type="dxa"/>
            <w:vAlign w:val="bottom"/>
            <w:tcBorders>
              <w:right w:val="single" w:sz="8" w:color="3C3C3C"/>
            </w:tcBorders>
            <w:shd w:val="clear" w:color="auto" w:fill="3C3C3C"/>
          </w:tcPr>
          <w:p>
            <w:pPr>
              <w:ind w:left="740"/>
              <w:spacing w:after="0"/>
              <w:rPr>
                <w:sz w:val="20"/>
                <w:szCs w:val="20"/>
                <w:color w:val="auto"/>
              </w:rPr>
            </w:pPr>
            <w:r>
              <w:rPr>
                <w:rFonts w:ascii="Arial" w:cs="Arial" w:eastAsia="Arial" w:hAnsi="Arial"/>
                <w:sz w:val="14"/>
                <w:szCs w:val="14"/>
                <w:b w:val="1"/>
                <w:bCs w:val="1"/>
                <w:color w:val="FFFFFF"/>
              </w:rPr>
              <w:t>Number of Shares</w:t>
            </w:r>
          </w:p>
        </w:tc>
      </w:tr>
      <w:tr>
        <w:trPr>
          <w:trHeight w:val="218"/>
        </w:trPr>
        <w:tc>
          <w:tcPr>
            <w:tcW w:w="85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Badrinarayanan Kothandaraman</w:t>
            </w:r>
          </w:p>
        </w:tc>
        <w:tc>
          <w:tcPr>
            <w:tcW w:w="2760" w:type="dxa"/>
            <w:vAlign w:val="bottom"/>
            <w:tcBorders>
              <w:right w:val="single" w:sz="8" w:color="929292"/>
            </w:tcBorders>
            <w:shd w:val="clear" w:color="auto" w:fill="FAF6EF"/>
          </w:tcPr>
          <w:p>
            <w:pPr>
              <w:jc w:val="center"/>
              <w:spacing w:after="0" w:line="218" w:lineRule="exact"/>
              <w:rPr>
                <w:sz w:val="20"/>
                <w:szCs w:val="20"/>
                <w:color w:val="auto"/>
              </w:rPr>
            </w:pPr>
            <w:r>
              <w:rPr>
                <w:rFonts w:ascii="Arial" w:cs="Arial" w:eastAsia="Arial" w:hAnsi="Arial"/>
                <w:sz w:val="16"/>
                <w:szCs w:val="16"/>
                <w:color w:val="auto"/>
                <w:w w:val="96"/>
              </w:rPr>
              <w:t>100,000</w:t>
            </w:r>
            <w:r>
              <w:rPr>
                <w:rFonts w:ascii="Arial" w:cs="Arial" w:eastAsia="Arial" w:hAnsi="Arial"/>
                <w:sz w:val="21"/>
                <w:szCs w:val="21"/>
                <w:color w:val="auto"/>
                <w:w w:val="96"/>
                <w:vertAlign w:val="superscript"/>
              </w:rPr>
              <w:t>(1)</w:t>
            </w:r>
          </w:p>
        </w:tc>
      </w:tr>
      <w:tr>
        <w:trPr>
          <w:trHeight w:val="228"/>
        </w:trPr>
        <w:tc>
          <w:tcPr>
            <w:tcW w:w="85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President and CEO</w:t>
            </w:r>
          </w:p>
        </w:tc>
        <w:tc>
          <w:tcPr>
            <w:tcW w:w="2760" w:type="dxa"/>
            <w:vAlign w:val="bottom"/>
            <w:tcBorders>
              <w:right w:val="single" w:sz="8" w:color="929292"/>
            </w:tcBorders>
            <w:shd w:val="clear" w:color="auto" w:fill="FAF6EF"/>
          </w:tcPr>
          <w:p>
            <w:pPr>
              <w:spacing w:after="0"/>
              <w:rPr>
                <w:sz w:val="19"/>
                <w:szCs w:val="19"/>
                <w:color w:val="auto"/>
              </w:rPr>
            </w:pPr>
          </w:p>
        </w:tc>
      </w:tr>
      <w:tr>
        <w:trPr>
          <w:trHeight w:val="243"/>
        </w:trPr>
        <w:tc>
          <w:tcPr>
            <w:tcW w:w="850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Mandy Yang</w:t>
            </w:r>
          </w:p>
        </w:tc>
        <w:tc>
          <w:tcPr>
            <w:tcW w:w="2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3"/>
              </w:rPr>
              <w:t>52,000</w:t>
            </w:r>
            <w:r>
              <w:rPr>
                <w:rFonts w:ascii="Arial" w:cs="Arial" w:eastAsia="Arial" w:hAnsi="Arial"/>
                <w:sz w:val="21"/>
                <w:szCs w:val="21"/>
                <w:color w:val="auto"/>
                <w:w w:val="93"/>
                <w:vertAlign w:val="superscript"/>
              </w:rPr>
              <w:t>(1)</w:t>
            </w:r>
          </w:p>
        </w:tc>
      </w:tr>
      <w:tr>
        <w:trPr>
          <w:trHeight w:val="203"/>
        </w:trPr>
        <w:tc>
          <w:tcPr>
            <w:tcW w:w="850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EVP and CFO</w:t>
            </w:r>
          </w:p>
        </w:tc>
        <w:tc>
          <w:tcPr>
            <w:tcW w:w="2760" w:type="dxa"/>
            <w:vAlign w:val="bottom"/>
            <w:tcBorders>
              <w:right w:val="single" w:sz="8" w:color="929292"/>
            </w:tcBorders>
          </w:tcPr>
          <w:p>
            <w:pPr>
              <w:spacing w:after="0"/>
              <w:rPr>
                <w:sz w:val="17"/>
                <w:szCs w:val="17"/>
                <w:color w:val="auto"/>
              </w:rPr>
            </w:pPr>
          </w:p>
        </w:tc>
      </w:tr>
      <w:tr>
        <w:trPr>
          <w:trHeight w:val="243"/>
        </w:trPr>
        <w:tc>
          <w:tcPr>
            <w:tcW w:w="85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David Ranhoff</w:t>
            </w:r>
          </w:p>
        </w:tc>
        <w:tc>
          <w:tcPr>
            <w:tcW w:w="27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3"/>
              </w:rPr>
              <w:t>52,000</w:t>
            </w:r>
            <w:r>
              <w:rPr>
                <w:rFonts w:ascii="Arial" w:cs="Arial" w:eastAsia="Arial" w:hAnsi="Arial"/>
                <w:sz w:val="21"/>
                <w:szCs w:val="21"/>
                <w:color w:val="auto"/>
                <w:w w:val="93"/>
                <w:vertAlign w:val="superscript"/>
              </w:rPr>
              <w:t>(1)</w:t>
            </w:r>
          </w:p>
        </w:tc>
      </w:tr>
      <w:tr>
        <w:trPr>
          <w:trHeight w:val="203"/>
        </w:trPr>
        <w:tc>
          <w:tcPr>
            <w:tcW w:w="85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Commercial Advisor; Former EVP and CCO</w:t>
            </w:r>
          </w:p>
        </w:tc>
        <w:tc>
          <w:tcPr>
            <w:tcW w:w="2760" w:type="dxa"/>
            <w:vAlign w:val="bottom"/>
            <w:tcBorders>
              <w:right w:val="single" w:sz="8" w:color="929292"/>
            </w:tcBorders>
            <w:shd w:val="clear" w:color="auto" w:fill="FAF6EF"/>
          </w:tcPr>
          <w:p>
            <w:pPr>
              <w:spacing w:after="0"/>
              <w:rPr>
                <w:sz w:val="17"/>
                <w:szCs w:val="17"/>
                <w:color w:val="auto"/>
              </w:rPr>
            </w:pPr>
          </w:p>
        </w:tc>
      </w:tr>
      <w:tr>
        <w:trPr>
          <w:trHeight w:val="291"/>
        </w:trPr>
        <w:tc>
          <w:tcPr>
            <w:tcW w:w="850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All current executive officers as a group</w:t>
            </w:r>
          </w:p>
        </w:tc>
        <w:tc>
          <w:tcPr>
            <w:tcW w:w="2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6"/>
              </w:rPr>
              <w:t>152,000</w:t>
            </w:r>
            <w:r>
              <w:rPr>
                <w:rFonts w:ascii="Arial" w:cs="Arial" w:eastAsia="Arial" w:hAnsi="Arial"/>
                <w:sz w:val="21"/>
                <w:szCs w:val="21"/>
                <w:color w:val="auto"/>
                <w:w w:val="96"/>
                <w:vertAlign w:val="superscript"/>
              </w:rPr>
              <w:t>(1)</w:t>
            </w:r>
          </w:p>
        </w:tc>
      </w:tr>
      <w:tr>
        <w:trPr>
          <w:trHeight w:val="303"/>
        </w:trPr>
        <w:tc>
          <w:tcPr>
            <w:tcW w:w="8500" w:type="dxa"/>
            <w:vAlign w:val="bottom"/>
            <w:tcBorders>
              <w:left w:val="single" w:sz="8" w:color="929292"/>
              <w:right w:val="single" w:sz="8" w:color="929292"/>
            </w:tcBorders>
            <w:shd w:val="clear" w:color="auto" w:fill="FAF6EF"/>
          </w:tcPr>
          <w:p>
            <w:pPr>
              <w:ind w:left="120"/>
              <w:spacing w:after="0"/>
              <w:rPr>
                <w:sz w:val="20"/>
                <w:szCs w:val="20"/>
                <w:color w:val="auto"/>
              </w:rPr>
            </w:pPr>
            <w:r>
              <w:rPr>
                <w:rFonts w:ascii="Arial" w:cs="Arial" w:eastAsia="Arial" w:hAnsi="Arial"/>
                <w:sz w:val="16"/>
                <w:szCs w:val="16"/>
                <w:color w:val="auto"/>
              </w:rPr>
              <w:t>All current directors who are not executive officers as a group</w:t>
            </w:r>
          </w:p>
        </w:tc>
        <w:tc>
          <w:tcPr>
            <w:tcW w:w="276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3"/>
              </w:rPr>
              <w:t>13,163</w:t>
            </w:r>
            <w:r>
              <w:rPr>
                <w:rFonts w:ascii="Arial" w:cs="Arial" w:eastAsia="Arial" w:hAnsi="Arial"/>
                <w:sz w:val="21"/>
                <w:szCs w:val="21"/>
                <w:color w:val="auto"/>
                <w:w w:val="93"/>
                <w:vertAlign w:val="superscript"/>
              </w:rPr>
              <w:t>(2)</w:t>
            </w:r>
          </w:p>
        </w:tc>
      </w:tr>
      <w:tr>
        <w:trPr>
          <w:trHeight w:val="297"/>
        </w:trPr>
        <w:tc>
          <w:tcPr>
            <w:tcW w:w="8500" w:type="dxa"/>
            <w:vAlign w:val="bottom"/>
            <w:tcBorders>
              <w:left w:val="single" w:sz="8" w:color="929292"/>
              <w:right w:val="single" w:sz="8" w:color="929292"/>
            </w:tcBorders>
          </w:tcPr>
          <w:p>
            <w:pPr>
              <w:ind w:left="120"/>
              <w:spacing w:after="0"/>
              <w:rPr>
                <w:sz w:val="20"/>
                <w:szCs w:val="20"/>
                <w:color w:val="auto"/>
              </w:rPr>
            </w:pPr>
            <w:r>
              <w:rPr>
                <w:rFonts w:ascii="Arial" w:cs="Arial" w:eastAsia="Arial" w:hAnsi="Arial"/>
                <w:sz w:val="16"/>
                <w:szCs w:val="16"/>
                <w:color w:val="auto"/>
              </w:rPr>
              <w:t>All employees, including all current officers who are not executive officers, as a group</w:t>
            </w:r>
          </w:p>
        </w:tc>
        <w:tc>
          <w:tcPr>
            <w:tcW w:w="2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5"/>
              </w:rPr>
              <w:t>1,867,887</w:t>
            </w:r>
            <w:r>
              <w:rPr>
                <w:rFonts w:ascii="Arial" w:cs="Arial" w:eastAsia="Arial" w:hAnsi="Arial"/>
                <w:sz w:val="21"/>
                <w:szCs w:val="21"/>
                <w:color w:val="auto"/>
                <w:w w:val="95"/>
                <w:vertAlign w:val="superscript"/>
              </w:rPr>
              <w:t>(1)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jc w:val="both"/>
        <w:ind w:left="260" w:right="40" w:hanging="252"/>
        <w:spacing w:after="0" w:line="283" w:lineRule="auto"/>
        <w:tabs>
          <w:tab w:leader="none" w:pos="245" w:val="left"/>
        </w:tabs>
        <w:numPr>
          <w:ilvl w:val="0"/>
          <w:numId w:val="111"/>
        </w:numPr>
        <w:rPr>
          <w:rFonts w:ascii="Arial" w:cs="Arial" w:eastAsia="Arial" w:hAnsi="Arial"/>
          <w:sz w:val="14"/>
          <w:szCs w:val="14"/>
          <w:color w:val="7D7D7D"/>
        </w:rPr>
      </w:pPr>
      <w:r>
        <w:rPr>
          <w:rFonts w:ascii="Arial" w:cs="Arial" w:eastAsia="Arial" w:hAnsi="Arial"/>
          <w:sz w:val="14"/>
          <w:szCs w:val="14"/>
          <w:color w:val="7D7D7D"/>
        </w:rPr>
        <w:t>Awards granted under the 2021 Plan to our executive officers and other employees are discretionary and are not subject to set benefits or amounts under the terms of the 2021 Plan. Accordingly, the benefits or amounts that will be received by or allocated to our executive officers and other employees under the 2021 Plan are not determinable. The amounts set forth in the table above represent awards granted during 2024.</w:t>
      </w:r>
    </w:p>
    <w:p>
      <w:pPr>
        <w:spacing w:after="0" w:line="11" w:lineRule="exact"/>
        <w:rPr>
          <w:sz w:val="20"/>
          <w:szCs w:val="20"/>
          <w:color w:val="auto"/>
        </w:rPr>
      </w:pPr>
    </w:p>
    <w:p>
      <w:pPr>
        <w:jc w:val="both"/>
        <w:ind w:left="260" w:right="20" w:hanging="252"/>
        <w:spacing w:after="0" w:line="266" w:lineRule="auto"/>
        <w:tabs>
          <w:tab w:leader="none" w:pos="245" w:val="left"/>
        </w:tabs>
        <w:numPr>
          <w:ilvl w:val="0"/>
          <w:numId w:val="112"/>
        </w:numPr>
        <w:rPr>
          <w:rFonts w:ascii="Arial" w:cs="Arial" w:eastAsia="Arial" w:hAnsi="Arial"/>
          <w:sz w:val="14"/>
          <w:szCs w:val="14"/>
          <w:color w:val="7D7D7D"/>
        </w:rPr>
      </w:pPr>
      <w:r>
        <w:rPr>
          <w:rFonts w:ascii="Arial" w:cs="Arial" w:eastAsia="Arial" w:hAnsi="Arial"/>
          <w:sz w:val="14"/>
          <w:szCs w:val="14"/>
          <w:color w:val="7D7D7D"/>
        </w:rPr>
        <w:t>Awards granted under the 2021 Plan to our non-employee directors are discretionary and are not subject to set benefits or amounts under the terms of the 2021 Plan. However, pursuant to our current non-employee director compensation policy, on the date of each annual meeting of our stockholders, (i) each of our non-employee directors will automatically receive a restricted stock unit award with a value of $250,000 and (ii) our lead independent director will automatically receive a restricted stock unit award with a value of $20,000. The number of shares of our common stock subject to such awards is determined on the basis of the closing price of our common stock on the grant date and, therefore, is not determinable at this time. The amount set forth in the table above represents the aggregate equity awards granted to our non-employee directors in 2024. For additional information regarding our current non-employee director compensation policy, please see “Director Compensation” above.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Granted Under the 2021 Plan</w:t>
      </w:r>
    </w:p>
    <w:p>
      <w:pPr>
        <w:spacing w:after="0" w:line="126"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following table sets forth, for each of the individuals and various groups indicated, certain information regarding awards that have been granted under the 2021 Plan since its inception through the Record Date. A total of 8,369,356 shares of our common stock have been issued under the 2021 Plan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4057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0575" cy="146050"/>
                    </a:xfrm>
                    <a:prstGeom prst="rect">
                      <a:avLst/>
                    </a:prstGeom>
                    <a:noFill/>
                  </pic:spPr>
                </pic:pic>
              </a:graphicData>
            </a:graphic>
          </wp:anchor>
        </w:drawing>
      </w:r>
    </w:p>
    <w:p>
      <w:pPr>
        <w:sectPr>
          <w:pgSz w:w="11900" w:h="16838" w:orient="portrait"/>
          <w:cols w:equalWidth="0" w:num="1">
            <w:col w:w="11260"/>
          </w:cols>
          <w:pgMar w:left="320" w:top="989" w:right="319" w:bottom="1440" w:gutter="0" w:footer="0" w:header="0"/>
        </w:sectPr>
      </w:pP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371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named executive officer:</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Badrinarayanan Kothandaraman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President and CEO</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Mandy Yang</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EVP and CFO</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David Ranhoff</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Commercial Advisor; Former EVP and CCO</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current executive officers as a group (2 persons)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current directors who are not executive officers as a group (6 persons)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employees, including all current officers who are not executive officers, as a group</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nominee for election of director:</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Steven J. Gomo</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Thurman John Rodgers</w:t>
      </w:r>
    </w:p>
    <w:p>
      <w:pPr>
        <w:spacing w:after="0" w:line="59" w:lineRule="exact"/>
        <w:rPr>
          <w:sz w:val="20"/>
          <w:szCs w:val="20"/>
          <w:color w:val="auto"/>
        </w:rPr>
      </w:pPr>
    </w:p>
    <w:p>
      <w:pPr>
        <w:ind w:left="120" w:right="2500"/>
        <w:spacing w:after="0" w:line="356" w:lineRule="auto"/>
        <w:rPr>
          <w:sz w:val="20"/>
          <w:szCs w:val="20"/>
          <w:color w:val="auto"/>
        </w:rPr>
      </w:pPr>
      <w:r>
        <w:rPr>
          <w:rFonts w:ascii="Arial" w:cs="Arial" w:eastAsia="Arial" w:hAnsi="Arial"/>
          <w:sz w:val="16"/>
          <w:szCs w:val="16"/>
          <w:color w:val="auto"/>
        </w:rPr>
        <w:t>Each associate of any executive officers, current directors, or director nominees Each other person who received or is to receive 5% of shares under the 2021 Plan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32385</wp:posOffset>
            </wp:positionV>
            <wp:extent cx="8255" cy="22371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2237105"/>
                    </a:xfrm>
                    <a:prstGeom prst="rect">
                      <a:avLst/>
                    </a:prstGeom>
                    <a:noFill/>
                  </pic:spPr>
                </pic:pic>
              </a:graphicData>
            </a:graphic>
          </wp:anchor>
        </w:drawing>
      </w:r>
    </w:p>
    <w:p>
      <w:pPr>
        <w:spacing w:after="0" w:line="3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480,000</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238,000</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224,000</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718,000</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41,888</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7,618,492</w:t>
      </w:r>
    </w:p>
    <w:p>
      <w:pPr>
        <w:spacing w:after="0" w:line="302"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7,781</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7,204</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w:t>
      </w:r>
    </w:p>
    <w:p>
      <w:pPr>
        <w:spacing w:after="0" w:line="318" w:lineRule="exact"/>
        <w:rPr>
          <w:sz w:val="20"/>
          <w:szCs w:val="20"/>
          <w:color w:val="auto"/>
        </w:rPr>
      </w:pPr>
    </w:p>
    <w:p>
      <w:pPr>
        <w:sectPr>
          <w:pgSz w:w="11900" w:h="16838" w:orient="portrait"/>
          <w:cols w:equalWidth="0" w:num="2">
            <w:col w:w="8540" w:space="720"/>
            <w:col w:w="2000"/>
          </w:cols>
          <w:pgMar w:left="320" w:top="989" w:right="319" w:bottom="1440" w:gutter="0" w:footer="0" w:header="0"/>
          <w:type w:val="continuous"/>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2025 Proxy Statement |</w:t>
      </w:r>
      <w:r>
        <w:rPr>
          <w:rFonts w:ascii="Arial" w:cs="Arial" w:eastAsia="Arial" w:hAnsi="Arial"/>
          <w:sz w:val="12"/>
          <w:szCs w:val="12"/>
          <w:color w:val="F37321"/>
        </w:rPr>
        <w:t xml:space="preserve"> </w:t>
      </w:r>
      <w:r>
        <w:rPr>
          <w:rFonts w:ascii="Arial" w:cs="Arial" w:eastAsia="Arial" w:hAnsi="Arial"/>
          <w:sz w:val="12"/>
          <w:szCs w:val="12"/>
          <w:color w:val="6D6D6D"/>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9" w:right="3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Vote Required</w:t>
      </w:r>
    </w:p>
    <w:p>
      <w:pPr>
        <w:spacing w:after="0" w:line="12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Approval of this Proposal 3 requires “For” votes from the holders of a majority of the total votes cast in person or represented by proxy and entitled to vote on the matter at the Annual Meeting. If you “Abstain” from voting, it will have the no effect on the vote.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with the Commission</w:t>
      </w:r>
    </w:p>
    <w:p>
      <w:pPr>
        <w:spacing w:after="0" w:line="12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filed a Registration Statement on Form S-8 with the SEC for the purpose of registering shares of our common stock under the 2021 Plan pursuant to the Securities Act, and intend to file a Registration Statement on Form S-8 with the SEC as soon as practicable to register additional shares of our common stock under the 2021 Plan, subject to the approval of the proposed amendment and restatement by our stockholders at the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 xml:space="preserve">The Board of Directors recommends a vote </w:t>
      </w:r>
      <w:r>
        <w:rPr>
          <w:rFonts w:ascii="Arial" w:cs="Arial" w:eastAsia="Arial" w:hAnsi="Arial"/>
          <w:sz w:val="25"/>
          <w:szCs w:val="25"/>
          <w:b w:val="1"/>
          <w:bCs w:val="1"/>
          <w:color w:val="E86100"/>
        </w:rPr>
        <w:t>FOR</w:t>
      </w:r>
      <w:r>
        <w:rPr>
          <w:rFonts w:ascii="Arial" w:cs="Arial" w:eastAsia="Arial" w:hAnsi="Arial"/>
          <w:sz w:val="25"/>
          <w:szCs w:val="25"/>
          <w:b w:val="1"/>
          <w:bCs w:val="1"/>
          <w:i w:val="1"/>
          <w:iCs w:val="1"/>
          <w:color w:val="auto"/>
        </w:rPr>
        <w:t xml:space="preserve"> Proposal 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7" w:name="page78"/>
    <w:bookmarkEnd w:id="77"/>
    <w:p>
      <w:pPr>
        <w:spacing w:after="0"/>
        <w:rPr>
          <w:sz w:val="20"/>
          <w:szCs w:val="20"/>
          <w:color w:val="auto"/>
        </w:rPr>
      </w:pPr>
      <w:r>
        <w:rPr>
          <w:rFonts w:ascii="Arial" w:cs="Arial" w:eastAsia="Arial" w:hAnsi="Arial"/>
          <w:sz w:val="43"/>
          <w:szCs w:val="43"/>
          <w:b w:val="1"/>
          <w:bCs w:val="1"/>
          <w:color w:val="3B999E"/>
        </w:rPr>
        <w:t>Proposal 4</w:t>
      </w:r>
    </w:p>
    <w:p>
      <w:pPr>
        <w:spacing w:after="0" w:line="329" w:lineRule="exact"/>
        <w:rPr>
          <w:sz w:val="20"/>
          <w:szCs w:val="20"/>
          <w:color w:val="auto"/>
        </w:rPr>
      </w:pPr>
    </w:p>
    <w:p>
      <w:pPr>
        <w:ind w:right="440"/>
        <w:spacing w:after="0" w:line="298" w:lineRule="auto"/>
        <w:rPr>
          <w:sz w:val="20"/>
          <w:szCs w:val="20"/>
          <w:color w:val="auto"/>
        </w:rPr>
      </w:pPr>
      <w:r>
        <w:rPr>
          <w:rFonts w:ascii="Arial" w:cs="Arial" w:eastAsia="Arial" w:hAnsi="Arial"/>
          <w:sz w:val="32"/>
          <w:szCs w:val="32"/>
          <w:b w:val="1"/>
          <w:bCs w:val="1"/>
          <w:color w:val="auto"/>
        </w:rPr>
        <w:t>Ratification of Selection of Independent Registered Public Accounting Firm</w:t>
      </w:r>
    </w:p>
    <w:p>
      <w:pPr>
        <w:spacing w:after="0" w:line="10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Audit Committee has selected Deloitte as our independent registered public accounting firm for the fiscal year ending December 31, 2024. Deloitte has audited our financial statements since 2010. Representatives of Deloitte are expected to be present at the Annual Meeting. They will have an opportunity to make a statement if they so desire and will be available to respond to appropriate questions.</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Deloitte as our independent registered public accounting firm. The Board is submitting the selection of Deloitte to our stockholders for ratification as a matter of good corporate governance. However, the Audit Committee is not bound by a vote either for or against this proposal. The Audit Committee will consider a vote against Deloitte by the stockholders in selecting our independent registered public accounting firm in the future. Even if the selection is ratified, the Audit Committee in its discretion may direct the appointment of different independent auditors at any time during the year if they determine that such a change would be in the best interests of Enphase and its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Accountant Fees and Services</w:t>
      </w:r>
    </w:p>
    <w:p>
      <w:pPr>
        <w:spacing w:after="0" w:line="139"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The following table represents aggregate fees billed to us for the fiscal years ended December 31, 2024 and 2023, by Deloitte,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90805</wp:posOffset>
            </wp:positionV>
            <wp:extent cx="1543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5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3C3C3C"/>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40575" cy="291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49" w:lineRule="exact"/>
        <w:rPr>
          <w:sz w:val="20"/>
          <w:szCs w:val="20"/>
          <w:color w:val="auto"/>
        </w:rPr>
      </w:pPr>
    </w:p>
    <w:p>
      <w:pPr>
        <w:ind w:left="9240"/>
        <w:spacing w:after="0"/>
        <w:tabs>
          <w:tab w:leader="none" w:pos="10480" w:val="left"/>
        </w:tabs>
        <w:rPr>
          <w:sz w:val="20"/>
          <w:szCs w:val="20"/>
          <w:color w:val="auto"/>
        </w:rPr>
      </w:pPr>
      <w:r>
        <w:rPr>
          <w:rFonts w:ascii="Arial" w:cs="Arial" w:eastAsia="Arial" w:hAnsi="Arial"/>
          <w:sz w:val="14"/>
          <w:szCs w:val="14"/>
          <w:b w:val="1"/>
          <w:bCs w:val="1"/>
          <w:color w:val="FFFFFF"/>
        </w:rPr>
        <w:t>2024</w:t>
      </w:r>
      <w:r>
        <w:rPr>
          <w:sz w:val="20"/>
          <w:szCs w:val="20"/>
          <w:color w:val="auto"/>
        </w:rPr>
        <w:tab/>
      </w:r>
      <w:r>
        <w:rPr>
          <w:rFonts w:ascii="Arial" w:cs="Arial" w:eastAsia="Arial" w:hAnsi="Arial"/>
          <w:sz w:val="14"/>
          <w:szCs w:val="14"/>
          <w:b w:val="1"/>
          <w:bCs w:val="1"/>
          <w:color w:val="FFFFFF"/>
        </w:rPr>
        <w:t>2023</w:t>
      </w:r>
    </w:p>
    <w:p>
      <w:pPr>
        <w:spacing w:after="0" w:line="6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40575" cy="796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0575" cy="79692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Audit fees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Audit-related fees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Tax fees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All other fees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Total fees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color w:val="auto"/>
        </w:rPr>
        <w:t>$2,606</w:t>
      </w:r>
      <w:r>
        <w:rPr>
          <w:sz w:val="20"/>
          <w:szCs w:val="20"/>
          <w:color w:val="auto"/>
        </w:rPr>
        <w:tab/>
      </w:r>
      <w:r>
        <w:rPr>
          <w:rFonts w:ascii="Arial" w:cs="Arial" w:eastAsia="Arial" w:hAnsi="Arial"/>
          <w:sz w:val="16"/>
          <w:szCs w:val="16"/>
          <w:color w:val="auto"/>
        </w:rPr>
        <w:t>$3,106</w:t>
      </w:r>
    </w:p>
    <w:p>
      <w:pPr>
        <w:spacing w:after="0" w:line="59"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1400" w:hanging="1278"/>
        <w:spacing w:after="0"/>
        <w:tabs>
          <w:tab w:leader="none" w:pos="14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405</w:t>
      </w:r>
    </w:p>
    <w:p>
      <w:pPr>
        <w:spacing w:after="0" w:line="59"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—83</w:t>
      </w:r>
    </w:p>
    <w:p>
      <w:pPr>
        <w:spacing w:after="0" w:line="73"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$3,058</w:t>
      </w:r>
      <w:r>
        <w:rPr>
          <w:sz w:val="20"/>
          <w:szCs w:val="20"/>
          <w:color w:val="auto"/>
        </w:rPr>
        <w:tab/>
      </w:r>
      <w:r>
        <w:rPr>
          <w:rFonts w:ascii="Arial" w:cs="Arial" w:eastAsia="Arial" w:hAnsi="Arial"/>
          <w:sz w:val="16"/>
          <w:szCs w:val="16"/>
          <w:b w:val="1"/>
          <w:bCs w:val="1"/>
          <w:color w:val="auto"/>
        </w:rPr>
        <w:t>$3,594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55245</wp:posOffset>
            </wp:positionV>
            <wp:extent cx="15513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8420" w:space="720"/>
            <w:col w:w="2100"/>
          </w:cols>
          <w:pgMar w:left="320" w:top="771"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________</w:t>
      </w:r>
    </w:p>
    <w:p>
      <w:pPr>
        <w:spacing w:after="0" w:line="7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For 2024 and 2023, consists of fees for professional services rendered, including audit of financial statements presented in our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review of interim financial statements presented in our quarterly reports on Form 10-Q, services provided in connection with regulatory filings, business combinations, and other matters related to our periodic filings with the SEC.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Consists of professional services rendered for tax compliance, tax advice and tax planning.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Consists of fees for professional services related to ESG attestation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fees described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Pre-Approval Policies and Procedures</w:t>
      </w:r>
    </w:p>
    <w:p>
      <w:pPr>
        <w:spacing w:after="0" w:line="12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Audit Committee has adopted a policy and procedures for the pre-approval of audit and non-audit services rendered by our independent registered public accounting firm, Deloitte. These services may include audit services, audit-related services, tax services and other services. Pre-approval may be given as part of the Audit Committee’s approval of the scope of the engagement of the independent registered public accounting firm or on an individual explicit case-by-case basis. The pre-approval of services may be delegated to one or more of the Audit Committee’s members, but the decision must be reported to the full Audit Committee at its next scheduled meeting.</w:t>
      </w:r>
    </w:p>
    <w:p>
      <w:pPr>
        <w:spacing w:after="0" w:line="13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Audit Committee has determined that the rendering of services other than audit services by Deloitte is compatible with maintaining the principal accountant’s independence.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2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Approval of this Proposal 4 requires “FOR” votes from the holders of a majority of shares present in person or represented by proxy and entitled to vote on the matter at the Annual Meeting. If you “ABSTAIN” from voting, it will have the same effect as an “AGAINST” vote.</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 xml:space="preserve">The Board of Directors recommends a vote </w:t>
      </w:r>
      <w:r>
        <w:rPr>
          <w:rFonts w:ascii="Arial" w:cs="Arial" w:eastAsia="Arial" w:hAnsi="Arial"/>
          <w:sz w:val="25"/>
          <w:szCs w:val="25"/>
          <w:b w:val="1"/>
          <w:bCs w:val="1"/>
          <w:color w:val="E86100"/>
        </w:rPr>
        <w:t>FOR</w:t>
      </w:r>
      <w:r>
        <w:rPr>
          <w:rFonts w:ascii="Arial" w:cs="Arial" w:eastAsia="Arial" w:hAnsi="Arial"/>
          <w:sz w:val="25"/>
          <w:szCs w:val="25"/>
          <w:b w:val="1"/>
          <w:bCs w:val="1"/>
          <w:i w:val="1"/>
          <w:iCs w:val="1"/>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9" w:name="page80"/>
    <w:bookmarkEnd w:id="79"/>
    <w:p>
      <w:pPr>
        <w:spacing w:after="0"/>
        <w:rPr>
          <w:sz w:val="20"/>
          <w:szCs w:val="20"/>
          <w:color w:val="auto"/>
        </w:rPr>
      </w:pPr>
      <w:r>
        <w:rPr>
          <w:rFonts w:ascii="Arial" w:cs="Arial" w:eastAsia="Arial" w:hAnsi="Arial"/>
          <w:sz w:val="43"/>
          <w:szCs w:val="43"/>
          <w:b w:val="1"/>
          <w:bCs w:val="1"/>
          <w:color w:val="auto"/>
        </w:rPr>
        <w:t>Report of the Audit Committee of the Board*</w:t>
      </w:r>
    </w:p>
    <w:p>
      <w:pPr>
        <w:spacing w:after="0" w:line="3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As of March 13, 2025, the date of this report, the Audit Committee consisted of three members: Steven J. Gomo, who serves as the Chair of the Committee, Benjamin Kortlang and Richard Mora. Each member is an independent director under Nasdaq and SEC rules, and meets the standards for committee independence as set forth in our Corporate Governance Guidelines. The Audit Committee has the duties and powers described in its written charter adopted by the Board. A copy of the charter is available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12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With respect to our financial reporting process, management is responsible for (i) establishing and maintaining internal controls and (ii) preparing our consolidated financial statements.</w:t>
      </w:r>
    </w:p>
    <w:p>
      <w:pPr>
        <w:spacing w:after="0" w:line="8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independent registered public accounting firm, Deloitte, is responsible for auditing these financial statements and the Audit Committee oversees these activities. It is not the responsibility of the Audit Committee to prepare or certify our financial statements or guarantee the audits or reports of the independent auditors. These are the fundamental responsibilities of management and our independent registered public accounting firm.</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work performed by Deloitte. In fulfilling its oversight responsibility, the Audit Committee carefully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w:t>
      </w:r>
    </w:p>
    <w:p>
      <w:pPr>
        <w:spacing w:after="0" w:line="12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2024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the PCAOB regarding the independent accountants’ communications with the Audit Committee concerning independence, and has discussed with the independent registered public accounting firm the accounting firm’s independence. Based on the above, the Audit Committee recommended to the Board that the audited financial statements be included in our Annual Report on Form 10-K for the fiscal year ended December 31,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Steven J. Gomo, 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Benjamin Kortlang, Member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Mora, Member</w:t>
      </w:r>
    </w:p>
    <w:p>
      <w:pPr>
        <w:spacing w:after="0" w:line="37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i w:val="1"/>
          <w:iCs w:val="1"/>
          <w:color w:val="auto"/>
        </w:rPr>
        <w:t>*The material in this report is not “soliciting material,” is furnished to, but not deemed “filed” with, the SEC and is not deemed to be incorporated by reference in any of our filings under the Securities Act or the Exchange Act, other than our Annual Report on Form 10-K for the fiscal year ended December 31, 2024, as filed with the SEC on February 10, 2025,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0" w:name="page81"/>
    <w:bookmarkEnd w:id="80"/>
    <w:p>
      <w:pPr>
        <w:spacing w:after="0"/>
        <w:rPr>
          <w:sz w:val="20"/>
          <w:szCs w:val="20"/>
          <w:color w:val="auto"/>
        </w:rPr>
      </w:pPr>
      <w:r>
        <w:rPr>
          <w:rFonts w:ascii="Arial" w:cs="Arial" w:eastAsia="Arial" w:hAnsi="Arial"/>
          <w:sz w:val="43"/>
          <w:szCs w:val="43"/>
          <w:b w:val="1"/>
          <w:bCs w:val="1"/>
          <w:color w:val="auto"/>
        </w:rPr>
        <w:t>Other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Security Ownership of Certain Beneficial Owners and Management</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sets forth certain information regarding the ownership of our common stock as of March 20, 2025 by: (i) each director and nominee for director; (ii) each NEO as set forth in the Summary Compensation Table of this proxy statement; (iii) all of our executive officers and directors as a group; and (iv) all those known by us to be beneficial owners of more than five percent of our common stock. Unless otherwise indicated, the address for each of the stockholders in the table below is c/o Enphase Energy, Inc. 47281 Bayside Parkway, Fremont, CA 94538.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61595</wp:posOffset>
            </wp:positionV>
            <wp:extent cx="27089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40575" cy="2905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0575" cy="2905760"/>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Stockholders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(3)</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Baillie Gifford &amp; Co</w:t>
      </w:r>
      <w:r>
        <w:rPr>
          <w:rFonts w:ascii="Arial" w:cs="Arial" w:eastAsia="Arial" w:hAnsi="Arial"/>
          <w:sz w:val="21"/>
          <w:szCs w:val="21"/>
          <w:color w:val="auto"/>
          <w:vertAlign w:val="superscript"/>
        </w:rPr>
        <w:t>(4)</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Named Executive Officers and Directors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Badrinarayanan Kothandaraman</w:t>
      </w:r>
      <w:r>
        <w:rPr>
          <w:rFonts w:ascii="Arial" w:cs="Arial" w:eastAsia="Arial" w:hAnsi="Arial"/>
          <w:sz w:val="21"/>
          <w:szCs w:val="21"/>
          <w:color w:val="auto"/>
          <w:vertAlign w:val="superscript"/>
        </w:rPr>
        <w:t>(5)</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Mandy Yang</w:t>
      </w:r>
      <w:r>
        <w:rPr>
          <w:rFonts w:ascii="Arial" w:cs="Arial" w:eastAsia="Arial" w:hAnsi="Arial"/>
          <w:sz w:val="21"/>
          <w:szCs w:val="21"/>
          <w:color w:val="auto"/>
          <w:vertAlign w:val="superscript"/>
        </w:rPr>
        <w:t>(6)</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David Ranhoff</w:t>
      </w:r>
      <w:r>
        <w:rPr>
          <w:rFonts w:ascii="Arial" w:cs="Arial" w:eastAsia="Arial" w:hAnsi="Arial"/>
          <w:sz w:val="21"/>
          <w:szCs w:val="21"/>
          <w:color w:val="auto"/>
          <w:vertAlign w:val="superscript"/>
        </w:rPr>
        <w:t>(7)</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Steven J. Gomo</w:t>
      </w:r>
      <w:r>
        <w:rPr>
          <w:rFonts w:ascii="Arial" w:cs="Arial" w:eastAsia="Arial" w:hAnsi="Arial"/>
          <w:sz w:val="21"/>
          <w:szCs w:val="21"/>
          <w:color w:val="auto"/>
          <w:vertAlign w:val="superscript"/>
        </w:rPr>
        <w:t>(8)</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Jamie Haenggi</w:t>
      </w:r>
      <w:r>
        <w:rPr>
          <w:rFonts w:ascii="Arial" w:cs="Arial" w:eastAsia="Arial" w:hAnsi="Arial"/>
          <w:sz w:val="21"/>
          <w:szCs w:val="21"/>
          <w:color w:val="auto"/>
          <w:vertAlign w:val="superscript"/>
        </w:rPr>
        <w:t>(9)</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Benjamin Kortlang</w:t>
      </w:r>
      <w:r>
        <w:rPr>
          <w:rFonts w:ascii="Arial" w:cs="Arial" w:eastAsia="Arial" w:hAnsi="Arial"/>
          <w:sz w:val="21"/>
          <w:szCs w:val="21"/>
          <w:color w:val="auto"/>
          <w:vertAlign w:val="superscript"/>
        </w:rPr>
        <w:t>(10)</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Joseph Malchow</w:t>
      </w:r>
      <w:r>
        <w:rPr>
          <w:rFonts w:ascii="Arial" w:cs="Arial" w:eastAsia="Arial" w:hAnsi="Arial"/>
          <w:sz w:val="21"/>
          <w:szCs w:val="21"/>
          <w:color w:val="auto"/>
          <w:vertAlign w:val="superscript"/>
        </w:rPr>
        <w:t>(11)</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Richard Mora</w:t>
      </w:r>
      <w:r>
        <w:rPr>
          <w:rFonts w:ascii="Arial" w:cs="Arial" w:eastAsia="Arial" w:hAnsi="Arial"/>
          <w:sz w:val="21"/>
          <w:szCs w:val="21"/>
          <w:color w:val="auto"/>
          <w:vertAlign w:val="superscript"/>
        </w:rPr>
        <w:t>(12)</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Thurman John Rodgers</w:t>
      </w:r>
      <w:r>
        <w:rPr>
          <w:rFonts w:ascii="Arial" w:cs="Arial" w:eastAsia="Arial" w:hAnsi="Arial"/>
          <w:sz w:val="21"/>
          <w:szCs w:val="21"/>
          <w:color w:val="auto"/>
          <w:vertAlign w:val="superscript"/>
        </w:rPr>
        <w:t>(13)</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All current executive officers and directors as a group (8 persons)</w:t>
      </w:r>
      <w:r>
        <w:rPr>
          <w:rFonts w:ascii="Arial" w:cs="Arial" w:eastAsia="Arial" w:hAnsi="Arial"/>
          <w:sz w:val="20"/>
          <w:szCs w:val="20"/>
          <w:b w:val="1"/>
          <w:bCs w:val="1"/>
          <w:color w:val="auto"/>
          <w:vertAlign w:val="superscript"/>
        </w:rPr>
        <w:t>(14)</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3C3C3C"/>
        </w:rPr>
        <w:t>Beneficial Ownership</w:t>
      </w:r>
      <w:r>
        <w:rPr>
          <w:rFonts w:ascii="Arial" w:cs="Arial" w:eastAsia="Arial" w:hAnsi="Arial"/>
          <w:sz w:val="18"/>
          <w:szCs w:val="18"/>
          <w:b w:val="1"/>
          <w:bCs w:val="1"/>
          <w:color w:val="3C3C3C"/>
          <w:vertAlign w:val="superscript"/>
        </w:rPr>
        <w:t>(1)</w:t>
      </w:r>
    </w:p>
    <w:p>
      <w:pPr>
        <w:spacing w:after="0" w:line="39"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b w:val="1"/>
          <w:bCs w:val="1"/>
          <w:color w:val="FFFFFF"/>
        </w:rPr>
        <w:t>Number of Shares</w:t>
      </w:r>
      <w:r>
        <w:rPr>
          <w:sz w:val="20"/>
          <w:szCs w:val="20"/>
          <w:color w:val="auto"/>
        </w:rPr>
        <w:tab/>
      </w:r>
      <w:r>
        <w:rPr>
          <w:rFonts w:ascii="Arial" w:cs="Arial" w:eastAsia="Arial" w:hAnsi="Arial"/>
          <w:sz w:val="14"/>
          <w:szCs w:val="14"/>
          <w:b w:val="1"/>
          <w:bCs w:val="1"/>
          <w:color w:val="FFFFFF"/>
        </w:rPr>
        <w:t>Percent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23495</wp:posOffset>
            </wp:positionV>
            <wp:extent cx="8255" cy="27603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2760345"/>
                    </a:xfrm>
                    <a:prstGeom prst="rect">
                      <a:avLst/>
                    </a:prstGeom>
                    <a:noFill/>
                  </pic:spPr>
                </pic:pic>
              </a:graphicData>
            </a:graphic>
          </wp:anchor>
        </w:drawing>
      </w:r>
    </w:p>
    <w:p>
      <w:pPr>
        <w:spacing w:after="0" w:line="300" w:lineRule="exact"/>
        <w:rPr>
          <w:sz w:val="20"/>
          <w:szCs w:val="20"/>
          <w:color w:val="auto"/>
        </w:rPr>
      </w:pPr>
    </w:p>
    <w:p>
      <w:pPr>
        <w:ind w:left="200"/>
        <w:spacing w:after="0"/>
        <w:tabs>
          <w:tab w:leader="none" w:pos="2560" w:val="left"/>
        </w:tabs>
        <w:rPr>
          <w:sz w:val="20"/>
          <w:szCs w:val="20"/>
          <w:color w:val="auto"/>
        </w:rPr>
      </w:pPr>
      <w:r>
        <w:rPr>
          <w:rFonts w:ascii="Arial" w:cs="Arial" w:eastAsia="Arial" w:hAnsi="Arial"/>
          <w:sz w:val="16"/>
          <w:szCs w:val="16"/>
          <w:color w:val="auto"/>
        </w:rPr>
        <w:t>15,861,941</w:t>
      </w:r>
      <w:r>
        <w:rPr>
          <w:sz w:val="20"/>
          <w:szCs w:val="20"/>
          <w:color w:val="auto"/>
        </w:rPr>
        <w:tab/>
      </w:r>
      <w:r>
        <w:rPr>
          <w:rFonts w:ascii="Arial" w:cs="Arial" w:eastAsia="Arial" w:hAnsi="Arial"/>
          <w:sz w:val="16"/>
          <w:szCs w:val="16"/>
          <w:color w:val="auto"/>
        </w:rPr>
        <w:t>12.1%</w:t>
      </w:r>
    </w:p>
    <w:p>
      <w:pPr>
        <w:spacing w:after="0" w:line="113" w:lineRule="exact"/>
        <w:rPr>
          <w:sz w:val="20"/>
          <w:szCs w:val="20"/>
          <w:color w:val="auto"/>
        </w:rPr>
      </w:pPr>
    </w:p>
    <w:p>
      <w:pPr>
        <w:ind w:left="200"/>
        <w:spacing w:after="0"/>
        <w:tabs>
          <w:tab w:leader="none" w:pos="2560" w:val="left"/>
        </w:tabs>
        <w:rPr>
          <w:sz w:val="20"/>
          <w:szCs w:val="20"/>
          <w:color w:val="auto"/>
        </w:rPr>
      </w:pPr>
      <w:r>
        <w:rPr>
          <w:rFonts w:ascii="Arial" w:cs="Arial" w:eastAsia="Arial" w:hAnsi="Arial"/>
          <w:sz w:val="16"/>
          <w:szCs w:val="16"/>
          <w:color w:val="auto"/>
        </w:rPr>
        <w:t>15,641,335</w:t>
      </w:r>
      <w:r>
        <w:rPr>
          <w:sz w:val="20"/>
          <w:szCs w:val="20"/>
          <w:color w:val="auto"/>
        </w:rPr>
        <w:tab/>
      </w:r>
      <w:r>
        <w:rPr>
          <w:rFonts w:ascii="Arial" w:cs="Arial" w:eastAsia="Arial" w:hAnsi="Arial"/>
          <w:sz w:val="16"/>
          <w:szCs w:val="16"/>
          <w:color w:val="auto"/>
        </w:rPr>
        <w:t>11.9%</w:t>
      </w:r>
    </w:p>
    <w:p>
      <w:pPr>
        <w:spacing w:after="0" w:line="113"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8,371,790</w:t>
      </w:r>
      <w:r>
        <w:rPr>
          <w:sz w:val="20"/>
          <w:szCs w:val="20"/>
          <w:color w:val="auto"/>
        </w:rPr>
        <w:tab/>
      </w:r>
      <w:r>
        <w:rPr>
          <w:rFonts w:ascii="Arial" w:cs="Arial" w:eastAsia="Arial" w:hAnsi="Arial"/>
          <w:sz w:val="16"/>
          <w:szCs w:val="16"/>
          <w:color w:val="auto"/>
        </w:rPr>
        <w:t>6.4%</w:t>
      </w:r>
    </w:p>
    <w:p>
      <w:pPr>
        <w:spacing w:after="0" w:line="356"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1,611,632</w:t>
      </w:r>
      <w:r>
        <w:rPr>
          <w:sz w:val="20"/>
          <w:szCs w:val="20"/>
          <w:color w:val="auto"/>
        </w:rPr>
        <w:tab/>
      </w:r>
      <w:r>
        <w:rPr>
          <w:rFonts w:ascii="Arial" w:cs="Arial" w:eastAsia="Arial" w:hAnsi="Arial"/>
          <w:sz w:val="16"/>
          <w:szCs w:val="16"/>
          <w:color w:val="auto"/>
        </w:rPr>
        <w:t>1.2%</w:t>
      </w:r>
    </w:p>
    <w:p>
      <w:pPr>
        <w:spacing w:after="0" w:line="113" w:lineRule="exact"/>
        <w:rPr>
          <w:sz w:val="20"/>
          <w:szCs w:val="20"/>
          <w:color w:val="auto"/>
        </w:rPr>
      </w:pPr>
    </w:p>
    <w:p>
      <w:pPr>
        <w:ind w:left="360"/>
        <w:spacing w:after="0"/>
        <w:tabs>
          <w:tab w:leader="none" w:pos="2740" w:val="left"/>
        </w:tabs>
        <w:rPr>
          <w:sz w:val="20"/>
          <w:szCs w:val="20"/>
          <w:color w:val="auto"/>
        </w:rPr>
      </w:pPr>
      <w:r>
        <w:rPr>
          <w:rFonts w:ascii="Arial" w:cs="Arial" w:eastAsia="Arial" w:hAnsi="Arial"/>
          <w:sz w:val="16"/>
          <w:szCs w:val="16"/>
          <w:color w:val="auto"/>
        </w:rPr>
        <w:t>83,104</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360"/>
        <w:spacing w:after="0"/>
        <w:tabs>
          <w:tab w:leader="none" w:pos="2740" w:val="left"/>
        </w:tabs>
        <w:rPr>
          <w:sz w:val="20"/>
          <w:szCs w:val="20"/>
          <w:color w:val="auto"/>
        </w:rPr>
      </w:pPr>
      <w:r>
        <w:rPr>
          <w:rFonts w:ascii="Arial" w:cs="Arial" w:eastAsia="Arial" w:hAnsi="Arial"/>
          <w:sz w:val="16"/>
          <w:szCs w:val="16"/>
          <w:color w:val="auto"/>
        </w:rPr>
        <w:t>59,046</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380"/>
        <w:spacing w:after="0"/>
        <w:tabs>
          <w:tab w:leader="none" w:pos="2740" w:val="left"/>
        </w:tabs>
        <w:rPr>
          <w:sz w:val="20"/>
          <w:szCs w:val="20"/>
          <w:color w:val="auto"/>
        </w:rPr>
      </w:pPr>
      <w:r>
        <w:rPr>
          <w:rFonts w:ascii="Arial" w:cs="Arial" w:eastAsia="Arial" w:hAnsi="Arial"/>
          <w:sz w:val="16"/>
          <w:szCs w:val="16"/>
          <w:color w:val="auto"/>
        </w:rPr>
        <w:t>96,111</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420"/>
        <w:spacing w:after="0"/>
        <w:tabs>
          <w:tab w:leader="none" w:pos="2740" w:val="left"/>
        </w:tabs>
        <w:rPr>
          <w:sz w:val="20"/>
          <w:szCs w:val="20"/>
          <w:color w:val="auto"/>
        </w:rPr>
      </w:pPr>
      <w:r>
        <w:rPr>
          <w:rFonts w:ascii="Arial" w:cs="Arial" w:eastAsia="Arial" w:hAnsi="Arial"/>
          <w:sz w:val="16"/>
          <w:szCs w:val="16"/>
          <w:color w:val="auto"/>
        </w:rPr>
        <w:t>9,767</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320"/>
        <w:spacing w:after="0"/>
        <w:tabs>
          <w:tab w:leader="none" w:pos="2740" w:val="left"/>
        </w:tabs>
        <w:rPr>
          <w:sz w:val="20"/>
          <w:szCs w:val="20"/>
          <w:color w:val="auto"/>
        </w:rPr>
      </w:pPr>
      <w:r>
        <w:rPr>
          <w:rFonts w:ascii="Arial" w:cs="Arial" w:eastAsia="Arial" w:hAnsi="Arial"/>
          <w:sz w:val="16"/>
          <w:szCs w:val="16"/>
          <w:color w:val="auto"/>
        </w:rPr>
        <w:t>206,294</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360"/>
        <w:spacing w:after="0"/>
        <w:tabs>
          <w:tab w:leader="none" w:pos="2740" w:val="left"/>
        </w:tabs>
        <w:rPr>
          <w:sz w:val="20"/>
          <w:szCs w:val="20"/>
          <w:color w:val="auto"/>
        </w:rPr>
      </w:pPr>
      <w:r>
        <w:rPr>
          <w:rFonts w:ascii="Arial" w:cs="Arial" w:eastAsia="Arial" w:hAnsi="Arial"/>
          <w:sz w:val="16"/>
          <w:szCs w:val="16"/>
          <w:color w:val="auto"/>
        </w:rPr>
        <w:t>58,781</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420"/>
        <w:spacing w:after="0"/>
        <w:tabs>
          <w:tab w:leader="none" w:pos="2740" w:val="left"/>
        </w:tabs>
        <w:rPr>
          <w:sz w:val="20"/>
          <w:szCs w:val="20"/>
          <w:color w:val="auto"/>
        </w:rPr>
      </w:pPr>
      <w:r>
        <w:rPr>
          <w:rFonts w:ascii="Arial" w:cs="Arial" w:eastAsia="Arial" w:hAnsi="Arial"/>
          <w:sz w:val="16"/>
          <w:szCs w:val="16"/>
          <w:color w:val="auto"/>
        </w:rPr>
        <w:t>5,291</w:t>
      </w:r>
      <w:r>
        <w:rPr>
          <w:sz w:val="20"/>
          <w:szCs w:val="20"/>
          <w:color w:val="auto"/>
        </w:rPr>
        <w:tab/>
      </w:r>
      <w:r>
        <w:rPr>
          <w:rFonts w:ascii="Arial" w:cs="Arial" w:eastAsia="Arial" w:hAnsi="Arial"/>
          <w:sz w:val="16"/>
          <w:szCs w:val="16"/>
          <w:color w:val="auto"/>
        </w:rPr>
        <w:t>*</w:t>
      </w:r>
    </w:p>
    <w:p>
      <w:pPr>
        <w:spacing w:after="0" w:line="113"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1,976,244</w:t>
      </w:r>
      <w:r>
        <w:rPr>
          <w:sz w:val="20"/>
          <w:szCs w:val="20"/>
          <w:color w:val="auto"/>
        </w:rPr>
        <w:tab/>
      </w:r>
      <w:r>
        <w:rPr>
          <w:rFonts w:ascii="Arial" w:cs="Arial" w:eastAsia="Arial" w:hAnsi="Arial"/>
          <w:sz w:val="16"/>
          <w:szCs w:val="16"/>
          <w:color w:val="auto"/>
        </w:rPr>
        <w:t>1.5%</w:t>
      </w:r>
    </w:p>
    <w:p>
      <w:pPr>
        <w:spacing w:after="0" w:line="113"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4,047,224</w:t>
      </w:r>
      <w:r>
        <w:rPr>
          <w:sz w:val="20"/>
          <w:szCs w:val="20"/>
          <w:color w:val="auto"/>
        </w:rPr>
        <w:tab/>
      </w:r>
      <w:r>
        <w:rPr>
          <w:rFonts w:ascii="Arial" w:cs="Arial" w:eastAsia="Arial" w:hAnsi="Arial"/>
          <w:sz w:val="16"/>
          <w:szCs w:val="16"/>
          <w:color w:val="auto"/>
        </w:rPr>
        <w:t>3.1%</w:t>
      </w:r>
    </w:p>
    <w:p>
      <w:pPr>
        <w:spacing w:after="0" w:line="138" w:lineRule="exact"/>
        <w:rPr>
          <w:sz w:val="20"/>
          <w:szCs w:val="20"/>
          <w:color w:val="auto"/>
        </w:rPr>
      </w:pPr>
    </w:p>
    <w:p>
      <w:pPr>
        <w:sectPr>
          <w:pgSz w:w="11900" w:h="16838" w:orient="portrait"/>
          <w:cols w:equalWidth="0" w:num="2">
            <w:col w:w="6680" w:space="720"/>
            <w:col w:w="3840"/>
          </w:cols>
          <w:pgMar w:left="320" w:top="771"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________</w:t>
      </w:r>
    </w:p>
    <w:p>
      <w:pPr>
        <w:spacing w:after="0" w:line="23"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4"/>
          <w:szCs w:val="14"/>
          <w:color w:val="7D7D7D"/>
        </w:rPr>
      </w:pPr>
      <w:r>
        <w:rPr>
          <w:rFonts w:ascii="Arial" w:cs="Arial" w:eastAsia="Arial" w:hAnsi="Arial"/>
          <w:sz w:val="14"/>
          <w:szCs w:val="14"/>
          <w:color w:val="7D7D7D"/>
        </w:rPr>
        <w:t>Less than one percent.</w:t>
      </w:r>
    </w:p>
    <w:p>
      <w:pPr>
        <w:spacing w:after="0" w:line="55" w:lineRule="exact"/>
        <w:rPr>
          <w:sz w:val="20"/>
          <w:szCs w:val="20"/>
          <w:color w:val="auto"/>
        </w:rPr>
      </w:pPr>
    </w:p>
    <w:p>
      <w:pPr>
        <w:jc w:val="both"/>
        <w:ind w:left="340" w:hanging="332"/>
        <w:spacing w:after="0" w:line="264" w:lineRule="auto"/>
        <w:tabs>
          <w:tab w:leader="none" w:pos="325" w:val="left"/>
        </w:tabs>
        <w:numPr>
          <w:ilvl w:val="0"/>
          <w:numId w:val="115"/>
        </w:numPr>
        <w:rPr>
          <w:rFonts w:ascii="Arial" w:cs="Arial" w:eastAsia="Arial" w:hAnsi="Arial"/>
          <w:sz w:val="14"/>
          <w:szCs w:val="14"/>
          <w:color w:val="7D7D7D"/>
        </w:rPr>
      </w:pPr>
      <w:r>
        <w:rPr>
          <w:rFonts w:ascii="Arial" w:cs="Arial" w:eastAsia="Arial" w:hAnsi="Arial"/>
          <w:sz w:val="14"/>
          <w:szCs w:val="14"/>
          <w:color w:val="7D7D7D"/>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 ownership is based on 131,185,907 shares of our common stock outstanding on March 20, 2025. In accordance with the rules and regulations of the SEC, in computing the number of shares of common stock beneficially owned by a person and the percentage ownership of such person, we deemed to be outstanding all shares of common stock subject to stock options or RSUs held by the person that are currently exercisable or exercisable (or issuable upon vesting of RSUs) within 60 days of March 20, 2025. In computing the percentage ownership of any person, the amount of shares outstanding is deemed to include the amount of shares beneficially owned by such person (and only such person) by reason of such acquisition rights. As a result, the percentage of outstanding shares held by any person in the table below does not necessarily reflect the person’s actual voting power.</w:t>
      </w:r>
    </w:p>
    <w:p>
      <w:pPr>
        <w:spacing w:after="0" w:line="28" w:lineRule="exact"/>
        <w:rPr>
          <w:sz w:val="20"/>
          <w:szCs w:val="20"/>
          <w:color w:val="auto"/>
        </w:rPr>
      </w:pPr>
    </w:p>
    <w:p>
      <w:pPr>
        <w:jc w:val="both"/>
        <w:ind w:left="340" w:hanging="332"/>
        <w:spacing w:after="0" w:line="262" w:lineRule="auto"/>
        <w:tabs>
          <w:tab w:leader="none" w:pos="325" w:val="left"/>
        </w:tabs>
        <w:numPr>
          <w:ilvl w:val="0"/>
          <w:numId w:val="116"/>
        </w:numPr>
        <w:rPr>
          <w:rFonts w:ascii="Arial" w:cs="Arial" w:eastAsia="Arial" w:hAnsi="Arial"/>
          <w:sz w:val="14"/>
          <w:szCs w:val="14"/>
          <w:color w:val="7D7D7D"/>
        </w:rPr>
      </w:pPr>
      <w:r>
        <w:rPr>
          <w:rFonts w:ascii="Arial" w:cs="Arial" w:eastAsia="Arial" w:hAnsi="Arial"/>
          <w:sz w:val="14"/>
          <w:szCs w:val="14"/>
          <w:color w:val="7D7D7D"/>
        </w:rPr>
        <w:t>Information provided is based solely on a Schedule 13G/A filed by the reporting person on November 12, 2024. The reporting entity is a parent holding company and has sole voting power with respect to 14,903,604 shares and sole dispositive power with respect to 15,861,941 shares, reporting on behalf of the following subsidiaries: BlackRock Life Limited, BlackRock Advisors, LLC, Aperio Group, LLC, BlackRock France SAS,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SpiderRock Advisors, LLC, BlackRock Asset Management Canada Limited, BlackRock (Luxembourg) S.A., BlackRock Investment Management (Australia) Limited, BlackRock Advisors (UK) Limited, BlackRock Fund Advisors, BlackRock Asset Management North Asia Limited, BlackRock (Singapore) Limited and BlackRock Fund Managers Ltd. The business address of BlackRock is 50 Hudson Yards, New York, New York 10001.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81" w:name="page82"/>
    <w:bookmarkEnd w:id="81"/>
    <w:p>
      <w:pPr>
        <w:jc w:val="both"/>
        <w:ind w:left="340" w:hanging="332"/>
        <w:spacing w:after="0" w:line="281" w:lineRule="auto"/>
        <w:tabs>
          <w:tab w:leader="none" w:pos="325" w:val="left"/>
        </w:tabs>
        <w:numPr>
          <w:ilvl w:val="0"/>
          <w:numId w:val="117"/>
        </w:numPr>
        <w:rPr>
          <w:rFonts w:ascii="Arial" w:cs="Arial" w:eastAsia="Arial" w:hAnsi="Arial"/>
          <w:sz w:val="14"/>
          <w:szCs w:val="14"/>
          <w:color w:val="7D7D7D"/>
        </w:rPr>
      </w:pPr>
      <w:r>
        <w:rPr>
          <w:rFonts w:ascii="Arial" w:cs="Arial" w:eastAsia="Arial" w:hAnsi="Arial"/>
          <w:sz w:val="14"/>
          <w:szCs w:val="14"/>
          <w:color w:val="7D7D7D"/>
        </w:rPr>
        <w:t>Information provided is based solely on a Schedule 13G/A filed with the SEC by the reporting person on February 13, 2024. The Vanguard Group reported that it has sole voting power over no shares, sole dispositive power over 15,056,643 shares, shared voting power over 180,632 shares, and shared dispositive power over 584,692 shares. The address for The Vanguard Group is 100 Vanguard Blvd., Malvern, PA 19355.</w:t>
      </w:r>
    </w:p>
    <w:p>
      <w:pPr>
        <w:spacing w:after="0" w:line="2" w:lineRule="exact"/>
        <w:rPr>
          <w:sz w:val="20"/>
          <w:szCs w:val="20"/>
          <w:color w:val="auto"/>
        </w:rPr>
      </w:pPr>
    </w:p>
    <w:p>
      <w:pPr>
        <w:jc w:val="both"/>
        <w:ind w:left="340" w:right="20" w:hanging="332"/>
        <w:spacing w:after="0" w:line="283" w:lineRule="auto"/>
        <w:tabs>
          <w:tab w:leader="none" w:pos="325" w:val="left"/>
        </w:tabs>
        <w:numPr>
          <w:ilvl w:val="0"/>
          <w:numId w:val="118"/>
        </w:numPr>
        <w:rPr>
          <w:rFonts w:ascii="Arial" w:cs="Arial" w:eastAsia="Arial" w:hAnsi="Arial"/>
          <w:sz w:val="14"/>
          <w:szCs w:val="14"/>
          <w:color w:val="7D7D7D"/>
        </w:rPr>
      </w:pPr>
      <w:r>
        <w:rPr>
          <w:rFonts w:ascii="Arial" w:cs="Arial" w:eastAsia="Arial" w:hAnsi="Arial"/>
          <w:sz w:val="14"/>
          <w:szCs w:val="14"/>
          <w:color w:val="7D7D7D"/>
        </w:rPr>
        <w:t>Information provided is based solely on a Schedule 13G filed with the SEC by the reporting person on February 6, 2025. Baillie Gifford &amp; Co reported that it has sole voting power over 4,051,027 shares, sole dispositive power over 8,371,790 shares, shared voting power over no shares, and shared dispositive power over no shares. The address for Baillie Gifford &amp; Co is Calton Square, 1 Greenside Row, Edinburgh, EH1 3AN, Scotland, UK.</w:t>
      </w:r>
    </w:p>
    <w:p>
      <w:pPr>
        <w:spacing w:after="0" w:line="11" w:lineRule="exact"/>
        <w:rPr>
          <w:sz w:val="20"/>
          <w:szCs w:val="20"/>
          <w:color w:val="auto"/>
        </w:rPr>
      </w:pPr>
    </w:p>
    <w:p>
      <w:pPr>
        <w:ind w:left="340" w:hanging="332"/>
        <w:spacing w:after="0" w:line="291" w:lineRule="auto"/>
        <w:tabs>
          <w:tab w:leader="none" w:pos="325" w:val="left"/>
        </w:tabs>
        <w:numPr>
          <w:ilvl w:val="0"/>
          <w:numId w:val="119"/>
        </w:numPr>
        <w:rPr>
          <w:rFonts w:ascii="Arial" w:cs="Arial" w:eastAsia="Arial" w:hAnsi="Arial"/>
          <w:sz w:val="14"/>
          <w:szCs w:val="14"/>
          <w:color w:val="7D7D7D"/>
        </w:rPr>
      </w:pPr>
      <w:r>
        <w:rPr>
          <w:rFonts w:ascii="Arial" w:cs="Arial" w:eastAsia="Arial" w:hAnsi="Arial"/>
          <w:sz w:val="14"/>
          <w:szCs w:val="14"/>
          <w:color w:val="7D7D7D"/>
        </w:rPr>
        <w:t>Includes: (a) 1,594,696 shares held by the Kothandaraman-Santhanam Living Trust for which Mr. Kothandaraman serves as a trustee; and (b) 16,936 shares held directly by Mr. Kothandaraman.</w:t>
      </w:r>
    </w:p>
    <w:p>
      <w:pPr>
        <w:spacing w:after="0" w:line="1" w:lineRule="exact"/>
        <w:rPr>
          <w:sz w:val="20"/>
          <w:szCs w:val="20"/>
          <w:color w:val="auto"/>
        </w:rPr>
      </w:pPr>
    </w:p>
    <w:p>
      <w:pPr>
        <w:ind w:left="340" w:hanging="332"/>
        <w:spacing w:after="0" w:line="301" w:lineRule="auto"/>
        <w:tabs>
          <w:tab w:leader="none" w:pos="325" w:val="left"/>
        </w:tabs>
        <w:numPr>
          <w:ilvl w:val="0"/>
          <w:numId w:val="120"/>
        </w:numPr>
        <w:rPr>
          <w:rFonts w:ascii="Arial" w:cs="Arial" w:eastAsia="Arial" w:hAnsi="Arial"/>
          <w:sz w:val="14"/>
          <w:szCs w:val="14"/>
          <w:color w:val="7D7D7D"/>
        </w:rPr>
      </w:pPr>
      <w:r>
        <w:rPr>
          <w:rFonts w:ascii="Arial" w:cs="Arial" w:eastAsia="Arial" w:hAnsi="Arial"/>
          <w:sz w:val="14"/>
          <w:szCs w:val="14"/>
          <w:color w:val="7D7D7D"/>
        </w:rPr>
        <w:t>Includes: (a) 33,104 shares held directly by Ms. Yang; (b) 25,000 shares held by the The Ya-Ling 2023 ENPH - 2 Year GRAT dtd 12/12/2023; and (c) 25,000 shares held by The Stanley Wang 2023 ENPH - 2 YEAR GRAT dtd 12/12/2023.</w:t>
      </w:r>
    </w:p>
    <w:p>
      <w:pPr>
        <w:spacing w:after="0" w:line="1" w:lineRule="exact"/>
        <w:rPr>
          <w:sz w:val="20"/>
          <w:szCs w:val="20"/>
          <w:color w:val="auto"/>
        </w:rPr>
      </w:pPr>
    </w:p>
    <w:p>
      <w:pPr>
        <w:ind w:left="340" w:hanging="332"/>
        <w:spacing w:after="0" w:line="301" w:lineRule="auto"/>
        <w:tabs>
          <w:tab w:leader="none" w:pos="325" w:val="left"/>
        </w:tabs>
        <w:numPr>
          <w:ilvl w:val="0"/>
          <w:numId w:val="121"/>
        </w:numPr>
        <w:rPr>
          <w:rFonts w:ascii="Arial" w:cs="Arial" w:eastAsia="Arial" w:hAnsi="Arial"/>
          <w:sz w:val="14"/>
          <w:szCs w:val="14"/>
          <w:color w:val="7D7D7D"/>
        </w:rPr>
      </w:pPr>
      <w:r>
        <w:rPr>
          <w:rFonts w:ascii="Arial" w:cs="Arial" w:eastAsia="Arial" w:hAnsi="Arial"/>
          <w:sz w:val="14"/>
          <w:szCs w:val="14"/>
          <w:color w:val="7D7D7D"/>
        </w:rPr>
        <w:t>Includes: (a) 3,750 shares of common stock issuable upon the vesting of RSUs within 60 days of March 20, 2025; (b) 9,452 shares held directly by Mr. Ranhoff; and (c) 45,844 shares held in a trust.</w:t>
      </w:r>
    </w:p>
    <w:p>
      <w:pPr>
        <w:spacing w:after="0" w:line="1"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4"/>
          <w:szCs w:val="14"/>
          <w:color w:val="7D7D7D"/>
        </w:rPr>
      </w:pPr>
      <w:r>
        <w:rPr>
          <w:rFonts w:ascii="Arial" w:cs="Arial" w:eastAsia="Arial" w:hAnsi="Arial"/>
          <w:sz w:val="14"/>
          <w:szCs w:val="14"/>
          <w:color w:val="7D7D7D"/>
        </w:rPr>
        <w:t>Includes: (a) 585 shares of common stock issuable upon the vesting of RSUs within 60 days of March 20, 2025; and (b) 95,526 shares held directly by Mr. Gomo.</w:t>
      </w:r>
    </w:p>
    <w:p>
      <w:pPr>
        <w:spacing w:after="0" w:line="55" w:lineRule="exact"/>
        <w:rPr>
          <w:rFonts w:ascii="Arial" w:cs="Arial" w:eastAsia="Arial" w:hAnsi="Arial"/>
          <w:sz w:val="14"/>
          <w:szCs w:val="14"/>
          <w:color w:val="7D7D7D"/>
        </w:rPr>
      </w:pPr>
    </w:p>
    <w:p>
      <w:pPr>
        <w:spacing w:after="0"/>
        <w:rPr>
          <w:rFonts w:ascii="Arial" w:cs="Arial" w:eastAsia="Arial" w:hAnsi="Arial"/>
          <w:sz w:val="14"/>
          <w:szCs w:val="14"/>
          <w:color w:val="7D7D7D"/>
        </w:rPr>
      </w:pPr>
      <w:r>
        <w:rPr>
          <w:rFonts w:ascii="Arial" w:cs="Arial" w:eastAsia="Arial" w:hAnsi="Arial"/>
          <w:sz w:val="14"/>
          <w:szCs w:val="14"/>
          <w:color w:val="7D7D7D"/>
        </w:rPr>
        <w:t>9   Includes: (a) 542 shares of common stock issuable upon the vesting of RSUs within 60 days of March 20, 2025; and (b) 9,225 shares held directly by Ms. Haenggi.</w:t>
      </w:r>
    </w:p>
    <w:p>
      <w:pPr>
        <w:spacing w:after="0" w:line="69" w:lineRule="exact"/>
        <w:rPr>
          <w:sz w:val="20"/>
          <w:szCs w:val="20"/>
          <w:color w:val="auto"/>
        </w:rPr>
      </w:pPr>
    </w:p>
    <w:p>
      <w:pPr>
        <w:ind w:left="340" w:hanging="332"/>
        <w:spacing w:after="0" w:line="301" w:lineRule="auto"/>
        <w:tabs>
          <w:tab w:leader="none" w:pos="324" w:val="left"/>
        </w:tabs>
        <w:numPr>
          <w:ilvl w:val="0"/>
          <w:numId w:val="123"/>
        </w:numPr>
        <w:rPr>
          <w:rFonts w:ascii="Arial" w:cs="Arial" w:eastAsia="Arial" w:hAnsi="Arial"/>
          <w:sz w:val="14"/>
          <w:szCs w:val="14"/>
          <w:color w:val="7D7D7D"/>
        </w:rPr>
      </w:pPr>
      <w:r>
        <w:rPr>
          <w:rFonts w:ascii="Arial" w:cs="Arial" w:eastAsia="Arial" w:hAnsi="Arial"/>
          <w:sz w:val="14"/>
          <w:szCs w:val="14"/>
          <w:color w:val="7D7D7D"/>
        </w:rPr>
        <w:t>Includes: (a) stock options exercisable for 2,475 shares within 60 days of March 20, 2025; (b) 542 shares of common stock issuable upon the vesting of RSUs within 60 days of March 20, 2025; and (c) 203,277 shares held directly by Mr. Kortlang.</w:t>
      </w:r>
    </w:p>
    <w:p>
      <w:pPr>
        <w:spacing w:after="0" w:line="1" w:lineRule="exact"/>
        <w:rPr>
          <w:rFonts w:ascii="Arial" w:cs="Arial" w:eastAsia="Arial" w:hAnsi="Arial"/>
          <w:sz w:val="14"/>
          <w:szCs w:val="14"/>
          <w:color w:val="7D7D7D"/>
        </w:rPr>
      </w:pPr>
    </w:p>
    <w:p>
      <w:pPr>
        <w:ind w:left="300" w:hanging="292"/>
        <w:spacing w:after="0"/>
        <w:tabs>
          <w:tab w:leader="none" w:pos="300" w:val="left"/>
        </w:tabs>
        <w:numPr>
          <w:ilvl w:val="0"/>
          <w:numId w:val="123"/>
        </w:numPr>
        <w:rPr>
          <w:rFonts w:ascii="Arial" w:cs="Arial" w:eastAsia="Arial" w:hAnsi="Arial"/>
          <w:sz w:val="14"/>
          <w:szCs w:val="14"/>
          <w:color w:val="7D7D7D"/>
        </w:rPr>
      </w:pPr>
      <w:r>
        <w:rPr>
          <w:rFonts w:ascii="Arial" w:cs="Arial" w:eastAsia="Arial" w:hAnsi="Arial"/>
          <w:sz w:val="14"/>
          <w:szCs w:val="14"/>
          <w:color w:val="7D7D7D"/>
        </w:rPr>
        <w:t>Includes: (a) 542 shares of common stock issuable upon the vesting of RSUs within 60 days of March 20, 2025; and (b) 58,239 shares held directly by Mr. Malchow.</w:t>
      </w:r>
    </w:p>
    <w:p>
      <w:pPr>
        <w:spacing w:after="0" w:line="68" w:lineRule="exact"/>
        <w:rPr>
          <w:rFonts w:ascii="Arial" w:cs="Arial" w:eastAsia="Arial" w:hAnsi="Arial"/>
          <w:sz w:val="14"/>
          <w:szCs w:val="14"/>
          <w:color w:val="7D7D7D"/>
        </w:rPr>
      </w:pPr>
    </w:p>
    <w:p>
      <w:pPr>
        <w:ind w:left="320" w:hanging="312"/>
        <w:spacing w:after="0"/>
        <w:tabs>
          <w:tab w:leader="none" w:pos="320" w:val="left"/>
        </w:tabs>
        <w:numPr>
          <w:ilvl w:val="0"/>
          <w:numId w:val="123"/>
        </w:numPr>
        <w:rPr>
          <w:rFonts w:ascii="Arial" w:cs="Arial" w:eastAsia="Arial" w:hAnsi="Arial"/>
          <w:sz w:val="14"/>
          <w:szCs w:val="14"/>
          <w:color w:val="7D7D7D"/>
        </w:rPr>
      </w:pPr>
      <w:r>
        <w:rPr>
          <w:rFonts w:ascii="Arial" w:cs="Arial" w:eastAsia="Arial" w:hAnsi="Arial"/>
          <w:sz w:val="14"/>
          <w:szCs w:val="14"/>
          <w:color w:val="7D7D7D"/>
        </w:rPr>
        <w:t>Includes: (a) 542 shares of common stock issuable upon the vesting of RSUs within 60 days of March 20, 2025; and (c) 4,749 shares held directly by Mr. Mora.</w:t>
      </w:r>
    </w:p>
    <w:p>
      <w:pPr>
        <w:spacing w:after="0" w:line="55" w:lineRule="exact"/>
        <w:rPr>
          <w:rFonts w:ascii="Arial" w:cs="Arial" w:eastAsia="Arial" w:hAnsi="Arial"/>
          <w:sz w:val="14"/>
          <w:szCs w:val="14"/>
          <w:color w:val="7D7D7D"/>
        </w:rPr>
      </w:pPr>
    </w:p>
    <w:p>
      <w:pPr>
        <w:jc w:val="both"/>
        <w:ind w:left="340" w:hanging="332"/>
        <w:spacing w:after="0" w:line="276" w:lineRule="auto"/>
        <w:tabs>
          <w:tab w:leader="none" w:pos="324" w:val="left"/>
        </w:tabs>
        <w:numPr>
          <w:ilvl w:val="0"/>
          <w:numId w:val="123"/>
        </w:numPr>
        <w:rPr>
          <w:rFonts w:ascii="Arial" w:cs="Arial" w:eastAsia="Arial" w:hAnsi="Arial"/>
          <w:sz w:val="14"/>
          <w:szCs w:val="14"/>
          <w:color w:val="7D7D7D"/>
        </w:rPr>
      </w:pPr>
      <w:r>
        <w:rPr>
          <w:rFonts w:ascii="Arial" w:cs="Arial" w:eastAsia="Arial" w:hAnsi="Arial"/>
          <w:sz w:val="14"/>
          <w:szCs w:val="14"/>
          <w:color w:val="7D7D7D"/>
        </w:rPr>
        <w:t>Includes: (a) 1,881,760 shares of common stock held by Rodgers Massey Revocable Living Trust dtd 4/4/11 for which Mr. Rodgers and his spouse, Valeta Massey, serve as trustees and share joint voting and dispositive power; (b) 4,100 shares of common stock held by Rodgers 2012 Irrevocable Trust; (c) 4,100 shares of common stock held by Valeta Massey 2012 Irrevocable Trust; (d) 85,200 shares of common stock held by Rodgers Family and Free Markets Charitable Trust; (e) 542 shares of common stock issuable upon the vesting of RSUs within 60 days of March 20, 2025; and (e) 542 shares held directly by Mr. Rodgers.</w:t>
      </w:r>
    </w:p>
    <w:p>
      <w:pPr>
        <w:spacing w:after="0" w:line="15" w:lineRule="exact"/>
        <w:rPr>
          <w:rFonts w:ascii="Arial" w:cs="Arial" w:eastAsia="Arial" w:hAnsi="Arial"/>
          <w:sz w:val="14"/>
          <w:szCs w:val="14"/>
          <w:color w:val="7D7D7D"/>
        </w:rPr>
      </w:pPr>
    </w:p>
    <w:p>
      <w:pPr>
        <w:ind w:left="340" w:hanging="332"/>
        <w:spacing w:after="0" w:line="285" w:lineRule="auto"/>
        <w:tabs>
          <w:tab w:leader="none" w:pos="324" w:val="left"/>
        </w:tabs>
        <w:numPr>
          <w:ilvl w:val="0"/>
          <w:numId w:val="123"/>
        </w:numPr>
        <w:rPr>
          <w:rFonts w:ascii="Arial" w:cs="Arial" w:eastAsia="Arial" w:hAnsi="Arial"/>
          <w:sz w:val="14"/>
          <w:szCs w:val="14"/>
          <w:color w:val="7D7D7D"/>
        </w:rPr>
      </w:pPr>
      <w:r>
        <w:rPr>
          <w:rFonts w:ascii="Arial" w:cs="Arial" w:eastAsia="Arial" w:hAnsi="Arial"/>
          <w:sz w:val="14"/>
          <w:szCs w:val="14"/>
          <w:color w:val="7D7D7D"/>
        </w:rPr>
        <w:t>Includes: (a) 4,041,454 shares beneficially owned by the current directors and executive officers; (b) 2,475 shares issuable pursuant to stock options exercisable within 60 days of March 20, 2025; and (c) 3,295 shares of common stock issuable upon the vesting of RSUs within 60 days of March 20, 2025.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82" w:name="page83"/>
    <w:bookmarkEnd w:id="82"/>
    <w:p>
      <w:pPr>
        <w:spacing w:after="0"/>
        <w:rPr>
          <w:sz w:val="20"/>
          <w:szCs w:val="20"/>
          <w:color w:val="auto"/>
        </w:rPr>
      </w:pPr>
      <w:r>
        <w:rPr>
          <w:rFonts w:ascii="Arial" w:cs="Arial" w:eastAsia="Arial" w:hAnsi="Arial"/>
          <w:sz w:val="32"/>
          <w:szCs w:val="32"/>
          <w:b w:val="1"/>
          <w:bCs w:val="1"/>
          <w:color w:val="auto"/>
        </w:rPr>
        <w:t>Equity Compensation Plan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with respect to our equity compensation plans in effect as of December 31, 2024.</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5880" w:type="dxa"/>
            <w:vAlign w:val="bottom"/>
            <w:tcBorders>
              <w:left w:val="single" w:sz="8" w:color="3C3C3C"/>
              <w:right w:val="single" w:sz="8" w:color="3C3C3C"/>
            </w:tcBorders>
            <w:shd w:val="clear" w:color="auto" w:fill="3C3C3C"/>
          </w:tcPr>
          <w:p>
            <w:pPr>
              <w:spacing w:after="0"/>
              <w:rPr>
                <w:sz w:val="21"/>
                <w:szCs w:val="21"/>
                <w:color w:val="auto"/>
              </w:rPr>
            </w:pPr>
          </w:p>
        </w:tc>
        <w:tc>
          <w:tcPr>
            <w:tcW w:w="1360" w:type="dxa"/>
            <w:vAlign w:val="bottom"/>
            <w:shd w:val="clear" w:color="auto" w:fill="3C3C3C"/>
          </w:tcPr>
          <w:p>
            <w:pPr>
              <w:spacing w:after="0"/>
              <w:rPr>
                <w:sz w:val="21"/>
                <w:szCs w:val="21"/>
                <w:color w:val="auto"/>
              </w:rPr>
            </w:pPr>
          </w:p>
        </w:tc>
        <w:tc>
          <w:tcPr>
            <w:tcW w:w="360" w:type="dxa"/>
            <w:vAlign w:val="bottom"/>
            <w:shd w:val="clear" w:color="auto" w:fill="3C3C3C"/>
          </w:tcPr>
          <w:p>
            <w:pPr>
              <w:spacing w:after="0"/>
              <w:rPr>
                <w:sz w:val="21"/>
                <w:szCs w:val="21"/>
                <w:color w:val="auto"/>
              </w:rPr>
            </w:pPr>
          </w:p>
        </w:tc>
        <w:tc>
          <w:tcPr>
            <w:tcW w:w="1120" w:type="dxa"/>
            <w:vAlign w:val="bottom"/>
            <w:tcBorders>
              <w:left w:val="single" w:sz="8" w:color="3C3C3C"/>
            </w:tcBorders>
            <w:shd w:val="clear" w:color="auto" w:fill="3C3C3C"/>
          </w:tcPr>
          <w:p>
            <w:pPr>
              <w:spacing w:after="0"/>
              <w:rPr>
                <w:sz w:val="21"/>
                <w:szCs w:val="21"/>
                <w:color w:val="auto"/>
              </w:rPr>
            </w:pPr>
          </w:p>
        </w:tc>
        <w:tc>
          <w:tcPr>
            <w:tcW w:w="360" w:type="dxa"/>
            <w:vAlign w:val="bottom"/>
            <w:shd w:val="clear" w:color="auto" w:fill="3C3C3C"/>
          </w:tcPr>
          <w:p>
            <w:pPr>
              <w:spacing w:after="0"/>
              <w:rPr>
                <w:sz w:val="21"/>
                <w:szCs w:val="21"/>
                <w:color w:val="auto"/>
              </w:rPr>
            </w:pPr>
          </w:p>
        </w:tc>
        <w:tc>
          <w:tcPr>
            <w:tcW w:w="1900" w:type="dxa"/>
            <w:vAlign w:val="bottom"/>
            <w:tcBorders>
              <w:left w:val="single" w:sz="8" w:color="3C3C3C"/>
            </w:tcBorders>
            <w:shd w:val="clear" w:color="auto" w:fill="3C3C3C"/>
          </w:tcPr>
          <w:p>
            <w:pPr>
              <w:jc w:val="center"/>
              <w:ind w:left="206"/>
              <w:spacing w:after="0"/>
              <w:rPr>
                <w:sz w:val="20"/>
                <w:szCs w:val="20"/>
                <w:color w:val="auto"/>
              </w:rPr>
            </w:pPr>
            <w:r>
              <w:rPr>
                <w:rFonts w:ascii="Arial" w:cs="Arial" w:eastAsia="Arial" w:hAnsi="Arial"/>
                <w:sz w:val="14"/>
                <w:szCs w:val="14"/>
                <w:b w:val="1"/>
                <w:bCs w:val="1"/>
                <w:color w:val="FFFFFF"/>
              </w:rPr>
              <w:t>Number of securities</w:t>
            </w:r>
          </w:p>
        </w:tc>
        <w:tc>
          <w:tcPr>
            <w:tcW w:w="260" w:type="dxa"/>
            <w:vAlign w:val="bottom"/>
            <w:shd w:val="clear" w:color="auto" w:fill="3C3C3C"/>
          </w:tcPr>
          <w:p>
            <w:pPr>
              <w:spacing w:after="0"/>
              <w:rPr>
                <w:sz w:val="21"/>
                <w:szCs w:val="21"/>
                <w:color w:val="auto"/>
              </w:rPr>
            </w:pPr>
          </w:p>
        </w:tc>
        <w:tc>
          <w:tcPr>
            <w:tcW w:w="20" w:type="dxa"/>
            <w:vAlign w:val="bottom"/>
            <w:shd w:val="clear" w:color="auto" w:fill="3C3C3C"/>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80" w:type="dxa"/>
            <w:vAlign w:val="bottom"/>
            <w:tcBorders>
              <w:left w:val="single" w:sz="8" w:color="3C3C3C"/>
              <w:right w:val="single" w:sz="8" w:color="3C3C3C"/>
            </w:tcBorders>
            <w:shd w:val="clear" w:color="auto" w:fill="3C3C3C"/>
          </w:tcPr>
          <w:p>
            <w:pPr>
              <w:spacing w:after="0"/>
              <w:rPr>
                <w:sz w:val="15"/>
                <w:szCs w:val="15"/>
                <w:color w:val="auto"/>
              </w:rPr>
            </w:pPr>
          </w:p>
        </w:tc>
        <w:tc>
          <w:tcPr>
            <w:tcW w:w="1720" w:type="dxa"/>
            <w:vAlign w:val="bottom"/>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securities to</w:t>
            </w:r>
          </w:p>
        </w:tc>
        <w:tc>
          <w:tcPr>
            <w:tcW w:w="1480" w:type="dxa"/>
            <w:vAlign w:val="bottom"/>
            <w:tcBorders>
              <w:lef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180" w:type="dxa"/>
            <w:vAlign w:val="bottom"/>
            <w:tcBorders>
              <w:left w:val="single" w:sz="8" w:color="3C3C3C"/>
            </w:tcBorders>
            <w:gridSpan w:val="3"/>
            <w:shd w:val="clear" w:color="auto" w:fill="3C3C3C"/>
          </w:tcPr>
          <w:p>
            <w:pPr>
              <w:jc w:val="center"/>
              <w:spacing w:after="0"/>
              <w:rPr>
                <w:sz w:val="20"/>
                <w:szCs w:val="20"/>
                <w:color w:val="auto"/>
              </w:rPr>
            </w:pPr>
            <w:r>
              <w:rPr>
                <w:rFonts w:ascii="Arial" w:cs="Arial" w:eastAsia="Arial" w:hAnsi="Arial"/>
                <w:sz w:val="14"/>
                <w:szCs w:val="14"/>
                <w:b w:val="1"/>
                <w:bCs w:val="1"/>
                <w:color w:val="FFFFFF"/>
              </w:rPr>
              <w:t>remaining available for future</w:t>
            </w:r>
          </w:p>
        </w:tc>
        <w:tc>
          <w:tcPr>
            <w:tcW w:w="0" w:type="dxa"/>
            <w:vAlign w:val="bottom"/>
          </w:tcPr>
          <w:p>
            <w:pPr>
              <w:spacing w:after="0"/>
              <w:rPr>
                <w:sz w:val="1"/>
                <w:szCs w:val="1"/>
                <w:color w:val="auto"/>
              </w:rPr>
            </w:pPr>
          </w:p>
        </w:tc>
      </w:tr>
      <w:tr>
        <w:trPr>
          <w:trHeight w:val="81"/>
        </w:trPr>
        <w:tc>
          <w:tcPr>
            <w:tcW w:w="5880" w:type="dxa"/>
            <w:vAlign w:val="bottom"/>
            <w:tcBorders>
              <w:left w:val="single" w:sz="8" w:color="3C3C3C"/>
              <w:right w:val="single" w:sz="8" w:color="3C3C3C"/>
            </w:tcBorders>
            <w:shd w:val="clear" w:color="auto" w:fill="3C3C3C"/>
          </w:tcPr>
          <w:p>
            <w:pPr>
              <w:spacing w:after="0"/>
              <w:rPr>
                <w:sz w:val="7"/>
                <w:szCs w:val="7"/>
                <w:color w:val="auto"/>
              </w:rPr>
            </w:pPr>
          </w:p>
        </w:tc>
        <w:tc>
          <w:tcPr>
            <w:tcW w:w="1720" w:type="dxa"/>
            <w:vAlign w:val="bottom"/>
            <w:gridSpan w:val="2"/>
            <w:vMerge w:val="continue"/>
            <w:shd w:val="clear" w:color="auto" w:fill="3C3C3C"/>
          </w:tcPr>
          <w:p>
            <w:pPr>
              <w:spacing w:after="0"/>
              <w:rPr>
                <w:sz w:val="7"/>
                <w:szCs w:val="7"/>
                <w:color w:val="auto"/>
              </w:rPr>
            </w:pPr>
          </w:p>
        </w:tc>
        <w:tc>
          <w:tcPr>
            <w:tcW w:w="1480" w:type="dxa"/>
            <w:vAlign w:val="bottom"/>
            <w:tcBorders>
              <w:left w:val="single" w:sz="8" w:color="3C3C3C"/>
            </w:tcBorders>
            <w:gridSpan w:val="2"/>
            <w:vMerge w:val="continue"/>
            <w:shd w:val="clear" w:color="auto" w:fill="3C3C3C"/>
          </w:tcPr>
          <w:p>
            <w:pPr>
              <w:spacing w:after="0"/>
              <w:rPr>
                <w:sz w:val="7"/>
                <w:szCs w:val="7"/>
                <w:color w:val="auto"/>
              </w:rPr>
            </w:pPr>
          </w:p>
        </w:tc>
        <w:tc>
          <w:tcPr>
            <w:tcW w:w="1900" w:type="dxa"/>
            <w:vAlign w:val="bottom"/>
            <w:tcBorders>
              <w:left w:val="single" w:sz="8" w:color="3C3C3C"/>
            </w:tcBorders>
            <w:vMerge w:val="restart"/>
            <w:shd w:val="clear" w:color="auto" w:fill="3C3C3C"/>
          </w:tcPr>
          <w:p>
            <w:pPr>
              <w:jc w:val="center"/>
              <w:ind w:left="186"/>
              <w:spacing w:after="0"/>
              <w:rPr>
                <w:sz w:val="20"/>
                <w:szCs w:val="20"/>
                <w:color w:val="auto"/>
              </w:rPr>
            </w:pPr>
            <w:r>
              <w:rPr>
                <w:rFonts w:ascii="Arial" w:cs="Arial" w:eastAsia="Arial" w:hAnsi="Arial"/>
                <w:sz w:val="14"/>
                <w:szCs w:val="14"/>
                <w:b w:val="1"/>
                <w:bCs w:val="1"/>
                <w:color w:val="FFFFFF"/>
              </w:rPr>
              <w:t>issuance under equity</w:t>
            </w:r>
          </w:p>
        </w:tc>
        <w:tc>
          <w:tcPr>
            <w:tcW w:w="260" w:type="dxa"/>
            <w:vAlign w:val="bottom"/>
            <w:shd w:val="clear" w:color="auto" w:fill="3C3C3C"/>
          </w:tcPr>
          <w:p>
            <w:pPr>
              <w:spacing w:after="0"/>
              <w:rPr>
                <w:sz w:val="7"/>
                <w:szCs w:val="7"/>
                <w:color w:val="auto"/>
              </w:rPr>
            </w:pPr>
          </w:p>
        </w:tc>
        <w:tc>
          <w:tcPr>
            <w:tcW w:w="20" w:type="dxa"/>
            <w:vAlign w:val="bottom"/>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880" w:type="dxa"/>
            <w:vAlign w:val="bottom"/>
            <w:tcBorders>
              <w:left w:val="single" w:sz="8" w:color="3C3C3C"/>
              <w:right w:val="single" w:sz="8" w:color="3C3C3C"/>
            </w:tcBorders>
            <w:shd w:val="clear" w:color="auto" w:fill="3C3C3C"/>
          </w:tcPr>
          <w:p>
            <w:pPr>
              <w:spacing w:after="0"/>
              <w:rPr>
                <w:sz w:val="8"/>
                <w:szCs w:val="8"/>
                <w:color w:val="auto"/>
              </w:rPr>
            </w:pPr>
          </w:p>
        </w:tc>
        <w:tc>
          <w:tcPr>
            <w:tcW w:w="1720" w:type="dxa"/>
            <w:vAlign w:val="bottom"/>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be issued upon exercise</w:t>
            </w:r>
          </w:p>
        </w:tc>
        <w:tc>
          <w:tcPr>
            <w:tcW w:w="1480" w:type="dxa"/>
            <w:vAlign w:val="bottom"/>
            <w:tcBorders>
              <w:lef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900" w:type="dxa"/>
            <w:vAlign w:val="bottom"/>
            <w:tcBorders>
              <w:left w:val="single" w:sz="8" w:color="3C3C3C"/>
            </w:tcBorders>
            <w:vMerge w:val="continue"/>
            <w:shd w:val="clear" w:color="auto" w:fill="3C3C3C"/>
          </w:tcPr>
          <w:p>
            <w:pPr>
              <w:spacing w:after="0"/>
              <w:rPr>
                <w:sz w:val="8"/>
                <w:szCs w:val="8"/>
                <w:color w:val="auto"/>
              </w:rPr>
            </w:pPr>
          </w:p>
        </w:tc>
        <w:tc>
          <w:tcPr>
            <w:tcW w:w="260" w:type="dxa"/>
            <w:vAlign w:val="bottom"/>
            <w:shd w:val="clear" w:color="auto" w:fill="3C3C3C"/>
          </w:tcPr>
          <w:p>
            <w:pPr>
              <w:spacing w:after="0"/>
              <w:rPr>
                <w:sz w:val="8"/>
                <w:szCs w:val="8"/>
                <w:color w:val="auto"/>
              </w:rPr>
            </w:pPr>
          </w:p>
        </w:tc>
        <w:tc>
          <w:tcPr>
            <w:tcW w:w="20" w:type="dxa"/>
            <w:vAlign w:val="bottom"/>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80" w:type="dxa"/>
            <w:vAlign w:val="bottom"/>
            <w:tcBorders>
              <w:left w:val="single" w:sz="8" w:color="3C3C3C"/>
              <w:right w:val="single" w:sz="8" w:color="3C3C3C"/>
            </w:tcBorders>
            <w:shd w:val="clear" w:color="auto" w:fill="3C3C3C"/>
          </w:tcPr>
          <w:p>
            <w:pPr>
              <w:spacing w:after="0"/>
              <w:rPr>
                <w:sz w:val="7"/>
                <w:szCs w:val="7"/>
                <w:color w:val="auto"/>
              </w:rPr>
            </w:pPr>
          </w:p>
        </w:tc>
        <w:tc>
          <w:tcPr>
            <w:tcW w:w="1720" w:type="dxa"/>
            <w:vAlign w:val="bottom"/>
            <w:gridSpan w:val="2"/>
            <w:vMerge w:val="continue"/>
            <w:shd w:val="clear" w:color="auto" w:fill="3C3C3C"/>
          </w:tcPr>
          <w:p>
            <w:pPr>
              <w:spacing w:after="0"/>
              <w:rPr>
                <w:sz w:val="7"/>
                <w:szCs w:val="7"/>
                <w:color w:val="auto"/>
              </w:rPr>
            </w:pPr>
          </w:p>
        </w:tc>
        <w:tc>
          <w:tcPr>
            <w:tcW w:w="1480" w:type="dxa"/>
            <w:vAlign w:val="bottom"/>
            <w:tcBorders>
              <w:left w:val="single" w:sz="8" w:color="3C3C3C"/>
            </w:tcBorders>
            <w:gridSpan w:val="2"/>
            <w:vMerge w:val="continue"/>
            <w:shd w:val="clear" w:color="auto" w:fill="3C3C3C"/>
          </w:tcPr>
          <w:p>
            <w:pPr>
              <w:spacing w:after="0"/>
              <w:rPr>
                <w:sz w:val="7"/>
                <w:szCs w:val="7"/>
                <w:color w:val="auto"/>
              </w:rPr>
            </w:pPr>
          </w:p>
        </w:tc>
        <w:tc>
          <w:tcPr>
            <w:tcW w:w="1900" w:type="dxa"/>
            <w:vAlign w:val="bottom"/>
            <w:tcBorders>
              <w:left w:val="single" w:sz="8" w:color="3C3C3C"/>
            </w:tcBorders>
            <w:vMerge w:val="restart"/>
            <w:shd w:val="clear" w:color="auto" w:fill="3C3C3C"/>
          </w:tcPr>
          <w:p>
            <w:pPr>
              <w:jc w:val="center"/>
              <w:ind w:left="206"/>
              <w:spacing w:after="0"/>
              <w:rPr>
                <w:sz w:val="20"/>
                <w:szCs w:val="20"/>
                <w:color w:val="auto"/>
              </w:rPr>
            </w:pPr>
            <w:r>
              <w:rPr>
                <w:rFonts w:ascii="Arial" w:cs="Arial" w:eastAsia="Arial" w:hAnsi="Arial"/>
                <w:sz w:val="14"/>
                <w:szCs w:val="14"/>
                <w:b w:val="1"/>
                <w:bCs w:val="1"/>
                <w:color w:val="FFFFFF"/>
              </w:rPr>
              <w:t>compensation plans</w:t>
            </w:r>
          </w:p>
        </w:tc>
        <w:tc>
          <w:tcPr>
            <w:tcW w:w="260" w:type="dxa"/>
            <w:vAlign w:val="bottom"/>
            <w:shd w:val="clear" w:color="auto" w:fill="3C3C3C"/>
          </w:tcPr>
          <w:p>
            <w:pPr>
              <w:spacing w:after="0"/>
              <w:rPr>
                <w:sz w:val="7"/>
                <w:szCs w:val="7"/>
                <w:color w:val="auto"/>
              </w:rPr>
            </w:pPr>
          </w:p>
        </w:tc>
        <w:tc>
          <w:tcPr>
            <w:tcW w:w="20" w:type="dxa"/>
            <w:vAlign w:val="bottom"/>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88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Plan Category</w:t>
            </w:r>
          </w:p>
        </w:tc>
        <w:tc>
          <w:tcPr>
            <w:tcW w:w="1720" w:type="dxa"/>
            <w:vAlign w:val="bottom"/>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of outstanding options</w:t>
            </w:r>
          </w:p>
        </w:tc>
        <w:tc>
          <w:tcPr>
            <w:tcW w:w="1480" w:type="dxa"/>
            <w:vAlign w:val="bottom"/>
            <w:tcBorders>
              <w:lef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1900" w:type="dxa"/>
            <w:vAlign w:val="bottom"/>
            <w:tcBorders>
              <w:left w:val="single" w:sz="8" w:color="3C3C3C"/>
            </w:tcBorders>
            <w:vMerge w:val="continue"/>
            <w:shd w:val="clear" w:color="auto" w:fill="3C3C3C"/>
          </w:tcPr>
          <w:p>
            <w:pPr>
              <w:spacing w:after="0"/>
              <w:rPr>
                <w:sz w:val="8"/>
                <w:szCs w:val="8"/>
                <w:color w:val="auto"/>
              </w:rPr>
            </w:pPr>
          </w:p>
        </w:tc>
        <w:tc>
          <w:tcPr>
            <w:tcW w:w="260" w:type="dxa"/>
            <w:vAlign w:val="bottom"/>
            <w:shd w:val="clear" w:color="auto" w:fill="3C3C3C"/>
          </w:tcPr>
          <w:p>
            <w:pPr>
              <w:spacing w:after="0"/>
              <w:rPr>
                <w:sz w:val="8"/>
                <w:szCs w:val="8"/>
                <w:color w:val="auto"/>
              </w:rPr>
            </w:pPr>
          </w:p>
        </w:tc>
        <w:tc>
          <w:tcPr>
            <w:tcW w:w="20" w:type="dxa"/>
            <w:vAlign w:val="bottom"/>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880" w:type="dxa"/>
            <w:vAlign w:val="bottom"/>
            <w:tcBorders>
              <w:left w:val="single" w:sz="8" w:color="3C3C3C"/>
              <w:right w:val="single" w:sz="8" w:color="3C3C3C"/>
            </w:tcBorders>
            <w:vMerge w:val="continue"/>
            <w:shd w:val="clear" w:color="auto" w:fill="3C3C3C"/>
          </w:tcPr>
          <w:p>
            <w:pPr>
              <w:spacing w:after="0"/>
              <w:rPr>
                <w:sz w:val="7"/>
                <w:szCs w:val="7"/>
                <w:color w:val="auto"/>
              </w:rPr>
            </w:pPr>
          </w:p>
        </w:tc>
        <w:tc>
          <w:tcPr>
            <w:tcW w:w="1720" w:type="dxa"/>
            <w:vAlign w:val="bottom"/>
            <w:gridSpan w:val="2"/>
            <w:vMerge w:val="continue"/>
            <w:shd w:val="clear" w:color="auto" w:fill="3C3C3C"/>
          </w:tcPr>
          <w:p>
            <w:pPr>
              <w:spacing w:after="0"/>
              <w:rPr>
                <w:sz w:val="7"/>
                <w:szCs w:val="7"/>
                <w:color w:val="auto"/>
              </w:rPr>
            </w:pPr>
          </w:p>
        </w:tc>
        <w:tc>
          <w:tcPr>
            <w:tcW w:w="1480" w:type="dxa"/>
            <w:vAlign w:val="bottom"/>
            <w:tcBorders>
              <w:left w:val="single" w:sz="8" w:color="3C3C3C"/>
            </w:tcBorders>
            <w:gridSpan w:val="2"/>
            <w:vMerge w:val="continue"/>
            <w:shd w:val="clear" w:color="auto" w:fill="3C3C3C"/>
          </w:tcPr>
          <w:p>
            <w:pPr>
              <w:spacing w:after="0"/>
              <w:rPr>
                <w:sz w:val="7"/>
                <w:szCs w:val="7"/>
                <w:color w:val="auto"/>
              </w:rPr>
            </w:pPr>
          </w:p>
        </w:tc>
        <w:tc>
          <w:tcPr>
            <w:tcW w:w="2180" w:type="dxa"/>
            <w:vAlign w:val="bottom"/>
            <w:tcBorders>
              <w:left w:val="single" w:sz="8" w:color="3C3C3C"/>
            </w:tcBorders>
            <w:gridSpan w:val="3"/>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(excluding securities reflected</w:t>
            </w:r>
          </w:p>
        </w:tc>
        <w:tc>
          <w:tcPr>
            <w:tcW w:w="0" w:type="dxa"/>
            <w:vAlign w:val="bottom"/>
          </w:tcPr>
          <w:p>
            <w:pPr>
              <w:spacing w:after="0"/>
              <w:rPr>
                <w:sz w:val="1"/>
                <w:szCs w:val="1"/>
                <w:color w:val="auto"/>
              </w:rPr>
            </w:pPr>
          </w:p>
        </w:tc>
      </w:tr>
      <w:tr>
        <w:trPr>
          <w:trHeight w:val="85"/>
        </w:trPr>
        <w:tc>
          <w:tcPr>
            <w:tcW w:w="5880" w:type="dxa"/>
            <w:vAlign w:val="bottom"/>
            <w:tcBorders>
              <w:left w:val="single" w:sz="8" w:color="3C3C3C"/>
              <w:right w:val="single" w:sz="8" w:color="3C3C3C"/>
            </w:tcBorders>
            <w:shd w:val="clear" w:color="auto" w:fill="3C3C3C"/>
          </w:tcPr>
          <w:p>
            <w:pPr>
              <w:spacing w:after="0"/>
              <w:rPr>
                <w:sz w:val="7"/>
                <w:szCs w:val="7"/>
                <w:color w:val="auto"/>
              </w:rPr>
            </w:pPr>
          </w:p>
        </w:tc>
        <w:tc>
          <w:tcPr>
            <w:tcW w:w="1360" w:type="dxa"/>
            <w:vAlign w:val="bottom"/>
            <w:vMerge w:val="restart"/>
            <w:shd w:val="clear" w:color="auto" w:fill="3C3C3C"/>
          </w:tcPr>
          <w:p>
            <w:pPr>
              <w:jc w:val="center"/>
              <w:ind w:left="265"/>
              <w:spacing w:after="0"/>
              <w:rPr>
                <w:sz w:val="20"/>
                <w:szCs w:val="20"/>
                <w:color w:val="auto"/>
              </w:rPr>
            </w:pPr>
            <w:r>
              <w:rPr>
                <w:rFonts w:ascii="Arial" w:cs="Arial" w:eastAsia="Arial" w:hAnsi="Arial"/>
                <w:sz w:val="14"/>
                <w:szCs w:val="14"/>
                <w:b w:val="1"/>
                <w:bCs w:val="1"/>
                <w:color w:val="FFFFFF"/>
              </w:rPr>
              <w:t>and rights</w:t>
            </w:r>
          </w:p>
        </w:tc>
        <w:tc>
          <w:tcPr>
            <w:tcW w:w="360" w:type="dxa"/>
            <w:vAlign w:val="bottom"/>
            <w:shd w:val="clear" w:color="auto" w:fill="3C3C3C"/>
          </w:tcPr>
          <w:p>
            <w:pPr>
              <w:spacing w:after="0"/>
              <w:rPr>
                <w:sz w:val="7"/>
                <w:szCs w:val="7"/>
                <w:color w:val="auto"/>
              </w:rPr>
            </w:pPr>
          </w:p>
        </w:tc>
        <w:tc>
          <w:tcPr>
            <w:tcW w:w="1120" w:type="dxa"/>
            <w:vAlign w:val="bottom"/>
            <w:tcBorders>
              <w:left w:val="single" w:sz="8" w:color="3C3C3C"/>
            </w:tcBorders>
            <w:vMerge w:val="restart"/>
            <w:shd w:val="clear" w:color="auto" w:fill="3C3C3C"/>
          </w:tcPr>
          <w:p>
            <w:pPr>
              <w:jc w:val="right"/>
              <w:ind w:right="205"/>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3C3C3C"/>
          </w:tcPr>
          <w:p>
            <w:pPr>
              <w:spacing w:after="0"/>
              <w:rPr>
                <w:sz w:val="7"/>
                <w:szCs w:val="7"/>
                <w:color w:val="auto"/>
              </w:rPr>
            </w:pPr>
          </w:p>
        </w:tc>
        <w:tc>
          <w:tcPr>
            <w:tcW w:w="2180" w:type="dxa"/>
            <w:vAlign w:val="bottom"/>
            <w:tcBorders>
              <w:left w:val="single" w:sz="8" w:color="3C3C3C"/>
            </w:tcBorders>
            <w:gridSpan w:val="3"/>
            <w:vMerge w:val="continue"/>
            <w:shd w:val="clear" w:color="auto" w:fill="3C3C3C"/>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880" w:type="dxa"/>
            <w:vAlign w:val="bottom"/>
            <w:tcBorders>
              <w:left w:val="single" w:sz="8" w:color="3C3C3C"/>
              <w:right w:val="single" w:sz="8" w:color="3C3C3C"/>
            </w:tcBorders>
            <w:shd w:val="clear" w:color="auto" w:fill="3C3C3C"/>
          </w:tcPr>
          <w:p>
            <w:pPr>
              <w:spacing w:after="0"/>
              <w:rPr>
                <w:sz w:val="9"/>
                <w:szCs w:val="9"/>
                <w:color w:val="auto"/>
              </w:rPr>
            </w:pPr>
          </w:p>
        </w:tc>
        <w:tc>
          <w:tcPr>
            <w:tcW w:w="1360" w:type="dxa"/>
            <w:vAlign w:val="bottom"/>
            <w:vMerge w:val="continue"/>
            <w:shd w:val="clear" w:color="auto" w:fill="3C3C3C"/>
          </w:tcPr>
          <w:p>
            <w:pPr>
              <w:spacing w:after="0"/>
              <w:rPr>
                <w:sz w:val="9"/>
                <w:szCs w:val="9"/>
                <w:color w:val="auto"/>
              </w:rPr>
            </w:pPr>
          </w:p>
        </w:tc>
        <w:tc>
          <w:tcPr>
            <w:tcW w:w="360" w:type="dxa"/>
            <w:vAlign w:val="bottom"/>
            <w:shd w:val="clear" w:color="auto" w:fill="3C3C3C"/>
          </w:tcPr>
          <w:p>
            <w:pPr>
              <w:spacing w:after="0"/>
              <w:rPr>
                <w:sz w:val="9"/>
                <w:szCs w:val="9"/>
                <w:color w:val="auto"/>
              </w:rPr>
            </w:pPr>
          </w:p>
        </w:tc>
        <w:tc>
          <w:tcPr>
            <w:tcW w:w="1120" w:type="dxa"/>
            <w:vAlign w:val="bottom"/>
            <w:tcBorders>
              <w:left w:val="single" w:sz="8" w:color="3C3C3C"/>
            </w:tcBorders>
            <w:vMerge w:val="continue"/>
            <w:shd w:val="clear" w:color="auto" w:fill="3C3C3C"/>
          </w:tcPr>
          <w:p>
            <w:pPr>
              <w:spacing w:after="0"/>
              <w:rPr>
                <w:sz w:val="9"/>
                <w:szCs w:val="9"/>
                <w:color w:val="auto"/>
              </w:rPr>
            </w:pPr>
          </w:p>
        </w:tc>
        <w:tc>
          <w:tcPr>
            <w:tcW w:w="360" w:type="dxa"/>
            <w:vAlign w:val="bottom"/>
            <w:shd w:val="clear" w:color="auto" w:fill="3C3C3C"/>
          </w:tcPr>
          <w:p>
            <w:pPr>
              <w:spacing w:after="0"/>
              <w:rPr>
                <w:sz w:val="9"/>
                <w:szCs w:val="9"/>
                <w:color w:val="auto"/>
              </w:rPr>
            </w:pPr>
          </w:p>
        </w:tc>
        <w:tc>
          <w:tcPr>
            <w:tcW w:w="1900" w:type="dxa"/>
            <w:vAlign w:val="bottom"/>
            <w:tcBorders>
              <w:left w:val="single" w:sz="8" w:color="3C3C3C"/>
            </w:tcBorders>
            <w:vMerge w:val="restart"/>
            <w:shd w:val="clear" w:color="auto" w:fill="3C3C3C"/>
          </w:tcPr>
          <w:p>
            <w:pPr>
              <w:jc w:val="center"/>
              <w:ind w:left="166"/>
              <w:spacing w:after="0"/>
              <w:rPr>
                <w:sz w:val="20"/>
                <w:szCs w:val="20"/>
                <w:color w:val="auto"/>
              </w:rPr>
            </w:pPr>
            <w:r>
              <w:rPr>
                <w:rFonts w:ascii="Arial" w:cs="Arial" w:eastAsia="Arial" w:hAnsi="Arial"/>
                <w:sz w:val="14"/>
                <w:szCs w:val="14"/>
                <w:b w:val="1"/>
                <w:bCs w:val="1"/>
                <w:color w:val="FFFFFF"/>
              </w:rPr>
              <w:t>in</w:t>
            </w:r>
          </w:p>
        </w:tc>
        <w:tc>
          <w:tcPr>
            <w:tcW w:w="260" w:type="dxa"/>
            <w:vAlign w:val="bottom"/>
            <w:shd w:val="clear" w:color="auto" w:fill="3C3C3C"/>
          </w:tcPr>
          <w:p>
            <w:pPr>
              <w:spacing w:after="0"/>
              <w:rPr>
                <w:sz w:val="9"/>
                <w:szCs w:val="9"/>
                <w:color w:val="auto"/>
              </w:rPr>
            </w:pPr>
          </w:p>
        </w:tc>
        <w:tc>
          <w:tcPr>
            <w:tcW w:w="20" w:type="dxa"/>
            <w:vAlign w:val="bottom"/>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5880" w:type="dxa"/>
            <w:vAlign w:val="bottom"/>
            <w:tcBorders>
              <w:left w:val="single" w:sz="8" w:color="3C3C3C"/>
              <w:right w:val="single" w:sz="8" w:color="3C3C3C"/>
            </w:tcBorders>
            <w:shd w:val="clear" w:color="auto" w:fill="3C3C3C"/>
          </w:tcPr>
          <w:p>
            <w:pPr>
              <w:spacing w:after="0"/>
              <w:rPr>
                <w:sz w:val="4"/>
                <w:szCs w:val="4"/>
                <w:color w:val="auto"/>
              </w:rPr>
            </w:pPr>
          </w:p>
        </w:tc>
        <w:tc>
          <w:tcPr>
            <w:tcW w:w="1360" w:type="dxa"/>
            <w:vAlign w:val="bottom"/>
            <w:shd w:val="clear" w:color="auto" w:fill="3C3C3C"/>
          </w:tcPr>
          <w:p>
            <w:pPr>
              <w:spacing w:after="0"/>
              <w:rPr>
                <w:sz w:val="4"/>
                <w:szCs w:val="4"/>
                <w:color w:val="auto"/>
              </w:rPr>
            </w:pPr>
          </w:p>
        </w:tc>
        <w:tc>
          <w:tcPr>
            <w:tcW w:w="360" w:type="dxa"/>
            <w:vAlign w:val="bottom"/>
            <w:shd w:val="clear" w:color="auto" w:fill="3C3C3C"/>
          </w:tcPr>
          <w:p>
            <w:pPr>
              <w:spacing w:after="0"/>
              <w:rPr>
                <w:sz w:val="4"/>
                <w:szCs w:val="4"/>
                <w:color w:val="auto"/>
              </w:rPr>
            </w:pPr>
          </w:p>
        </w:tc>
        <w:tc>
          <w:tcPr>
            <w:tcW w:w="1120" w:type="dxa"/>
            <w:vAlign w:val="bottom"/>
            <w:tcBorders>
              <w:left w:val="single" w:sz="8" w:color="3C3C3C"/>
            </w:tcBorders>
            <w:shd w:val="clear" w:color="auto" w:fill="3C3C3C"/>
          </w:tcPr>
          <w:p>
            <w:pPr>
              <w:spacing w:after="0"/>
              <w:rPr>
                <w:sz w:val="4"/>
                <w:szCs w:val="4"/>
                <w:color w:val="auto"/>
              </w:rPr>
            </w:pPr>
          </w:p>
        </w:tc>
        <w:tc>
          <w:tcPr>
            <w:tcW w:w="360" w:type="dxa"/>
            <w:vAlign w:val="bottom"/>
            <w:shd w:val="clear" w:color="auto" w:fill="3C3C3C"/>
          </w:tcPr>
          <w:p>
            <w:pPr>
              <w:spacing w:after="0"/>
              <w:rPr>
                <w:sz w:val="4"/>
                <w:szCs w:val="4"/>
                <w:color w:val="auto"/>
              </w:rPr>
            </w:pPr>
          </w:p>
        </w:tc>
        <w:tc>
          <w:tcPr>
            <w:tcW w:w="1900" w:type="dxa"/>
            <w:vAlign w:val="bottom"/>
            <w:tcBorders>
              <w:left w:val="single" w:sz="8" w:color="3C3C3C"/>
            </w:tcBorders>
            <w:vMerge w:val="continue"/>
            <w:shd w:val="clear" w:color="auto" w:fill="3C3C3C"/>
          </w:tcPr>
          <w:p>
            <w:pPr>
              <w:spacing w:after="0"/>
              <w:rPr>
                <w:sz w:val="4"/>
                <w:szCs w:val="4"/>
                <w:color w:val="auto"/>
              </w:rPr>
            </w:pPr>
          </w:p>
        </w:tc>
        <w:tc>
          <w:tcPr>
            <w:tcW w:w="260" w:type="dxa"/>
            <w:vAlign w:val="bottom"/>
            <w:shd w:val="clear" w:color="auto" w:fill="3C3C3C"/>
          </w:tcPr>
          <w:p>
            <w:pPr>
              <w:spacing w:after="0"/>
              <w:rPr>
                <w:sz w:val="4"/>
                <w:szCs w:val="4"/>
                <w:color w:val="auto"/>
              </w:rPr>
            </w:pPr>
          </w:p>
        </w:tc>
        <w:tc>
          <w:tcPr>
            <w:tcW w:w="20" w:type="dxa"/>
            <w:vAlign w:val="bottom"/>
            <w:shd w:val="clear" w:color="auto" w:fill="3C3C3C"/>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880" w:type="dxa"/>
            <w:vAlign w:val="bottom"/>
            <w:tcBorders>
              <w:left w:val="single" w:sz="8" w:color="3C3C3C"/>
              <w:right w:val="single" w:sz="8" w:color="3C3C3C"/>
            </w:tcBorders>
            <w:shd w:val="clear" w:color="auto" w:fill="3C3C3C"/>
          </w:tcPr>
          <w:p>
            <w:pPr>
              <w:spacing w:after="0"/>
              <w:rPr>
                <w:sz w:val="17"/>
                <w:szCs w:val="17"/>
                <w:color w:val="auto"/>
              </w:rPr>
            </w:pPr>
          </w:p>
        </w:tc>
        <w:tc>
          <w:tcPr>
            <w:tcW w:w="1360" w:type="dxa"/>
            <w:vAlign w:val="bottom"/>
            <w:shd w:val="clear" w:color="auto" w:fill="3C3C3C"/>
          </w:tcPr>
          <w:p>
            <w:pPr>
              <w:spacing w:after="0"/>
              <w:rPr>
                <w:sz w:val="17"/>
                <w:szCs w:val="17"/>
                <w:color w:val="auto"/>
              </w:rPr>
            </w:pPr>
          </w:p>
        </w:tc>
        <w:tc>
          <w:tcPr>
            <w:tcW w:w="360" w:type="dxa"/>
            <w:vAlign w:val="bottom"/>
            <w:shd w:val="clear" w:color="auto" w:fill="3C3C3C"/>
          </w:tcPr>
          <w:p>
            <w:pPr>
              <w:spacing w:after="0"/>
              <w:rPr>
                <w:sz w:val="17"/>
                <w:szCs w:val="17"/>
                <w:color w:val="auto"/>
              </w:rPr>
            </w:pPr>
          </w:p>
        </w:tc>
        <w:tc>
          <w:tcPr>
            <w:tcW w:w="1120" w:type="dxa"/>
            <w:vAlign w:val="bottom"/>
            <w:tcBorders>
              <w:left w:val="single" w:sz="8" w:color="3C3C3C"/>
            </w:tcBorders>
            <w:shd w:val="clear" w:color="auto" w:fill="3C3C3C"/>
          </w:tcPr>
          <w:p>
            <w:pPr>
              <w:spacing w:after="0"/>
              <w:rPr>
                <w:sz w:val="17"/>
                <w:szCs w:val="17"/>
                <w:color w:val="auto"/>
              </w:rPr>
            </w:pPr>
          </w:p>
        </w:tc>
        <w:tc>
          <w:tcPr>
            <w:tcW w:w="360" w:type="dxa"/>
            <w:vAlign w:val="bottom"/>
            <w:shd w:val="clear" w:color="auto" w:fill="3C3C3C"/>
          </w:tcPr>
          <w:p>
            <w:pPr>
              <w:spacing w:after="0"/>
              <w:rPr>
                <w:sz w:val="17"/>
                <w:szCs w:val="17"/>
                <w:color w:val="auto"/>
              </w:rPr>
            </w:pPr>
          </w:p>
        </w:tc>
        <w:tc>
          <w:tcPr>
            <w:tcW w:w="1900" w:type="dxa"/>
            <w:vAlign w:val="bottom"/>
            <w:tcBorders>
              <w:left w:val="single" w:sz="8" w:color="3C3C3C"/>
            </w:tcBorders>
            <w:shd w:val="clear" w:color="auto" w:fill="3C3C3C"/>
          </w:tcPr>
          <w:p>
            <w:pPr>
              <w:jc w:val="center"/>
              <w:ind w:left="206"/>
              <w:spacing w:after="0"/>
              <w:rPr>
                <w:sz w:val="20"/>
                <w:szCs w:val="20"/>
                <w:color w:val="auto"/>
              </w:rPr>
            </w:pPr>
            <w:r>
              <w:rPr>
                <w:rFonts w:ascii="Arial" w:cs="Arial" w:eastAsia="Arial" w:hAnsi="Arial"/>
                <w:sz w:val="14"/>
                <w:szCs w:val="14"/>
                <w:b w:val="1"/>
                <w:bCs w:val="1"/>
                <w:color w:val="FFFFFF"/>
              </w:rPr>
              <w:t>column (a))</w:t>
            </w:r>
          </w:p>
        </w:tc>
        <w:tc>
          <w:tcPr>
            <w:tcW w:w="260" w:type="dxa"/>
            <w:vAlign w:val="bottom"/>
            <w:shd w:val="clear" w:color="auto" w:fill="3C3C3C"/>
          </w:tcPr>
          <w:p>
            <w:pPr>
              <w:spacing w:after="0"/>
              <w:rPr>
                <w:sz w:val="17"/>
                <w:szCs w:val="17"/>
                <w:color w:val="auto"/>
              </w:rPr>
            </w:pPr>
          </w:p>
        </w:tc>
        <w:tc>
          <w:tcPr>
            <w:tcW w:w="20" w:type="dxa"/>
            <w:vAlign w:val="bottom"/>
            <w:shd w:val="clear" w:color="auto" w:fill="3C3C3C"/>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5880" w:type="dxa"/>
            <w:vAlign w:val="bottom"/>
            <w:tcBorders>
              <w:left w:val="single" w:sz="8" w:color="3C3C3C"/>
              <w:right w:val="single" w:sz="8" w:color="3C3C3C"/>
            </w:tcBorders>
            <w:shd w:val="clear" w:color="auto" w:fill="3C3C3C"/>
          </w:tcPr>
          <w:p>
            <w:pPr>
              <w:spacing w:after="0"/>
              <w:rPr>
                <w:sz w:val="8"/>
                <w:szCs w:val="8"/>
                <w:color w:val="auto"/>
              </w:rPr>
            </w:pPr>
          </w:p>
        </w:tc>
        <w:tc>
          <w:tcPr>
            <w:tcW w:w="1360" w:type="dxa"/>
            <w:vAlign w:val="bottom"/>
            <w:shd w:val="clear" w:color="auto" w:fill="3C3C3C"/>
          </w:tcPr>
          <w:p>
            <w:pPr>
              <w:spacing w:after="0"/>
              <w:rPr>
                <w:sz w:val="8"/>
                <w:szCs w:val="8"/>
                <w:color w:val="auto"/>
              </w:rPr>
            </w:pPr>
          </w:p>
        </w:tc>
        <w:tc>
          <w:tcPr>
            <w:tcW w:w="360" w:type="dxa"/>
            <w:vAlign w:val="bottom"/>
            <w:shd w:val="clear" w:color="auto" w:fill="3C3C3C"/>
          </w:tcPr>
          <w:p>
            <w:pPr>
              <w:spacing w:after="0"/>
              <w:rPr>
                <w:sz w:val="8"/>
                <w:szCs w:val="8"/>
                <w:color w:val="auto"/>
              </w:rPr>
            </w:pPr>
          </w:p>
        </w:tc>
        <w:tc>
          <w:tcPr>
            <w:tcW w:w="1120" w:type="dxa"/>
            <w:vAlign w:val="bottom"/>
            <w:tcBorders>
              <w:left w:val="single" w:sz="8" w:color="3C3C3C"/>
            </w:tcBorders>
            <w:shd w:val="clear" w:color="auto" w:fill="3C3C3C"/>
          </w:tcPr>
          <w:p>
            <w:pPr>
              <w:spacing w:after="0"/>
              <w:rPr>
                <w:sz w:val="8"/>
                <w:szCs w:val="8"/>
                <w:color w:val="auto"/>
              </w:rPr>
            </w:pPr>
          </w:p>
        </w:tc>
        <w:tc>
          <w:tcPr>
            <w:tcW w:w="360" w:type="dxa"/>
            <w:vAlign w:val="bottom"/>
            <w:shd w:val="clear" w:color="auto" w:fill="3C3C3C"/>
          </w:tcPr>
          <w:p>
            <w:pPr>
              <w:spacing w:after="0"/>
              <w:rPr>
                <w:sz w:val="8"/>
                <w:szCs w:val="8"/>
                <w:color w:val="auto"/>
              </w:rPr>
            </w:pPr>
          </w:p>
        </w:tc>
        <w:tc>
          <w:tcPr>
            <w:tcW w:w="1900" w:type="dxa"/>
            <w:vAlign w:val="bottom"/>
            <w:tcBorders>
              <w:left w:val="single" w:sz="8" w:color="3C3C3C"/>
            </w:tcBorders>
            <w:shd w:val="clear" w:color="auto" w:fill="3C3C3C"/>
          </w:tcPr>
          <w:p>
            <w:pPr>
              <w:spacing w:after="0"/>
              <w:rPr>
                <w:sz w:val="8"/>
                <w:szCs w:val="8"/>
                <w:color w:val="auto"/>
              </w:rPr>
            </w:pPr>
          </w:p>
        </w:tc>
        <w:tc>
          <w:tcPr>
            <w:tcW w:w="260" w:type="dxa"/>
            <w:vAlign w:val="bottom"/>
            <w:shd w:val="clear" w:color="auto" w:fill="3C3C3C"/>
          </w:tcPr>
          <w:p>
            <w:pPr>
              <w:spacing w:after="0"/>
              <w:rPr>
                <w:sz w:val="8"/>
                <w:szCs w:val="8"/>
                <w:color w:val="auto"/>
              </w:rPr>
            </w:pPr>
          </w:p>
        </w:tc>
        <w:tc>
          <w:tcPr>
            <w:tcW w:w="20" w:type="dxa"/>
            <w:vAlign w:val="bottom"/>
            <w:shd w:val="clear" w:color="auto" w:fill="3C3C3C"/>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880" w:type="dxa"/>
            <w:vAlign w:val="bottom"/>
            <w:tcBorders>
              <w:left w:val="single" w:sz="8" w:color="3C3C3C"/>
              <w:right w:val="single" w:sz="8" w:color="3C3C3C"/>
            </w:tcBorders>
            <w:shd w:val="clear" w:color="auto" w:fill="3C3C3C"/>
          </w:tcPr>
          <w:p>
            <w:pPr>
              <w:spacing w:after="0"/>
              <w:rPr>
                <w:sz w:val="19"/>
                <w:szCs w:val="19"/>
                <w:color w:val="auto"/>
              </w:rPr>
            </w:pPr>
          </w:p>
        </w:tc>
        <w:tc>
          <w:tcPr>
            <w:tcW w:w="1360" w:type="dxa"/>
            <w:vAlign w:val="bottom"/>
            <w:shd w:val="clear" w:color="auto" w:fill="3C3C3C"/>
          </w:tcPr>
          <w:p>
            <w:pPr>
              <w:jc w:val="center"/>
              <w:ind w:left="265"/>
              <w:spacing w:after="0"/>
              <w:rPr>
                <w:sz w:val="20"/>
                <w:szCs w:val="20"/>
                <w:color w:val="auto"/>
              </w:rPr>
            </w:pPr>
            <w:r>
              <w:rPr>
                <w:rFonts w:ascii="Arial" w:cs="Arial" w:eastAsia="Arial" w:hAnsi="Arial"/>
                <w:sz w:val="14"/>
                <w:szCs w:val="14"/>
                <w:b w:val="1"/>
                <w:bCs w:val="1"/>
                <w:color w:val="FFFFFF"/>
              </w:rPr>
              <w:t>(a)</w:t>
            </w:r>
          </w:p>
        </w:tc>
        <w:tc>
          <w:tcPr>
            <w:tcW w:w="360" w:type="dxa"/>
            <w:vAlign w:val="bottom"/>
            <w:shd w:val="clear" w:color="auto" w:fill="3C3C3C"/>
          </w:tcPr>
          <w:p>
            <w:pPr>
              <w:spacing w:after="0"/>
              <w:rPr>
                <w:sz w:val="19"/>
                <w:szCs w:val="19"/>
                <w:color w:val="auto"/>
              </w:rPr>
            </w:pPr>
          </w:p>
        </w:tc>
        <w:tc>
          <w:tcPr>
            <w:tcW w:w="1120" w:type="dxa"/>
            <w:vAlign w:val="bottom"/>
          </w:tcPr>
          <w:p>
            <w:pPr>
              <w:jc w:val="center"/>
              <w:ind w:left="305"/>
              <w:spacing w:after="0"/>
              <w:rPr>
                <w:sz w:val="20"/>
                <w:szCs w:val="20"/>
                <w:color w:val="auto"/>
              </w:rPr>
            </w:pPr>
            <w:r>
              <w:rPr>
                <w:rFonts w:ascii="Arial" w:cs="Arial" w:eastAsia="Arial" w:hAnsi="Arial"/>
                <w:sz w:val="14"/>
                <w:szCs w:val="14"/>
                <w:b w:val="1"/>
                <w:bCs w:val="1"/>
                <w:color w:val="FFFFFF"/>
              </w:rPr>
              <w:t>(b)</w:t>
            </w:r>
          </w:p>
        </w:tc>
        <w:tc>
          <w:tcPr>
            <w:tcW w:w="360" w:type="dxa"/>
            <w:vAlign w:val="bottom"/>
            <w:vMerge w:val="restart"/>
          </w:tcPr>
          <w:p>
            <w:pPr>
              <w:jc w:val="right"/>
              <w:ind w:right="27"/>
              <w:spacing w:after="0"/>
              <w:rPr>
                <w:sz w:val="20"/>
                <w:szCs w:val="20"/>
                <w:color w:val="auto"/>
              </w:rPr>
            </w:pPr>
            <w:r>
              <w:rPr>
                <w:rFonts w:ascii="Arial" w:cs="Arial" w:eastAsia="Arial" w:hAnsi="Arial"/>
                <w:sz w:val="11"/>
                <w:szCs w:val="11"/>
                <w:color w:val="auto"/>
              </w:rPr>
              <w:t>(2)</w:t>
            </w:r>
          </w:p>
        </w:tc>
        <w:tc>
          <w:tcPr>
            <w:tcW w:w="1900" w:type="dxa"/>
            <w:vAlign w:val="bottom"/>
          </w:tcPr>
          <w:p>
            <w:pPr>
              <w:jc w:val="center"/>
              <w:ind w:left="206"/>
              <w:spacing w:after="0"/>
              <w:rPr>
                <w:sz w:val="20"/>
                <w:szCs w:val="20"/>
                <w:color w:val="auto"/>
              </w:rPr>
            </w:pPr>
            <w:r>
              <w:rPr>
                <w:rFonts w:ascii="Arial" w:cs="Arial" w:eastAsia="Arial" w:hAnsi="Arial"/>
                <w:sz w:val="14"/>
                <w:szCs w:val="14"/>
                <w:b w:val="1"/>
                <w:bCs w:val="1"/>
                <w:color w:val="FFFFFF"/>
              </w:rPr>
              <w:t>(c)</w:t>
            </w:r>
          </w:p>
        </w:tc>
        <w:tc>
          <w:tcPr>
            <w:tcW w:w="260" w:type="dxa"/>
            <w:vAlign w:val="bottom"/>
            <w:vMerge w:val="restart"/>
          </w:tcPr>
          <w:p>
            <w:pPr>
              <w:jc w:val="right"/>
              <w:ind w:right="27"/>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5880" w:type="dxa"/>
            <w:vAlign w:val="bottom"/>
            <w:tcBorders>
              <w:left w:val="single" w:sz="8" w:color="929292"/>
              <w:right w:val="single" w:sz="8" w:color="929292"/>
            </w:tcBorders>
            <w:vMerge w:val="restart"/>
          </w:tcPr>
          <w:p>
            <w:pPr>
              <w:ind w:left="1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360" w:type="dxa"/>
            <w:vAlign w:val="bottom"/>
            <w:vMerge w:val="restart"/>
          </w:tcPr>
          <w:p>
            <w:pPr>
              <w:jc w:val="right"/>
              <w:ind w:right="225"/>
              <w:spacing w:after="0"/>
              <w:rPr>
                <w:sz w:val="20"/>
                <w:szCs w:val="20"/>
                <w:color w:val="auto"/>
              </w:rPr>
            </w:pPr>
            <w:r>
              <w:rPr>
                <w:rFonts w:ascii="Arial" w:cs="Arial" w:eastAsia="Arial" w:hAnsi="Arial"/>
                <w:sz w:val="16"/>
                <w:szCs w:val="16"/>
                <w:color w:val="auto"/>
              </w:rPr>
              <w:t>3,183,314</w:t>
            </w:r>
          </w:p>
        </w:tc>
        <w:tc>
          <w:tcPr>
            <w:tcW w:w="360" w:type="dxa"/>
            <w:vAlign w:val="bottom"/>
          </w:tcPr>
          <w:p>
            <w:pPr>
              <w:jc w:val="right"/>
              <w:ind w:right="27"/>
              <w:spacing w:after="0"/>
              <w:rPr>
                <w:sz w:val="20"/>
                <w:szCs w:val="20"/>
                <w:color w:val="auto"/>
              </w:rPr>
            </w:pPr>
            <w:r>
              <w:rPr>
                <w:rFonts w:ascii="Arial" w:cs="Arial" w:eastAsia="Arial" w:hAnsi="Arial"/>
                <w:sz w:val="11"/>
                <w:szCs w:val="11"/>
                <w:color w:val="auto"/>
              </w:rPr>
              <w:t>(1)</w:t>
            </w:r>
          </w:p>
        </w:tc>
        <w:tc>
          <w:tcPr>
            <w:tcW w:w="1120" w:type="dxa"/>
            <w:vAlign w:val="bottom"/>
            <w:tcBorders>
              <w:left w:val="single" w:sz="8" w:color="929292"/>
            </w:tcBorders>
            <w:vMerge w:val="restart"/>
          </w:tcPr>
          <w:p>
            <w:pPr>
              <w:jc w:val="right"/>
              <w:ind w:right="245"/>
              <w:spacing w:after="0"/>
              <w:rPr>
                <w:sz w:val="20"/>
                <w:szCs w:val="20"/>
                <w:color w:val="auto"/>
              </w:rPr>
            </w:pPr>
            <w:r>
              <w:rPr>
                <w:rFonts w:ascii="Arial" w:cs="Arial" w:eastAsia="Arial" w:hAnsi="Arial"/>
                <w:sz w:val="16"/>
                <w:szCs w:val="16"/>
                <w:color w:val="auto"/>
              </w:rPr>
              <w:t>39.44</w:t>
            </w:r>
          </w:p>
        </w:tc>
        <w:tc>
          <w:tcPr>
            <w:tcW w:w="360" w:type="dxa"/>
            <w:vAlign w:val="bottom"/>
            <w:vMerge w:val="continue"/>
          </w:tcPr>
          <w:p>
            <w:pPr>
              <w:spacing w:after="0"/>
              <w:rPr>
                <w:sz w:val="12"/>
                <w:szCs w:val="12"/>
                <w:color w:val="auto"/>
              </w:rPr>
            </w:pPr>
          </w:p>
        </w:tc>
        <w:tc>
          <w:tcPr>
            <w:tcW w:w="190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6"/>
                <w:szCs w:val="16"/>
                <w:color w:val="auto"/>
              </w:rPr>
              <w:t>7,261,623</w:t>
            </w:r>
          </w:p>
        </w:tc>
        <w:tc>
          <w:tcPr>
            <w:tcW w:w="260" w:type="dxa"/>
            <w:vAlign w:val="bottom"/>
            <w:vMerge w:val="continue"/>
          </w:tcPr>
          <w:p>
            <w:pPr>
              <w:spacing w:after="0"/>
              <w:rPr>
                <w:sz w:val="12"/>
                <w:szCs w:val="12"/>
                <w:color w:val="auto"/>
              </w:rPr>
            </w:pPr>
          </w:p>
        </w:tc>
        <w:tc>
          <w:tcPr>
            <w:tcW w:w="20" w:type="dxa"/>
            <w:vAlign w:val="bottom"/>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5880" w:type="dxa"/>
            <w:vAlign w:val="bottom"/>
            <w:tcBorders>
              <w:left w:val="single" w:sz="8" w:color="929292"/>
              <w:right w:val="single" w:sz="8" w:color="929292"/>
            </w:tcBorders>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Borders>
              <w:left w:val="single" w:sz="8" w:color="929292"/>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Borders>
              <w:left w:val="single" w:sz="8" w:color="929292"/>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shd w:val="clear" w:color="auto" w:fill="929292"/>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5880" w:type="dxa"/>
            <w:vAlign w:val="bottom"/>
            <w:tcBorders>
              <w:left w:val="single" w:sz="8" w:color="929292"/>
              <w:bottom w:val="single" w:sz="8" w:color="FAF6EF"/>
              <w:right w:val="single" w:sz="8" w:color="929292"/>
            </w:tcBorders>
          </w:tcPr>
          <w:p>
            <w:pPr>
              <w:ind w:left="12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360" w:type="dxa"/>
            <w:vAlign w:val="bottom"/>
            <w:tcBorders>
              <w:bottom w:val="single" w:sz="8" w:color="3C3C3C"/>
            </w:tcBorders>
          </w:tcPr>
          <w:p>
            <w:pPr>
              <w:jc w:val="center"/>
              <w:ind w:left="265"/>
              <w:spacing w:after="0"/>
              <w:rPr>
                <w:sz w:val="20"/>
                <w:szCs w:val="20"/>
                <w:color w:val="auto"/>
              </w:rPr>
            </w:pPr>
            <w:r>
              <w:rPr>
                <w:rFonts w:ascii="Arial" w:cs="Arial" w:eastAsia="Arial" w:hAnsi="Arial"/>
                <w:sz w:val="16"/>
                <w:szCs w:val="16"/>
                <w:color w:val="auto"/>
                <w:w w:val="97"/>
              </w:rPr>
              <w:t>N/A</w:t>
            </w:r>
          </w:p>
        </w:tc>
        <w:tc>
          <w:tcPr>
            <w:tcW w:w="360" w:type="dxa"/>
            <w:vAlign w:val="bottom"/>
            <w:tcBorders>
              <w:bottom w:val="single" w:sz="8" w:color="3C3C3C"/>
            </w:tcBorders>
          </w:tcPr>
          <w:p>
            <w:pPr>
              <w:spacing w:after="0"/>
              <w:rPr>
                <w:sz w:val="21"/>
                <w:szCs w:val="21"/>
                <w:color w:val="auto"/>
              </w:rPr>
            </w:pPr>
          </w:p>
        </w:tc>
        <w:tc>
          <w:tcPr>
            <w:tcW w:w="1120" w:type="dxa"/>
            <w:vAlign w:val="bottom"/>
            <w:tcBorders>
              <w:left w:val="single" w:sz="8" w:color="929292"/>
              <w:bottom w:val="single" w:sz="8" w:color="3C3C3C"/>
            </w:tcBorders>
          </w:tcPr>
          <w:p>
            <w:pPr>
              <w:jc w:val="center"/>
              <w:ind w:left="285"/>
              <w:spacing w:after="0"/>
              <w:rPr>
                <w:sz w:val="20"/>
                <w:szCs w:val="20"/>
                <w:color w:val="auto"/>
              </w:rPr>
            </w:pPr>
            <w:r>
              <w:rPr>
                <w:rFonts w:ascii="Arial" w:cs="Arial" w:eastAsia="Arial" w:hAnsi="Arial"/>
                <w:sz w:val="16"/>
                <w:szCs w:val="16"/>
                <w:color w:val="auto"/>
              </w:rPr>
              <w:t>N/A</w:t>
            </w:r>
          </w:p>
        </w:tc>
        <w:tc>
          <w:tcPr>
            <w:tcW w:w="360" w:type="dxa"/>
            <w:vAlign w:val="bottom"/>
            <w:tcBorders>
              <w:bottom w:val="single" w:sz="8" w:color="3C3C3C"/>
            </w:tcBorders>
          </w:tcPr>
          <w:p>
            <w:pPr>
              <w:spacing w:after="0"/>
              <w:rPr>
                <w:sz w:val="21"/>
                <w:szCs w:val="21"/>
                <w:color w:val="auto"/>
              </w:rPr>
            </w:pPr>
          </w:p>
        </w:tc>
        <w:tc>
          <w:tcPr>
            <w:tcW w:w="1900" w:type="dxa"/>
            <w:vAlign w:val="bottom"/>
            <w:tcBorders>
              <w:left w:val="single" w:sz="8" w:color="929292"/>
              <w:bottom w:val="single" w:sz="8" w:color="3C3C3C"/>
            </w:tcBorders>
          </w:tcPr>
          <w:p>
            <w:pPr>
              <w:jc w:val="center"/>
              <w:spacing w:after="0"/>
              <w:rPr>
                <w:sz w:val="20"/>
                <w:szCs w:val="20"/>
                <w:color w:val="auto"/>
              </w:rPr>
            </w:pPr>
            <w:r>
              <w:rPr>
                <w:rFonts w:ascii="Arial" w:cs="Arial" w:eastAsia="Arial" w:hAnsi="Arial"/>
                <w:sz w:val="16"/>
                <w:szCs w:val="16"/>
                <w:color w:val="auto"/>
              </w:rPr>
              <w:t>N/A</w:t>
            </w:r>
          </w:p>
        </w:tc>
        <w:tc>
          <w:tcPr>
            <w:tcW w:w="260" w:type="dxa"/>
            <w:vAlign w:val="bottom"/>
            <w:tcBorders>
              <w:bottom w:val="single" w:sz="8" w:color="3C3C3C"/>
            </w:tcBorders>
          </w:tcPr>
          <w:p>
            <w:pPr>
              <w:spacing w:after="0"/>
              <w:rPr>
                <w:sz w:val="21"/>
                <w:szCs w:val="21"/>
                <w:color w:val="auto"/>
              </w:rPr>
            </w:pPr>
          </w:p>
        </w:tc>
        <w:tc>
          <w:tcPr>
            <w:tcW w:w="20" w:type="dxa"/>
            <w:vAlign w:val="bottom"/>
            <w:tcBorders>
              <w:bottom w:val="single" w:sz="8" w:color="929292"/>
            </w:tcBorders>
            <w:shd w:val="clear" w:color="auto" w:fill="929292"/>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Borders>
              <w:left w:val="single" w:sz="8" w:color="929292"/>
              <w:bottom w:val="single" w:sz="8" w:color="FAF6EF"/>
              <w:righ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3C3C3C"/>
            </w:tcBorders>
            <w:shd w:val="clear" w:color="auto" w:fill="FAF6EF"/>
          </w:tcPr>
          <w:p>
            <w:pPr>
              <w:jc w:val="center"/>
              <w:ind w:left="285"/>
              <w:spacing w:after="0"/>
              <w:rPr>
                <w:sz w:val="20"/>
                <w:szCs w:val="20"/>
                <w:color w:val="auto"/>
              </w:rPr>
            </w:pPr>
            <w:r>
              <w:rPr>
                <w:rFonts w:ascii="Arial" w:cs="Arial" w:eastAsia="Arial" w:hAnsi="Arial"/>
                <w:sz w:val="16"/>
                <w:szCs w:val="16"/>
                <w:b w:val="1"/>
                <w:bCs w:val="1"/>
                <w:color w:val="auto"/>
              </w:rPr>
              <w:t>3,183,314</w:t>
            </w:r>
          </w:p>
        </w:tc>
        <w:tc>
          <w:tcPr>
            <w:tcW w:w="360" w:type="dxa"/>
            <w:vAlign w:val="bottom"/>
            <w:tcBorders>
              <w:bottom w:val="single" w:sz="8" w:color="3C3C3C"/>
            </w:tcBorders>
            <w:shd w:val="clear" w:color="auto" w:fill="FAF6EF"/>
          </w:tcPr>
          <w:p>
            <w:pPr>
              <w:spacing w:after="0"/>
              <w:rPr>
                <w:sz w:val="20"/>
                <w:szCs w:val="20"/>
                <w:color w:val="auto"/>
              </w:rPr>
            </w:pPr>
          </w:p>
        </w:tc>
        <w:tc>
          <w:tcPr>
            <w:tcW w:w="1120" w:type="dxa"/>
            <w:vAlign w:val="bottom"/>
            <w:tcBorders>
              <w:left w:val="single" w:sz="8" w:color="929292"/>
              <w:bottom w:val="single" w:sz="8" w:color="3C3C3C"/>
            </w:tcBorders>
            <w:shd w:val="clear" w:color="auto" w:fill="FAF6EF"/>
          </w:tcPr>
          <w:p>
            <w:pPr>
              <w:jc w:val="right"/>
              <w:ind w:right="45"/>
              <w:spacing w:after="0"/>
              <w:rPr>
                <w:sz w:val="20"/>
                <w:szCs w:val="20"/>
                <w:color w:val="auto"/>
              </w:rPr>
            </w:pPr>
            <w:r>
              <w:rPr>
                <w:rFonts w:ascii="Arial" w:cs="Arial" w:eastAsia="Arial" w:hAnsi="Arial"/>
                <w:sz w:val="16"/>
                <w:szCs w:val="16"/>
                <w:b w:val="1"/>
                <w:bCs w:val="1"/>
                <w:color w:val="auto"/>
              </w:rPr>
              <w:t>$39.44</w:t>
            </w:r>
          </w:p>
        </w:tc>
        <w:tc>
          <w:tcPr>
            <w:tcW w:w="360" w:type="dxa"/>
            <w:vAlign w:val="bottom"/>
            <w:tcBorders>
              <w:bottom w:val="single" w:sz="8" w:color="3C3C3C"/>
            </w:tcBorders>
            <w:shd w:val="clear" w:color="auto" w:fill="FAF6EF"/>
          </w:tcPr>
          <w:p>
            <w:pPr>
              <w:spacing w:after="0"/>
              <w:rPr>
                <w:sz w:val="20"/>
                <w:szCs w:val="20"/>
                <w:color w:val="auto"/>
              </w:rPr>
            </w:pPr>
          </w:p>
        </w:tc>
        <w:tc>
          <w:tcPr>
            <w:tcW w:w="1900" w:type="dxa"/>
            <w:vAlign w:val="bottom"/>
            <w:tcBorders>
              <w:left w:val="single" w:sz="8" w:color="929292"/>
              <w:bottom w:val="single" w:sz="8" w:color="3C3C3C"/>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7,261,623</w:t>
            </w:r>
          </w:p>
        </w:tc>
        <w:tc>
          <w:tcPr>
            <w:tcW w:w="260" w:type="dxa"/>
            <w:vAlign w:val="bottom"/>
            <w:tcBorders>
              <w:bottom w:val="single" w:sz="8" w:color="3C3C3C"/>
            </w:tcBorders>
            <w:shd w:val="clear" w:color="auto" w:fill="FAF6EF"/>
          </w:tcPr>
          <w:p>
            <w:pPr>
              <w:spacing w:after="0"/>
              <w:rPr>
                <w:sz w:val="20"/>
                <w:szCs w:val="20"/>
                <w:color w:val="auto"/>
              </w:rPr>
            </w:pPr>
          </w:p>
        </w:tc>
        <w:tc>
          <w:tcPr>
            <w:tcW w:w="20" w:type="dxa"/>
            <w:vAlign w:val="bottom"/>
            <w:tcBorders>
              <w:bottom w:val="single" w:sz="8" w:color="3C3C3C"/>
            </w:tcBorders>
            <w:shd w:val="clear" w:color="auto" w:fill="92929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FAF6EF"/>
            </w:tcBorders>
          </w:tcPr>
          <w:p>
            <w:pPr>
              <w:spacing w:after="0" w:line="20" w:lineRule="exact"/>
              <w:rPr>
                <w:sz w:val="1"/>
                <w:szCs w:val="1"/>
                <w:color w:val="auto"/>
              </w:rPr>
            </w:pPr>
          </w:p>
        </w:tc>
        <w:tc>
          <w:tcPr>
            <w:tcW w:w="1360" w:type="dxa"/>
            <w:vAlign w:val="bottom"/>
            <w:tcBorders>
              <w:top w:val="single" w:sz="8" w:color="FAF6EF"/>
              <w:bottom w:val="single" w:sz="8" w:color="3C3C3C"/>
            </w:tcBorders>
          </w:tcPr>
          <w:p>
            <w:pPr>
              <w:spacing w:after="0" w:line="20" w:lineRule="exact"/>
              <w:rPr>
                <w:sz w:val="1"/>
                <w:szCs w:val="1"/>
                <w:color w:val="auto"/>
              </w:rPr>
            </w:pPr>
          </w:p>
        </w:tc>
        <w:tc>
          <w:tcPr>
            <w:tcW w:w="360" w:type="dxa"/>
            <w:vAlign w:val="bottom"/>
            <w:tcBorders>
              <w:top w:val="single" w:sz="8" w:color="FAF6EF"/>
              <w:bottom w:val="single" w:sz="8" w:color="3C3C3C"/>
            </w:tcBorders>
          </w:tcPr>
          <w:p>
            <w:pPr>
              <w:spacing w:after="0" w:line="20" w:lineRule="exact"/>
              <w:rPr>
                <w:sz w:val="1"/>
                <w:szCs w:val="1"/>
                <w:color w:val="auto"/>
              </w:rPr>
            </w:pPr>
          </w:p>
        </w:tc>
        <w:tc>
          <w:tcPr>
            <w:tcW w:w="1120" w:type="dxa"/>
            <w:vAlign w:val="bottom"/>
            <w:tcBorders>
              <w:top w:val="single" w:sz="8" w:color="FAF6EF"/>
              <w:bottom w:val="single" w:sz="8" w:color="3C3C3C"/>
            </w:tcBorders>
          </w:tcPr>
          <w:p>
            <w:pPr>
              <w:spacing w:after="0" w:line="20" w:lineRule="exact"/>
              <w:rPr>
                <w:sz w:val="1"/>
                <w:szCs w:val="1"/>
                <w:color w:val="auto"/>
              </w:rPr>
            </w:pPr>
          </w:p>
        </w:tc>
        <w:tc>
          <w:tcPr>
            <w:tcW w:w="360" w:type="dxa"/>
            <w:vAlign w:val="bottom"/>
            <w:tcBorders>
              <w:top w:val="single" w:sz="8" w:color="FAF6EF"/>
              <w:bottom w:val="single" w:sz="8" w:color="3C3C3C"/>
            </w:tcBorders>
          </w:tcPr>
          <w:p>
            <w:pPr>
              <w:spacing w:after="0" w:line="20" w:lineRule="exact"/>
              <w:rPr>
                <w:sz w:val="1"/>
                <w:szCs w:val="1"/>
                <w:color w:val="auto"/>
              </w:rPr>
            </w:pPr>
          </w:p>
        </w:tc>
        <w:tc>
          <w:tcPr>
            <w:tcW w:w="1900" w:type="dxa"/>
            <w:vAlign w:val="bottom"/>
            <w:tcBorders>
              <w:top w:val="single" w:sz="8" w:color="FAF6EF"/>
              <w:bottom w:val="single" w:sz="8" w:color="3C3C3C"/>
            </w:tcBorders>
          </w:tcPr>
          <w:p>
            <w:pPr>
              <w:spacing w:after="0" w:line="20" w:lineRule="exact"/>
              <w:rPr>
                <w:sz w:val="1"/>
                <w:szCs w:val="1"/>
                <w:color w:val="auto"/>
              </w:rPr>
            </w:pPr>
          </w:p>
        </w:tc>
        <w:tc>
          <w:tcPr>
            <w:tcW w:w="260" w:type="dxa"/>
            <w:vAlign w:val="bottom"/>
            <w:tcBorders>
              <w:top w:val="single" w:sz="8" w:color="FAF6EF"/>
              <w:bottom w:val="single" w:sz="8" w:color="3C3C3C"/>
            </w:tcBorders>
          </w:tcPr>
          <w:p>
            <w:pPr>
              <w:spacing w:after="0" w:line="20" w:lineRule="exact"/>
              <w:rPr>
                <w:sz w:val="1"/>
                <w:szCs w:val="1"/>
                <w:color w:val="auto"/>
              </w:rPr>
            </w:pPr>
          </w:p>
        </w:tc>
        <w:tc>
          <w:tcPr>
            <w:tcW w:w="20" w:type="dxa"/>
            <w:vAlign w:val="bottom"/>
            <w:tcBorders>
              <w:top w:val="single" w:sz="8" w:color="FAF6EF"/>
              <w:bottom w:val="single" w:sz="8" w:color="3C3C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40575"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0575" cy="3003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63" w:lineRule="exact"/>
        <w:rPr>
          <w:sz w:val="20"/>
          <w:szCs w:val="20"/>
          <w:color w:val="auto"/>
        </w:rPr>
      </w:pPr>
    </w:p>
    <w:p>
      <w:pPr>
        <w:jc w:val="both"/>
        <w:ind w:left="260" w:right="20" w:hanging="252"/>
        <w:spacing w:after="0" w:line="297" w:lineRule="auto"/>
        <w:tabs>
          <w:tab w:leader="none" w:pos="245" w:val="left"/>
        </w:tabs>
        <w:numPr>
          <w:ilvl w:val="0"/>
          <w:numId w:val="124"/>
        </w:numPr>
        <w:rPr>
          <w:rFonts w:ascii="Arial" w:cs="Arial" w:eastAsia="Arial" w:hAnsi="Arial"/>
          <w:sz w:val="14"/>
          <w:szCs w:val="14"/>
          <w:color w:val="7D7D7D"/>
        </w:rPr>
      </w:pPr>
      <w:r>
        <w:rPr>
          <w:rFonts w:ascii="Arial" w:cs="Arial" w:eastAsia="Arial" w:hAnsi="Arial"/>
          <w:sz w:val="14"/>
          <w:szCs w:val="14"/>
          <w:color w:val="7D7D7D"/>
        </w:rPr>
        <w:t>Includes (i) an aggregate of 4,160 shares of common stock to be issued upon exercise of options granted under the 2011 Plan, (ii) 10,588 shares of our common stock issuable upon settlement of RSUs granted under the 2011 Plan and (iii) 3,168,566 shares of our common stock issuable upon settlement of RSUs granted under the 2021 Plan.</w:t>
      </w:r>
    </w:p>
    <w:p>
      <w:pPr>
        <w:spacing w:after="0" w:line="182" w:lineRule="exact"/>
        <w:rPr>
          <w:sz w:val="20"/>
          <w:szCs w:val="20"/>
          <w:color w:val="auto"/>
        </w:rPr>
      </w:pPr>
    </w:p>
    <w:p>
      <w:pPr>
        <w:ind w:left="260" w:right="20" w:hanging="252"/>
        <w:spacing w:after="0" w:line="291" w:lineRule="auto"/>
        <w:tabs>
          <w:tab w:leader="none" w:pos="245" w:val="left"/>
        </w:tabs>
        <w:numPr>
          <w:ilvl w:val="0"/>
          <w:numId w:val="125"/>
        </w:numPr>
        <w:rPr>
          <w:rFonts w:ascii="Arial" w:cs="Arial" w:eastAsia="Arial" w:hAnsi="Arial"/>
          <w:sz w:val="14"/>
          <w:szCs w:val="14"/>
          <w:color w:val="7D7D7D"/>
        </w:rPr>
      </w:pPr>
      <w:r>
        <w:rPr>
          <w:rFonts w:ascii="Arial" w:cs="Arial" w:eastAsia="Arial" w:hAnsi="Arial"/>
          <w:sz w:val="14"/>
          <w:szCs w:val="14"/>
          <w:color w:val="7D7D7D"/>
        </w:rPr>
        <w:t>Because RSUs do not have an exercise price, the 10,588 shares of common stock issuable upon settlement of RSUs granted under the 2011 Plan and 3,168,566 shares of common stock issuable upon settlement of RSUs granted under the 2021 Plan are not included in the calculation of weighted-average exercise price.</w:t>
      </w:r>
    </w:p>
    <w:p>
      <w:pPr>
        <w:spacing w:after="0" w:line="1" w:lineRule="exact"/>
        <w:rPr>
          <w:sz w:val="20"/>
          <w:szCs w:val="20"/>
          <w:color w:val="auto"/>
        </w:rPr>
      </w:pPr>
    </w:p>
    <w:p>
      <w:pPr>
        <w:jc w:val="both"/>
        <w:ind w:left="260" w:right="20" w:hanging="252"/>
        <w:spacing w:after="0" w:line="283" w:lineRule="auto"/>
        <w:tabs>
          <w:tab w:leader="none" w:pos="245" w:val="left"/>
        </w:tabs>
        <w:numPr>
          <w:ilvl w:val="0"/>
          <w:numId w:val="126"/>
        </w:numPr>
        <w:rPr>
          <w:rFonts w:ascii="Arial" w:cs="Arial" w:eastAsia="Arial" w:hAnsi="Arial"/>
          <w:sz w:val="14"/>
          <w:szCs w:val="14"/>
          <w:color w:val="7D7D7D"/>
        </w:rPr>
      </w:pPr>
      <w:r>
        <w:rPr>
          <w:rFonts w:ascii="Arial" w:cs="Arial" w:eastAsia="Arial" w:hAnsi="Arial"/>
          <w:sz w:val="14"/>
          <w:szCs w:val="14"/>
          <w:color w:val="7D7D7D"/>
        </w:rPr>
        <w:t>Includes 4,908,854 shares of common stock available for issuance under the 2021 Plan and 2,352,769 shares of common stock available for future purchase under the ESPP. The number of shares of common stock reserved for issuance under the ESPP automatically increases on each January 1, by the lesser of (i) 700,000 shares of common stock or (ii) 1.0% of the total number of shares of common stock outstanding on December 31 of the preceding calendar year,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83" w:name="page84"/>
    <w:bookmarkEnd w:id="83"/>
    <w:p>
      <w:pPr>
        <w:spacing w:after="0"/>
        <w:rPr>
          <w:sz w:val="20"/>
          <w:szCs w:val="20"/>
          <w:color w:val="auto"/>
        </w:rPr>
      </w:pPr>
      <w:r>
        <w:rPr>
          <w:rFonts w:ascii="Arial" w:cs="Arial" w:eastAsia="Arial" w:hAnsi="Arial"/>
          <w:sz w:val="32"/>
          <w:szCs w:val="32"/>
          <w:b w:val="1"/>
          <w:bCs w:val="1"/>
          <w:color w:val="auto"/>
        </w:rPr>
        <w:t>Transactions with Related Persons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and Procedures for Review of Related Party Transactions</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Audit Committee Charter provides that the Audit Committee will review and approve all related party transactions. This review covers any material transaction, arrangement or relationship, or any series of similar transactions, arrangements or relationships, in which we were or are to be a participant, and a related party had or will have a direct or indirect material interest, including, purchases of goods or services by or from the related party or entities in which the related party has a material interest, indebtedness, guarantees of indebtedness and employment by us of a related party.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Transactions with or Involving Related Persons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Except as disclosed below, since January 1, 2024, we have not been a party to any transactions in which the amount involved exceeded $120,000 and in which any of our executive officers, directors or holders of more than 5% of our capital stock, or any member of the immediate family of any of the above persons, had or will have a direct or indirect material interest, other than compensation arrangements with directors and executive officers, which are described where required under the “Executive Compensation” section of this proxy statement.</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Rodgers was appointed as the CEO of Complete Solaria, Inc. in April 2024, and we had an existing business relationship with Complete Solaria prior to his appointment. All agreements were entered into within the ordinary course of business. Since January 1, 2024, we had received payments from Complete Solaria of approximately $340,000. Mr. Rodgers was not involved in the negotiations of any existing agreements and does not have a direct financial interest in any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Delinquent Section 16(a) Reports</w:t>
      </w:r>
    </w:p>
    <w:p>
      <w:pPr>
        <w:spacing w:after="0" w:line="2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members of the Board, our executive officers and persons who hold more than 10% of our outstanding common stock are subject to the reporting requirements of Section 16(a) of the Exchange Act, which requires them to file reports of ownership and changes in ownership with the SEC. To our knowledge, based solely upon a review of such reports that were filed with the SEC and written representations that no other reports were required to be filed in 2024, we believe that all required reports were timely filed, with the exception that, due to administrative error, Mr. Gomo was late filing one Form 4 to report a transfer of common stock to a family trust.</w:t>
      </w: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 of Proxy Materials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year, a number of brokers with account holders who are Enphase stockholders will be “householding” our proxy materials. A single Notice of Internet Availability of Proxy Materials (“Notice”)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or Enphase. Direct your written request to: Corporate Secretary, Enphase Energy, Inc., 47281 Bayside Parkway, Fremont, CA 94538 or call our Corporate Secretary at 1-707-774-7000. A separate copy of the Notice will be delivered promptly in response to any such request. Stockholders who currently receive multiple copies of the Notices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84" w:name="page85"/>
    <w:bookmarkEnd w:id="84"/>
    <w:p>
      <w:pPr>
        <w:spacing w:after="0"/>
        <w:rPr>
          <w:sz w:val="20"/>
          <w:szCs w:val="20"/>
          <w:color w:val="auto"/>
        </w:rPr>
      </w:pPr>
      <w:r>
        <w:rPr>
          <w:rFonts w:ascii="Arial" w:cs="Arial" w:eastAsia="Arial" w:hAnsi="Arial"/>
          <w:sz w:val="32"/>
          <w:szCs w:val="32"/>
          <w:b w:val="1"/>
          <w:bCs w:val="1"/>
          <w:color w:val="auto"/>
        </w:rPr>
        <w:t>Other Matters</w:t>
      </w:r>
    </w:p>
    <w:p>
      <w:pPr>
        <w:spacing w:after="0" w:line="26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955040</wp:posOffset>
            </wp:positionV>
            <wp:extent cx="24085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295275</wp:posOffset>
            </wp:positionV>
            <wp:extent cx="1329055" cy="5746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290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Badrinarayanan Kothandaraman</w:t>
      </w:r>
    </w:p>
    <w:p>
      <w:pPr>
        <w:ind w:left="5500"/>
        <w:spacing w:after="0"/>
        <w:rPr>
          <w:sz w:val="20"/>
          <w:szCs w:val="20"/>
          <w:color w:val="auto"/>
        </w:rPr>
      </w:pPr>
      <w:r>
        <w:rPr>
          <w:rFonts w:ascii="Arial" w:cs="Arial" w:eastAsia="Arial" w:hAnsi="Arial"/>
          <w:sz w:val="16"/>
          <w:szCs w:val="16"/>
          <w:color w:val="auto"/>
        </w:rPr>
        <w:t>President and Chief Executive Officer</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Fremont, California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4, 2025</w:t>
      </w:r>
    </w:p>
    <w:p>
      <w:pPr>
        <w:spacing w:after="0" w:line="200" w:lineRule="exact"/>
        <w:rPr>
          <w:sz w:val="20"/>
          <w:szCs w:val="20"/>
          <w:color w:val="auto"/>
        </w:rPr>
      </w:pPr>
    </w:p>
    <w:p>
      <w:pPr>
        <w:spacing w:after="0" w:line="318" w:lineRule="exact"/>
        <w:rPr>
          <w:sz w:val="20"/>
          <w:szCs w:val="20"/>
          <w:color w:val="auto"/>
        </w:rPr>
      </w:pPr>
    </w:p>
    <w:p>
      <w:pPr>
        <w:spacing w:after="0" w:line="349" w:lineRule="auto"/>
        <w:rPr>
          <w:sz w:val="20"/>
          <w:szCs w:val="20"/>
          <w:color w:val="auto"/>
        </w:rPr>
      </w:pPr>
      <w:r>
        <w:rPr>
          <w:rFonts w:ascii="Arial" w:cs="Arial" w:eastAsia="Arial" w:hAnsi="Arial"/>
          <w:sz w:val="16"/>
          <w:szCs w:val="16"/>
          <w:b w:val="1"/>
          <w:bCs w:val="1"/>
          <w:color w:val="auto"/>
        </w:rPr>
        <w:t>A copy of our Annual Report to the Securities and Exchange Commission on Form 10-K for the fiscal year ended December 31, 2024 is available without charge upon written request to: Corporate Secretary, Enphase Energy, Inc., 47281 Bayside Parkway, Fremont, CA 94538.</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85" w:name="page86"/>
    <w:bookmarkEnd w:id="85"/>
    <w:p>
      <w:pPr>
        <w:ind w:right="260"/>
        <w:spacing w:after="0" w:line="323" w:lineRule="auto"/>
        <w:rPr>
          <w:sz w:val="20"/>
          <w:szCs w:val="20"/>
          <w:color w:val="auto"/>
        </w:rPr>
      </w:pPr>
      <w:r>
        <w:rPr>
          <w:rFonts w:ascii="Arial" w:cs="Arial" w:eastAsia="Arial" w:hAnsi="Arial"/>
          <w:sz w:val="43"/>
          <w:szCs w:val="43"/>
          <w:b w:val="1"/>
          <w:bCs w:val="1"/>
          <w:color w:val="auto"/>
        </w:rPr>
        <w:t>Questions and Answers About These Proxy Materials and Voting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notice regarding the availability of proxy materials on the internet?</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rules adopted by the SEC, Enphase Energy, Inc. (sometimes referred to in this proxy statement as “Enphase,” the “Company,” “we,” “our,” or “us”) has elected to provide access to our proxy materials over the internet. We are sending a Notice to our stockholders of record in connection with the solicitation of proxies by the Board for use at the Annual Meeting. All stockholders will have the ability to access the proxy materials at www.proxyvote.com or request a printed set of proxy materials. Instructions on how to access the proxy materials over the internet or to request a printed copy may be found in the Notice.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intend to mail the Notice on or about April 4, 2025 to all stockholders of record entitled to vote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I receive any other proxy materials by mail?</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do not expect to send any proxy materials by mail unless requested.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attend the Annual Meeting?</w:t>
      </w:r>
    </w:p>
    <w:p>
      <w:pPr>
        <w:spacing w:after="0" w:line="1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You are invited to attend the Annual Meeting if you were a stockholder of record or a beneficial owner as of the close of business on the Record Date. The meeting will be held on Wednesday, May 14, 2025 at 9:00 a.m. Pacific Time at our principal office located at 47281 Bayside Parkway, Fremont, CA 94538. If you are a stockholder of record, please bring a form of personal identification to be admitted to the meeting. If your shares are held in the name of your broker, trustee or other nominee, you must obtain a legal proxy issued in your name from the broker, trustee or other nominee that holds your shares, together with a form of personal identification, to be admitted to the meeting. The Annual Meeting will begin promptly at 9:00 a.m. Pacific Time. Information on how to vote prior to the Annual Meeting and in person at the Annual Meeting is discussed below.</w:t>
      </w:r>
    </w:p>
    <w:p>
      <w:pPr>
        <w:spacing w:after="0" w:line="7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After the conclusion of the formal portion of the Annual Meeting there will be a brief recess. The CEO will then give a presentation beginning at approximately 9:30 am Pacific Time that can be accessed:</w:t>
      </w:r>
    </w:p>
    <w:p>
      <w:pPr>
        <w:spacing w:after="0" w:line="88" w:lineRule="exact"/>
        <w:rPr>
          <w:sz w:val="20"/>
          <w:szCs w:val="20"/>
          <w:color w:val="auto"/>
        </w:rPr>
      </w:pPr>
    </w:p>
    <w:p>
      <w:pPr>
        <w:ind w:left="300" w:hanging="130"/>
        <w:spacing w:after="0"/>
        <w:tabs>
          <w:tab w:leader="none" w:pos="300" w:val="left"/>
        </w:tabs>
        <w:numPr>
          <w:ilvl w:val="0"/>
          <w:numId w:val="127"/>
        </w:numPr>
        <w:rPr>
          <w:rFonts w:ascii="Arial" w:cs="Arial" w:eastAsia="Arial" w:hAnsi="Arial"/>
          <w:sz w:val="13"/>
          <w:szCs w:val="13"/>
          <w:i w:val="1"/>
          <w:iCs w:val="1"/>
          <w:color w:val="auto"/>
        </w:rPr>
      </w:pPr>
      <w:r>
        <w:rPr>
          <w:rFonts w:ascii="Arial" w:cs="Arial" w:eastAsia="Arial" w:hAnsi="Arial"/>
          <w:sz w:val="16"/>
          <w:szCs w:val="16"/>
          <w:color w:val="auto"/>
        </w:rPr>
        <w:t xml:space="preserve">by internet at </w:t>
      </w:r>
      <w:r>
        <w:rPr>
          <w:rFonts w:ascii="Arial" w:cs="Arial" w:eastAsia="Arial" w:hAnsi="Arial"/>
          <w:sz w:val="16"/>
          <w:szCs w:val="16"/>
          <w:i w:val="1"/>
          <w:iCs w:val="1"/>
          <w:color w:val="auto"/>
        </w:rPr>
        <w:t>https://link.enphase.com/ENPHMeeting2025</w:t>
      </w:r>
      <w:r>
        <w:rPr>
          <w:rFonts w:ascii="Arial" w:cs="Arial" w:eastAsia="Arial" w:hAnsi="Arial"/>
          <w:sz w:val="16"/>
          <w:szCs w:val="16"/>
          <w:color w:val="auto"/>
        </w:rPr>
        <w:t xml:space="preserve"> (please register in advance); or</w:t>
      </w:r>
    </w:p>
    <w:p>
      <w:pPr>
        <w:spacing w:after="0" w:line="153" w:lineRule="exact"/>
        <w:rPr>
          <w:rFonts w:ascii="Arial" w:cs="Arial" w:eastAsia="Arial" w:hAnsi="Arial"/>
          <w:sz w:val="13"/>
          <w:szCs w:val="13"/>
          <w:i w:val="1"/>
          <w:iCs w:val="1"/>
          <w:color w:val="auto"/>
        </w:rPr>
      </w:pPr>
    </w:p>
    <w:p>
      <w:pPr>
        <w:ind w:left="300" w:hanging="130"/>
        <w:spacing w:after="0"/>
        <w:tabs>
          <w:tab w:leader="none" w:pos="300" w:val="left"/>
        </w:tabs>
        <w:numPr>
          <w:ilvl w:val="0"/>
          <w:numId w:val="127"/>
        </w:numPr>
        <w:rPr>
          <w:rFonts w:ascii="Arial" w:cs="Arial" w:eastAsia="Arial" w:hAnsi="Arial"/>
          <w:sz w:val="13"/>
          <w:szCs w:val="13"/>
          <w:color w:val="auto"/>
        </w:rPr>
      </w:pPr>
      <w:r>
        <w:rPr>
          <w:rFonts w:ascii="Arial" w:cs="Arial" w:eastAsia="Arial" w:hAnsi="Arial"/>
          <w:sz w:val="16"/>
          <w:szCs w:val="16"/>
          <w:color w:val="auto"/>
        </w:rPr>
        <w:t>by telephone at 1 (209) 425-4021 with meeting ID: 945 017 458#. For international numbers, please visit the following web address for local numbers at</w:t>
      </w:r>
    </w:p>
    <w:p>
      <w:pPr>
        <w:spacing w:after="0" w:line="45"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6"/>
          <w:szCs w:val="16"/>
          <w:i w:val="1"/>
          <w:iCs w:val="1"/>
          <w:color w:val="auto"/>
        </w:rPr>
        <w:t xml:space="preserve">https://link.enphase.com/IntlNumbersENPH </w:t>
      </w:r>
      <w:r>
        <w:rPr>
          <w:rFonts w:ascii="Arial" w:cs="Arial" w:eastAsia="Arial" w:hAnsi="Arial"/>
          <w:sz w:val="16"/>
          <w:szCs w:val="16"/>
          <w:color w:val="auto"/>
        </w:rPr>
        <w:t>with the same meeting ID: 945 017 458#.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cannot attend the Annual Meeting?</w:t>
      </w:r>
    </w:p>
    <w:p>
      <w:pPr>
        <w:spacing w:after="0" w:line="13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You may vote your shares electronically before the meeting by internet, by proxy or by telephone as described below. You do not need to attend the Annual Meeting to vote if you submitted your vote via proxy, by internet or by telephone in advance of the Annual Meeting.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13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Only stockholders of record at the close of business on March 20, 2025, the Record Date, will be entitled to vote at the Annual Meeting. On the Record Date, there were 131,185,907 shares of common stock outstanding and entitled to vote.</w:t>
      </w:r>
    </w:p>
    <w:p>
      <w:pPr>
        <w:spacing w:after="0" w:line="4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For the ten days prior to the Annual Meeting, a list of stockholders of record will be available at our headquarters at 47281 Bayside Parkway, Fremont, CA 94538 for examination by any stockholder for any purpose germane to the Annual Meeting.</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Stockholder of Record: Shares Registered in Your Name</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If, on March 20, 2025, your shares were registered directly in your name with our transfer agent, Equiniti Trust Company, LLC, then you are a stockholder of record. As a stockholder of record, you may vote by internet before the Annual Meeting, by telephone or by proxy. As a stockholder of record, you may also vote in person at the meeting or vote by proxy. To vote in person, please bring the enclosed proxy card and proof of identification. Whether or not you plan to attend the meeting, we urge you to fill out and return the proxy card or vote by internet or by telephone before the Annual Meeting to ensure your vote is counted.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E86100"/>
        </w:rPr>
        <w:t>Beneficial Owner: Shares Registered in the Name of a Bank, Broker or Other Nominee</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If, on March 20, 2025, your shares were held, not in your name, but rather in an account at a bank, broker or other nominee, then you are the beneficial owner of shares held in “street name” and the Notice is being forwarded to you by that organization. Simply follow the voting instructions in such Notice to ensure that your vote is counted. The organization holding your account is considered to be the stockholder of record for purposes of voting at the Annual Meeting. As a beneficial owner, you have the right to direct your bank, broker or other nominee regarding how to vote the shares in your account. You are also invited to attend the Annual Meeting in person. Shares held beneficially in street name may be voted in person at the Annual Meeting only if you obtain a legal proxy issued in your name from the bank, broker or other nominee that holds your shares, giving you the right to vote the shares at the Annual Meeting together with a form of personal identification. Otherwise, you will not be permitted to vote at the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There are four matters scheduled for a vote:</w:t>
      </w:r>
    </w:p>
    <w:p>
      <w:pPr>
        <w:spacing w:after="0" w:line="154" w:lineRule="exact"/>
        <w:rPr>
          <w:sz w:val="20"/>
          <w:szCs w:val="20"/>
          <w:color w:val="auto"/>
        </w:rPr>
      </w:pPr>
    </w:p>
    <w:p>
      <w:pPr>
        <w:ind w:left="340" w:right="20" w:hanging="170"/>
        <w:spacing w:after="0" w:line="334" w:lineRule="auto"/>
        <w:tabs>
          <w:tab w:leader="none" w:pos="317" w:val="left"/>
        </w:tabs>
        <w:numPr>
          <w:ilvl w:val="0"/>
          <w:numId w:val="128"/>
        </w:numPr>
        <w:rPr>
          <w:rFonts w:ascii="Arial" w:cs="Arial" w:eastAsia="Arial" w:hAnsi="Arial"/>
          <w:sz w:val="13"/>
          <w:szCs w:val="13"/>
          <w:color w:val="auto"/>
        </w:rPr>
      </w:pPr>
      <w:r>
        <w:rPr>
          <w:rFonts w:ascii="Arial" w:cs="Arial" w:eastAsia="Arial" w:hAnsi="Arial"/>
          <w:sz w:val="16"/>
          <w:szCs w:val="16"/>
          <w:color w:val="auto"/>
        </w:rPr>
        <w:t>Election of our two nominees as Class I directors to serve until the 2028 Annual Meeting of Stockholders or until their successors have been elected and qualified;</w:t>
      </w:r>
    </w:p>
    <w:p>
      <w:pPr>
        <w:ind w:left="300" w:hanging="130"/>
        <w:spacing w:after="0"/>
        <w:tabs>
          <w:tab w:leader="none" w:pos="300" w:val="left"/>
        </w:tabs>
        <w:numPr>
          <w:ilvl w:val="0"/>
          <w:numId w:val="128"/>
        </w:numPr>
        <w:rPr>
          <w:rFonts w:ascii="Arial" w:cs="Arial" w:eastAsia="Arial" w:hAnsi="Arial"/>
          <w:sz w:val="13"/>
          <w:szCs w:val="13"/>
          <w:color w:val="auto"/>
        </w:rPr>
      </w:pPr>
      <w:r>
        <w:rPr>
          <w:rFonts w:ascii="Arial" w:cs="Arial" w:eastAsia="Arial" w:hAnsi="Arial"/>
          <w:sz w:val="16"/>
          <w:szCs w:val="16"/>
          <w:color w:val="auto"/>
        </w:rPr>
        <w:t>Approval, on an advisory basis, of the compensation of our named executive officers, as disclosed in this proxy statement;</w:t>
      </w:r>
    </w:p>
    <w:p>
      <w:pPr>
        <w:spacing w:after="0" w:line="99" w:lineRule="exact"/>
        <w:rPr>
          <w:rFonts w:ascii="Arial" w:cs="Arial" w:eastAsia="Arial" w:hAnsi="Arial"/>
          <w:sz w:val="13"/>
          <w:szCs w:val="13"/>
          <w:color w:val="auto"/>
        </w:rPr>
      </w:pPr>
    </w:p>
    <w:p>
      <w:pPr>
        <w:ind w:left="340" w:right="100" w:hanging="170"/>
        <w:spacing w:after="0" w:line="321" w:lineRule="auto"/>
        <w:tabs>
          <w:tab w:leader="none" w:pos="317" w:val="left"/>
        </w:tabs>
        <w:numPr>
          <w:ilvl w:val="0"/>
          <w:numId w:val="128"/>
        </w:numPr>
        <w:rPr>
          <w:rFonts w:ascii="Arial" w:cs="Arial" w:eastAsia="Arial" w:hAnsi="Arial"/>
          <w:sz w:val="13"/>
          <w:szCs w:val="13"/>
          <w:color w:val="auto"/>
        </w:rPr>
      </w:pPr>
      <w:r>
        <w:rPr>
          <w:rFonts w:ascii="Arial" w:cs="Arial" w:eastAsia="Arial" w:hAnsi="Arial"/>
          <w:sz w:val="16"/>
          <w:szCs w:val="16"/>
          <w:color w:val="auto"/>
        </w:rPr>
        <w:t>Approval of an amendment and restatement of the Enphase Energy, Inc. 2021 Equity Incentive Plan to increase the number of shares of common stock authorized for issuance thereunder by 4,000,000 shares; and</w:t>
      </w:r>
    </w:p>
    <w:p>
      <w:pPr>
        <w:spacing w:after="0" w:line="7" w:lineRule="exact"/>
        <w:rPr>
          <w:rFonts w:ascii="Arial" w:cs="Arial" w:eastAsia="Arial" w:hAnsi="Arial"/>
          <w:sz w:val="13"/>
          <w:szCs w:val="13"/>
          <w:color w:val="auto"/>
        </w:rPr>
      </w:pPr>
    </w:p>
    <w:p>
      <w:pPr>
        <w:ind w:left="300" w:hanging="130"/>
        <w:spacing w:after="0"/>
        <w:tabs>
          <w:tab w:leader="none" w:pos="300" w:val="left"/>
        </w:tabs>
        <w:numPr>
          <w:ilvl w:val="0"/>
          <w:numId w:val="128"/>
        </w:numPr>
        <w:rPr>
          <w:rFonts w:ascii="Arial" w:cs="Arial" w:eastAsia="Arial" w:hAnsi="Arial"/>
          <w:sz w:val="13"/>
          <w:szCs w:val="13"/>
          <w:color w:val="auto"/>
        </w:rPr>
      </w:pPr>
      <w:r>
        <w:rPr>
          <w:rFonts w:ascii="Arial" w:cs="Arial" w:eastAsia="Arial" w:hAnsi="Arial"/>
          <w:sz w:val="16"/>
          <w:szCs w:val="16"/>
          <w:color w:val="auto"/>
        </w:rPr>
        <w:t>Ratification of the selection of Deloitte &amp; Touche LLP as our independent registered public accounting firm for the fiscal year ending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another matter is properly brought before the meeting?</w:t>
      </w:r>
    </w:p>
    <w:p>
      <w:pPr>
        <w:spacing w:after="0" w:line="133"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3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You may vote “FOR” the nominees to the Board, or you may “Withhold” your vote for one or both nominees. For each other matter to be voted on, you may vote “FOR” or “AGAINST” or abstain from voting.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procedures for voting are: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Stockholder of Record: Shares Registered in Your Name</w:t>
      </w:r>
    </w:p>
    <w:p>
      <w:pPr>
        <w:spacing w:after="0" w:line="154"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If you are a stockholder of record, you may vote by internet before the Annual Meeting, by telephone or by proxy. Whether or not you plan to attend the Annual Meeting, we urge you to vote by proxy to ensure your vote is counted.</w:t>
      </w:r>
    </w:p>
    <w:p>
      <w:pPr>
        <w:spacing w:after="0" w:line="34" w:lineRule="exact"/>
        <w:rPr>
          <w:sz w:val="20"/>
          <w:szCs w:val="20"/>
          <w:color w:val="auto"/>
        </w:rPr>
      </w:pPr>
    </w:p>
    <w:p>
      <w:pPr>
        <w:ind w:left="300" w:hanging="130"/>
        <w:spacing w:after="0"/>
        <w:tabs>
          <w:tab w:leader="none" w:pos="300" w:val="left"/>
        </w:tabs>
        <w:numPr>
          <w:ilvl w:val="0"/>
          <w:numId w:val="129"/>
        </w:numPr>
        <w:rPr>
          <w:rFonts w:ascii="Arial" w:cs="Arial" w:eastAsia="Arial" w:hAnsi="Arial"/>
          <w:sz w:val="13"/>
          <w:szCs w:val="13"/>
          <w:color w:val="auto"/>
        </w:rPr>
      </w:pPr>
      <w:r>
        <w:rPr>
          <w:rFonts w:ascii="Arial" w:cs="Arial" w:eastAsia="Arial" w:hAnsi="Arial"/>
          <w:sz w:val="16"/>
          <w:szCs w:val="16"/>
          <w:color w:val="auto"/>
        </w:rPr>
        <w:t>To vote through the internet:</w:t>
      </w:r>
    </w:p>
    <w:p>
      <w:pPr>
        <w:spacing w:after="0" w:line="99" w:lineRule="exact"/>
        <w:rPr>
          <w:rFonts w:ascii="Arial" w:cs="Arial" w:eastAsia="Arial" w:hAnsi="Arial"/>
          <w:sz w:val="13"/>
          <w:szCs w:val="13"/>
          <w:color w:val="auto"/>
        </w:rPr>
      </w:pPr>
    </w:p>
    <w:p>
      <w:pPr>
        <w:ind w:left="660" w:right="220" w:hanging="162"/>
        <w:spacing w:after="0" w:line="319" w:lineRule="auto"/>
        <w:rPr>
          <w:rFonts w:ascii="Arial" w:cs="Arial" w:eastAsia="Arial" w:hAnsi="Arial"/>
          <w:sz w:val="13"/>
          <w:szCs w:val="13"/>
          <w:color w:val="auto"/>
        </w:rPr>
      </w:pPr>
      <w:r>
        <w:rPr>
          <w:rFonts w:ascii="Arial" w:cs="Arial" w:eastAsia="Arial" w:hAnsi="Arial"/>
          <w:sz w:val="16"/>
          <w:szCs w:val="16"/>
          <w:color w:val="auto"/>
        </w:rPr>
        <w:t xml:space="preserve">– Before the Annual Meeting,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complete an electronic proxy card. You will need the 16-digit control number included in the Notice or your proxy card or on the instructions that accompanied your proxy materials. Your vote must be received by 8:59 p.m. Pacific Time (11:59 Eastern Time) on May 13, 2025 to be counted.</w:t>
      </w:r>
    </w:p>
    <w:p>
      <w:pPr>
        <w:spacing w:after="0" w:line="8" w:lineRule="exact"/>
        <w:rPr>
          <w:rFonts w:ascii="Arial" w:cs="Arial" w:eastAsia="Arial" w:hAnsi="Arial"/>
          <w:sz w:val="13"/>
          <w:szCs w:val="13"/>
          <w:color w:val="auto"/>
        </w:rPr>
      </w:pPr>
    </w:p>
    <w:p>
      <w:pPr>
        <w:ind w:left="340" w:right="120" w:hanging="170"/>
        <w:spacing w:after="0" w:line="310" w:lineRule="auto"/>
        <w:tabs>
          <w:tab w:leader="none" w:pos="317" w:val="left"/>
        </w:tabs>
        <w:numPr>
          <w:ilvl w:val="0"/>
          <w:numId w:val="129"/>
        </w:numPr>
        <w:rPr>
          <w:rFonts w:ascii="Arial" w:cs="Arial" w:eastAsia="Arial" w:hAnsi="Arial"/>
          <w:sz w:val="13"/>
          <w:szCs w:val="13"/>
          <w:color w:val="auto"/>
        </w:rPr>
      </w:pPr>
      <w:r>
        <w:rPr>
          <w:rFonts w:ascii="Arial" w:cs="Arial" w:eastAsia="Arial" w:hAnsi="Arial"/>
          <w:sz w:val="16"/>
          <w:szCs w:val="16"/>
          <w:color w:val="auto"/>
        </w:rPr>
        <w:t>To vote over the telephone before the Annual Meeting, dial toll-free 1-800-690-6903 using a touch-tone phone and follow the recorded instructions. You will need the 16-digit control number included in the Notice or your proxy card or on the instructions that accompanied your proxy materials. Your vote must be received by 8:59 p.m. Pacific Time (11:59 Eastern Time) on May 13, 2025 to be counted.</w:t>
      </w:r>
    </w:p>
    <w:p>
      <w:pPr>
        <w:spacing w:after="0" w:line="16" w:lineRule="exact"/>
        <w:rPr>
          <w:rFonts w:ascii="Arial" w:cs="Arial" w:eastAsia="Arial" w:hAnsi="Arial"/>
          <w:sz w:val="13"/>
          <w:szCs w:val="13"/>
          <w:color w:val="auto"/>
        </w:rPr>
      </w:pPr>
    </w:p>
    <w:p>
      <w:pPr>
        <w:ind w:left="340" w:right="20" w:hanging="170"/>
        <w:spacing w:after="0" w:line="339" w:lineRule="auto"/>
        <w:tabs>
          <w:tab w:leader="none" w:pos="317" w:val="left"/>
        </w:tabs>
        <w:numPr>
          <w:ilvl w:val="0"/>
          <w:numId w:val="129"/>
        </w:numPr>
        <w:rPr>
          <w:rFonts w:ascii="Arial" w:cs="Arial" w:eastAsia="Arial" w:hAnsi="Arial"/>
          <w:sz w:val="13"/>
          <w:szCs w:val="13"/>
          <w:color w:val="auto"/>
        </w:rPr>
      </w:pPr>
      <w:r>
        <w:rPr>
          <w:rFonts w:ascii="Arial" w:cs="Arial" w:eastAsia="Arial" w:hAnsi="Arial"/>
          <w:sz w:val="16"/>
          <w:szCs w:val="16"/>
          <w:color w:val="auto"/>
        </w:rPr>
        <w:t>To vote by mail, you must request printed copies of the proxy materials by mail and then fill out the proxy card and send it back in the envelope provided. If we receive your signed proxy card before the Annual Meeting, we will vote your shares as you direct.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Beneficial Owner: Shares Registered in the Name of Bank, Broker or Other Nominee</w:t>
      </w:r>
    </w:p>
    <w:p>
      <w:pPr>
        <w:spacing w:after="0" w:line="140"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If you are a beneficial owner of shares registered in the name of your bank, broker or other nominee, you should have received a Notice containing voting instructions from that organization rather than from Enphase. Simply follow the voting instructions in the Notice to ensure that your vote is counted.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7" w:name="page88"/>
    <w:bookmarkEnd w:id="87"/>
    <w:p>
      <w:pPr>
        <w:ind w:left="360" w:right="40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7372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737235"/>
                    </a:xfrm>
                    <a:prstGeom prst="rect">
                      <a:avLst/>
                    </a:prstGeom>
                    <a:noFill/>
                  </pic:spPr>
                </pic:pic>
              </a:graphicData>
            </a:graphic>
          </wp:anchor>
        </w:drawing>
        <w:t>We provide internet and telephone proxy voting before the Annual Meeting to allow you to vote your shares online or by telephone, with procedures designed to ensure the authenticity and correctness of your proxy vote instructions. However, you must bear any costs associated with your internet access, such as usage charges from internet access providers.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On each matter to be voted upon, you have one vote for each share of common stock you own as of March 20,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w:t>
      </w:r>
    </w:p>
    <w:p>
      <w:pPr>
        <w:spacing w:after="0" w:line="13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or nominee holding the shares as to how to vote on matters deemed “non-routine” under the rules of the New York Stock Exchange (NYSE).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These un-voted shares are counted as “broker non-votes.” Proposal 1 (election of the two nominees for director); Proposal 2 (advisory vote on compensation of named executive officers); and Proposal 3 (approval of an amendment and restatement of the 2021 Plan to increase the number of shares of common stock authorized thereunder) are considered “non-routine” matters under NYSE rules, and we therefore expect broker non-votes to exist in connection with those proposals. Proposal 4 (ratification of the selection of our independent registered public accounting firm) is expected to be a “routine” matter.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I return a proxy card or otherwise vote without giving specific voting instructions, what happens?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Stockholder of Record: Shares Registered in Your Name</w:t>
      </w:r>
    </w:p>
    <w:p>
      <w:pPr>
        <w:spacing w:after="0" w:line="140"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If you are a stockholder of record and you return a signed and dated proxy card or otherwise vote without marking voting selections, your shares will be voted, as follows:</w:t>
      </w:r>
    </w:p>
    <w:p>
      <w:pPr>
        <w:spacing w:after="0" w:line="101" w:lineRule="exact"/>
        <w:rPr>
          <w:sz w:val="20"/>
          <w:szCs w:val="20"/>
          <w:color w:val="auto"/>
        </w:rPr>
      </w:pPr>
    </w:p>
    <w:p>
      <w:pPr>
        <w:ind w:left="300" w:hanging="130"/>
        <w:spacing w:after="0"/>
        <w:tabs>
          <w:tab w:leader="none" w:pos="300" w:val="left"/>
        </w:tabs>
        <w:numPr>
          <w:ilvl w:val="0"/>
          <w:numId w:val="130"/>
        </w:numPr>
        <w:rPr>
          <w:rFonts w:ascii="Arial" w:cs="Arial" w:eastAsia="Arial" w:hAnsi="Arial"/>
          <w:sz w:val="13"/>
          <w:szCs w:val="13"/>
          <w:color w:val="auto"/>
        </w:rPr>
      </w:pPr>
      <w:r>
        <w:rPr>
          <w:rFonts w:ascii="Arial" w:cs="Arial" w:eastAsia="Arial" w:hAnsi="Arial"/>
          <w:sz w:val="16"/>
          <w:szCs w:val="16"/>
          <w:color w:val="auto"/>
        </w:rPr>
        <w:t>“FOR” the election of the two Class I nominees named in this proxy statement to serve on the Board;</w:t>
      </w:r>
    </w:p>
    <w:p>
      <w:pPr>
        <w:spacing w:after="0" w:line="99" w:lineRule="exact"/>
        <w:rPr>
          <w:rFonts w:ascii="Arial" w:cs="Arial" w:eastAsia="Arial" w:hAnsi="Arial"/>
          <w:sz w:val="13"/>
          <w:szCs w:val="13"/>
          <w:color w:val="auto"/>
        </w:rPr>
      </w:pPr>
    </w:p>
    <w:p>
      <w:pPr>
        <w:ind w:left="300" w:hanging="130"/>
        <w:spacing w:after="0"/>
        <w:tabs>
          <w:tab w:leader="none" w:pos="300" w:val="left"/>
        </w:tabs>
        <w:numPr>
          <w:ilvl w:val="0"/>
          <w:numId w:val="130"/>
        </w:numPr>
        <w:rPr>
          <w:rFonts w:ascii="Arial" w:cs="Arial" w:eastAsia="Arial" w:hAnsi="Arial"/>
          <w:sz w:val="13"/>
          <w:szCs w:val="13"/>
          <w:color w:val="auto"/>
        </w:rPr>
      </w:pPr>
      <w:r>
        <w:rPr>
          <w:rFonts w:ascii="Arial" w:cs="Arial" w:eastAsia="Arial" w:hAnsi="Arial"/>
          <w:sz w:val="16"/>
          <w:szCs w:val="16"/>
          <w:color w:val="auto"/>
        </w:rPr>
        <w:t>“FOR” the approval, on an advisory basis, of the compensation of our named executive officers;</w:t>
      </w:r>
    </w:p>
    <w:p>
      <w:pPr>
        <w:spacing w:after="0" w:line="99" w:lineRule="exact"/>
        <w:rPr>
          <w:rFonts w:ascii="Arial" w:cs="Arial" w:eastAsia="Arial" w:hAnsi="Arial"/>
          <w:sz w:val="13"/>
          <w:szCs w:val="13"/>
          <w:color w:val="auto"/>
        </w:rPr>
      </w:pPr>
    </w:p>
    <w:p>
      <w:pPr>
        <w:ind w:left="340" w:right="440" w:hanging="170"/>
        <w:spacing w:after="0" w:line="321" w:lineRule="auto"/>
        <w:tabs>
          <w:tab w:leader="none" w:pos="317" w:val="left"/>
        </w:tabs>
        <w:numPr>
          <w:ilvl w:val="0"/>
          <w:numId w:val="130"/>
        </w:numPr>
        <w:rPr>
          <w:rFonts w:ascii="Arial" w:cs="Arial" w:eastAsia="Arial" w:hAnsi="Arial"/>
          <w:sz w:val="13"/>
          <w:szCs w:val="13"/>
          <w:color w:val="auto"/>
        </w:rPr>
      </w:pPr>
      <w:r>
        <w:rPr>
          <w:rFonts w:ascii="Arial" w:cs="Arial" w:eastAsia="Arial" w:hAnsi="Arial"/>
          <w:sz w:val="16"/>
          <w:szCs w:val="16"/>
          <w:color w:val="auto"/>
        </w:rPr>
        <w:t>“FOR” the approval of an amendment and restatement of the Enphase Energy, Inc. 2021 Equity Incentive Plan to increase the number of shares of common stock authorized for issuance thereunder by 4,000,000 shares; and</w:t>
      </w:r>
    </w:p>
    <w:p>
      <w:pPr>
        <w:spacing w:after="0" w:line="7" w:lineRule="exact"/>
        <w:rPr>
          <w:rFonts w:ascii="Arial" w:cs="Arial" w:eastAsia="Arial" w:hAnsi="Arial"/>
          <w:sz w:val="13"/>
          <w:szCs w:val="13"/>
          <w:color w:val="auto"/>
        </w:rPr>
      </w:pPr>
    </w:p>
    <w:p>
      <w:pPr>
        <w:ind w:left="340" w:right="840" w:hanging="170"/>
        <w:spacing w:after="0" w:line="339" w:lineRule="auto"/>
        <w:tabs>
          <w:tab w:leader="none" w:pos="317" w:val="left"/>
        </w:tabs>
        <w:numPr>
          <w:ilvl w:val="0"/>
          <w:numId w:val="130"/>
        </w:numPr>
        <w:rPr>
          <w:rFonts w:ascii="Arial" w:cs="Arial" w:eastAsia="Arial" w:hAnsi="Arial"/>
          <w:sz w:val="13"/>
          <w:szCs w:val="13"/>
          <w:color w:val="auto"/>
        </w:rPr>
      </w:pPr>
      <w:r>
        <w:rPr>
          <w:rFonts w:ascii="Arial" w:cs="Arial" w:eastAsia="Arial" w:hAnsi="Arial"/>
          <w:sz w:val="16"/>
          <w:szCs w:val="16"/>
          <w:color w:val="auto"/>
        </w:rPr>
        <w:t>“FOR” the ratification of the selection of Deloitte &amp; Touche LLP as our independent registered public accounting firm for the fiscal year ending December 31, 2025.</w:t>
      </w:r>
    </w:p>
    <w:p>
      <w:pPr>
        <w:spacing w:after="0" w:line="4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If any other matter is properly presented at the meeting, your proxyholder (one of the individuals named on your proxy card) will vote your shares using his or her best judgment.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Beneficial Owner: Shares Registered in the Name of Bank, Broker or Other Nominee</w:t>
      </w:r>
    </w:p>
    <w:p>
      <w:pPr>
        <w:spacing w:after="0" w:line="15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If you are a beneficial owner of shares registered in the name of your bank, broker or other nominee, and you do not provide the bank, broker or other nominee that holds your shares with specific voting instructions, the bank, broker or other nominee may vote your shares “FOR” matters considered “routine,” as noted in the section above on “broker non-votes.”</w:t>
      </w:r>
    </w:p>
    <w:p>
      <w:pPr>
        <w:spacing w:after="0" w:line="9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color w:val="auto"/>
        </w:rPr>
        <w:t>As a reminder, if you are a beneficial owner of shares held in street name, in order to ensure your shares are voted in the way you prefer, you must provide voting instructions to your bank, broker or other nominee by the deadline provided in the materials you receive from your bank, broker or other nominee.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Who is paying for this proxy solicitation?</w:t>
      </w:r>
    </w:p>
    <w:p>
      <w:pPr>
        <w:spacing w:after="0" w:line="17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banks, brokerage firms and other nominees for the cost of forwarding proxy materials to beneficial owners. We have engaged the services of Alliance Advisors, LLC, 200 Broadacres Drive, Bloomfield, New Jersey 07003, as our proxy solicitor to aid in the solicitation of proxies from certain banks, brokers and other nominees and other institutional owners. The fees for this service are estimated to be $22,500 plus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Notice?</w:t>
      </w:r>
    </w:p>
    <w:p>
      <w:pPr>
        <w:spacing w:after="0" w:line="13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the Notices to ensure that all of your shares are voted.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submitting my proxy?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Stockholder of Record: Shares Registered in Your Name</w:t>
      </w:r>
    </w:p>
    <w:p>
      <w:pPr>
        <w:spacing w:after="0" w:line="15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Yes. You can revoke your proxy at any time before the final vote at the meeting. If you are the record holder of your shares, you may revoke your proxy in any one of the following ways:</w:t>
      </w:r>
    </w:p>
    <w:p>
      <w:pPr>
        <w:spacing w:after="0" w:line="47" w:lineRule="exact"/>
        <w:rPr>
          <w:sz w:val="20"/>
          <w:szCs w:val="20"/>
          <w:color w:val="auto"/>
        </w:rPr>
      </w:pPr>
    </w:p>
    <w:p>
      <w:pPr>
        <w:ind w:left="300" w:hanging="130"/>
        <w:spacing w:after="0"/>
        <w:tabs>
          <w:tab w:leader="none" w:pos="300" w:val="left"/>
        </w:tabs>
        <w:numPr>
          <w:ilvl w:val="0"/>
          <w:numId w:val="131"/>
        </w:numPr>
        <w:rPr>
          <w:rFonts w:ascii="Arial" w:cs="Arial" w:eastAsia="Arial" w:hAnsi="Arial"/>
          <w:sz w:val="13"/>
          <w:szCs w:val="13"/>
          <w:color w:val="auto"/>
        </w:rPr>
      </w:pPr>
      <w:r>
        <w:rPr>
          <w:rFonts w:ascii="Arial" w:cs="Arial" w:eastAsia="Arial" w:hAnsi="Arial"/>
          <w:sz w:val="16"/>
          <w:szCs w:val="16"/>
          <w:color w:val="auto"/>
        </w:rPr>
        <w:t>You may request and submit another properly completed proxy card with a later date.</w:t>
      </w:r>
    </w:p>
    <w:p>
      <w:pPr>
        <w:spacing w:after="0" w:line="86" w:lineRule="exact"/>
        <w:rPr>
          <w:rFonts w:ascii="Arial" w:cs="Arial" w:eastAsia="Arial" w:hAnsi="Arial"/>
          <w:sz w:val="13"/>
          <w:szCs w:val="13"/>
          <w:color w:val="auto"/>
        </w:rPr>
      </w:pPr>
    </w:p>
    <w:p>
      <w:pPr>
        <w:ind w:left="340" w:right="160" w:hanging="170"/>
        <w:spacing w:after="0" w:line="334" w:lineRule="auto"/>
        <w:tabs>
          <w:tab w:leader="none" w:pos="317" w:val="left"/>
        </w:tabs>
        <w:numPr>
          <w:ilvl w:val="0"/>
          <w:numId w:val="131"/>
        </w:numPr>
        <w:rPr>
          <w:rFonts w:ascii="Arial" w:cs="Arial" w:eastAsia="Arial" w:hAnsi="Arial"/>
          <w:sz w:val="13"/>
          <w:szCs w:val="13"/>
          <w:color w:val="auto"/>
        </w:rPr>
      </w:pPr>
      <w:r>
        <w:rPr>
          <w:rFonts w:ascii="Arial" w:cs="Arial" w:eastAsia="Arial" w:hAnsi="Arial"/>
          <w:sz w:val="16"/>
          <w:szCs w:val="16"/>
          <w:color w:val="auto"/>
        </w:rPr>
        <w:t>You may grant a subsequent proxy by telephone or online. You will need the 16-digit control number included in the Notice or your proxy card or on the instructions that accompanied your proxy materials.</w:t>
      </w:r>
    </w:p>
    <w:p>
      <w:pPr>
        <w:ind w:left="340" w:right="500" w:hanging="170"/>
        <w:spacing w:after="0" w:line="334" w:lineRule="auto"/>
        <w:tabs>
          <w:tab w:leader="none" w:pos="317" w:val="left"/>
        </w:tabs>
        <w:numPr>
          <w:ilvl w:val="0"/>
          <w:numId w:val="131"/>
        </w:numPr>
        <w:rPr>
          <w:rFonts w:ascii="Arial" w:cs="Arial" w:eastAsia="Arial" w:hAnsi="Arial"/>
          <w:sz w:val="13"/>
          <w:szCs w:val="13"/>
          <w:color w:val="auto"/>
        </w:rPr>
      </w:pPr>
      <w:r>
        <w:rPr>
          <w:rFonts w:ascii="Arial" w:cs="Arial" w:eastAsia="Arial" w:hAnsi="Arial"/>
          <w:sz w:val="16"/>
          <w:szCs w:val="16"/>
          <w:color w:val="auto"/>
        </w:rPr>
        <w:t>You may send a timely written notice that you are revoking your proxy to Enphase’s Corporate Secretary at 47281 Bayside Parkway, Fremont, CA 94538.</w:t>
      </w:r>
    </w:p>
    <w:p>
      <w:pPr>
        <w:ind w:left="340" w:right="500" w:hanging="170"/>
        <w:spacing w:after="0" w:line="321" w:lineRule="auto"/>
        <w:tabs>
          <w:tab w:leader="none" w:pos="317" w:val="left"/>
        </w:tabs>
        <w:numPr>
          <w:ilvl w:val="0"/>
          <w:numId w:val="131"/>
        </w:numPr>
        <w:rPr>
          <w:rFonts w:ascii="Arial" w:cs="Arial" w:eastAsia="Arial" w:hAnsi="Arial"/>
          <w:sz w:val="13"/>
          <w:szCs w:val="13"/>
          <w:color w:val="auto"/>
        </w:rPr>
      </w:pPr>
      <w:r>
        <w:rPr>
          <w:rFonts w:ascii="Arial" w:cs="Arial" w:eastAsia="Arial" w:hAnsi="Arial"/>
          <w:sz w:val="16"/>
          <w:szCs w:val="16"/>
          <w:color w:val="auto"/>
        </w:rPr>
        <w:t>You may attend the Annual Meeting and vote in person. To vote in person, please bring the enclosed proxy card and proof of identification. Simply attending the meeting will not, by itself, revoke your proxy.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Your most current proxy card or telephone or online proxy timely provided to us is the one that is counted.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E86100"/>
        </w:rPr>
        <w:t>Beneficial Owner: Shares Registered in the Name of Bank, Broker or Other Nominee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by your bank, broker or other nominee, you should follow the instructions provided by your bank, broker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are stockholder proposals due for next year’s annual meeting?</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and received by our Corporate Secretary at 47281 Bayside Parkway, Fremont, CA 94538 by December 4, 2025, and must comply with all requirements of Rule 14a-8 promulgated under the Exchange Act. If you wish to submit a proposal that is not to be included in next year’s proxy materials, but that may be considered at the 2026 Annual Meeting of Stockholders, you must do so in writing following the above instructions not earlier than the close of business on January 14, 2026 and not later than the close of business on February 13, 2026. We advise you to review our Bylaws, which contain additional requirements about advance notice of stockholder proposals and director nominations, including the different notice submission date requirements in the event the 2026 Annual Meeting of Stockholders is held more than 30 days before or after May 14, 2026. The section titled “Nominating and Corporate Governance Committee” in this proxy statement provides additional information on the director nomination process. In addition to satisfying the deadlines in the advance notice provisions of our Bylaws, a stockholder who intends to solicit proxies in support of nominees submitted under these advance notice provisions must provide the notice required under Rule 14a-19 to our Corporate Secretary no later than March 16, 2026; provided that, in the event the 2026 Annual Meeting of Stockholders is held more than 30 days before or after May 14, 2026, such notice must be provided by the later of 60 days prior to the date of the 2026 Annual Meeting of Stockholders or 10 days following the day on which we first publicly announce the date of the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How many votes are needed to approve each proposal?</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980" w:type="dxa"/>
            <w:vAlign w:val="bottom"/>
            <w:tcBorders>
              <w:lef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Proposal</w:t>
            </w:r>
          </w:p>
        </w:tc>
        <w:tc>
          <w:tcPr>
            <w:tcW w:w="120" w:type="dxa"/>
            <w:vAlign w:val="bottom"/>
            <w:tcBorders>
              <w:right w:val="single" w:sz="8" w:color="3C3C3C"/>
            </w:tcBorders>
            <w:shd w:val="clear" w:color="auto" w:fill="3C3C3C"/>
          </w:tcPr>
          <w:p>
            <w:pPr>
              <w:spacing w:after="0"/>
              <w:rPr>
                <w:sz w:val="16"/>
                <w:szCs w:val="16"/>
                <w:color w:val="auto"/>
              </w:rPr>
            </w:pPr>
          </w:p>
        </w:tc>
        <w:tc>
          <w:tcPr>
            <w:tcW w:w="3180" w:type="dxa"/>
            <w:vAlign w:val="bottom"/>
            <w:tcBorders>
              <w:right w:val="single" w:sz="8" w:color="3C3C3C"/>
            </w:tcBorders>
            <w:vMerge w:val="restart"/>
            <w:shd w:val="clear" w:color="auto" w:fill="3C3C3C"/>
          </w:tcPr>
          <w:p>
            <w:pPr>
              <w:ind w:left="800"/>
              <w:spacing w:after="0"/>
              <w:rPr>
                <w:sz w:val="20"/>
                <w:szCs w:val="20"/>
                <w:color w:val="auto"/>
              </w:rPr>
            </w:pPr>
            <w:r>
              <w:rPr>
                <w:rFonts w:ascii="Arial" w:cs="Arial" w:eastAsia="Arial" w:hAnsi="Arial"/>
                <w:sz w:val="14"/>
                <w:szCs w:val="14"/>
                <w:b w:val="1"/>
                <w:bCs w:val="1"/>
                <w:color w:val="FFFFFF"/>
              </w:rPr>
              <w:t>Proposal Description</w:t>
            </w:r>
          </w:p>
        </w:tc>
        <w:tc>
          <w:tcPr>
            <w:tcW w:w="3800" w:type="dxa"/>
            <w:vAlign w:val="bottom"/>
            <w:tcBorders>
              <w:right w:val="single" w:sz="8" w:color="3C3C3C"/>
            </w:tcBorders>
            <w:vMerge w:val="restart"/>
            <w:shd w:val="clear" w:color="auto" w:fill="3C3C3C"/>
          </w:tcPr>
          <w:p>
            <w:pPr>
              <w:ind w:left="900"/>
              <w:spacing w:after="0"/>
              <w:rPr>
                <w:sz w:val="20"/>
                <w:szCs w:val="20"/>
                <w:color w:val="auto"/>
              </w:rPr>
            </w:pPr>
            <w:r>
              <w:rPr>
                <w:rFonts w:ascii="Arial" w:cs="Arial" w:eastAsia="Arial" w:hAnsi="Arial"/>
                <w:sz w:val="14"/>
                <w:szCs w:val="14"/>
                <w:b w:val="1"/>
                <w:bCs w:val="1"/>
                <w:color w:val="FFFFFF"/>
              </w:rPr>
              <w:t>Vote Required for Approval</w:t>
            </w:r>
          </w:p>
        </w:tc>
        <w:tc>
          <w:tcPr>
            <w:tcW w:w="1580" w:type="dxa"/>
            <w:vAlign w:val="bottom"/>
            <w:tcBorders>
              <w:right w:val="single" w:sz="8" w:color="3C3C3C"/>
            </w:tcBorders>
            <w:shd w:val="clear" w:color="auto" w:fill="3C3C3C"/>
          </w:tcPr>
          <w:p>
            <w:pPr>
              <w:jc w:val="center"/>
              <w:ind w:right="42"/>
              <w:spacing w:after="0"/>
              <w:rPr>
                <w:sz w:val="20"/>
                <w:szCs w:val="20"/>
                <w:color w:val="auto"/>
              </w:rPr>
            </w:pPr>
            <w:r>
              <w:rPr>
                <w:rFonts w:ascii="Arial" w:cs="Arial" w:eastAsia="Arial" w:hAnsi="Arial"/>
                <w:sz w:val="14"/>
                <w:szCs w:val="14"/>
                <w:b w:val="1"/>
                <w:bCs w:val="1"/>
                <w:color w:val="FFFFFF"/>
              </w:rPr>
              <w:t>Effect of</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Effect of Broker Non-</w:t>
            </w:r>
          </w:p>
        </w:tc>
        <w:tc>
          <w:tcPr>
            <w:tcW w:w="0" w:type="dxa"/>
            <w:vAlign w:val="bottom"/>
          </w:tcPr>
          <w:p>
            <w:pPr>
              <w:spacing w:after="0"/>
              <w:rPr>
                <w:sz w:val="1"/>
                <w:szCs w:val="1"/>
                <w:color w:val="auto"/>
              </w:rPr>
            </w:pPr>
          </w:p>
        </w:tc>
      </w:tr>
      <w:tr>
        <w:trPr>
          <w:trHeight w:val="102"/>
        </w:trPr>
        <w:tc>
          <w:tcPr>
            <w:tcW w:w="980" w:type="dxa"/>
            <w:vAlign w:val="bottom"/>
            <w:tcBorders>
              <w:lef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Number</w:t>
            </w:r>
          </w:p>
        </w:tc>
        <w:tc>
          <w:tcPr>
            <w:tcW w:w="120" w:type="dxa"/>
            <w:vAlign w:val="bottom"/>
            <w:tcBorders>
              <w:right w:val="single" w:sz="8" w:color="3C3C3C"/>
            </w:tcBorders>
            <w:shd w:val="clear" w:color="auto" w:fill="3C3C3C"/>
          </w:tcPr>
          <w:p>
            <w:pPr>
              <w:spacing w:after="0"/>
              <w:rPr>
                <w:sz w:val="8"/>
                <w:szCs w:val="8"/>
                <w:color w:val="auto"/>
              </w:rPr>
            </w:pPr>
          </w:p>
        </w:tc>
        <w:tc>
          <w:tcPr>
            <w:tcW w:w="3180" w:type="dxa"/>
            <w:vAlign w:val="bottom"/>
            <w:tcBorders>
              <w:right w:val="single" w:sz="8" w:color="3C3C3C"/>
            </w:tcBorders>
            <w:vMerge w:val="continue"/>
            <w:shd w:val="clear" w:color="auto" w:fill="3C3C3C"/>
          </w:tcPr>
          <w:p>
            <w:pPr>
              <w:spacing w:after="0"/>
              <w:rPr>
                <w:sz w:val="8"/>
                <w:szCs w:val="8"/>
                <w:color w:val="auto"/>
              </w:rPr>
            </w:pPr>
          </w:p>
        </w:tc>
        <w:tc>
          <w:tcPr>
            <w:tcW w:w="3800" w:type="dxa"/>
            <w:vAlign w:val="bottom"/>
            <w:tcBorders>
              <w:right w:val="single" w:sz="8" w:color="3C3C3C"/>
            </w:tcBorders>
            <w:vMerge w:val="continue"/>
            <w:shd w:val="clear" w:color="auto" w:fill="3C3C3C"/>
          </w:tcPr>
          <w:p>
            <w:pPr>
              <w:spacing w:after="0"/>
              <w:rPr>
                <w:sz w:val="8"/>
                <w:szCs w:val="8"/>
                <w:color w:val="auto"/>
              </w:rPr>
            </w:pPr>
          </w:p>
        </w:tc>
        <w:tc>
          <w:tcPr>
            <w:tcW w:w="1580" w:type="dxa"/>
            <w:vAlign w:val="bottom"/>
            <w:tcBorders>
              <w:right w:val="single" w:sz="8" w:color="3C3C3C"/>
            </w:tcBorders>
            <w:vMerge w:val="restart"/>
            <w:shd w:val="clear" w:color="auto" w:fill="3C3C3C"/>
          </w:tcPr>
          <w:p>
            <w:pPr>
              <w:jc w:val="center"/>
              <w:ind w:right="42"/>
              <w:spacing w:after="0"/>
              <w:rPr>
                <w:sz w:val="20"/>
                <w:szCs w:val="20"/>
                <w:color w:val="auto"/>
              </w:rPr>
            </w:pPr>
            <w:r>
              <w:rPr>
                <w:rFonts w:ascii="Arial" w:cs="Arial" w:eastAsia="Arial" w:hAnsi="Arial"/>
                <w:sz w:val="14"/>
                <w:szCs w:val="14"/>
                <w:b w:val="1"/>
                <w:bCs w:val="1"/>
                <w:color w:val="FFFFFF"/>
              </w:rPr>
              <w:t>Abstentions</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Votes</w:t>
            </w:r>
          </w:p>
        </w:tc>
        <w:tc>
          <w:tcPr>
            <w:tcW w:w="0" w:type="dxa"/>
            <w:vAlign w:val="bottom"/>
          </w:tcPr>
          <w:p>
            <w:pPr>
              <w:spacing w:after="0"/>
              <w:rPr>
                <w:sz w:val="1"/>
                <w:szCs w:val="1"/>
                <w:color w:val="auto"/>
              </w:rPr>
            </w:pPr>
          </w:p>
        </w:tc>
      </w:tr>
      <w:tr>
        <w:trPr>
          <w:trHeight w:val="110"/>
        </w:trPr>
        <w:tc>
          <w:tcPr>
            <w:tcW w:w="980" w:type="dxa"/>
            <w:vAlign w:val="bottom"/>
            <w:tcBorders>
              <w:left w:val="single" w:sz="8" w:color="3C3C3C"/>
            </w:tcBorders>
            <w:vMerge w:val="continue"/>
            <w:shd w:val="clear" w:color="auto" w:fill="3C3C3C"/>
          </w:tcPr>
          <w:p>
            <w:pPr>
              <w:spacing w:after="0"/>
              <w:rPr>
                <w:sz w:val="9"/>
                <w:szCs w:val="9"/>
                <w:color w:val="auto"/>
              </w:rPr>
            </w:pPr>
          </w:p>
        </w:tc>
        <w:tc>
          <w:tcPr>
            <w:tcW w:w="120" w:type="dxa"/>
            <w:vAlign w:val="bottom"/>
            <w:tcBorders>
              <w:right w:val="single" w:sz="8" w:color="3C3C3C"/>
            </w:tcBorders>
            <w:shd w:val="clear" w:color="auto" w:fill="3C3C3C"/>
          </w:tcPr>
          <w:p>
            <w:pPr>
              <w:spacing w:after="0"/>
              <w:rPr>
                <w:sz w:val="9"/>
                <w:szCs w:val="9"/>
                <w:color w:val="auto"/>
              </w:rPr>
            </w:pPr>
          </w:p>
        </w:tc>
        <w:tc>
          <w:tcPr>
            <w:tcW w:w="3180" w:type="dxa"/>
            <w:vAlign w:val="bottom"/>
            <w:tcBorders>
              <w:right w:val="single" w:sz="8" w:color="3C3C3C"/>
            </w:tcBorders>
            <w:shd w:val="clear" w:color="auto" w:fill="3C3C3C"/>
          </w:tcPr>
          <w:p>
            <w:pPr>
              <w:spacing w:after="0"/>
              <w:rPr>
                <w:sz w:val="9"/>
                <w:szCs w:val="9"/>
                <w:color w:val="auto"/>
              </w:rPr>
            </w:pPr>
          </w:p>
        </w:tc>
        <w:tc>
          <w:tcPr>
            <w:tcW w:w="3800" w:type="dxa"/>
            <w:vAlign w:val="bottom"/>
            <w:tcBorders>
              <w:right w:val="single" w:sz="8" w:color="3C3C3C"/>
            </w:tcBorders>
            <w:shd w:val="clear" w:color="auto" w:fill="3C3C3C"/>
          </w:tcPr>
          <w:p>
            <w:pPr>
              <w:spacing w:after="0"/>
              <w:rPr>
                <w:sz w:val="9"/>
                <w:szCs w:val="9"/>
                <w:color w:val="auto"/>
              </w:rPr>
            </w:pPr>
          </w:p>
        </w:tc>
        <w:tc>
          <w:tcPr>
            <w:tcW w:w="1580" w:type="dxa"/>
            <w:vAlign w:val="bottom"/>
            <w:tcBorders>
              <w:right w:val="single" w:sz="8" w:color="3C3C3C"/>
            </w:tcBorders>
            <w:vMerge w:val="continue"/>
            <w:shd w:val="clear" w:color="auto" w:fill="3C3C3C"/>
          </w:tcPr>
          <w:p>
            <w:pPr>
              <w:spacing w:after="0"/>
              <w:rPr>
                <w:sz w:val="9"/>
                <w:szCs w:val="9"/>
                <w:color w:val="auto"/>
              </w:rPr>
            </w:pPr>
          </w:p>
        </w:tc>
        <w:tc>
          <w:tcPr>
            <w:tcW w:w="1600" w:type="dxa"/>
            <w:vAlign w:val="bottom"/>
            <w:tcBorders>
              <w:right w:val="single" w:sz="8" w:color="3C3C3C"/>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80" w:type="dxa"/>
            <w:vAlign w:val="bottom"/>
            <w:tcBorders>
              <w:lef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89"/>
              </w:rPr>
              <w:t>1</w:t>
            </w:r>
          </w:p>
        </w:tc>
        <w:tc>
          <w:tcPr>
            <w:tcW w:w="120" w:type="dxa"/>
            <w:vAlign w:val="bottom"/>
            <w:tcBorders>
              <w:right w:val="single" w:sz="8" w:color="929292"/>
            </w:tcBorders>
            <w:shd w:val="clear" w:color="auto" w:fill="FAF6EF"/>
          </w:tcPr>
          <w:p>
            <w:pPr>
              <w:spacing w:after="0"/>
              <w:rPr>
                <w:sz w:val="24"/>
                <w:szCs w:val="24"/>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Election of Class I Nominees</w:t>
            </w: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Nominees receiving the most “FOR” votes will be</w:t>
            </w:r>
          </w:p>
        </w:tc>
        <w:tc>
          <w:tcPr>
            <w:tcW w:w="1580" w:type="dxa"/>
            <w:vAlign w:val="bottom"/>
            <w:tcBorders>
              <w:right w:val="single" w:sz="8" w:color="929292"/>
            </w:tcBorders>
            <w:shd w:val="clear" w:color="auto" w:fill="FAF6EF"/>
          </w:tcPr>
          <w:p>
            <w:pPr>
              <w:jc w:val="center"/>
              <w:ind w:right="42"/>
              <w:spacing w:after="0"/>
              <w:rPr>
                <w:sz w:val="20"/>
                <w:szCs w:val="20"/>
                <w:color w:val="auto"/>
              </w:rPr>
            </w:pPr>
            <w:r>
              <w:rPr>
                <w:rFonts w:ascii="Arial" w:cs="Arial" w:eastAsia="Arial" w:hAnsi="Arial"/>
                <w:sz w:val="16"/>
                <w:szCs w:val="16"/>
                <w:color w:val="auto"/>
              </w:rPr>
              <w:t>Not applicable</w:t>
            </w: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shd w:val="clear" w:color="auto" w:fill="FAF6EF"/>
          </w:tcPr>
          <w:p>
            <w:pPr>
              <w:spacing w:after="0"/>
              <w:rPr>
                <w:sz w:val="17"/>
                <w:szCs w:val="17"/>
                <w:color w:val="auto"/>
              </w:rPr>
            </w:pPr>
          </w:p>
        </w:tc>
        <w:tc>
          <w:tcPr>
            <w:tcW w:w="120" w:type="dxa"/>
            <w:vAlign w:val="bottom"/>
            <w:tcBorders>
              <w:right w:val="single" w:sz="8" w:color="929292"/>
            </w:tcBorders>
            <w:shd w:val="clear" w:color="auto" w:fill="FAF6EF"/>
          </w:tcPr>
          <w:p>
            <w:pPr>
              <w:spacing w:after="0"/>
              <w:rPr>
                <w:sz w:val="17"/>
                <w:szCs w:val="17"/>
                <w:color w:val="auto"/>
              </w:rPr>
            </w:pPr>
          </w:p>
        </w:tc>
        <w:tc>
          <w:tcPr>
            <w:tcW w:w="3180" w:type="dxa"/>
            <w:vAlign w:val="bottom"/>
            <w:tcBorders>
              <w:right w:val="single" w:sz="8" w:color="929292"/>
            </w:tcBorders>
            <w:shd w:val="clear" w:color="auto" w:fill="FAF6EF"/>
          </w:tcPr>
          <w:p>
            <w:pPr>
              <w:spacing w:after="0"/>
              <w:rPr>
                <w:sz w:val="17"/>
                <w:szCs w:val="17"/>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elected; withheld votes will have no effect. Note,</w:t>
            </w:r>
          </w:p>
        </w:tc>
        <w:tc>
          <w:tcPr>
            <w:tcW w:w="1580" w:type="dxa"/>
            <w:vAlign w:val="bottom"/>
            <w:tcBorders>
              <w:right w:val="single" w:sz="8" w:color="929292"/>
            </w:tcBorders>
            <w:shd w:val="clear" w:color="auto" w:fill="FAF6EF"/>
          </w:tcPr>
          <w:p>
            <w:pPr>
              <w:spacing w:after="0"/>
              <w:rPr>
                <w:sz w:val="17"/>
                <w:szCs w:val="17"/>
                <w:color w:val="auto"/>
              </w:rPr>
            </w:pPr>
          </w:p>
        </w:tc>
        <w:tc>
          <w:tcPr>
            <w:tcW w:w="1600" w:type="dxa"/>
            <w:vAlign w:val="bottom"/>
            <w:tcBorders>
              <w:right w:val="single" w:sz="8" w:color="929292"/>
            </w:tcBorders>
            <w:shd w:val="clear" w:color="auto" w:fill="FAF6E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3180" w:type="dxa"/>
            <w:vAlign w:val="bottom"/>
            <w:tcBorders>
              <w:right w:val="single" w:sz="8" w:color="929292"/>
            </w:tcBorders>
            <w:shd w:val="clear" w:color="auto" w:fill="FAF6EF"/>
          </w:tcPr>
          <w:p>
            <w:pPr>
              <w:spacing w:after="0"/>
              <w:rPr>
                <w:sz w:val="16"/>
                <w:szCs w:val="16"/>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however, that our Corporate Governance</w:t>
            </w:r>
          </w:p>
        </w:tc>
        <w:tc>
          <w:tcPr>
            <w:tcW w:w="1580" w:type="dxa"/>
            <w:vAlign w:val="bottom"/>
            <w:tcBorders>
              <w:right w:val="single" w:sz="8" w:color="929292"/>
            </w:tcBorders>
            <w:shd w:val="clear" w:color="auto" w:fill="FAF6EF"/>
          </w:tcPr>
          <w:p>
            <w:pPr>
              <w:spacing w:after="0"/>
              <w:rPr>
                <w:sz w:val="16"/>
                <w:szCs w:val="16"/>
                <w:color w:val="auto"/>
              </w:rPr>
            </w:pPr>
          </w:p>
        </w:tc>
        <w:tc>
          <w:tcPr>
            <w:tcW w:w="1600" w:type="dxa"/>
            <w:vAlign w:val="bottom"/>
            <w:tcBorders>
              <w:right w:val="single" w:sz="8" w:color="929292"/>
            </w:tcBorders>
            <w:shd w:val="clear" w:color="auto" w:fill="FAF6E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shd w:val="clear" w:color="auto" w:fill="FAF6EF"/>
          </w:tcPr>
          <w:p>
            <w:pPr>
              <w:spacing w:after="0"/>
              <w:rPr>
                <w:sz w:val="17"/>
                <w:szCs w:val="17"/>
                <w:color w:val="auto"/>
              </w:rPr>
            </w:pPr>
          </w:p>
        </w:tc>
        <w:tc>
          <w:tcPr>
            <w:tcW w:w="120" w:type="dxa"/>
            <w:vAlign w:val="bottom"/>
            <w:tcBorders>
              <w:right w:val="single" w:sz="8" w:color="929292"/>
            </w:tcBorders>
            <w:shd w:val="clear" w:color="auto" w:fill="FAF6EF"/>
          </w:tcPr>
          <w:p>
            <w:pPr>
              <w:spacing w:after="0"/>
              <w:rPr>
                <w:sz w:val="17"/>
                <w:szCs w:val="17"/>
                <w:color w:val="auto"/>
              </w:rPr>
            </w:pPr>
          </w:p>
        </w:tc>
        <w:tc>
          <w:tcPr>
            <w:tcW w:w="3180" w:type="dxa"/>
            <w:vAlign w:val="bottom"/>
            <w:tcBorders>
              <w:right w:val="single" w:sz="8" w:color="929292"/>
            </w:tcBorders>
            <w:shd w:val="clear" w:color="auto" w:fill="FAF6EF"/>
          </w:tcPr>
          <w:p>
            <w:pPr>
              <w:spacing w:after="0"/>
              <w:rPr>
                <w:sz w:val="17"/>
                <w:szCs w:val="17"/>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Guidelines require that any nominee in an</w:t>
            </w:r>
          </w:p>
        </w:tc>
        <w:tc>
          <w:tcPr>
            <w:tcW w:w="1580" w:type="dxa"/>
            <w:vAlign w:val="bottom"/>
            <w:tcBorders>
              <w:right w:val="single" w:sz="8" w:color="929292"/>
            </w:tcBorders>
            <w:shd w:val="clear" w:color="auto" w:fill="FAF6EF"/>
          </w:tcPr>
          <w:p>
            <w:pPr>
              <w:spacing w:after="0"/>
              <w:rPr>
                <w:sz w:val="17"/>
                <w:szCs w:val="17"/>
                <w:color w:val="auto"/>
              </w:rPr>
            </w:pPr>
          </w:p>
        </w:tc>
        <w:tc>
          <w:tcPr>
            <w:tcW w:w="1600" w:type="dxa"/>
            <w:vAlign w:val="bottom"/>
            <w:tcBorders>
              <w:right w:val="single" w:sz="8" w:color="929292"/>
            </w:tcBorders>
            <w:shd w:val="clear" w:color="auto" w:fill="FAF6E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3180" w:type="dxa"/>
            <w:vAlign w:val="bottom"/>
            <w:tcBorders>
              <w:right w:val="single" w:sz="8" w:color="929292"/>
            </w:tcBorders>
            <w:shd w:val="clear" w:color="auto" w:fill="FAF6EF"/>
          </w:tcPr>
          <w:p>
            <w:pPr>
              <w:spacing w:after="0"/>
              <w:rPr>
                <w:sz w:val="16"/>
                <w:szCs w:val="16"/>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uncontested election who does not receive a</w:t>
            </w:r>
          </w:p>
        </w:tc>
        <w:tc>
          <w:tcPr>
            <w:tcW w:w="1580" w:type="dxa"/>
            <w:vAlign w:val="bottom"/>
            <w:tcBorders>
              <w:right w:val="single" w:sz="8" w:color="929292"/>
            </w:tcBorders>
            <w:shd w:val="clear" w:color="auto" w:fill="FAF6EF"/>
          </w:tcPr>
          <w:p>
            <w:pPr>
              <w:spacing w:after="0"/>
              <w:rPr>
                <w:sz w:val="16"/>
                <w:szCs w:val="16"/>
                <w:color w:val="auto"/>
              </w:rPr>
            </w:pPr>
          </w:p>
        </w:tc>
        <w:tc>
          <w:tcPr>
            <w:tcW w:w="1600" w:type="dxa"/>
            <w:vAlign w:val="bottom"/>
            <w:tcBorders>
              <w:right w:val="single" w:sz="8" w:color="929292"/>
            </w:tcBorders>
            <w:shd w:val="clear" w:color="auto" w:fill="FAF6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3180" w:type="dxa"/>
            <w:vAlign w:val="bottom"/>
            <w:tcBorders>
              <w:right w:val="single" w:sz="8" w:color="929292"/>
            </w:tcBorders>
            <w:shd w:val="clear" w:color="auto" w:fill="FAF6EF"/>
          </w:tcPr>
          <w:p>
            <w:pPr>
              <w:spacing w:after="0"/>
              <w:rPr>
                <w:sz w:val="16"/>
                <w:szCs w:val="16"/>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majority of the votes cast shall submit an offer of</w:t>
            </w:r>
          </w:p>
        </w:tc>
        <w:tc>
          <w:tcPr>
            <w:tcW w:w="1580" w:type="dxa"/>
            <w:vAlign w:val="bottom"/>
            <w:tcBorders>
              <w:right w:val="single" w:sz="8" w:color="929292"/>
            </w:tcBorders>
            <w:shd w:val="clear" w:color="auto" w:fill="FAF6EF"/>
          </w:tcPr>
          <w:p>
            <w:pPr>
              <w:spacing w:after="0"/>
              <w:rPr>
                <w:sz w:val="16"/>
                <w:szCs w:val="16"/>
                <w:color w:val="auto"/>
              </w:rPr>
            </w:pPr>
          </w:p>
        </w:tc>
        <w:tc>
          <w:tcPr>
            <w:tcW w:w="1600" w:type="dxa"/>
            <w:vAlign w:val="bottom"/>
            <w:tcBorders>
              <w:right w:val="single" w:sz="8" w:color="929292"/>
            </w:tcBorders>
            <w:shd w:val="clear" w:color="auto" w:fill="FAF6E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shd w:val="clear" w:color="auto" w:fill="FAF6EF"/>
          </w:tcPr>
          <w:p>
            <w:pPr>
              <w:spacing w:after="0"/>
              <w:rPr>
                <w:sz w:val="17"/>
                <w:szCs w:val="17"/>
                <w:color w:val="auto"/>
              </w:rPr>
            </w:pPr>
          </w:p>
        </w:tc>
        <w:tc>
          <w:tcPr>
            <w:tcW w:w="120" w:type="dxa"/>
            <w:vAlign w:val="bottom"/>
            <w:tcBorders>
              <w:right w:val="single" w:sz="8" w:color="929292"/>
            </w:tcBorders>
            <w:shd w:val="clear" w:color="auto" w:fill="FAF6EF"/>
          </w:tcPr>
          <w:p>
            <w:pPr>
              <w:spacing w:after="0"/>
              <w:rPr>
                <w:sz w:val="17"/>
                <w:szCs w:val="17"/>
                <w:color w:val="auto"/>
              </w:rPr>
            </w:pPr>
          </w:p>
        </w:tc>
        <w:tc>
          <w:tcPr>
            <w:tcW w:w="3180" w:type="dxa"/>
            <w:vAlign w:val="bottom"/>
            <w:tcBorders>
              <w:right w:val="single" w:sz="8" w:color="929292"/>
            </w:tcBorders>
            <w:shd w:val="clear" w:color="auto" w:fill="FAF6EF"/>
          </w:tcPr>
          <w:p>
            <w:pPr>
              <w:spacing w:after="0"/>
              <w:rPr>
                <w:sz w:val="17"/>
                <w:szCs w:val="17"/>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resignation to the Nominating and Corporate</w:t>
            </w:r>
          </w:p>
        </w:tc>
        <w:tc>
          <w:tcPr>
            <w:tcW w:w="1580" w:type="dxa"/>
            <w:vAlign w:val="bottom"/>
            <w:tcBorders>
              <w:right w:val="single" w:sz="8" w:color="929292"/>
            </w:tcBorders>
            <w:shd w:val="clear" w:color="auto" w:fill="FAF6EF"/>
          </w:tcPr>
          <w:p>
            <w:pPr>
              <w:spacing w:after="0"/>
              <w:rPr>
                <w:sz w:val="17"/>
                <w:szCs w:val="17"/>
                <w:color w:val="auto"/>
              </w:rPr>
            </w:pPr>
          </w:p>
        </w:tc>
        <w:tc>
          <w:tcPr>
            <w:tcW w:w="1600" w:type="dxa"/>
            <w:vAlign w:val="bottom"/>
            <w:tcBorders>
              <w:right w:val="single" w:sz="8" w:color="929292"/>
            </w:tcBorders>
            <w:shd w:val="clear" w:color="auto" w:fill="FAF6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929292"/>
            </w:tcBorders>
            <w:shd w:val="clear" w:color="auto" w:fill="FAF6EF"/>
          </w:tcPr>
          <w:p>
            <w:pPr>
              <w:spacing w:after="0"/>
              <w:rPr>
                <w:sz w:val="18"/>
                <w:szCs w:val="18"/>
                <w:color w:val="auto"/>
              </w:rPr>
            </w:pPr>
          </w:p>
        </w:tc>
        <w:tc>
          <w:tcPr>
            <w:tcW w:w="120" w:type="dxa"/>
            <w:vAlign w:val="bottom"/>
            <w:tcBorders>
              <w:right w:val="single" w:sz="8" w:color="929292"/>
            </w:tcBorders>
            <w:shd w:val="clear" w:color="auto" w:fill="FAF6EF"/>
          </w:tcPr>
          <w:p>
            <w:pPr>
              <w:spacing w:after="0"/>
              <w:rPr>
                <w:sz w:val="18"/>
                <w:szCs w:val="18"/>
                <w:color w:val="auto"/>
              </w:rPr>
            </w:pPr>
          </w:p>
        </w:tc>
        <w:tc>
          <w:tcPr>
            <w:tcW w:w="3180" w:type="dxa"/>
            <w:vAlign w:val="bottom"/>
            <w:tcBorders>
              <w:right w:val="single" w:sz="8" w:color="929292"/>
            </w:tcBorders>
            <w:shd w:val="clear" w:color="auto" w:fill="FAF6EF"/>
          </w:tcPr>
          <w:p>
            <w:pPr>
              <w:spacing w:after="0"/>
              <w:rPr>
                <w:sz w:val="18"/>
                <w:szCs w:val="18"/>
                <w:color w:val="auto"/>
              </w:rPr>
            </w:pP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Governance Committee.</w:t>
            </w:r>
          </w:p>
        </w:tc>
        <w:tc>
          <w:tcPr>
            <w:tcW w:w="1580" w:type="dxa"/>
            <w:vAlign w:val="bottom"/>
            <w:tcBorders>
              <w:right w:val="single" w:sz="8" w:color="929292"/>
            </w:tcBorders>
            <w:shd w:val="clear" w:color="auto" w:fill="FAF6EF"/>
          </w:tcPr>
          <w:p>
            <w:pPr>
              <w:spacing w:after="0"/>
              <w:rPr>
                <w:sz w:val="18"/>
                <w:szCs w:val="18"/>
                <w:color w:val="auto"/>
              </w:rPr>
            </w:pPr>
          </w:p>
        </w:tc>
        <w:tc>
          <w:tcPr>
            <w:tcW w:w="1600" w:type="dxa"/>
            <w:vAlign w:val="bottom"/>
            <w:tcBorders>
              <w:right w:val="single" w:sz="8" w:color="929292"/>
            </w:tcBorders>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980" w:type="dxa"/>
            <w:vAlign w:val="bottom"/>
            <w:tcBorders>
              <w:left w:val="single" w:sz="8" w:color="929292"/>
            </w:tcBorders>
            <w:shd w:val="clear" w:color="auto" w:fill="FAF6EF"/>
          </w:tcPr>
          <w:p>
            <w:pPr>
              <w:spacing w:after="0"/>
              <w:rPr>
                <w:sz w:val="9"/>
                <w:szCs w:val="9"/>
                <w:color w:val="auto"/>
              </w:rPr>
            </w:pPr>
          </w:p>
        </w:tc>
        <w:tc>
          <w:tcPr>
            <w:tcW w:w="120" w:type="dxa"/>
            <w:vAlign w:val="bottom"/>
            <w:tcBorders>
              <w:right w:val="single" w:sz="8" w:color="929292"/>
            </w:tcBorders>
            <w:shd w:val="clear" w:color="auto" w:fill="FAF6EF"/>
          </w:tcPr>
          <w:p>
            <w:pPr>
              <w:spacing w:after="0"/>
              <w:rPr>
                <w:sz w:val="9"/>
                <w:szCs w:val="9"/>
                <w:color w:val="auto"/>
              </w:rPr>
            </w:pPr>
          </w:p>
        </w:tc>
        <w:tc>
          <w:tcPr>
            <w:tcW w:w="3180" w:type="dxa"/>
            <w:vAlign w:val="bottom"/>
            <w:tcBorders>
              <w:right w:val="single" w:sz="8" w:color="929292"/>
            </w:tcBorders>
            <w:shd w:val="clear" w:color="auto" w:fill="FAF6EF"/>
          </w:tcPr>
          <w:p>
            <w:pPr>
              <w:spacing w:after="0"/>
              <w:rPr>
                <w:sz w:val="9"/>
                <w:szCs w:val="9"/>
                <w:color w:val="auto"/>
              </w:rPr>
            </w:pPr>
          </w:p>
        </w:tc>
        <w:tc>
          <w:tcPr>
            <w:tcW w:w="3800" w:type="dxa"/>
            <w:vAlign w:val="bottom"/>
            <w:tcBorders>
              <w:right w:val="single" w:sz="8" w:color="929292"/>
            </w:tcBorders>
            <w:shd w:val="clear" w:color="auto" w:fill="FAF6EF"/>
          </w:tcPr>
          <w:p>
            <w:pPr>
              <w:spacing w:after="0"/>
              <w:rPr>
                <w:sz w:val="9"/>
                <w:szCs w:val="9"/>
                <w:color w:val="auto"/>
              </w:rPr>
            </w:pPr>
          </w:p>
        </w:tc>
        <w:tc>
          <w:tcPr>
            <w:tcW w:w="1580" w:type="dxa"/>
            <w:vAlign w:val="bottom"/>
            <w:tcBorders>
              <w:right w:val="single" w:sz="8" w:color="929292"/>
            </w:tcBorders>
            <w:shd w:val="clear" w:color="auto" w:fill="FAF6EF"/>
          </w:tcPr>
          <w:p>
            <w:pPr>
              <w:spacing w:after="0"/>
              <w:rPr>
                <w:sz w:val="9"/>
                <w:szCs w:val="9"/>
                <w:color w:val="auto"/>
              </w:rPr>
            </w:pPr>
          </w:p>
        </w:tc>
        <w:tc>
          <w:tcPr>
            <w:tcW w:w="1600" w:type="dxa"/>
            <w:vAlign w:val="bottom"/>
            <w:tcBorders>
              <w:right w:val="single" w:sz="8" w:color="929292"/>
            </w:tcBorders>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80" w:type="dxa"/>
            <w:vAlign w:val="bottom"/>
            <w:tcBorders>
              <w:left w:val="single" w:sz="8" w:color="929292"/>
            </w:tcBorders>
          </w:tcPr>
          <w:p>
            <w:pPr>
              <w:jc w:val="center"/>
              <w:spacing w:after="0"/>
              <w:rPr>
                <w:sz w:val="20"/>
                <w:szCs w:val="20"/>
                <w:color w:val="auto"/>
              </w:rPr>
            </w:pPr>
            <w:r>
              <w:rPr>
                <w:rFonts w:ascii="Arial" w:cs="Arial" w:eastAsia="Arial" w:hAnsi="Arial"/>
                <w:sz w:val="16"/>
                <w:szCs w:val="16"/>
                <w:b w:val="1"/>
                <w:bCs w:val="1"/>
                <w:color w:val="auto"/>
                <w:w w:val="89"/>
              </w:rPr>
              <w:t>2</w:t>
            </w:r>
          </w:p>
        </w:tc>
        <w:tc>
          <w:tcPr>
            <w:tcW w:w="120" w:type="dxa"/>
            <w:vAlign w:val="bottom"/>
            <w:tcBorders>
              <w:right w:val="single" w:sz="8" w:color="929292"/>
            </w:tcBorders>
          </w:tcPr>
          <w:p>
            <w:pPr>
              <w:spacing w:after="0"/>
              <w:rPr>
                <w:sz w:val="24"/>
                <w:szCs w:val="24"/>
                <w:color w:val="auto"/>
              </w:rPr>
            </w:pPr>
          </w:p>
        </w:tc>
        <w:tc>
          <w:tcPr>
            <w:tcW w:w="318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Advisory approval of the compensation</w:t>
            </w: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“FOR” votes from the holders of a majority of</w:t>
            </w:r>
          </w:p>
        </w:tc>
        <w:tc>
          <w:tcPr>
            <w:tcW w:w="1580" w:type="dxa"/>
            <w:vAlign w:val="bottom"/>
            <w:tcBorders>
              <w:right w:val="single" w:sz="8" w:color="929292"/>
            </w:tcBorders>
          </w:tcPr>
          <w:p>
            <w:pPr>
              <w:jc w:val="center"/>
              <w:ind w:right="42"/>
              <w:spacing w:after="0"/>
              <w:rPr>
                <w:sz w:val="20"/>
                <w:szCs w:val="20"/>
                <w:color w:val="auto"/>
              </w:rPr>
            </w:pPr>
            <w:r>
              <w:rPr>
                <w:rFonts w:ascii="Arial" w:cs="Arial" w:eastAsia="Arial" w:hAnsi="Arial"/>
                <w:sz w:val="16"/>
                <w:szCs w:val="16"/>
                <w:color w:val="auto"/>
              </w:rPr>
              <w:t>Against</w:t>
            </w: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tcPr>
          <w:p>
            <w:pPr>
              <w:spacing w:after="0"/>
              <w:rPr>
                <w:sz w:val="17"/>
                <w:szCs w:val="17"/>
                <w:color w:val="auto"/>
              </w:rPr>
            </w:pPr>
          </w:p>
        </w:tc>
        <w:tc>
          <w:tcPr>
            <w:tcW w:w="120" w:type="dxa"/>
            <w:vAlign w:val="bottom"/>
            <w:tcBorders>
              <w:right w:val="single" w:sz="8" w:color="929292"/>
            </w:tcBorders>
          </w:tcPr>
          <w:p>
            <w:pPr>
              <w:spacing w:after="0"/>
              <w:rPr>
                <w:sz w:val="17"/>
                <w:szCs w:val="17"/>
                <w:color w:val="auto"/>
              </w:rPr>
            </w:pPr>
          </w:p>
        </w:tc>
        <w:tc>
          <w:tcPr>
            <w:tcW w:w="318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of our named executive officers</w:t>
            </w: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shares present in person or represented by proxy</w:t>
            </w:r>
          </w:p>
        </w:tc>
        <w:tc>
          <w:tcPr>
            <w:tcW w:w="1580" w:type="dxa"/>
            <w:vAlign w:val="bottom"/>
            <w:tcBorders>
              <w:right w:val="single" w:sz="8" w:color="929292"/>
            </w:tcBorders>
          </w:tcPr>
          <w:p>
            <w:pPr>
              <w:spacing w:after="0"/>
              <w:rPr>
                <w:sz w:val="17"/>
                <w:szCs w:val="17"/>
                <w:color w:val="auto"/>
              </w:rPr>
            </w:pPr>
          </w:p>
        </w:tc>
        <w:tc>
          <w:tcPr>
            <w:tcW w:w="1600" w:type="dxa"/>
            <w:vAlign w:val="bottom"/>
            <w:tcBorders>
              <w:right w:val="single" w:sz="8" w:color="929292"/>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tcPr>
          <w:p>
            <w:pPr>
              <w:spacing w:after="0"/>
              <w:rPr>
                <w:sz w:val="16"/>
                <w:szCs w:val="16"/>
                <w:color w:val="auto"/>
              </w:rPr>
            </w:pPr>
          </w:p>
        </w:tc>
        <w:tc>
          <w:tcPr>
            <w:tcW w:w="120" w:type="dxa"/>
            <w:vAlign w:val="bottom"/>
            <w:tcBorders>
              <w:right w:val="single" w:sz="8" w:color="929292"/>
            </w:tcBorders>
          </w:tcPr>
          <w:p>
            <w:pPr>
              <w:spacing w:after="0"/>
              <w:rPr>
                <w:sz w:val="16"/>
                <w:szCs w:val="16"/>
                <w:color w:val="auto"/>
              </w:rPr>
            </w:pPr>
          </w:p>
        </w:tc>
        <w:tc>
          <w:tcPr>
            <w:tcW w:w="3180" w:type="dxa"/>
            <w:vAlign w:val="bottom"/>
            <w:tcBorders>
              <w:right w:val="single" w:sz="8" w:color="929292"/>
            </w:tcBorders>
          </w:tcPr>
          <w:p>
            <w:pPr>
              <w:spacing w:after="0"/>
              <w:rPr>
                <w:sz w:val="16"/>
                <w:szCs w:val="16"/>
                <w:color w:val="auto"/>
              </w:rPr>
            </w:pP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and entitled to vote on the matter. However, this</w:t>
            </w:r>
          </w:p>
        </w:tc>
        <w:tc>
          <w:tcPr>
            <w:tcW w:w="1580" w:type="dxa"/>
            <w:vAlign w:val="bottom"/>
            <w:tcBorders>
              <w:right w:val="single" w:sz="8" w:color="929292"/>
            </w:tcBorders>
          </w:tcPr>
          <w:p>
            <w:pPr>
              <w:spacing w:after="0"/>
              <w:rPr>
                <w:sz w:val="16"/>
                <w:szCs w:val="16"/>
                <w:color w:val="auto"/>
              </w:rPr>
            </w:pPr>
          </w:p>
        </w:tc>
        <w:tc>
          <w:tcPr>
            <w:tcW w:w="1600" w:type="dxa"/>
            <w:vAlign w:val="bottom"/>
            <w:tcBorders>
              <w:right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929292"/>
            </w:tcBorders>
          </w:tcPr>
          <w:p>
            <w:pPr>
              <w:spacing w:after="0"/>
              <w:rPr>
                <w:sz w:val="18"/>
                <w:szCs w:val="18"/>
                <w:color w:val="auto"/>
              </w:rPr>
            </w:pPr>
          </w:p>
        </w:tc>
        <w:tc>
          <w:tcPr>
            <w:tcW w:w="120" w:type="dxa"/>
            <w:vAlign w:val="bottom"/>
            <w:tcBorders>
              <w:right w:val="single" w:sz="8" w:color="929292"/>
            </w:tcBorders>
          </w:tcPr>
          <w:p>
            <w:pPr>
              <w:spacing w:after="0"/>
              <w:rPr>
                <w:sz w:val="18"/>
                <w:szCs w:val="18"/>
                <w:color w:val="auto"/>
              </w:rPr>
            </w:pPr>
          </w:p>
        </w:tc>
        <w:tc>
          <w:tcPr>
            <w:tcW w:w="3180" w:type="dxa"/>
            <w:vAlign w:val="bottom"/>
            <w:tcBorders>
              <w:right w:val="single" w:sz="8" w:color="929292"/>
            </w:tcBorders>
          </w:tcPr>
          <w:p>
            <w:pPr>
              <w:spacing w:after="0"/>
              <w:rPr>
                <w:sz w:val="18"/>
                <w:szCs w:val="18"/>
                <w:color w:val="auto"/>
              </w:rPr>
            </w:pP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proposal is advisory and non-binding upon us.</w:t>
            </w:r>
          </w:p>
        </w:tc>
        <w:tc>
          <w:tcPr>
            <w:tcW w:w="1580" w:type="dxa"/>
            <w:vAlign w:val="bottom"/>
            <w:tcBorders>
              <w:right w:val="single" w:sz="8" w:color="929292"/>
            </w:tcBorders>
          </w:tcPr>
          <w:p>
            <w:pPr>
              <w:spacing w:after="0"/>
              <w:rPr>
                <w:sz w:val="18"/>
                <w:szCs w:val="18"/>
                <w:color w:val="auto"/>
              </w:rPr>
            </w:pPr>
          </w:p>
        </w:tc>
        <w:tc>
          <w:tcPr>
            <w:tcW w:w="1600" w:type="dxa"/>
            <w:vAlign w:val="bottom"/>
            <w:tcBorders>
              <w:right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980" w:type="dxa"/>
            <w:vAlign w:val="bottom"/>
            <w:tcBorders>
              <w:left w:val="single" w:sz="8" w:color="929292"/>
            </w:tcBorders>
          </w:tcPr>
          <w:p>
            <w:pPr>
              <w:spacing w:after="0"/>
              <w:rPr>
                <w:sz w:val="10"/>
                <w:szCs w:val="10"/>
                <w:color w:val="auto"/>
              </w:rPr>
            </w:pPr>
          </w:p>
        </w:tc>
        <w:tc>
          <w:tcPr>
            <w:tcW w:w="120" w:type="dxa"/>
            <w:vAlign w:val="bottom"/>
            <w:tcBorders>
              <w:right w:val="single" w:sz="8" w:color="929292"/>
            </w:tcBorders>
          </w:tcPr>
          <w:p>
            <w:pPr>
              <w:spacing w:after="0"/>
              <w:rPr>
                <w:sz w:val="10"/>
                <w:szCs w:val="10"/>
                <w:color w:val="auto"/>
              </w:rPr>
            </w:pPr>
          </w:p>
        </w:tc>
        <w:tc>
          <w:tcPr>
            <w:tcW w:w="3180" w:type="dxa"/>
            <w:vAlign w:val="bottom"/>
            <w:tcBorders>
              <w:right w:val="single" w:sz="8" w:color="929292"/>
            </w:tcBorders>
          </w:tcPr>
          <w:p>
            <w:pPr>
              <w:spacing w:after="0"/>
              <w:rPr>
                <w:sz w:val="10"/>
                <w:szCs w:val="10"/>
                <w:color w:val="auto"/>
              </w:rPr>
            </w:pPr>
          </w:p>
        </w:tc>
        <w:tc>
          <w:tcPr>
            <w:tcW w:w="3800" w:type="dxa"/>
            <w:vAlign w:val="bottom"/>
            <w:tcBorders>
              <w:right w:val="single" w:sz="8" w:color="929292"/>
            </w:tcBorders>
          </w:tcPr>
          <w:p>
            <w:pPr>
              <w:spacing w:after="0"/>
              <w:rPr>
                <w:sz w:val="10"/>
                <w:szCs w:val="10"/>
                <w:color w:val="auto"/>
              </w:rPr>
            </w:pPr>
          </w:p>
        </w:tc>
        <w:tc>
          <w:tcPr>
            <w:tcW w:w="1580" w:type="dxa"/>
            <w:vAlign w:val="bottom"/>
            <w:tcBorders>
              <w:right w:val="single" w:sz="8" w:color="929292"/>
            </w:tcBorders>
          </w:tcPr>
          <w:p>
            <w:pPr>
              <w:spacing w:after="0"/>
              <w:rPr>
                <w:sz w:val="10"/>
                <w:szCs w:val="10"/>
                <w:color w:val="auto"/>
              </w:rPr>
            </w:pPr>
          </w:p>
        </w:tc>
        <w:tc>
          <w:tcPr>
            <w:tcW w:w="1600" w:type="dxa"/>
            <w:vAlign w:val="bottom"/>
            <w:tcBorders>
              <w:right w:val="single" w:sz="8" w:color="929292"/>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980" w:type="dxa"/>
            <w:vAlign w:val="bottom"/>
            <w:tcBorders>
              <w:lef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89"/>
              </w:rPr>
              <w:t>3</w:t>
            </w:r>
          </w:p>
        </w:tc>
        <w:tc>
          <w:tcPr>
            <w:tcW w:w="120" w:type="dxa"/>
            <w:vAlign w:val="bottom"/>
            <w:tcBorders>
              <w:right w:val="single" w:sz="8" w:color="929292"/>
            </w:tcBorders>
            <w:shd w:val="clear" w:color="auto" w:fill="FAF6EF"/>
          </w:tcPr>
          <w:p>
            <w:pPr>
              <w:spacing w:after="0"/>
              <w:rPr>
                <w:sz w:val="24"/>
                <w:szCs w:val="24"/>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Approval of an Amendment and</w:t>
            </w: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“FOR” votes from the holders of a majority of the</w:t>
            </w:r>
          </w:p>
        </w:tc>
        <w:tc>
          <w:tcPr>
            <w:tcW w:w="1580" w:type="dxa"/>
            <w:vAlign w:val="bottom"/>
            <w:tcBorders>
              <w:right w:val="single" w:sz="8" w:color="929292"/>
            </w:tcBorders>
            <w:shd w:val="clear" w:color="auto" w:fill="FAF6EF"/>
          </w:tcPr>
          <w:p>
            <w:pPr>
              <w:jc w:val="center"/>
              <w:ind w:right="42"/>
              <w:spacing w:after="0"/>
              <w:rPr>
                <w:sz w:val="20"/>
                <w:szCs w:val="20"/>
                <w:color w:val="auto"/>
              </w:rPr>
            </w:pPr>
            <w:r>
              <w:rPr>
                <w:rFonts w:ascii="Arial" w:cs="Arial" w:eastAsia="Arial" w:hAnsi="Arial"/>
                <w:sz w:val="16"/>
                <w:szCs w:val="16"/>
                <w:color w:val="auto"/>
              </w:rPr>
              <w:t>No effect</w:t>
            </w:r>
          </w:p>
        </w:tc>
        <w:tc>
          <w:tcPr>
            <w:tcW w:w="160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shd w:val="clear" w:color="auto" w:fill="FAF6EF"/>
          </w:tcPr>
          <w:p>
            <w:pPr>
              <w:spacing w:after="0"/>
              <w:rPr>
                <w:sz w:val="17"/>
                <w:szCs w:val="17"/>
                <w:color w:val="auto"/>
              </w:rPr>
            </w:pPr>
          </w:p>
        </w:tc>
        <w:tc>
          <w:tcPr>
            <w:tcW w:w="120" w:type="dxa"/>
            <w:vAlign w:val="bottom"/>
            <w:tcBorders>
              <w:right w:val="single" w:sz="8" w:color="929292"/>
            </w:tcBorders>
            <w:shd w:val="clear" w:color="auto" w:fill="FAF6EF"/>
          </w:tcPr>
          <w:p>
            <w:pPr>
              <w:spacing w:after="0"/>
              <w:rPr>
                <w:sz w:val="17"/>
                <w:szCs w:val="17"/>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Restatement of the Enphase Energy,</w:t>
            </w: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total votes cast in person or represented by proxy</w:t>
            </w:r>
          </w:p>
        </w:tc>
        <w:tc>
          <w:tcPr>
            <w:tcW w:w="1580" w:type="dxa"/>
            <w:vAlign w:val="bottom"/>
            <w:tcBorders>
              <w:right w:val="single" w:sz="8" w:color="929292"/>
            </w:tcBorders>
            <w:shd w:val="clear" w:color="auto" w:fill="FAF6EF"/>
          </w:tcPr>
          <w:p>
            <w:pPr>
              <w:spacing w:after="0"/>
              <w:rPr>
                <w:sz w:val="17"/>
                <w:szCs w:val="17"/>
                <w:color w:val="auto"/>
              </w:rPr>
            </w:pPr>
          </w:p>
        </w:tc>
        <w:tc>
          <w:tcPr>
            <w:tcW w:w="1600" w:type="dxa"/>
            <w:vAlign w:val="bottom"/>
            <w:tcBorders>
              <w:right w:val="single" w:sz="8" w:color="929292"/>
            </w:tcBorders>
            <w:shd w:val="clear" w:color="auto" w:fill="FAF6E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Inc. 2021 Equity Incentive Plan to</w:t>
            </w:r>
          </w:p>
        </w:tc>
        <w:tc>
          <w:tcPr>
            <w:tcW w:w="380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and entitled to vote on the matter.</w:t>
            </w:r>
          </w:p>
        </w:tc>
        <w:tc>
          <w:tcPr>
            <w:tcW w:w="1580" w:type="dxa"/>
            <w:vAlign w:val="bottom"/>
            <w:tcBorders>
              <w:right w:val="single" w:sz="8" w:color="929292"/>
            </w:tcBorders>
            <w:shd w:val="clear" w:color="auto" w:fill="FAF6EF"/>
          </w:tcPr>
          <w:p>
            <w:pPr>
              <w:spacing w:after="0"/>
              <w:rPr>
                <w:sz w:val="16"/>
                <w:szCs w:val="16"/>
                <w:color w:val="auto"/>
              </w:rPr>
            </w:pPr>
          </w:p>
        </w:tc>
        <w:tc>
          <w:tcPr>
            <w:tcW w:w="1600" w:type="dxa"/>
            <w:vAlign w:val="bottom"/>
            <w:tcBorders>
              <w:right w:val="single" w:sz="8" w:color="929292"/>
            </w:tcBorders>
            <w:shd w:val="clear" w:color="auto" w:fill="FAF6E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shd w:val="clear" w:color="auto" w:fill="FAF6EF"/>
          </w:tcPr>
          <w:p>
            <w:pPr>
              <w:spacing w:after="0"/>
              <w:rPr>
                <w:sz w:val="17"/>
                <w:szCs w:val="17"/>
                <w:color w:val="auto"/>
              </w:rPr>
            </w:pPr>
          </w:p>
        </w:tc>
        <w:tc>
          <w:tcPr>
            <w:tcW w:w="120" w:type="dxa"/>
            <w:vAlign w:val="bottom"/>
            <w:tcBorders>
              <w:right w:val="single" w:sz="8" w:color="929292"/>
            </w:tcBorders>
            <w:shd w:val="clear" w:color="auto" w:fill="FAF6EF"/>
          </w:tcPr>
          <w:p>
            <w:pPr>
              <w:spacing w:after="0"/>
              <w:rPr>
                <w:sz w:val="17"/>
                <w:szCs w:val="17"/>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increase the number of shares of</w:t>
            </w:r>
          </w:p>
        </w:tc>
        <w:tc>
          <w:tcPr>
            <w:tcW w:w="3800" w:type="dxa"/>
            <w:vAlign w:val="bottom"/>
            <w:tcBorders>
              <w:right w:val="single" w:sz="8" w:color="929292"/>
            </w:tcBorders>
            <w:shd w:val="clear" w:color="auto" w:fill="FAF6EF"/>
          </w:tcPr>
          <w:p>
            <w:pPr>
              <w:spacing w:after="0"/>
              <w:rPr>
                <w:sz w:val="17"/>
                <w:szCs w:val="17"/>
                <w:color w:val="auto"/>
              </w:rPr>
            </w:pPr>
          </w:p>
        </w:tc>
        <w:tc>
          <w:tcPr>
            <w:tcW w:w="1580" w:type="dxa"/>
            <w:vAlign w:val="bottom"/>
            <w:tcBorders>
              <w:right w:val="single" w:sz="8" w:color="929292"/>
            </w:tcBorders>
            <w:shd w:val="clear" w:color="auto" w:fill="FAF6EF"/>
          </w:tcPr>
          <w:p>
            <w:pPr>
              <w:spacing w:after="0"/>
              <w:rPr>
                <w:sz w:val="17"/>
                <w:szCs w:val="17"/>
                <w:color w:val="auto"/>
              </w:rPr>
            </w:pPr>
          </w:p>
        </w:tc>
        <w:tc>
          <w:tcPr>
            <w:tcW w:w="1600" w:type="dxa"/>
            <w:vAlign w:val="bottom"/>
            <w:tcBorders>
              <w:right w:val="single" w:sz="8" w:color="929292"/>
            </w:tcBorders>
            <w:shd w:val="clear" w:color="auto" w:fill="FAF6E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shd w:val="clear" w:color="auto" w:fill="FAF6EF"/>
          </w:tcPr>
          <w:p>
            <w:pPr>
              <w:spacing w:after="0"/>
              <w:rPr>
                <w:sz w:val="16"/>
                <w:szCs w:val="16"/>
                <w:color w:val="auto"/>
              </w:rPr>
            </w:pPr>
          </w:p>
        </w:tc>
        <w:tc>
          <w:tcPr>
            <w:tcW w:w="120" w:type="dxa"/>
            <w:vAlign w:val="bottom"/>
            <w:tcBorders>
              <w:right w:val="single" w:sz="8" w:color="929292"/>
            </w:tcBorders>
            <w:shd w:val="clear" w:color="auto" w:fill="FAF6EF"/>
          </w:tcPr>
          <w:p>
            <w:pPr>
              <w:spacing w:after="0"/>
              <w:rPr>
                <w:sz w:val="16"/>
                <w:szCs w:val="16"/>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common stock authorized for issuance</w:t>
            </w:r>
          </w:p>
        </w:tc>
        <w:tc>
          <w:tcPr>
            <w:tcW w:w="3800" w:type="dxa"/>
            <w:vAlign w:val="bottom"/>
            <w:tcBorders>
              <w:right w:val="single" w:sz="8" w:color="929292"/>
            </w:tcBorders>
            <w:shd w:val="clear" w:color="auto" w:fill="FAF6EF"/>
          </w:tcPr>
          <w:p>
            <w:pPr>
              <w:spacing w:after="0"/>
              <w:rPr>
                <w:sz w:val="16"/>
                <w:szCs w:val="16"/>
                <w:color w:val="auto"/>
              </w:rPr>
            </w:pPr>
          </w:p>
        </w:tc>
        <w:tc>
          <w:tcPr>
            <w:tcW w:w="1580" w:type="dxa"/>
            <w:vAlign w:val="bottom"/>
            <w:tcBorders>
              <w:right w:val="single" w:sz="8" w:color="929292"/>
            </w:tcBorders>
            <w:shd w:val="clear" w:color="auto" w:fill="FAF6EF"/>
          </w:tcPr>
          <w:p>
            <w:pPr>
              <w:spacing w:after="0"/>
              <w:rPr>
                <w:sz w:val="16"/>
                <w:szCs w:val="16"/>
                <w:color w:val="auto"/>
              </w:rPr>
            </w:pPr>
          </w:p>
        </w:tc>
        <w:tc>
          <w:tcPr>
            <w:tcW w:w="1600" w:type="dxa"/>
            <w:vAlign w:val="bottom"/>
            <w:tcBorders>
              <w:right w:val="single" w:sz="8" w:color="929292"/>
            </w:tcBorders>
            <w:shd w:val="clear" w:color="auto" w:fill="FAF6E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929292"/>
            </w:tcBorders>
            <w:shd w:val="clear" w:color="auto" w:fill="FAF6EF"/>
          </w:tcPr>
          <w:p>
            <w:pPr>
              <w:spacing w:after="0"/>
              <w:rPr>
                <w:sz w:val="18"/>
                <w:szCs w:val="18"/>
                <w:color w:val="auto"/>
              </w:rPr>
            </w:pPr>
          </w:p>
        </w:tc>
        <w:tc>
          <w:tcPr>
            <w:tcW w:w="120" w:type="dxa"/>
            <w:vAlign w:val="bottom"/>
            <w:tcBorders>
              <w:right w:val="single" w:sz="8" w:color="929292"/>
            </w:tcBorders>
            <w:shd w:val="clear" w:color="auto" w:fill="FAF6EF"/>
          </w:tcPr>
          <w:p>
            <w:pPr>
              <w:spacing w:after="0"/>
              <w:rPr>
                <w:sz w:val="18"/>
                <w:szCs w:val="18"/>
                <w:color w:val="auto"/>
              </w:rPr>
            </w:pPr>
          </w:p>
        </w:tc>
        <w:tc>
          <w:tcPr>
            <w:tcW w:w="3180" w:type="dxa"/>
            <w:vAlign w:val="bottom"/>
            <w:tcBorders>
              <w:right w:val="single" w:sz="8" w:color="929292"/>
            </w:tcBorders>
            <w:shd w:val="clear" w:color="auto" w:fill="FAF6EF"/>
          </w:tcPr>
          <w:p>
            <w:pPr>
              <w:ind w:left="100"/>
              <w:spacing w:after="0"/>
              <w:rPr>
                <w:sz w:val="20"/>
                <w:szCs w:val="20"/>
                <w:color w:val="auto"/>
              </w:rPr>
            </w:pPr>
            <w:r>
              <w:rPr>
                <w:rFonts w:ascii="Arial" w:cs="Arial" w:eastAsia="Arial" w:hAnsi="Arial"/>
                <w:sz w:val="16"/>
                <w:szCs w:val="16"/>
                <w:color w:val="auto"/>
              </w:rPr>
              <w:t>thereunder by 4,000,000 shares</w:t>
            </w:r>
          </w:p>
        </w:tc>
        <w:tc>
          <w:tcPr>
            <w:tcW w:w="3800" w:type="dxa"/>
            <w:vAlign w:val="bottom"/>
            <w:tcBorders>
              <w:right w:val="single" w:sz="8" w:color="929292"/>
            </w:tcBorders>
            <w:shd w:val="clear" w:color="auto" w:fill="FAF6EF"/>
          </w:tcPr>
          <w:p>
            <w:pPr>
              <w:spacing w:after="0"/>
              <w:rPr>
                <w:sz w:val="18"/>
                <w:szCs w:val="18"/>
                <w:color w:val="auto"/>
              </w:rPr>
            </w:pPr>
          </w:p>
        </w:tc>
        <w:tc>
          <w:tcPr>
            <w:tcW w:w="1580" w:type="dxa"/>
            <w:vAlign w:val="bottom"/>
            <w:tcBorders>
              <w:right w:val="single" w:sz="8" w:color="929292"/>
            </w:tcBorders>
            <w:shd w:val="clear" w:color="auto" w:fill="FAF6EF"/>
          </w:tcPr>
          <w:p>
            <w:pPr>
              <w:spacing w:after="0"/>
              <w:rPr>
                <w:sz w:val="18"/>
                <w:szCs w:val="18"/>
                <w:color w:val="auto"/>
              </w:rPr>
            </w:pPr>
          </w:p>
        </w:tc>
        <w:tc>
          <w:tcPr>
            <w:tcW w:w="1600" w:type="dxa"/>
            <w:vAlign w:val="bottom"/>
            <w:tcBorders>
              <w:right w:val="single" w:sz="8" w:color="929292"/>
            </w:tcBorders>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980" w:type="dxa"/>
            <w:vAlign w:val="bottom"/>
            <w:tcBorders>
              <w:left w:val="single" w:sz="8" w:color="929292"/>
            </w:tcBorders>
            <w:shd w:val="clear" w:color="auto" w:fill="FAF6EF"/>
          </w:tcPr>
          <w:p>
            <w:pPr>
              <w:spacing w:after="0"/>
              <w:rPr>
                <w:sz w:val="9"/>
                <w:szCs w:val="9"/>
                <w:color w:val="auto"/>
              </w:rPr>
            </w:pPr>
          </w:p>
        </w:tc>
        <w:tc>
          <w:tcPr>
            <w:tcW w:w="120" w:type="dxa"/>
            <w:vAlign w:val="bottom"/>
            <w:tcBorders>
              <w:right w:val="single" w:sz="8" w:color="929292"/>
            </w:tcBorders>
            <w:shd w:val="clear" w:color="auto" w:fill="FAF6EF"/>
          </w:tcPr>
          <w:p>
            <w:pPr>
              <w:spacing w:after="0"/>
              <w:rPr>
                <w:sz w:val="9"/>
                <w:szCs w:val="9"/>
                <w:color w:val="auto"/>
              </w:rPr>
            </w:pPr>
          </w:p>
        </w:tc>
        <w:tc>
          <w:tcPr>
            <w:tcW w:w="3180" w:type="dxa"/>
            <w:vAlign w:val="bottom"/>
            <w:tcBorders>
              <w:right w:val="single" w:sz="8" w:color="929292"/>
            </w:tcBorders>
            <w:shd w:val="clear" w:color="auto" w:fill="FAF6EF"/>
          </w:tcPr>
          <w:p>
            <w:pPr>
              <w:spacing w:after="0"/>
              <w:rPr>
                <w:sz w:val="9"/>
                <w:szCs w:val="9"/>
                <w:color w:val="auto"/>
              </w:rPr>
            </w:pPr>
          </w:p>
        </w:tc>
        <w:tc>
          <w:tcPr>
            <w:tcW w:w="3800" w:type="dxa"/>
            <w:vAlign w:val="bottom"/>
            <w:tcBorders>
              <w:right w:val="single" w:sz="8" w:color="929292"/>
            </w:tcBorders>
            <w:shd w:val="clear" w:color="auto" w:fill="FAF6EF"/>
          </w:tcPr>
          <w:p>
            <w:pPr>
              <w:spacing w:after="0"/>
              <w:rPr>
                <w:sz w:val="9"/>
                <w:szCs w:val="9"/>
                <w:color w:val="auto"/>
              </w:rPr>
            </w:pPr>
          </w:p>
        </w:tc>
        <w:tc>
          <w:tcPr>
            <w:tcW w:w="1580" w:type="dxa"/>
            <w:vAlign w:val="bottom"/>
            <w:tcBorders>
              <w:right w:val="single" w:sz="8" w:color="929292"/>
            </w:tcBorders>
            <w:shd w:val="clear" w:color="auto" w:fill="FAF6EF"/>
          </w:tcPr>
          <w:p>
            <w:pPr>
              <w:spacing w:after="0"/>
              <w:rPr>
                <w:sz w:val="9"/>
                <w:szCs w:val="9"/>
                <w:color w:val="auto"/>
              </w:rPr>
            </w:pPr>
          </w:p>
        </w:tc>
        <w:tc>
          <w:tcPr>
            <w:tcW w:w="1600" w:type="dxa"/>
            <w:vAlign w:val="bottom"/>
            <w:tcBorders>
              <w:right w:val="single" w:sz="8" w:color="929292"/>
            </w:tcBorders>
            <w:shd w:val="clear" w:color="auto" w:fill="FAF6EF"/>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80" w:type="dxa"/>
            <w:vAlign w:val="bottom"/>
            <w:tcBorders>
              <w:left w:val="single" w:sz="8" w:color="929292"/>
            </w:tcBorders>
          </w:tcPr>
          <w:p>
            <w:pPr>
              <w:jc w:val="center"/>
              <w:spacing w:after="0"/>
              <w:rPr>
                <w:sz w:val="20"/>
                <w:szCs w:val="20"/>
                <w:color w:val="auto"/>
              </w:rPr>
            </w:pPr>
            <w:r>
              <w:rPr>
                <w:rFonts w:ascii="Arial" w:cs="Arial" w:eastAsia="Arial" w:hAnsi="Arial"/>
                <w:sz w:val="16"/>
                <w:szCs w:val="16"/>
                <w:b w:val="1"/>
                <w:bCs w:val="1"/>
                <w:color w:val="auto"/>
                <w:w w:val="89"/>
              </w:rPr>
              <w:t>4</w:t>
            </w:r>
          </w:p>
        </w:tc>
        <w:tc>
          <w:tcPr>
            <w:tcW w:w="120" w:type="dxa"/>
            <w:vAlign w:val="bottom"/>
            <w:tcBorders>
              <w:right w:val="single" w:sz="8" w:color="929292"/>
            </w:tcBorders>
          </w:tcPr>
          <w:p>
            <w:pPr>
              <w:spacing w:after="0"/>
              <w:rPr>
                <w:sz w:val="24"/>
                <w:szCs w:val="24"/>
                <w:color w:val="auto"/>
              </w:rPr>
            </w:pPr>
          </w:p>
        </w:tc>
        <w:tc>
          <w:tcPr>
            <w:tcW w:w="318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Ratification of the selection of Deloitte &amp;</w:t>
            </w: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“FOR” votes from the holders of a majority of</w:t>
            </w:r>
          </w:p>
        </w:tc>
        <w:tc>
          <w:tcPr>
            <w:tcW w:w="1580" w:type="dxa"/>
            <w:vAlign w:val="bottom"/>
            <w:tcBorders>
              <w:right w:val="single" w:sz="8" w:color="929292"/>
            </w:tcBorders>
          </w:tcPr>
          <w:p>
            <w:pPr>
              <w:jc w:val="center"/>
              <w:ind w:right="42"/>
              <w:spacing w:after="0"/>
              <w:rPr>
                <w:sz w:val="20"/>
                <w:szCs w:val="20"/>
                <w:color w:val="auto"/>
              </w:rPr>
            </w:pPr>
            <w:r>
              <w:rPr>
                <w:rFonts w:ascii="Arial" w:cs="Arial" w:eastAsia="Arial" w:hAnsi="Arial"/>
                <w:sz w:val="16"/>
                <w:szCs w:val="16"/>
                <w:color w:val="auto"/>
              </w:rPr>
              <w:t>Against</w:t>
            </w:r>
          </w:p>
        </w:tc>
        <w:tc>
          <w:tcPr>
            <w:tcW w:w="160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203"/>
        </w:trPr>
        <w:tc>
          <w:tcPr>
            <w:tcW w:w="980" w:type="dxa"/>
            <w:vAlign w:val="bottom"/>
            <w:tcBorders>
              <w:left w:val="single" w:sz="8" w:color="929292"/>
            </w:tcBorders>
          </w:tcPr>
          <w:p>
            <w:pPr>
              <w:spacing w:after="0"/>
              <w:rPr>
                <w:sz w:val="17"/>
                <w:szCs w:val="17"/>
                <w:color w:val="auto"/>
              </w:rPr>
            </w:pPr>
          </w:p>
        </w:tc>
        <w:tc>
          <w:tcPr>
            <w:tcW w:w="120" w:type="dxa"/>
            <w:vAlign w:val="bottom"/>
            <w:tcBorders>
              <w:right w:val="single" w:sz="8" w:color="929292"/>
            </w:tcBorders>
          </w:tcPr>
          <w:p>
            <w:pPr>
              <w:spacing w:after="0"/>
              <w:rPr>
                <w:sz w:val="17"/>
                <w:szCs w:val="17"/>
                <w:color w:val="auto"/>
              </w:rPr>
            </w:pPr>
          </w:p>
        </w:tc>
        <w:tc>
          <w:tcPr>
            <w:tcW w:w="318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Touche LLP as our independent</w:t>
            </w: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shares present in person or represented by proxy</w:t>
            </w:r>
          </w:p>
        </w:tc>
        <w:tc>
          <w:tcPr>
            <w:tcW w:w="1580" w:type="dxa"/>
            <w:vAlign w:val="bottom"/>
            <w:tcBorders>
              <w:right w:val="single" w:sz="8" w:color="929292"/>
            </w:tcBorders>
          </w:tcPr>
          <w:p>
            <w:pPr>
              <w:spacing w:after="0"/>
              <w:rPr>
                <w:sz w:val="17"/>
                <w:szCs w:val="17"/>
                <w:color w:val="auto"/>
              </w:rPr>
            </w:pPr>
          </w:p>
        </w:tc>
        <w:tc>
          <w:tcPr>
            <w:tcW w:w="1600" w:type="dxa"/>
            <w:vAlign w:val="bottom"/>
            <w:tcBorders>
              <w:right w:val="single" w:sz="8" w:color="929292"/>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929292"/>
            </w:tcBorders>
          </w:tcPr>
          <w:p>
            <w:pPr>
              <w:spacing w:after="0"/>
              <w:rPr>
                <w:sz w:val="16"/>
                <w:szCs w:val="16"/>
                <w:color w:val="auto"/>
              </w:rPr>
            </w:pPr>
          </w:p>
        </w:tc>
        <w:tc>
          <w:tcPr>
            <w:tcW w:w="120" w:type="dxa"/>
            <w:vAlign w:val="bottom"/>
            <w:tcBorders>
              <w:right w:val="single" w:sz="8" w:color="929292"/>
            </w:tcBorders>
          </w:tcPr>
          <w:p>
            <w:pPr>
              <w:spacing w:after="0"/>
              <w:rPr>
                <w:sz w:val="16"/>
                <w:szCs w:val="16"/>
                <w:color w:val="auto"/>
              </w:rPr>
            </w:pPr>
          </w:p>
        </w:tc>
        <w:tc>
          <w:tcPr>
            <w:tcW w:w="318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registered public accounting firm for the</w:t>
            </w:r>
          </w:p>
        </w:tc>
        <w:tc>
          <w:tcPr>
            <w:tcW w:w="380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and entitled to vote on the matter.</w:t>
            </w:r>
          </w:p>
        </w:tc>
        <w:tc>
          <w:tcPr>
            <w:tcW w:w="1580" w:type="dxa"/>
            <w:vAlign w:val="bottom"/>
            <w:tcBorders>
              <w:right w:val="single" w:sz="8" w:color="929292"/>
            </w:tcBorders>
          </w:tcPr>
          <w:p>
            <w:pPr>
              <w:spacing w:after="0"/>
              <w:rPr>
                <w:sz w:val="16"/>
                <w:szCs w:val="16"/>
                <w:color w:val="auto"/>
              </w:rPr>
            </w:pPr>
          </w:p>
        </w:tc>
        <w:tc>
          <w:tcPr>
            <w:tcW w:w="1600" w:type="dxa"/>
            <w:vAlign w:val="bottom"/>
            <w:tcBorders>
              <w:right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929292"/>
            </w:tcBorders>
          </w:tcPr>
          <w:p>
            <w:pPr>
              <w:spacing w:after="0"/>
              <w:rPr>
                <w:sz w:val="18"/>
                <w:szCs w:val="18"/>
                <w:color w:val="auto"/>
              </w:rPr>
            </w:pPr>
          </w:p>
        </w:tc>
        <w:tc>
          <w:tcPr>
            <w:tcW w:w="120" w:type="dxa"/>
            <w:vAlign w:val="bottom"/>
            <w:tcBorders>
              <w:right w:val="single" w:sz="8" w:color="929292"/>
            </w:tcBorders>
          </w:tcPr>
          <w:p>
            <w:pPr>
              <w:spacing w:after="0"/>
              <w:rPr>
                <w:sz w:val="18"/>
                <w:szCs w:val="18"/>
                <w:color w:val="auto"/>
              </w:rPr>
            </w:pPr>
          </w:p>
        </w:tc>
        <w:tc>
          <w:tcPr>
            <w:tcW w:w="3180" w:type="dxa"/>
            <w:vAlign w:val="bottom"/>
            <w:tcBorders>
              <w:right w:val="single" w:sz="8" w:color="929292"/>
            </w:tcBorders>
          </w:tcPr>
          <w:p>
            <w:pPr>
              <w:ind w:left="100"/>
              <w:spacing w:after="0"/>
              <w:rPr>
                <w:sz w:val="20"/>
                <w:szCs w:val="20"/>
                <w:color w:val="auto"/>
              </w:rPr>
            </w:pPr>
            <w:r>
              <w:rPr>
                <w:rFonts w:ascii="Arial" w:cs="Arial" w:eastAsia="Arial" w:hAnsi="Arial"/>
                <w:sz w:val="16"/>
                <w:szCs w:val="16"/>
                <w:color w:val="auto"/>
              </w:rPr>
              <w:t>fiscal year ending December 31, 2025</w:t>
            </w:r>
          </w:p>
        </w:tc>
        <w:tc>
          <w:tcPr>
            <w:tcW w:w="3800" w:type="dxa"/>
            <w:vAlign w:val="bottom"/>
            <w:tcBorders>
              <w:right w:val="single" w:sz="8" w:color="929292"/>
            </w:tcBorders>
          </w:tcPr>
          <w:p>
            <w:pPr>
              <w:spacing w:after="0"/>
              <w:rPr>
                <w:sz w:val="18"/>
                <w:szCs w:val="18"/>
                <w:color w:val="auto"/>
              </w:rPr>
            </w:pPr>
          </w:p>
        </w:tc>
        <w:tc>
          <w:tcPr>
            <w:tcW w:w="1580" w:type="dxa"/>
            <w:vAlign w:val="bottom"/>
            <w:tcBorders>
              <w:right w:val="single" w:sz="8" w:color="929292"/>
            </w:tcBorders>
          </w:tcPr>
          <w:p>
            <w:pPr>
              <w:spacing w:after="0"/>
              <w:rPr>
                <w:sz w:val="18"/>
                <w:szCs w:val="18"/>
                <w:color w:val="auto"/>
              </w:rPr>
            </w:pPr>
          </w:p>
        </w:tc>
        <w:tc>
          <w:tcPr>
            <w:tcW w:w="1600" w:type="dxa"/>
            <w:vAlign w:val="bottom"/>
            <w:tcBorders>
              <w:right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980" w:type="dxa"/>
            <w:vAlign w:val="bottom"/>
            <w:tcBorders>
              <w:left w:val="single" w:sz="8" w:color="929292"/>
            </w:tcBorders>
          </w:tcPr>
          <w:p>
            <w:pPr>
              <w:spacing w:after="0"/>
              <w:rPr>
                <w:sz w:val="2"/>
                <w:szCs w:val="2"/>
                <w:color w:val="auto"/>
              </w:rPr>
            </w:pPr>
          </w:p>
        </w:tc>
        <w:tc>
          <w:tcPr>
            <w:tcW w:w="120" w:type="dxa"/>
            <w:vAlign w:val="bottom"/>
            <w:tcBorders>
              <w:right w:val="single" w:sz="8" w:color="929292"/>
            </w:tcBorders>
          </w:tcPr>
          <w:p>
            <w:pPr>
              <w:spacing w:after="0"/>
              <w:rPr>
                <w:sz w:val="2"/>
                <w:szCs w:val="2"/>
                <w:color w:val="auto"/>
              </w:rPr>
            </w:pPr>
          </w:p>
        </w:tc>
        <w:tc>
          <w:tcPr>
            <w:tcW w:w="3180" w:type="dxa"/>
            <w:vAlign w:val="bottom"/>
            <w:tcBorders>
              <w:right w:val="single" w:sz="8" w:color="929292"/>
            </w:tcBorders>
          </w:tcPr>
          <w:p>
            <w:pPr>
              <w:spacing w:after="0"/>
              <w:rPr>
                <w:sz w:val="2"/>
                <w:szCs w:val="2"/>
                <w:color w:val="auto"/>
              </w:rPr>
            </w:pPr>
          </w:p>
        </w:tc>
        <w:tc>
          <w:tcPr>
            <w:tcW w:w="3800" w:type="dxa"/>
            <w:vAlign w:val="bottom"/>
            <w:tcBorders>
              <w:right w:val="single" w:sz="8" w:color="929292"/>
            </w:tcBorders>
          </w:tcPr>
          <w:p>
            <w:pPr>
              <w:spacing w:after="0"/>
              <w:rPr>
                <w:sz w:val="2"/>
                <w:szCs w:val="2"/>
                <w:color w:val="auto"/>
              </w:rPr>
            </w:pPr>
          </w:p>
        </w:tc>
        <w:tc>
          <w:tcPr>
            <w:tcW w:w="1580" w:type="dxa"/>
            <w:vAlign w:val="bottom"/>
            <w:tcBorders>
              <w:right w:val="single" w:sz="8" w:color="929292"/>
            </w:tcBorders>
          </w:tcPr>
          <w:p>
            <w:pPr>
              <w:spacing w:after="0"/>
              <w:rPr>
                <w:sz w:val="2"/>
                <w:szCs w:val="2"/>
                <w:color w:val="auto"/>
              </w:rPr>
            </w:pPr>
          </w:p>
        </w:tc>
        <w:tc>
          <w:tcPr>
            <w:tcW w:w="1600" w:type="dxa"/>
            <w:vAlign w:val="bottom"/>
            <w:tcBorders>
              <w:right w:val="single" w:sz="8" w:color="929292"/>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requirement?</w:t>
      </w:r>
    </w:p>
    <w:p>
      <w:pPr>
        <w:spacing w:after="0" w:line="133"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131,185,907 shares outstanding and entitled to vote. Thus, the holders of 65,592,954 shares must be present in person or represented by proxy at the meeting to have a quorum.</w:t>
      </w:r>
    </w:p>
    <w:p>
      <w:pPr>
        <w:spacing w:after="0" w:line="70"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color w:val="auto"/>
        </w:rPr>
        <w:t>Abstentions and broker non-votes will be counted towards the quorum requirement. If there is no quorum, the holders of a majority of shares present in person during the Annual Meeting or represented by proxy may adjourn the meeting to another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find out the results of the voting at the Annual Meeting?</w:t>
      </w:r>
    </w:p>
    <w:p>
      <w:pPr>
        <w:spacing w:after="0" w:line="133" w:lineRule="exact"/>
        <w:rPr>
          <w:sz w:val="20"/>
          <w:szCs w:val="20"/>
          <w:color w:val="auto"/>
        </w:rPr>
      </w:pPr>
    </w:p>
    <w:p>
      <w:pPr>
        <w:jc w:val="both"/>
        <w:ind w:right="20"/>
        <w:spacing w:after="0" w:line="223" w:lineRule="exact"/>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w:t>
      </w:r>
      <w:r>
        <w:rPr>
          <w:rFonts w:ascii="MS PGothic" w:cs="MS PGothic" w:eastAsia="MS PGothic" w:hAnsi="MS PGothic"/>
          <w:sz w:val="16"/>
          <w:szCs w:val="16"/>
          <w:color w:val="auto"/>
        </w:rPr>
        <w:t>‑</w:t>
      </w:r>
      <w:r>
        <w:rPr>
          <w:rFonts w:ascii="Arial" w:cs="Arial" w:eastAsia="Arial" w:hAnsi="Arial"/>
          <w:sz w:val="16"/>
          <w:szCs w:val="16"/>
          <w:color w:val="auto"/>
        </w:rPr>
        <w:t>K to publish preliminary results and, within four business days after the final results are known to us, file an additional Form 8-K to publish the final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should I contact if I have any questions?</w:t>
      </w:r>
    </w:p>
    <w:p>
      <w:pPr>
        <w:spacing w:after="0" w:line="133"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color w:val="auto"/>
        </w:rPr>
        <w:t>If you have any questions about the Annual Meeting, our proxy materials or your ownership of our common stock, please contact our Corporate Secretary, at 47281 Bayside Parkway, Fremont, CA 94538, USA, telephone 1-707-774-7000.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w:t>
      </w:r>
      <w:r>
        <w:rPr>
          <w:rFonts w:ascii="Arial" w:cs="Arial" w:eastAsia="Arial" w:hAnsi="Arial"/>
          <w:sz w:val="13"/>
          <w:szCs w:val="13"/>
          <w:color w:val="F37321"/>
        </w:rPr>
        <w:t xml:space="preserve"> </w:t>
      </w:r>
      <w:r>
        <w:rPr>
          <w:rFonts w:ascii="Arial" w:cs="Arial" w:eastAsia="Arial" w:hAnsi="Arial"/>
          <w:sz w:val="13"/>
          <w:szCs w:val="13"/>
          <w:color w:val="6D6D6D"/>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90" w:name="page91"/>
    <w:bookmarkEnd w:id="90"/>
    <w:p>
      <w:pPr>
        <w:spacing w:after="0"/>
        <w:rPr>
          <w:sz w:val="20"/>
          <w:szCs w:val="20"/>
          <w:color w:val="auto"/>
        </w:rPr>
      </w:pPr>
      <w:r>
        <w:rPr>
          <w:rFonts w:ascii="Arial" w:cs="Arial" w:eastAsia="Arial" w:hAnsi="Arial"/>
          <w:sz w:val="43"/>
          <w:szCs w:val="43"/>
          <w:b w:val="1"/>
          <w:bCs w:val="1"/>
          <w:color w:val="auto"/>
        </w:rPr>
        <w:t>Appendix A</w:t>
      </w: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Enphase Energy, Inc.</w:t>
      </w:r>
    </w:p>
    <w:p>
      <w:pPr>
        <w:spacing w:after="0" w:line="241" w:lineRule="exact"/>
        <w:rPr>
          <w:sz w:val="20"/>
          <w:szCs w:val="20"/>
          <w:color w:val="auto"/>
        </w:rPr>
      </w:pPr>
    </w:p>
    <w:p>
      <w:pPr>
        <w:ind w:right="3280"/>
        <w:spacing w:after="0" w:line="298" w:lineRule="auto"/>
        <w:rPr>
          <w:sz w:val="20"/>
          <w:szCs w:val="20"/>
          <w:color w:val="auto"/>
        </w:rPr>
      </w:pPr>
      <w:r>
        <w:rPr>
          <w:rFonts w:ascii="Arial" w:cs="Arial" w:eastAsia="Arial" w:hAnsi="Arial"/>
          <w:sz w:val="22"/>
          <w:szCs w:val="22"/>
          <w:b w:val="1"/>
          <w:bCs w:val="1"/>
          <w:color w:val="auto"/>
        </w:rPr>
        <w:t>Reconciliation of GAAP Financial Measures to Non-GAAP Financial Measures (In thousands, except percentages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30480</wp:posOffset>
            </wp:positionV>
            <wp:extent cx="40201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jc w:val="center"/>
              <w:ind w:right="60"/>
              <w:spacing w:after="0"/>
              <w:rPr>
                <w:sz w:val="20"/>
                <w:szCs w:val="20"/>
                <w:color w:val="auto"/>
              </w:rPr>
            </w:pPr>
            <w:r>
              <w:rPr>
                <w:rFonts w:ascii="Arial" w:cs="Arial" w:eastAsia="Arial" w:hAnsi="Arial"/>
                <w:sz w:val="14"/>
                <w:szCs w:val="14"/>
                <w:b w:val="1"/>
                <w:bCs w:val="1"/>
                <w:color w:val="3C3C3C"/>
              </w:rPr>
              <w:t>Year Ended</w:t>
            </w: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00" w:type="dxa"/>
            <w:vAlign w:val="bottom"/>
            <w:tcBorders>
              <w:left w:val="single" w:sz="8" w:color="3C3C3C"/>
            </w:tcBorders>
            <w:shd w:val="clear" w:color="auto" w:fill="3C3C3C"/>
          </w:tcPr>
          <w:p>
            <w:pPr>
              <w:spacing w:after="0"/>
              <w:rPr>
                <w:sz w:val="17"/>
                <w:szCs w:val="17"/>
                <w:color w:val="auto"/>
              </w:rPr>
            </w:pPr>
          </w:p>
        </w:tc>
        <w:tc>
          <w:tcPr>
            <w:tcW w:w="1320" w:type="dxa"/>
            <w:vAlign w:val="bottom"/>
            <w:tcBorders>
              <w:left w:val="single" w:sz="8" w:color="3C3C3C"/>
              <w:right w:val="single" w:sz="8" w:color="3C3C3C"/>
            </w:tcBorders>
            <w:shd w:val="clear" w:color="auto" w:fill="3C3C3C"/>
          </w:tcPr>
          <w:p>
            <w:pPr>
              <w:ind w:left="140"/>
              <w:spacing w:after="0"/>
              <w:rPr>
                <w:sz w:val="20"/>
                <w:szCs w:val="20"/>
                <w:color w:val="auto"/>
              </w:rPr>
            </w:pPr>
            <w:r>
              <w:rPr>
                <w:rFonts w:ascii="Arial" w:cs="Arial" w:eastAsia="Arial" w:hAnsi="Arial"/>
                <w:sz w:val="14"/>
                <w:szCs w:val="14"/>
                <w:b w:val="1"/>
                <w:bCs w:val="1"/>
                <w:color w:val="FFFFFF"/>
              </w:rPr>
              <w:t>December 31,</w:t>
            </w:r>
          </w:p>
        </w:tc>
        <w:tc>
          <w:tcPr>
            <w:tcW w:w="128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December 31,</w:t>
            </w:r>
          </w:p>
        </w:tc>
        <w:tc>
          <w:tcPr>
            <w:tcW w:w="1280" w:type="dxa"/>
            <w:vAlign w:val="bottom"/>
            <w:tcBorders>
              <w:right w:val="single" w:sz="8" w:color="3C3C3C"/>
            </w:tcBorders>
            <w:shd w:val="clear" w:color="auto" w:fill="3C3C3C"/>
          </w:tcPr>
          <w:p>
            <w:pPr>
              <w:jc w:val="center"/>
              <w:ind w:right="60"/>
              <w:spacing w:after="0"/>
              <w:rPr>
                <w:sz w:val="20"/>
                <w:szCs w:val="20"/>
                <w:color w:val="auto"/>
              </w:rPr>
            </w:pPr>
            <w:r>
              <w:rPr>
                <w:rFonts w:ascii="Arial" w:cs="Arial" w:eastAsia="Arial" w:hAnsi="Arial"/>
                <w:sz w:val="14"/>
                <w:szCs w:val="14"/>
                <w:b w:val="1"/>
                <w:bCs w:val="1"/>
                <w:color w:val="FFFFFF"/>
              </w:rPr>
              <w:t>December 31,</w:t>
            </w:r>
          </w:p>
        </w:tc>
        <w:tc>
          <w:tcPr>
            <w:tcW w:w="130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December 31,</w:t>
            </w:r>
          </w:p>
        </w:tc>
        <w:tc>
          <w:tcPr>
            <w:tcW w:w="118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12"/>
        </w:trPr>
        <w:tc>
          <w:tcPr>
            <w:tcW w:w="4900" w:type="dxa"/>
            <w:vAlign w:val="bottom"/>
            <w:tcBorders>
              <w:left w:val="single" w:sz="8" w:color="3C3C3C"/>
            </w:tcBorders>
            <w:shd w:val="clear" w:color="auto" w:fill="3C3C3C"/>
          </w:tcPr>
          <w:p>
            <w:pPr>
              <w:spacing w:after="0"/>
              <w:rPr>
                <w:sz w:val="18"/>
                <w:szCs w:val="18"/>
                <w:color w:val="auto"/>
              </w:rPr>
            </w:pPr>
          </w:p>
        </w:tc>
        <w:tc>
          <w:tcPr>
            <w:tcW w:w="1320" w:type="dxa"/>
            <w:vAlign w:val="bottom"/>
            <w:tcBorders>
              <w:left w:val="single" w:sz="8" w:color="3C3C3C"/>
              <w:right w:val="single" w:sz="8" w:color="3C3C3C"/>
            </w:tcBorders>
            <w:shd w:val="clear" w:color="auto" w:fill="3C3C3C"/>
          </w:tcPr>
          <w:p>
            <w:pPr>
              <w:jc w:val="center"/>
              <w:ind w:right="40"/>
              <w:spacing w:after="0"/>
              <w:rPr>
                <w:sz w:val="20"/>
                <w:szCs w:val="20"/>
                <w:color w:val="auto"/>
              </w:rPr>
            </w:pPr>
            <w:r>
              <w:rPr>
                <w:rFonts w:ascii="Arial" w:cs="Arial" w:eastAsia="Arial" w:hAnsi="Arial"/>
                <w:sz w:val="14"/>
                <w:szCs w:val="14"/>
                <w:b w:val="1"/>
                <w:bCs w:val="1"/>
                <w:color w:val="FFFFFF"/>
              </w:rPr>
              <w:t>2024</w:t>
            </w:r>
          </w:p>
        </w:tc>
        <w:tc>
          <w:tcPr>
            <w:tcW w:w="1280" w:type="dxa"/>
            <w:vAlign w:val="bottom"/>
            <w:tcBorders>
              <w:right w:val="single" w:sz="8" w:color="3C3C3C"/>
            </w:tcBorders>
            <w:shd w:val="clear" w:color="auto" w:fill="3C3C3C"/>
          </w:tcPr>
          <w:p>
            <w:pPr>
              <w:jc w:val="center"/>
              <w:ind w:right="80"/>
              <w:spacing w:after="0"/>
              <w:rPr>
                <w:sz w:val="20"/>
                <w:szCs w:val="20"/>
                <w:color w:val="auto"/>
              </w:rPr>
            </w:pPr>
            <w:r>
              <w:rPr>
                <w:rFonts w:ascii="Arial" w:cs="Arial" w:eastAsia="Arial" w:hAnsi="Arial"/>
                <w:sz w:val="14"/>
                <w:szCs w:val="14"/>
                <w:b w:val="1"/>
                <w:bCs w:val="1"/>
                <w:color w:val="FFFFFF"/>
              </w:rPr>
              <w:t>2023</w:t>
            </w:r>
          </w:p>
        </w:tc>
        <w:tc>
          <w:tcPr>
            <w:tcW w:w="1280" w:type="dxa"/>
            <w:vAlign w:val="bottom"/>
            <w:tcBorders>
              <w:right w:val="single" w:sz="8" w:color="3C3C3C"/>
            </w:tcBorders>
            <w:shd w:val="clear" w:color="auto" w:fill="3C3C3C"/>
          </w:tcPr>
          <w:p>
            <w:pPr>
              <w:jc w:val="center"/>
              <w:ind w:right="80"/>
              <w:spacing w:after="0"/>
              <w:rPr>
                <w:sz w:val="20"/>
                <w:szCs w:val="20"/>
                <w:color w:val="auto"/>
              </w:rPr>
            </w:pPr>
            <w:r>
              <w:rPr>
                <w:rFonts w:ascii="Arial" w:cs="Arial" w:eastAsia="Arial" w:hAnsi="Arial"/>
                <w:sz w:val="14"/>
                <w:szCs w:val="14"/>
                <w:b w:val="1"/>
                <w:bCs w:val="1"/>
                <w:color w:val="FFFFFF"/>
              </w:rPr>
              <w:t>2022</w:t>
            </w:r>
          </w:p>
        </w:tc>
        <w:tc>
          <w:tcPr>
            <w:tcW w:w="1300" w:type="dxa"/>
            <w:vAlign w:val="bottom"/>
            <w:tcBorders>
              <w:right w:val="single" w:sz="8" w:color="3C3C3C"/>
            </w:tcBorders>
            <w:shd w:val="clear" w:color="auto" w:fill="3C3C3C"/>
          </w:tcPr>
          <w:p>
            <w:pPr>
              <w:jc w:val="center"/>
              <w:ind w:right="60"/>
              <w:spacing w:after="0"/>
              <w:rPr>
                <w:sz w:val="20"/>
                <w:szCs w:val="20"/>
                <w:color w:val="auto"/>
              </w:rPr>
            </w:pPr>
            <w:r>
              <w:rPr>
                <w:rFonts w:ascii="Arial" w:cs="Arial" w:eastAsia="Arial" w:hAnsi="Arial"/>
                <w:sz w:val="14"/>
                <w:szCs w:val="14"/>
                <w:b w:val="1"/>
                <w:bCs w:val="1"/>
                <w:color w:val="FFFFFF"/>
              </w:rPr>
              <w:t>2021</w:t>
            </w:r>
          </w:p>
        </w:tc>
        <w:tc>
          <w:tcPr>
            <w:tcW w:w="11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43"/>
        </w:trPr>
        <w:tc>
          <w:tcPr>
            <w:tcW w:w="4900" w:type="dxa"/>
            <w:vAlign w:val="bottom"/>
            <w:tcBorders>
              <w:left w:val="single" w:sz="8" w:color="929292"/>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Gross margin (GAAP)</w:t>
            </w:r>
          </w:p>
        </w:tc>
        <w:tc>
          <w:tcPr>
            <w:tcW w:w="1320" w:type="dxa"/>
            <w:vAlign w:val="bottom"/>
            <w:tcBorders>
              <w:left w:val="single" w:sz="8" w:color="929292"/>
              <w:right w:val="single" w:sz="8" w:color="929292"/>
            </w:tcBorders>
            <w:shd w:val="clear" w:color="auto" w:fill="FAF6EF"/>
          </w:tcPr>
          <w:p>
            <w:pPr>
              <w:jc w:val="center"/>
              <w:ind w:right="20"/>
              <w:spacing w:after="0"/>
              <w:rPr>
                <w:sz w:val="20"/>
                <w:szCs w:val="20"/>
                <w:color w:val="auto"/>
              </w:rPr>
            </w:pPr>
            <w:r>
              <w:rPr>
                <w:rFonts w:ascii="Arial" w:cs="Arial" w:eastAsia="Arial" w:hAnsi="Arial"/>
                <w:sz w:val="16"/>
                <w:szCs w:val="16"/>
                <w:color w:val="auto"/>
              </w:rPr>
              <w:t>47.3%</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46.2%</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41.8%</w:t>
            </w:r>
          </w:p>
        </w:tc>
        <w:tc>
          <w:tcPr>
            <w:tcW w:w="130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40.1%</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Stock-based compensation</w:t>
            </w: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rPr>
              <w:t>1.0</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8"/>
              </w:rPr>
              <w:t>0.6</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8"/>
              </w:rPr>
              <w:t>0.5</w:t>
            </w:r>
          </w:p>
        </w:tc>
        <w:tc>
          <w:tcPr>
            <w:tcW w:w="130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8"/>
              </w:rPr>
              <w:t>0.6</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0.5</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Acquisition related expenses and amortization</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0.6</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8"/>
              </w:rPr>
              <w:t>0.3</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8"/>
              </w:rPr>
              <w:t>0.3</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900" w:type="dxa"/>
            <w:vAlign w:val="bottom"/>
            <w:tcBorders>
              <w:left w:val="single" w:sz="8" w:color="929292"/>
              <w:bottom w:val="single" w:sz="8" w:color="FAF6EF"/>
            </w:tcBorders>
          </w:tcPr>
          <w:p>
            <w:pPr>
              <w:ind w:left="260"/>
              <w:spacing w:after="0"/>
              <w:rPr>
                <w:sz w:val="20"/>
                <w:szCs w:val="20"/>
                <w:color w:val="auto"/>
              </w:rPr>
            </w:pPr>
            <w:r>
              <w:rPr>
                <w:rFonts w:ascii="Arial" w:cs="Arial" w:eastAsia="Arial" w:hAnsi="Arial"/>
                <w:sz w:val="16"/>
                <w:szCs w:val="16"/>
                <w:color w:val="auto"/>
              </w:rPr>
              <w:t>Tariff refunds</w:t>
            </w:r>
          </w:p>
        </w:tc>
        <w:tc>
          <w:tcPr>
            <w:tcW w:w="1320" w:type="dxa"/>
            <w:vAlign w:val="bottom"/>
            <w:tcBorders>
              <w:left w:val="single" w:sz="8" w:color="929292"/>
              <w:bottom w:val="single" w:sz="8" w:color="494949"/>
              <w:right w:val="single" w:sz="8" w:color="929292"/>
            </w:tcBorders>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494949"/>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494949"/>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94949"/>
              <w:right w:val="single" w:sz="8" w:color="929292"/>
            </w:tcBorders>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bottom w:val="single" w:sz="8" w:color="494949"/>
              <w:right w:val="single" w:sz="8" w:color="929292"/>
            </w:tcBorders>
          </w:tcPr>
          <w:p>
            <w:pPr>
              <w:jc w:val="center"/>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4900" w:type="dxa"/>
            <w:vAlign w:val="bottom"/>
            <w:tcBorders>
              <w:left w:val="single" w:sz="8" w:color="929292"/>
              <w:bottom w:val="single" w:sz="8" w:color="FAF6EF"/>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Gross margin (Non-GAAP)</w:t>
            </w:r>
          </w:p>
        </w:tc>
        <w:tc>
          <w:tcPr>
            <w:tcW w:w="1320" w:type="dxa"/>
            <w:vAlign w:val="bottom"/>
            <w:tcBorders>
              <w:left w:val="single" w:sz="8" w:color="929292"/>
              <w:bottom w:val="single" w:sz="8" w:color="494949"/>
              <w:right w:val="single" w:sz="8" w:color="929292"/>
            </w:tcBorders>
            <w:shd w:val="clear" w:color="auto" w:fill="FAF6EF"/>
          </w:tcPr>
          <w:p>
            <w:pPr>
              <w:jc w:val="center"/>
              <w:ind w:right="20"/>
              <w:spacing w:after="0"/>
              <w:rPr>
                <w:sz w:val="20"/>
                <w:szCs w:val="20"/>
                <w:color w:val="auto"/>
              </w:rPr>
            </w:pPr>
            <w:r>
              <w:rPr>
                <w:rFonts w:ascii="Arial" w:cs="Arial" w:eastAsia="Arial" w:hAnsi="Arial"/>
                <w:sz w:val="16"/>
                <w:szCs w:val="16"/>
                <w:b w:val="1"/>
                <w:bCs w:val="1"/>
                <w:color w:val="auto"/>
              </w:rPr>
              <w:t>48.9%</w:t>
            </w:r>
          </w:p>
        </w:tc>
        <w:tc>
          <w:tcPr>
            <w:tcW w:w="1280" w:type="dxa"/>
            <w:vAlign w:val="bottom"/>
            <w:tcBorders>
              <w:bottom w:val="single" w:sz="8" w:color="494949"/>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b w:val="1"/>
                <w:bCs w:val="1"/>
                <w:color w:val="auto"/>
              </w:rPr>
              <w:t>47.1%</w:t>
            </w:r>
          </w:p>
        </w:tc>
        <w:tc>
          <w:tcPr>
            <w:tcW w:w="1280" w:type="dxa"/>
            <w:vAlign w:val="bottom"/>
            <w:tcBorders>
              <w:bottom w:val="single" w:sz="8" w:color="494949"/>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b w:val="1"/>
                <w:bCs w:val="1"/>
                <w:color w:val="auto"/>
              </w:rPr>
              <w:t>42.6%</w:t>
            </w:r>
          </w:p>
        </w:tc>
        <w:tc>
          <w:tcPr>
            <w:tcW w:w="1300" w:type="dxa"/>
            <w:vAlign w:val="bottom"/>
            <w:tcBorders>
              <w:bottom w:val="single" w:sz="8" w:color="494949"/>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b w:val="1"/>
                <w:bCs w:val="1"/>
                <w:color w:val="auto"/>
              </w:rPr>
              <w:t>40.7%</w:t>
            </w:r>
          </w:p>
        </w:tc>
        <w:tc>
          <w:tcPr>
            <w:tcW w:w="1180" w:type="dxa"/>
            <w:vAlign w:val="bottom"/>
            <w:tcBorders>
              <w:bottom w:val="single" w:sz="8" w:color="494949"/>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40.1%</w:t>
            </w:r>
          </w:p>
        </w:tc>
        <w:tc>
          <w:tcPr>
            <w:tcW w:w="0" w:type="dxa"/>
            <w:vAlign w:val="bottom"/>
          </w:tcPr>
          <w:p>
            <w:pPr>
              <w:spacing w:after="0"/>
              <w:rPr>
                <w:sz w:val="1"/>
                <w:szCs w:val="1"/>
                <w:color w:val="auto"/>
              </w:rPr>
            </w:pPr>
          </w:p>
        </w:tc>
      </w:tr>
      <w:tr>
        <w:trPr>
          <w:trHeight w:val="20"/>
        </w:trPr>
        <w:tc>
          <w:tcPr>
            <w:tcW w:w="4900" w:type="dxa"/>
            <w:vAlign w:val="bottom"/>
            <w:tcBorders>
              <w:top w:val="single" w:sz="8" w:color="FAF6EF"/>
              <w:left w:val="single" w:sz="8" w:color="929292"/>
              <w:bottom w:val="single" w:sz="8" w:color="FAF6EF"/>
            </w:tcBorders>
            <w:vMerge w:val="restart"/>
          </w:tcPr>
          <w:p>
            <w:pPr>
              <w:ind w:left="120"/>
              <w:spacing w:after="0"/>
              <w:rPr>
                <w:sz w:val="20"/>
                <w:szCs w:val="20"/>
                <w:color w:val="auto"/>
              </w:rPr>
            </w:pPr>
            <w:r>
              <w:rPr>
                <w:rFonts w:ascii="Arial" w:cs="Arial" w:eastAsia="Arial" w:hAnsi="Arial"/>
                <w:sz w:val="16"/>
                <w:szCs w:val="16"/>
                <w:b w:val="1"/>
                <w:bCs w:val="1"/>
                <w:color w:val="auto"/>
              </w:rPr>
              <w:t>Net income (GAAP)</w:t>
            </w:r>
          </w:p>
        </w:tc>
        <w:tc>
          <w:tcPr>
            <w:tcW w:w="132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300" w:type="dxa"/>
            <w:vAlign w:val="bottom"/>
            <w:tcBorders>
              <w:top w:val="single" w:sz="8" w:color="FAF6EF"/>
              <w:bottom w:val="single" w:sz="8" w:color="494949"/>
            </w:tcBorders>
          </w:tcPr>
          <w:p>
            <w:pPr>
              <w:spacing w:after="0" w:line="20" w:lineRule="exact"/>
              <w:rPr>
                <w:sz w:val="1"/>
                <w:szCs w:val="1"/>
                <w:color w:val="auto"/>
              </w:rPr>
            </w:pPr>
          </w:p>
        </w:tc>
        <w:tc>
          <w:tcPr>
            <w:tcW w:w="1180" w:type="dxa"/>
            <w:vAlign w:val="bottom"/>
            <w:tcBorders>
              <w:top w:val="single" w:sz="8" w:color="FAF6EF"/>
              <w:bottom w:val="single" w:sz="8" w:color="494949"/>
              <w:right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00" w:type="dxa"/>
            <w:vAlign w:val="bottom"/>
            <w:tcBorders>
              <w:left w:val="single" w:sz="8" w:color="929292"/>
            </w:tcBorders>
            <w:vMerge w:val="continue"/>
          </w:tcPr>
          <w:p>
            <w:pPr>
              <w:spacing w:after="0"/>
              <w:rPr>
                <w:sz w:val="18"/>
                <w:szCs w:val="18"/>
                <w:color w:val="auto"/>
              </w:rPr>
            </w:pP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rPr>
              <w:t>$102,658</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rPr>
              <w:t>$438,936</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rPr>
              <w:t>$397,362</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$145,449</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$133,995</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Stock-based compensation</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w w:val="96"/>
              </w:rPr>
              <w:t>211,093</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212,857</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216,802</w:t>
            </w:r>
          </w:p>
        </w:tc>
        <w:tc>
          <w:tcPr>
            <w:tcW w:w="130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114,286</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42,503</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Tariff refunds</w:t>
            </w: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(39,567)</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Acquisition related expenses and amortization</w:t>
            </w:r>
          </w:p>
        </w:tc>
        <w:tc>
          <w:tcPr>
            <w:tcW w:w="1320" w:type="dxa"/>
            <w:vAlign w:val="bottom"/>
            <w:tcBorders>
              <w:left w:val="single" w:sz="8" w:color="929292"/>
              <w:right w:val="single" w:sz="8" w:color="929292"/>
            </w:tcBorders>
            <w:shd w:val="clear" w:color="auto" w:fill="FAF6EF"/>
          </w:tcPr>
          <w:p>
            <w:pPr>
              <w:jc w:val="center"/>
              <w:ind w:right="20"/>
              <w:spacing w:after="0"/>
              <w:rPr>
                <w:sz w:val="20"/>
                <w:szCs w:val="20"/>
                <w:color w:val="auto"/>
              </w:rPr>
            </w:pPr>
            <w:r>
              <w:rPr>
                <w:rFonts w:ascii="Arial" w:cs="Arial" w:eastAsia="Arial" w:hAnsi="Arial"/>
                <w:sz w:val="16"/>
                <w:szCs w:val="16"/>
                <w:color w:val="auto"/>
              </w:rPr>
              <w:t>20,380</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22,897</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22,845</w:t>
            </w:r>
          </w:p>
        </w:tc>
        <w:tc>
          <w:tcPr>
            <w:tcW w:w="130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10,936</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w w:val="99"/>
              </w:rPr>
              <w:t>2,502</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Restructuring and asset impairment charges</w:t>
            </w:r>
          </w:p>
        </w:tc>
        <w:tc>
          <w:tcPr>
            <w:tcW w:w="1320" w:type="dxa"/>
            <w:vAlign w:val="bottom"/>
            <w:tcBorders>
              <w:left w:val="single" w:sz="8" w:color="929292"/>
              <w:right w:val="single" w:sz="8" w:color="929292"/>
            </w:tcBorders>
          </w:tcPr>
          <w:p>
            <w:pPr>
              <w:jc w:val="center"/>
              <w:ind w:right="20"/>
              <w:spacing w:after="0"/>
              <w:rPr>
                <w:sz w:val="20"/>
                <w:szCs w:val="20"/>
                <w:color w:val="auto"/>
              </w:rPr>
            </w:pPr>
            <w:r>
              <w:rPr>
                <w:rFonts w:ascii="Arial" w:cs="Arial" w:eastAsia="Arial" w:hAnsi="Arial"/>
                <w:sz w:val="16"/>
                <w:szCs w:val="16"/>
                <w:color w:val="auto"/>
              </w:rPr>
              <w:t>13,154</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15,715</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2,384</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Non-cash interest expense</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w w:val="99"/>
              </w:rPr>
              <w:t>8,650</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8,380</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8,169</w:t>
            </w:r>
          </w:p>
        </w:tc>
        <w:tc>
          <w:tcPr>
            <w:tcW w:w="130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44,387</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18,825</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Loss on partial settlement of convertible notes</w:t>
            </w: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rPr>
              <w:t>56,497</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3,037</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Change in fair value of derivatives</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44,348</w:t>
            </w:r>
          </w:p>
        </w:tc>
        <w:tc>
          <w:tcPr>
            <w:tcW w:w="0" w:type="dxa"/>
            <w:vAlign w:val="bottom"/>
          </w:tcPr>
          <w:p>
            <w:pPr>
              <w:spacing w:after="0"/>
              <w:rPr>
                <w:sz w:val="1"/>
                <w:szCs w:val="1"/>
                <w:color w:val="auto"/>
              </w:rPr>
            </w:pPr>
          </w:p>
        </w:tc>
      </w:tr>
      <w:tr>
        <w:trPr>
          <w:trHeight w:val="236"/>
        </w:trPr>
        <w:tc>
          <w:tcPr>
            <w:tcW w:w="4900" w:type="dxa"/>
            <w:vAlign w:val="bottom"/>
            <w:tcBorders>
              <w:left w:val="single" w:sz="8" w:color="929292"/>
              <w:bottom w:val="single" w:sz="8" w:color="FAF6EF"/>
            </w:tcBorders>
          </w:tcPr>
          <w:p>
            <w:pPr>
              <w:ind w:left="260"/>
              <w:spacing w:after="0"/>
              <w:rPr>
                <w:sz w:val="20"/>
                <w:szCs w:val="20"/>
                <w:color w:val="auto"/>
              </w:rPr>
            </w:pPr>
            <w:r>
              <w:rPr>
                <w:rFonts w:ascii="Arial" w:cs="Arial" w:eastAsia="Arial" w:hAnsi="Arial"/>
                <w:sz w:val="16"/>
                <w:szCs w:val="16"/>
                <w:color w:val="auto"/>
              </w:rPr>
              <w:t>Non-GAAP income tax adjustment</w:t>
            </w:r>
          </w:p>
        </w:tc>
        <w:tc>
          <w:tcPr>
            <w:tcW w:w="1320" w:type="dxa"/>
            <w:vAlign w:val="bottom"/>
            <w:tcBorders>
              <w:left w:val="single" w:sz="8" w:color="929292"/>
              <w:bottom w:val="single" w:sz="8" w:color="494949"/>
              <w:right w:val="single" w:sz="8" w:color="929292"/>
            </w:tcBorders>
          </w:tcPr>
          <w:p>
            <w:pPr>
              <w:jc w:val="center"/>
              <w:ind w:right="40"/>
              <w:spacing w:after="0"/>
              <w:rPr>
                <w:sz w:val="20"/>
                <w:szCs w:val="20"/>
                <w:color w:val="auto"/>
              </w:rPr>
            </w:pPr>
            <w:r>
              <w:rPr>
                <w:rFonts w:ascii="Arial" w:cs="Arial" w:eastAsia="Arial" w:hAnsi="Arial"/>
                <w:sz w:val="16"/>
                <w:szCs w:val="16"/>
                <w:color w:val="auto"/>
              </w:rPr>
              <w:t>(34,891)</w:t>
            </w:r>
          </w:p>
        </w:tc>
        <w:tc>
          <w:tcPr>
            <w:tcW w:w="1280" w:type="dxa"/>
            <w:vAlign w:val="bottom"/>
            <w:tcBorders>
              <w:bottom w:val="single" w:sz="8" w:color="494949"/>
              <w:right w:val="single" w:sz="8" w:color="929292"/>
            </w:tcBorders>
          </w:tcPr>
          <w:p>
            <w:pPr>
              <w:jc w:val="center"/>
              <w:ind w:right="80"/>
              <w:spacing w:after="0"/>
              <w:rPr>
                <w:sz w:val="20"/>
                <w:szCs w:val="20"/>
                <w:color w:val="auto"/>
              </w:rPr>
            </w:pPr>
            <w:r>
              <w:rPr>
                <w:rFonts w:ascii="Arial" w:cs="Arial" w:eastAsia="Arial" w:hAnsi="Arial"/>
                <w:sz w:val="16"/>
                <w:szCs w:val="16"/>
                <w:color w:val="auto"/>
              </w:rPr>
              <w:t>(85,544)</w:t>
            </w:r>
          </w:p>
        </w:tc>
        <w:tc>
          <w:tcPr>
            <w:tcW w:w="1280" w:type="dxa"/>
            <w:vAlign w:val="bottom"/>
            <w:tcBorders>
              <w:bottom w:val="single" w:sz="8" w:color="494949"/>
              <w:right w:val="single" w:sz="8" w:color="929292"/>
            </w:tcBorders>
          </w:tcPr>
          <w:p>
            <w:pPr>
              <w:jc w:val="center"/>
              <w:ind w:right="60"/>
              <w:spacing w:after="0"/>
              <w:rPr>
                <w:sz w:val="20"/>
                <w:szCs w:val="20"/>
                <w:color w:val="auto"/>
              </w:rPr>
            </w:pPr>
            <w:r>
              <w:rPr>
                <w:rFonts w:ascii="Arial" w:cs="Arial" w:eastAsia="Arial" w:hAnsi="Arial"/>
                <w:sz w:val="16"/>
                <w:szCs w:val="16"/>
                <w:color w:val="auto"/>
              </w:rPr>
              <w:t>(138)</w:t>
            </w:r>
          </w:p>
        </w:tc>
        <w:tc>
          <w:tcPr>
            <w:tcW w:w="1300" w:type="dxa"/>
            <w:vAlign w:val="bottom"/>
            <w:tcBorders>
              <w:bottom w:val="single" w:sz="8" w:color="494949"/>
              <w:right w:val="single" w:sz="8" w:color="929292"/>
            </w:tcBorders>
          </w:tcPr>
          <w:p>
            <w:pPr>
              <w:jc w:val="center"/>
              <w:ind w:right="60"/>
              <w:spacing w:after="0"/>
              <w:rPr>
                <w:sz w:val="20"/>
                <w:szCs w:val="20"/>
                <w:color w:val="auto"/>
              </w:rPr>
            </w:pPr>
            <w:r>
              <w:rPr>
                <w:rFonts w:ascii="Arial" w:cs="Arial" w:eastAsia="Arial" w:hAnsi="Arial"/>
                <w:sz w:val="16"/>
                <w:szCs w:val="16"/>
                <w:color w:val="auto"/>
              </w:rPr>
              <w:t>(31,241)</w:t>
            </w:r>
          </w:p>
        </w:tc>
        <w:tc>
          <w:tcPr>
            <w:tcW w:w="1180" w:type="dxa"/>
            <w:vAlign w:val="bottom"/>
            <w:tcBorders>
              <w:bottom w:val="single" w:sz="8" w:color="494949"/>
              <w:right w:val="single" w:sz="8" w:color="929292"/>
            </w:tcBorders>
          </w:tcPr>
          <w:p>
            <w:pPr>
              <w:jc w:val="center"/>
              <w:spacing w:after="0"/>
              <w:rPr>
                <w:sz w:val="20"/>
                <w:szCs w:val="20"/>
                <w:color w:val="auto"/>
              </w:rPr>
            </w:pPr>
            <w:r>
              <w:rPr>
                <w:rFonts w:ascii="Arial" w:cs="Arial" w:eastAsia="Arial" w:hAnsi="Arial"/>
                <w:sz w:val="16"/>
                <w:szCs w:val="16"/>
                <w:color w:val="auto"/>
                <w:w w:val="97"/>
              </w:rPr>
              <w:t>(17,117)</w:t>
            </w:r>
          </w:p>
        </w:tc>
        <w:tc>
          <w:tcPr>
            <w:tcW w:w="0" w:type="dxa"/>
            <w:vAlign w:val="bottom"/>
          </w:tcPr>
          <w:p>
            <w:pPr>
              <w:spacing w:after="0"/>
              <w:rPr>
                <w:sz w:val="1"/>
                <w:szCs w:val="1"/>
                <w:color w:val="auto"/>
              </w:rPr>
            </w:pPr>
          </w:p>
        </w:tc>
      </w:tr>
      <w:tr>
        <w:trPr>
          <w:trHeight w:val="264"/>
        </w:trPr>
        <w:tc>
          <w:tcPr>
            <w:tcW w:w="4900" w:type="dxa"/>
            <w:vAlign w:val="bottom"/>
            <w:tcBorders>
              <w:left w:val="single" w:sz="8" w:color="929292"/>
              <w:bottom w:val="single" w:sz="8" w:color="FAF6EF"/>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Net income (Non-GAAP)</w:t>
            </w:r>
          </w:p>
        </w:tc>
        <w:tc>
          <w:tcPr>
            <w:tcW w:w="1320" w:type="dxa"/>
            <w:vAlign w:val="bottom"/>
            <w:tcBorders>
              <w:left w:val="single" w:sz="8" w:color="929292"/>
              <w:bottom w:val="single" w:sz="8" w:color="494949"/>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b w:val="1"/>
                <w:bCs w:val="1"/>
                <w:color w:val="auto"/>
              </w:rPr>
              <w:t>$321,044</w:t>
            </w:r>
          </w:p>
        </w:tc>
        <w:tc>
          <w:tcPr>
            <w:tcW w:w="1280" w:type="dxa"/>
            <w:vAlign w:val="bottom"/>
            <w:tcBorders>
              <w:bottom w:val="single" w:sz="8" w:color="494949"/>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b w:val="1"/>
                <w:bCs w:val="1"/>
                <w:color w:val="auto"/>
              </w:rPr>
              <w:t>$613,241</w:t>
            </w:r>
          </w:p>
        </w:tc>
        <w:tc>
          <w:tcPr>
            <w:tcW w:w="1280" w:type="dxa"/>
            <w:vAlign w:val="bottom"/>
            <w:tcBorders>
              <w:bottom w:val="single" w:sz="8" w:color="494949"/>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b w:val="1"/>
                <w:bCs w:val="1"/>
                <w:color w:val="auto"/>
              </w:rPr>
              <w:t>$647,424</w:t>
            </w:r>
          </w:p>
        </w:tc>
        <w:tc>
          <w:tcPr>
            <w:tcW w:w="1300" w:type="dxa"/>
            <w:vAlign w:val="bottom"/>
            <w:tcBorders>
              <w:bottom w:val="single" w:sz="8" w:color="494949"/>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b w:val="1"/>
                <w:bCs w:val="1"/>
                <w:color w:val="auto"/>
              </w:rPr>
              <w:t>$340,314</w:t>
            </w:r>
          </w:p>
        </w:tc>
        <w:tc>
          <w:tcPr>
            <w:tcW w:w="1180" w:type="dxa"/>
            <w:vAlign w:val="bottom"/>
            <w:tcBorders>
              <w:bottom w:val="single" w:sz="8" w:color="494949"/>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$188,526</w:t>
            </w:r>
          </w:p>
        </w:tc>
        <w:tc>
          <w:tcPr>
            <w:tcW w:w="0" w:type="dxa"/>
            <w:vAlign w:val="bottom"/>
          </w:tcPr>
          <w:p>
            <w:pPr>
              <w:spacing w:after="0"/>
              <w:rPr>
                <w:sz w:val="1"/>
                <w:szCs w:val="1"/>
                <w:color w:val="auto"/>
              </w:rPr>
            </w:pPr>
          </w:p>
        </w:tc>
      </w:tr>
      <w:tr>
        <w:trPr>
          <w:trHeight w:val="20"/>
        </w:trPr>
        <w:tc>
          <w:tcPr>
            <w:tcW w:w="4900" w:type="dxa"/>
            <w:vAlign w:val="bottom"/>
            <w:tcBorders>
              <w:top w:val="single" w:sz="8" w:color="FAF6EF"/>
              <w:left w:val="single" w:sz="8" w:color="929292"/>
              <w:bottom w:val="single" w:sz="8" w:color="FAF6EF"/>
            </w:tcBorders>
            <w:vMerge w:val="restart"/>
          </w:tcPr>
          <w:p>
            <w:pPr>
              <w:ind w:left="120"/>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132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300" w:type="dxa"/>
            <w:vAlign w:val="bottom"/>
            <w:tcBorders>
              <w:top w:val="single" w:sz="8" w:color="FAF6EF"/>
              <w:bottom w:val="single" w:sz="8" w:color="494949"/>
            </w:tcBorders>
          </w:tcPr>
          <w:p>
            <w:pPr>
              <w:spacing w:after="0" w:line="20" w:lineRule="exact"/>
              <w:rPr>
                <w:sz w:val="1"/>
                <w:szCs w:val="1"/>
                <w:color w:val="auto"/>
              </w:rPr>
            </w:pPr>
          </w:p>
        </w:tc>
        <w:tc>
          <w:tcPr>
            <w:tcW w:w="1180" w:type="dxa"/>
            <w:vAlign w:val="bottom"/>
            <w:tcBorders>
              <w:top w:val="single" w:sz="8" w:color="FAF6EF"/>
              <w:bottom w:val="single" w:sz="8" w:color="494949"/>
              <w:right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00" w:type="dxa"/>
            <w:vAlign w:val="bottom"/>
            <w:tcBorders>
              <w:left w:val="single" w:sz="8" w:color="929292"/>
            </w:tcBorders>
            <w:vMerge w:val="continue"/>
          </w:tcPr>
          <w:p>
            <w:pPr>
              <w:spacing w:after="0"/>
              <w:rPr>
                <w:sz w:val="18"/>
                <w:szCs w:val="18"/>
                <w:color w:val="auto"/>
              </w:rPr>
            </w:pP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rPr>
              <w:t>$513,693</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rPr>
              <w:t>$696,780</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rPr>
              <w:t>$744,817</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$352,028</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$216,334</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Purchases of property and equipment</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(33,604)</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(110,401)</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(46,443)</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(52,258)</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(20,558)</w:t>
            </w:r>
          </w:p>
        </w:tc>
        <w:tc>
          <w:tcPr>
            <w:tcW w:w="0" w:type="dxa"/>
            <w:vAlign w:val="bottom"/>
          </w:tcPr>
          <w:p>
            <w:pPr>
              <w:spacing w:after="0"/>
              <w:rPr>
                <w:sz w:val="1"/>
                <w:szCs w:val="1"/>
                <w:color w:val="auto"/>
              </w:rPr>
            </w:pPr>
          </w:p>
        </w:tc>
      </w:tr>
      <w:tr>
        <w:trPr>
          <w:trHeight w:val="202"/>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Deemed repayment of convertible Notes due 2024 and Notes</w:t>
            </w:r>
          </w:p>
        </w:tc>
        <w:tc>
          <w:tcPr>
            <w:tcW w:w="1320" w:type="dxa"/>
            <w:vAlign w:val="bottom"/>
            <w:tcBorders>
              <w:left w:val="single" w:sz="8" w:color="929292"/>
              <w:right w:val="single" w:sz="8" w:color="929292"/>
            </w:tcBorders>
            <w:vMerge w:val="restart"/>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vMerge w:val="restart"/>
          </w:tcPr>
          <w:p>
            <w:pPr>
              <w:jc w:val="center"/>
              <w:ind w:right="80"/>
              <w:spacing w:after="0"/>
              <w:rPr>
                <w:sz w:val="20"/>
                <w:szCs w:val="20"/>
                <w:color w:val="auto"/>
              </w:rPr>
            </w:pPr>
            <w:r>
              <w:rPr>
                <w:rFonts w:ascii="Arial" w:cs="Arial" w:eastAsia="Arial" w:hAnsi="Arial"/>
                <w:sz w:val="16"/>
                <w:szCs w:val="16"/>
                <w:color w:val="auto"/>
              </w:rPr>
              <w:t>15,718</w:t>
            </w:r>
          </w:p>
        </w:tc>
        <w:tc>
          <w:tcPr>
            <w:tcW w:w="118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6"/>
                <w:szCs w:val="16"/>
                <w:color w:val="auto"/>
                <w:w w:val="99"/>
              </w:rPr>
              <w:t>3,132</w:t>
            </w:r>
          </w:p>
        </w:tc>
        <w:tc>
          <w:tcPr>
            <w:tcW w:w="0" w:type="dxa"/>
            <w:vAlign w:val="bottom"/>
          </w:tcPr>
          <w:p>
            <w:pPr>
              <w:spacing w:after="0"/>
              <w:rPr>
                <w:sz w:val="1"/>
                <w:szCs w:val="1"/>
                <w:color w:val="auto"/>
              </w:rPr>
            </w:pPr>
          </w:p>
        </w:tc>
      </w:tr>
      <w:tr>
        <w:trPr>
          <w:trHeight w:val="120"/>
        </w:trPr>
        <w:tc>
          <w:tcPr>
            <w:tcW w:w="4900" w:type="dxa"/>
            <w:vAlign w:val="bottom"/>
            <w:tcBorders>
              <w:left w:val="single" w:sz="8" w:color="929292"/>
            </w:tcBorders>
            <w:vMerge w:val="restart"/>
          </w:tcPr>
          <w:p>
            <w:pPr>
              <w:ind w:left="260"/>
              <w:spacing w:after="0"/>
              <w:rPr>
                <w:sz w:val="20"/>
                <w:szCs w:val="20"/>
                <w:color w:val="auto"/>
              </w:rPr>
            </w:pPr>
            <w:r>
              <w:rPr>
                <w:rFonts w:ascii="Arial" w:cs="Arial" w:eastAsia="Arial" w:hAnsi="Arial"/>
                <w:sz w:val="16"/>
                <w:szCs w:val="16"/>
                <w:color w:val="auto"/>
              </w:rPr>
              <w:t>due 2025 attributable to accreted debt discount</w:t>
            </w:r>
          </w:p>
        </w:tc>
        <w:tc>
          <w:tcPr>
            <w:tcW w:w="1320" w:type="dxa"/>
            <w:vAlign w:val="bottom"/>
            <w:tcBorders>
              <w:left w:val="single" w:sz="8" w:color="929292"/>
              <w:right w:val="single" w:sz="8" w:color="929292"/>
            </w:tcBorders>
            <w:vMerge w:val="continue"/>
          </w:tcPr>
          <w:p>
            <w:pPr>
              <w:spacing w:after="0"/>
              <w:rPr>
                <w:sz w:val="10"/>
                <w:szCs w:val="10"/>
                <w:color w:val="auto"/>
              </w:rPr>
            </w:pPr>
          </w:p>
        </w:tc>
        <w:tc>
          <w:tcPr>
            <w:tcW w:w="1280" w:type="dxa"/>
            <w:vAlign w:val="bottom"/>
            <w:tcBorders>
              <w:right w:val="single" w:sz="8" w:color="929292"/>
            </w:tcBorders>
            <w:vMerge w:val="continue"/>
          </w:tcPr>
          <w:p>
            <w:pPr>
              <w:spacing w:after="0"/>
              <w:rPr>
                <w:sz w:val="10"/>
                <w:szCs w:val="10"/>
                <w:color w:val="auto"/>
              </w:rPr>
            </w:pPr>
          </w:p>
        </w:tc>
        <w:tc>
          <w:tcPr>
            <w:tcW w:w="1280" w:type="dxa"/>
            <w:vAlign w:val="bottom"/>
            <w:tcBorders>
              <w:right w:val="single" w:sz="8" w:color="929292"/>
            </w:tcBorders>
            <w:vMerge w:val="continue"/>
          </w:tcPr>
          <w:p>
            <w:pPr>
              <w:spacing w:after="0"/>
              <w:rPr>
                <w:sz w:val="10"/>
                <w:szCs w:val="10"/>
                <w:color w:val="auto"/>
              </w:rPr>
            </w:pPr>
          </w:p>
        </w:tc>
        <w:tc>
          <w:tcPr>
            <w:tcW w:w="1300" w:type="dxa"/>
            <w:vAlign w:val="bottom"/>
            <w:tcBorders>
              <w:right w:val="single" w:sz="8" w:color="929292"/>
            </w:tcBorders>
            <w:vMerge w:val="continue"/>
          </w:tcPr>
          <w:p>
            <w:pPr>
              <w:spacing w:after="0"/>
              <w:rPr>
                <w:sz w:val="10"/>
                <w:szCs w:val="10"/>
                <w:color w:val="auto"/>
              </w:rPr>
            </w:pPr>
          </w:p>
        </w:tc>
        <w:tc>
          <w:tcPr>
            <w:tcW w:w="1180" w:type="dxa"/>
            <w:vAlign w:val="bottom"/>
            <w:tcBorders>
              <w:right w:val="single" w:sz="8" w:color="92929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00" w:type="dxa"/>
            <w:vAlign w:val="bottom"/>
            <w:tcBorders>
              <w:left w:val="single" w:sz="8" w:color="929292"/>
            </w:tcBorders>
            <w:vMerge w:val="continue"/>
          </w:tcPr>
          <w:p>
            <w:pPr>
              <w:spacing w:after="0"/>
              <w:rPr>
                <w:sz w:val="8"/>
                <w:szCs w:val="8"/>
                <w:color w:val="auto"/>
              </w:rPr>
            </w:pPr>
          </w:p>
        </w:tc>
        <w:tc>
          <w:tcPr>
            <w:tcW w:w="1320" w:type="dxa"/>
            <w:vAlign w:val="bottom"/>
            <w:tcBorders>
              <w:left w:val="single" w:sz="8" w:color="929292"/>
              <w:right w:val="single" w:sz="8" w:color="929292"/>
            </w:tcBorders>
          </w:tcPr>
          <w:p>
            <w:pPr>
              <w:spacing w:after="0"/>
              <w:rPr>
                <w:sz w:val="8"/>
                <w:szCs w:val="8"/>
                <w:color w:val="auto"/>
              </w:rPr>
            </w:pPr>
          </w:p>
        </w:tc>
        <w:tc>
          <w:tcPr>
            <w:tcW w:w="1280" w:type="dxa"/>
            <w:vAlign w:val="bottom"/>
            <w:tcBorders>
              <w:right w:val="single" w:sz="8" w:color="929292"/>
            </w:tcBorders>
          </w:tcPr>
          <w:p>
            <w:pPr>
              <w:spacing w:after="0"/>
              <w:rPr>
                <w:sz w:val="8"/>
                <w:szCs w:val="8"/>
                <w:color w:val="auto"/>
              </w:rPr>
            </w:pPr>
          </w:p>
        </w:tc>
        <w:tc>
          <w:tcPr>
            <w:tcW w:w="1280" w:type="dxa"/>
            <w:vAlign w:val="bottom"/>
            <w:tcBorders>
              <w:right w:val="single" w:sz="8" w:color="929292"/>
            </w:tcBorders>
          </w:tcPr>
          <w:p>
            <w:pPr>
              <w:spacing w:after="0"/>
              <w:rPr>
                <w:sz w:val="8"/>
                <w:szCs w:val="8"/>
                <w:color w:val="auto"/>
              </w:rPr>
            </w:pPr>
          </w:p>
        </w:tc>
        <w:tc>
          <w:tcPr>
            <w:tcW w:w="1300" w:type="dxa"/>
            <w:vAlign w:val="bottom"/>
            <w:tcBorders>
              <w:right w:val="single" w:sz="8" w:color="929292"/>
            </w:tcBorders>
          </w:tcPr>
          <w:p>
            <w:pPr>
              <w:spacing w:after="0"/>
              <w:rPr>
                <w:sz w:val="8"/>
                <w:szCs w:val="8"/>
                <w:color w:val="auto"/>
              </w:rPr>
            </w:pPr>
          </w:p>
        </w:tc>
        <w:tc>
          <w:tcPr>
            <w:tcW w:w="1180" w:type="dxa"/>
            <w:vAlign w:val="bottom"/>
            <w:tcBorders>
              <w:right w:val="single" w:sz="8" w:color="929292"/>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00" w:type="dxa"/>
            <w:vAlign w:val="bottom"/>
            <w:tcBorders>
              <w:left w:val="single" w:sz="8" w:color="929292"/>
              <w:bottom w:val="single" w:sz="8" w:color="FAF6EF"/>
            </w:tcBorders>
          </w:tcPr>
          <w:p>
            <w:pPr>
              <w:spacing w:after="0"/>
              <w:rPr>
                <w:sz w:val="2"/>
                <w:szCs w:val="2"/>
                <w:color w:val="auto"/>
              </w:rPr>
            </w:pPr>
          </w:p>
        </w:tc>
        <w:tc>
          <w:tcPr>
            <w:tcW w:w="1320" w:type="dxa"/>
            <w:vAlign w:val="bottom"/>
            <w:tcBorders>
              <w:left w:val="single" w:sz="8" w:color="929292"/>
              <w:bottom w:val="single" w:sz="8" w:color="494949"/>
              <w:right w:val="single" w:sz="8" w:color="929292"/>
            </w:tcBorders>
          </w:tcPr>
          <w:p>
            <w:pPr>
              <w:spacing w:after="0"/>
              <w:rPr>
                <w:sz w:val="2"/>
                <w:szCs w:val="2"/>
                <w:color w:val="auto"/>
              </w:rPr>
            </w:pPr>
          </w:p>
        </w:tc>
        <w:tc>
          <w:tcPr>
            <w:tcW w:w="1280" w:type="dxa"/>
            <w:vAlign w:val="bottom"/>
            <w:tcBorders>
              <w:bottom w:val="single" w:sz="8" w:color="494949"/>
              <w:right w:val="single" w:sz="8" w:color="929292"/>
            </w:tcBorders>
          </w:tcPr>
          <w:p>
            <w:pPr>
              <w:spacing w:after="0"/>
              <w:rPr>
                <w:sz w:val="2"/>
                <w:szCs w:val="2"/>
                <w:color w:val="auto"/>
              </w:rPr>
            </w:pPr>
          </w:p>
        </w:tc>
        <w:tc>
          <w:tcPr>
            <w:tcW w:w="1280" w:type="dxa"/>
            <w:vAlign w:val="bottom"/>
            <w:tcBorders>
              <w:bottom w:val="single" w:sz="8" w:color="494949"/>
              <w:right w:val="single" w:sz="8" w:color="929292"/>
            </w:tcBorders>
          </w:tcPr>
          <w:p>
            <w:pPr>
              <w:spacing w:after="0"/>
              <w:rPr>
                <w:sz w:val="2"/>
                <w:szCs w:val="2"/>
                <w:color w:val="auto"/>
              </w:rPr>
            </w:pPr>
          </w:p>
        </w:tc>
        <w:tc>
          <w:tcPr>
            <w:tcW w:w="1300" w:type="dxa"/>
            <w:vAlign w:val="bottom"/>
            <w:tcBorders>
              <w:bottom w:val="single" w:sz="8" w:color="494949"/>
              <w:right w:val="single" w:sz="8" w:color="929292"/>
            </w:tcBorders>
          </w:tcPr>
          <w:p>
            <w:pPr>
              <w:spacing w:after="0"/>
              <w:rPr>
                <w:sz w:val="2"/>
                <w:szCs w:val="2"/>
                <w:color w:val="auto"/>
              </w:rPr>
            </w:pPr>
          </w:p>
        </w:tc>
        <w:tc>
          <w:tcPr>
            <w:tcW w:w="1180" w:type="dxa"/>
            <w:vAlign w:val="bottom"/>
            <w:tcBorders>
              <w:bottom w:val="single" w:sz="8" w:color="494949"/>
              <w:right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900" w:type="dxa"/>
            <w:vAlign w:val="bottom"/>
            <w:tcBorders>
              <w:left w:val="single" w:sz="8" w:color="929292"/>
              <w:bottom w:val="single" w:sz="8" w:color="FAF6EF"/>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Free cash flow (Non-GAAP)</w:t>
            </w:r>
          </w:p>
        </w:tc>
        <w:tc>
          <w:tcPr>
            <w:tcW w:w="1320" w:type="dxa"/>
            <w:vAlign w:val="bottom"/>
            <w:tcBorders>
              <w:left w:val="single" w:sz="8" w:color="929292"/>
              <w:bottom w:val="single" w:sz="8" w:color="494949"/>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b w:val="1"/>
                <w:bCs w:val="1"/>
                <w:color w:val="auto"/>
              </w:rPr>
              <w:t>$480,089</w:t>
            </w:r>
          </w:p>
        </w:tc>
        <w:tc>
          <w:tcPr>
            <w:tcW w:w="1280" w:type="dxa"/>
            <w:vAlign w:val="bottom"/>
            <w:tcBorders>
              <w:bottom w:val="single" w:sz="8" w:color="494949"/>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b w:val="1"/>
                <w:bCs w:val="1"/>
                <w:color w:val="auto"/>
              </w:rPr>
              <w:t>$586,379</w:t>
            </w:r>
          </w:p>
        </w:tc>
        <w:tc>
          <w:tcPr>
            <w:tcW w:w="1280" w:type="dxa"/>
            <w:vAlign w:val="bottom"/>
            <w:tcBorders>
              <w:bottom w:val="single" w:sz="8" w:color="494949"/>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b w:val="1"/>
                <w:bCs w:val="1"/>
                <w:color w:val="auto"/>
              </w:rPr>
              <w:t>$698,374</w:t>
            </w:r>
          </w:p>
        </w:tc>
        <w:tc>
          <w:tcPr>
            <w:tcW w:w="1300" w:type="dxa"/>
            <w:vAlign w:val="bottom"/>
            <w:tcBorders>
              <w:bottom w:val="single" w:sz="8" w:color="494949"/>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b w:val="1"/>
                <w:bCs w:val="1"/>
                <w:color w:val="auto"/>
              </w:rPr>
              <w:t>$315,488</w:t>
            </w:r>
          </w:p>
        </w:tc>
        <w:tc>
          <w:tcPr>
            <w:tcW w:w="1180" w:type="dxa"/>
            <w:vAlign w:val="bottom"/>
            <w:tcBorders>
              <w:bottom w:val="single" w:sz="8" w:color="494949"/>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$198,908</w:t>
            </w:r>
          </w:p>
        </w:tc>
        <w:tc>
          <w:tcPr>
            <w:tcW w:w="0" w:type="dxa"/>
            <w:vAlign w:val="bottom"/>
          </w:tcPr>
          <w:p>
            <w:pPr>
              <w:spacing w:after="0"/>
              <w:rPr>
                <w:sz w:val="1"/>
                <w:szCs w:val="1"/>
                <w:color w:val="auto"/>
              </w:rPr>
            </w:pPr>
          </w:p>
        </w:tc>
      </w:tr>
      <w:tr>
        <w:trPr>
          <w:trHeight w:val="20"/>
        </w:trPr>
        <w:tc>
          <w:tcPr>
            <w:tcW w:w="4900" w:type="dxa"/>
            <w:vAlign w:val="bottom"/>
            <w:tcBorders>
              <w:top w:val="single" w:sz="8" w:color="FAF6EF"/>
              <w:left w:val="single" w:sz="8" w:color="929292"/>
              <w:bottom w:val="single" w:sz="8" w:color="FAF6EF"/>
            </w:tcBorders>
            <w:vMerge w:val="restart"/>
          </w:tcPr>
          <w:p>
            <w:pPr>
              <w:ind w:left="120"/>
              <w:spacing w:after="0"/>
              <w:rPr>
                <w:sz w:val="20"/>
                <w:szCs w:val="20"/>
                <w:color w:val="auto"/>
              </w:rPr>
            </w:pPr>
            <w:r>
              <w:rPr>
                <w:rFonts w:ascii="Arial" w:cs="Arial" w:eastAsia="Arial" w:hAnsi="Arial"/>
                <w:sz w:val="16"/>
                <w:szCs w:val="16"/>
                <w:b w:val="1"/>
                <w:bCs w:val="1"/>
                <w:color w:val="auto"/>
              </w:rPr>
              <w:t>Net income per share, diluted (GAAP)</w:t>
            </w:r>
          </w:p>
        </w:tc>
        <w:tc>
          <w:tcPr>
            <w:tcW w:w="132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300" w:type="dxa"/>
            <w:vAlign w:val="bottom"/>
            <w:tcBorders>
              <w:top w:val="single" w:sz="8" w:color="FAF6EF"/>
              <w:bottom w:val="single" w:sz="8" w:color="494949"/>
            </w:tcBorders>
          </w:tcPr>
          <w:p>
            <w:pPr>
              <w:spacing w:after="0" w:line="20" w:lineRule="exact"/>
              <w:rPr>
                <w:sz w:val="1"/>
                <w:szCs w:val="1"/>
                <w:color w:val="auto"/>
              </w:rPr>
            </w:pPr>
          </w:p>
        </w:tc>
        <w:tc>
          <w:tcPr>
            <w:tcW w:w="1180" w:type="dxa"/>
            <w:vAlign w:val="bottom"/>
            <w:tcBorders>
              <w:top w:val="single" w:sz="8" w:color="FAF6EF"/>
              <w:bottom w:val="single" w:sz="8" w:color="494949"/>
              <w:right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00" w:type="dxa"/>
            <w:vAlign w:val="bottom"/>
            <w:tcBorders>
              <w:left w:val="single" w:sz="8" w:color="929292"/>
            </w:tcBorders>
            <w:vMerge w:val="continue"/>
          </w:tcPr>
          <w:p>
            <w:pPr>
              <w:spacing w:after="0"/>
              <w:rPr>
                <w:sz w:val="18"/>
                <w:szCs w:val="18"/>
                <w:color w:val="auto"/>
              </w:rPr>
            </w:pP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w w:val="99"/>
              </w:rPr>
              <w:t>$0.75</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$3.08</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$2.77</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9"/>
              </w:rPr>
              <w:t>$1.02</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$0.95</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Stock-based compensation</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1.56</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1.57</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6"/>
              </w:rPr>
              <w:t>1.55</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0.81</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Acquisition related expenses and amortization</w:t>
            </w: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rPr>
              <w:t>0.15</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rPr>
              <w:t>0.16</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6"/>
              </w:rPr>
              <w:t>0.16</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0.08</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Tariff refunds</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Restructuring and asset impairment charges</w:t>
            </w: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rPr>
              <w:t>0.10</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6"/>
              </w:rPr>
              <w:t>0.11</w:t>
            </w:r>
          </w:p>
        </w:tc>
        <w:tc>
          <w:tcPr>
            <w:tcW w:w="128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6"/>
              </w:rPr>
              <w:t>0.02</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Non-recurring debt prepayment fees and non-cash interest</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rPr>
              <w:t>0.06</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rPr>
              <w:t>0.06</w:t>
            </w:r>
          </w:p>
        </w:tc>
        <w:tc>
          <w:tcPr>
            <w:tcW w:w="128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6"/>
              </w:rPr>
              <w:t>0.06</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rPr>
              <w:t>0.32</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5"/>
        </w:trPr>
        <w:tc>
          <w:tcPr>
            <w:tcW w:w="4900" w:type="dxa"/>
            <w:vAlign w:val="bottom"/>
            <w:tcBorders>
              <w:left w:val="single" w:sz="8" w:color="929292"/>
            </w:tcBorders>
          </w:tcPr>
          <w:p>
            <w:pPr>
              <w:ind w:left="260"/>
              <w:spacing w:after="0"/>
              <w:rPr>
                <w:sz w:val="20"/>
                <w:szCs w:val="20"/>
                <w:color w:val="auto"/>
              </w:rPr>
            </w:pPr>
            <w:r>
              <w:rPr>
                <w:rFonts w:ascii="Arial" w:cs="Arial" w:eastAsia="Arial" w:hAnsi="Arial"/>
                <w:sz w:val="16"/>
                <w:szCs w:val="16"/>
                <w:color w:val="auto"/>
              </w:rPr>
              <w:t>Loss on partial settlement of convertible notes</w:t>
            </w:r>
          </w:p>
        </w:tc>
        <w:tc>
          <w:tcPr>
            <w:tcW w:w="1320" w:type="dxa"/>
            <w:vAlign w:val="bottom"/>
            <w:tcBorders>
              <w:left w:val="single" w:sz="8" w:color="929292"/>
              <w:right w:val="single" w:sz="8" w:color="929292"/>
            </w:tcBorders>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tcPr>
          <w:p>
            <w:pPr>
              <w:jc w:val="center"/>
              <w:ind w:right="60"/>
              <w:spacing w:after="0"/>
              <w:rPr>
                <w:sz w:val="20"/>
                <w:szCs w:val="20"/>
                <w:color w:val="auto"/>
              </w:rPr>
            </w:pPr>
            <w:r>
              <w:rPr>
                <w:rFonts w:ascii="Arial" w:cs="Arial" w:eastAsia="Arial" w:hAnsi="Arial"/>
                <w:sz w:val="16"/>
                <w:szCs w:val="16"/>
                <w:color w:val="auto"/>
              </w:rPr>
              <w:t>0.40</w:t>
            </w:r>
          </w:p>
        </w:tc>
        <w:tc>
          <w:tcPr>
            <w:tcW w:w="118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1"/>
        </w:trPr>
        <w:tc>
          <w:tcPr>
            <w:tcW w:w="4900" w:type="dxa"/>
            <w:vAlign w:val="bottom"/>
            <w:tcBorders>
              <w:left w:val="single" w:sz="8" w:color="929292"/>
            </w:tcBorders>
            <w:shd w:val="clear" w:color="auto" w:fill="FAF6EF"/>
          </w:tcPr>
          <w:p>
            <w:pPr>
              <w:ind w:left="260"/>
              <w:spacing w:after="0"/>
              <w:rPr>
                <w:sz w:val="20"/>
                <w:szCs w:val="20"/>
                <w:color w:val="auto"/>
              </w:rPr>
            </w:pPr>
            <w:r>
              <w:rPr>
                <w:rFonts w:ascii="Arial" w:cs="Arial" w:eastAsia="Arial" w:hAnsi="Arial"/>
                <w:sz w:val="16"/>
                <w:szCs w:val="16"/>
                <w:color w:val="auto"/>
              </w:rPr>
              <w:t>Change in fair value of derivatives</w:t>
            </w:r>
          </w:p>
        </w:tc>
        <w:tc>
          <w:tcPr>
            <w:tcW w:w="1320" w:type="dxa"/>
            <w:vAlign w:val="bottom"/>
            <w:tcBorders>
              <w:left w:val="single" w:sz="8" w:color="929292"/>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929292"/>
            </w:tcBorders>
            <w:shd w:val="clear" w:color="auto" w:fill="FAF6EF"/>
          </w:tcPr>
          <w:p>
            <w:pPr>
              <w:jc w:val="center"/>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36"/>
        </w:trPr>
        <w:tc>
          <w:tcPr>
            <w:tcW w:w="4900" w:type="dxa"/>
            <w:vAlign w:val="bottom"/>
            <w:tcBorders>
              <w:left w:val="single" w:sz="8" w:color="929292"/>
              <w:bottom w:val="single" w:sz="8" w:color="FAF6EF"/>
            </w:tcBorders>
          </w:tcPr>
          <w:p>
            <w:pPr>
              <w:ind w:left="260"/>
              <w:spacing w:after="0"/>
              <w:rPr>
                <w:sz w:val="20"/>
                <w:szCs w:val="20"/>
                <w:color w:val="auto"/>
              </w:rPr>
            </w:pPr>
            <w:r>
              <w:rPr>
                <w:rFonts w:ascii="Arial" w:cs="Arial" w:eastAsia="Arial" w:hAnsi="Arial"/>
                <w:sz w:val="16"/>
                <w:szCs w:val="16"/>
                <w:color w:val="auto"/>
              </w:rPr>
              <w:t>Non-GAAP income tax adjustment</w:t>
            </w:r>
          </w:p>
        </w:tc>
        <w:tc>
          <w:tcPr>
            <w:tcW w:w="1320" w:type="dxa"/>
            <w:vAlign w:val="bottom"/>
            <w:tcBorders>
              <w:left w:val="single" w:sz="8" w:color="929292"/>
              <w:bottom w:val="single" w:sz="8" w:color="494949"/>
              <w:right w:val="single" w:sz="8" w:color="929292"/>
            </w:tcBorders>
          </w:tcPr>
          <w:p>
            <w:pPr>
              <w:jc w:val="center"/>
              <w:ind w:right="20"/>
              <w:spacing w:after="0"/>
              <w:rPr>
                <w:sz w:val="20"/>
                <w:szCs w:val="20"/>
                <w:color w:val="auto"/>
              </w:rPr>
            </w:pPr>
            <w:r>
              <w:rPr>
                <w:rFonts w:ascii="Arial" w:cs="Arial" w:eastAsia="Arial" w:hAnsi="Arial"/>
                <w:sz w:val="16"/>
                <w:szCs w:val="16"/>
                <w:color w:val="auto"/>
              </w:rPr>
              <w:t>(0.26)</w:t>
            </w:r>
          </w:p>
        </w:tc>
        <w:tc>
          <w:tcPr>
            <w:tcW w:w="1280" w:type="dxa"/>
            <w:vAlign w:val="bottom"/>
            <w:tcBorders>
              <w:bottom w:val="single" w:sz="8" w:color="494949"/>
              <w:right w:val="single" w:sz="8" w:color="929292"/>
            </w:tcBorders>
          </w:tcPr>
          <w:p>
            <w:pPr>
              <w:jc w:val="center"/>
              <w:ind w:right="60"/>
              <w:spacing w:after="0"/>
              <w:rPr>
                <w:sz w:val="20"/>
                <w:szCs w:val="20"/>
                <w:color w:val="auto"/>
              </w:rPr>
            </w:pPr>
            <w:r>
              <w:rPr>
                <w:rFonts w:ascii="Arial" w:cs="Arial" w:eastAsia="Arial" w:hAnsi="Arial"/>
                <w:sz w:val="16"/>
                <w:szCs w:val="16"/>
                <w:color w:val="auto"/>
              </w:rPr>
              <w:t>(0.57)</w:t>
            </w:r>
          </w:p>
        </w:tc>
        <w:tc>
          <w:tcPr>
            <w:tcW w:w="1280" w:type="dxa"/>
            <w:vAlign w:val="bottom"/>
            <w:tcBorders>
              <w:bottom w:val="single" w:sz="8" w:color="494949"/>
              <w:right w:val="single" w:sz="8" w:color="929292"/>
            </w:tcBorders>
          </w:tcPr>
          <w:p>
            <w:pPr>
              <w:jc w:val="center"/>
              <w:ind w:right="60"/>
              <w:spacing w:after="0"/>
              <w:rPr>
                <w:sz w:val="20"/>
                <w:szCs w:val="20"/>
                <w:color w:val="auto"/>
              </w:rPr>
            </w:pPr>
            <w:r>
              <w:rPr>
                <w:rFonts w:ascii="Arial" w:cs="Arial" w:eastAsia="Arial" w:hAnsi="Arial"/>
                <w:sz w:val="16"/>
                <w:szCs w:val="16"/>
                <w:color w:val="auto"/>
                <w:w w:val="96"/>
              </w:rPr>
              <w:t>0.06</w:t>
            </w:r>
          </w:p>
        </w:tc>
        <w:tc>
          <w:tcPr>
            <w:tcW w:w="1300" w:type="dxa"/>
            <w:vAlign w:val="bottom"/>
            <w:tcBorders>
              <w:bottom w:val="single" w:sz="8" w:color="494949"/>
              <w:right w:val="single" w:sz="8" w:color="929292"/>
            </w:tcBorders>
          </w:tcPr>
          <w:p>
            <w:pPr>
              <w:jc w:val="center"/>
              <w:ind w:right="80"/>
              <w:spacing w:after="0"/>
              <w:rPr>
                <w:sz w:val="20"/>
                <w:szCs w:val="20"/>
                <w:color w:val="auto"/>
              </w:rPr>
            </w:pPr>
            <w:r>
              <w:rPr>
                <w:rFonts w:ascii="Arial" w:cs="Arial" w:eastAsia="Arial" w:hAnsi="Arial"/>
                <w:sz w:val="16"/>
                <w:szCs w:val="16"/>
                <w:color w:val="auto"/>
              </w:rPr>
              <w:t>(0.22)</w:t>
            </w:r>
          </w:p>
        </w:tc>
        <w:tc>
          <w:tcPr>
            <w:tcW w:w="1180" w:type="dxa"/>
            <w:vAlign w:val="bottom"/>
            <w:tcBorders>
              <w:bottom w:val="single" w:sz="8" w:color="494949"/>
              <w:right w:val="single" w:sz="8" w:color="929292"/>
            </w:tcBorders>
          </w:tcPr>
          <w:p>
            <w:pPr>
              <w:jc w:val="center"/>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64"/>
        </w:trPr>
        <w:tc>
          <w:tcPr>
            <w:tcW w:w="4900" w:type="dxa"/>
            <w:vAlign w:val="bottom"/>
            <w:tcBorders>
              <w:left w:val="single" w:sz="8" w:color="929292"/>
              <w:bottom w:val="single" w:sz="8" w:color="FAF6EF"/>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Net income per share, diluted (Non-GAAP)</w:t>
            </w:r>
          </w:p>
        </w:tc>
        <w:tc>
          <w:tcPr>
            <w:tcW w:w="1320" w:type="dxa"/>
            <w:vAlign w:val="bottom"/>
            <w:tcBorders>
              <w:left w:val="single" w:sz="8" w:color="929292"/>
              <w:bottom w:val="single" w:sz="8" w:color="494949"/>
              <w:right w:val="single" w:sz="8" w:color="929292"/>
            </w:tcBorders>
            <w:shd w:val="clear" w:color="auto" w:fill="FAF6EF"/>
          </w:tcPr>
          <w:p>
            <w:pPr>
              <w:jc w:val="center"/>
              <w:ind w:right="40"/>
              <w:spacing w:after="0"/>
              <w:rPr>
                <w:sz w:val="20"/>
                <w:szCs w:val="20"/>
                <w:color w:val="auto"/>
              </w:rPr>
            </w:pPr>
            <w:r>
              <w:rPr>
                <w:rFonts w:ascii="Arial" w:cs="Arial" w:eastAsia="Arial" w:hAnsi="Arial"/>
                <w:sz w:val="16"/>
                <w:szCs w:val="16"/>
                <w:b w:val="1"/>
                <w:bCs w:val="1"/>
                <w:color w:val="auto"/>
                <w:w w:val="99"/>
              </w:rPr>
              <w:t>$2.37</w:t>
            </w:r>
          </w:p>
        </w:tc>
        <w:tc>
          <w:tcPr>
            <w:tcW w:w="1280" w:type="dxa"/>
            <w:vAlign w:val="bottom"/>
            <w:tcBorders>
              <w:bottom w:val="single" w:sz="8" w:color="494949"/>
              <w:right w:val="single" w:sz="8" w:color="929292"/>
            </w:tcBorders>
            <w:shd w:val="clear" w:color="auto" w:fill="FAF6EF"/>
          </w:tcPr>
          <w:p>
            <w:pPr>
              <w:jc w:val="center"/>
              <w:ind w:right="80"/>
              <w:spacing w:after="0"/>
              <w:rPr>
                <w:sz w:val="20"/>
                <w:szCs w:val="20"/>
                <w:color w:val="auto"/>
              </w:rPr>
            </w:pPr>
            <w:r>
              <w:rPr>
                <w:rFonts w:ascii="Arial" w:cs="Arial" w:eastAsia="Arial" w:hAnsi="Arial"/>
                <w:sz w:val="16"/>
                <w:szCs w:val="16"/>
                <w:b w:val="1"/>
                <w:bCs w:val="1"/>
                <w:color w:val="auto"/>
                <w:w w:val="99"/>
              </w:rPr>
              <w:t>$4.41</w:t>
            </w:r>
          </w:p>
        </w:tc>
        <w:tc>
          <w:tcPr>
            <w:tcW w:w="1280" w:type="dxa"/>
            <w:vAlign w:val="bottom"/>
            <w:tcBorders>
              <w:bottom w:val="single" w:sz="8" w:color="494949"/>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b w:val="1"/>
                <w:bCs w:val="1"/>
                <w:color w:val="auto"/>
              </w:rPr>
              <w:t>$4.62</w:t>
            </w:r>
          </w:p>
        </w:tc>
        <w:tc>
          <w:tcPr>
            <w:tcW w:w="1300" w:type="dxa"/>
            <w:vAlign w:val="bottom"/>
            <w:tcBorders>
              <w:bottom w:val="single" w:sz="8" w:color="494949"/>
              <w:right w:val="single" w:sz="8" w:color="929292"/>
            </w:tcBorders>
            <w:shd w:val="clear" w:color="auto" w:fill="FAF6EF"/>
          </w:tcPr>
          <w:p>
            <w:pPr>
              <w:jc w:val="center"/>
              <w:ind w:right="60"/>
              <w:spacing w:after="0"/>
              <w:rPr>
                <w:sz w:val="20"/>
                <w:szCs w:val="20"/>
                <w:color w:val="auto"/>
              </w:rPr>
            </w:pPr>
            <w:r>
              <w:rPr>
                <w:rFonts w:ascii="Arial" w:cs="Arial" w:eastAsia="Arial" w:hAnsi="Arial"/>
                <w:sz w:val="16"/>
                <w:szCs w:val="16"/>
                <w:b w:val="1"/>
                <w:bCs w:val="1"/>
                <w:color w:val="auto"/>
                <w:w w:val="99"/>
              </w:rPr>
              <w:t>$2.41</w:t>
            </w:r>
          </w:p>
        </w:tc>
        <w:tc>
          <w:tcPr>
            <w:tcW w:w="1180" w:type="dxa"/>
            <w:vAlign w:val="bottom"/>
            <w:tcBorders>
              <w:bottom w:val="single" w:sz="8" w:color="494949"/>
              <w:right w:val="single" w:sz="8" w:color="929292"/>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9"/>
              </w:rPr>
              <w:t>$1.37</w:t>
            </w:r>
          </w:p>
        </w:tc>
        <w:tc>
          <w:tcPr>
            <w:tcW w:w="0" w:type="dxa"/>
            <w:vAlign w:val="bottom"/>
          </w:tcPr>
          <w:p>
            <w:pPr>
              <w:spacing w:after="0"/>
              <w:rPr>
                <w:sz w:val="1"/>
                <w:szCs w:val="1"/>
                <w:color w:val="auto"/>
              </w:rPr>
            </w:pPr>
          </w:p>
        </w:tc>
      </w:tr>
      <w:tr>
        <w:trPr>
          <w:trHeight w:val="20"/>
        </w:trPr>
        <w:tc>
          <w:tcPr>
            <w:tcW w:w="4900" w:type="dxa"/>
            <w:vAlign w:val="bottom"/>
            <w:tcBorders>
              <w:top w:val="single" w:sz="8" w:color="FAF6EF"/>
            </w:tcBorders>
          </w:tcPr>
          <w:p>
            <w:pPr>
              <w:spacing w:after="0" w:line="20" w:lineRule="exact"/>
              <w:rPr>
                <w:sz w:val="1"/>
                <w:szCs w:val="1"/>
                <w:color w:val="auto"/>
              </w:rPr>
            </w:pPr>
          </w:p>
        </w:tc>
        <w:tc>
          <w:tcPr>
            <w:tcW w:w="132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280" w:type="dxa"/>
            <w:vAlign w:val="bottom"/>
            <w:tcBorders>
              <w:top w:val="single" w:sz="8" w:color="FAF6EF"/>
              <w:bottom w:val="single" w:sz="8" w:color="494949"/>
            </w:tcBorders>
          </w:tcPr>
          <w:p>
            <w:pPr>
              <w:spacing w:after="0" w:line="20" w:lineRule="exact"/>
              <w:rPr>
                <w:sz w:val="1"/>
                <w:szCs w:val="1"/>
                <w:color w:val="auto"/>
              </w:rPr>
            </w:pPr>
          </w:p>
        </w:tc>
        <w:tc>
          <w:tcPr>
            <w:tcW w:w="1300" w:type="dxa"/>
            <w:vAlign w:val="bottom"/>
            <w:tcBorders>
              <w:top w:val="single" w:sz="8" w:color="FAF6EF"/>
              <w:bottom w:val="single" w:sz="8" w:color="494949"/>
            </w:tcBorders>
          </w:tcPr>
          <w:p>
            <w:pPr>
              <w:spacing w:after="0" w:line="20" w:lineRule="exact"/>
              <w:rPr>
                <w:sz w:val="1"/>
                <w:szCs w:val="1"/>
                <w:color w:val="auto"/>
              </w:rPr>
            </w:pPr>
          </w:p>
        </w:tc>
        <w:tc>
          <w:tcPr>
            <w:tcW w:w="1180" w:type="dxa"/>
            <w:vAlign w:val="bottom"/>
            <w:tcBorders>
              <w:top w:val="single" w:sz="8" w:color="FAF6EF"/>
              <w:bottom w:val="single" w:sz="8" w:color="4949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A</w:t>
      </w:r>
      <w:r>
        <w:rPr>
          <w:rFonts w:ascii="Arial" w:cs="Arial" w:eastAsia="Arial" w:hAnsi="Arial"/>
          <w:sz w:val="13"/>
          <w:szCs w:val="13"/>
          <w:color w:val="6D6D6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91" w:name="page92"/>
    <w:bookmarkEnd w:id="91"/>
    <w:p>
      <w:pPr>
        <w:spacing w:after="0"/>
        <w:rPr>
          <w:sz w:val="20"/>
          <w:szCs w:val="20"/>
          <w:color w:val="auto"/>
        </w:rPr>
      </w:pPr>
      <w:r>
        <w:rPr>
          <w:rFonts w:ascii="Arial" w:cs="Arial" w:eastAsia="Arial" w:hAnsi="Arial"/>
          <w:sz w:val="43"/>
          <w:szCs w:val="43"/>
          <w:b w:val="1"/>
          <w:bCs w:val="1"/>
          <w:color w:val="auto"/>
        </w:rPr>
        <w:t>Appendix B</w:t>
      </w: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32"/>
          <w:szCs w:val="32"/>
          <w:b w:val="1"/>
          <w:bCs w:val="1"/>
          <w:color w:val="auto"/>
        </w:rPr>
        <w:t>Enphase Energy, Inc. Amended and Restated 2021 Equity Incentive Plan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by the Board of Directors: March 25, 2021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Approved by the Stockholders: May 19,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by the Board of Directors: March 31, 2025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Approved by the Stockholders: May ●, 2025</w:t>
      </w:r>
    </w:p>
    <w:p>
      <w:pPr>
        <w:spacing w:after="0" w:line="306"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34" w:lineRule="exact"/>
        <w:rPr>
          <w:rFonts w:ascii="Arial" w:cs="Arial" w:eastAsia="Arial" w:hAnsi="Arial"/>
          <w:sz w:val="16"/>
          <w:szCs w:val="16"/>
          <w:b w:val="1"/>
          <w:bCs w:val="1"/>
          <w:color w:val="auto"/>
        </w:rPr>
      </w:pPr>
    </w:p>
    <w:p>
      <w:pPr>
        <w:jc w:val="both"/>
        <w:ind w:firstLine="656"/>
        <w:spacing w:after="0" w:line="266" w:lineRule="auto"/>
        <w:tabs>
          <w:tab w:leader="none" w:pos="1058"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Prior Plan. </w:t>
      </w:r>
      <w:r>
        <w:rPr>
          <w:rFonts w:ascii="Arial" w:cs="Arial" w:eastAsia="Arial" w:hAnsi="Arial"/>
          <w:sz w:val="16"/>
          <w:szCs w:val="16"/>
          <w:color w:val="auto"/>
        </w:rPr>
        <w:t>As of the Original Effective Date: (i) no additional awards may be granted under the Prior Plan; and (ii) all Prior Plan Awards will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subject to the terms of the Prior Plan, except that any Prior Plan Returning Shares will become available for issuance pursuant to Awards granted under this Plan. All Awards granted under this Plan will be subject to the terms of this Plan.</w:t>
      </w:r>
    </w:p>
    <w:p>
      <w:pPr>
        <w:spacing w:after="0" w:line="184"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Eligible Award Recipients. </w:t>
      </w:r>
      <w:r>
        <w:rPr>
          <w:rFonts w:ascii="Arial" w:cs="Arial" w:eastAsia="Arial" w:hAnsi="Arial"/>
          <w:sz w:val="16"/>
          <w:szCs w:val="16"/>
          <w:color w:val="auto"/>
        </w:rPr>
        <w:t>Subject to Section 4, Employees, Directors and Consultants are eligible to receive Awards.</w:t>
      </w:r>
    </w:p>
    <w:p>
      <w:pPr>
        <w:spacing w:after="0" w:line="221" w:lineRule="exact"/>
        <w:rPr>
          <w:rFonts w:ascii="Arial" w:cs="Arial" w:eastAsia="Arial" w:hAnsi="Arial"/>
          <w:sz w:val="16"/>
          <w:szCs w:val="16"/>
          <w:b w:val="1"/>
          <w:bCs w:val="1"/>
          <w:color w:val="auto"/>
        </w:rPr>
      </w:pPr>
    </w:p>
    <w:p>
      <w:pPr>
        <w:jc w:val="both"/>
        <w:ind w:firstLine="656"/>
        <w:spacing w:after="0" w:line="275" w:lineRule="auto"/>
        <w:tabs>
          <w:tab w:leader="none" w:pos="1106"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Available Awards. </w:t>
      </w:r>
      <w:r>
        <w:rPr>
          <w:rFonts w:ascii="Arial" w:cs="Arial" w:eastAsia="Arial" w:hAnsi="Arial"/>
          <w:sz w:val="16"/>
          <w:szCs w:val="16"/>
          <w:color w:val="auto"/>
        </w:rPr>
        <w:t>The Plan provides for the grant of the following types of Awards: (i) Incentive Stock Options; (ii) Nonstatutory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(iii) Stock Appreciation Rights; (iv) Restricted Stock Awards; (v) Restricted Stock Unit Awards; (vi) Performance Stock Awards; and (vii) Other Stock Awards.</w:t>
      </w:r>
    </w:p>
    <w:p>
      <w:pPr>
        <w:spacing w:after="0" w:line="164" w:lineRule="exact"/>
        <w:rPr>
          <w:rFonts w:ascii="Arial" w:cs="Arial" w:eastAsia="Arial" w:hAnsi="Arial"/>
          <w:sz w:val="16"/>
          <w:szCs w:val="16"/>
          <w:b w:val="1"/>
          <w:bCs w:val="1"/>
          <w:color w:val="auto"/>
        </w:rPr>
      </w:pPr>
    </w:p>
    <w:p>
      <w:pPr>
        <w:jc w:val="both"/>
        <w:ind w:firstLine="656"/>
        <w:spacing w:after="0" w:line="275" w:lineRule="auto"/>
        <w:tabs>
          <w:tab w:leader="none" w:pos="1102"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Plan, through the granting of Awards, is intended to help the Company and any Affiliate secure and retain the services of</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award recipients, provide incentives for such persons to exert maximum efforts for the success of the Company and any Affiliate, and provide a means by which such persons may benefit from increases in value of the Common Stock.</w:t>
      </w:r>
    </w:p>
    <w:p>
      <w:pPr>
        <w:spacing w:after="0" w:line="177" w:lineRule="exact"/>
        <w:rPr>
          <w:rFonts w:ascii="Arial" w:cs="Arial" w:eastAsia="Arial" w:hAnsi="Arial"/>
          <w:sz w:val="16"/>
          <w:szCs w:val="16"/>
          <w:b w:val="1"/>
          <w:bCs w:val="1"/>
          <w:color w:val="auto"/>
        </w:rPr>
      </w:pPr>
    </w:p>
    <w:p>
      <w:pPr>
        <w:ind w:left="320" w:hanging="312"/>
        <w:spacing w:after="0"/>
        <w:tabs>
          <w:tab w:leader="none" w:pos="32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p>
    <w:p>
      <w:pPr>
        <w:spacing w:after="0" w:line="221" w:lineRule="exact"/>
        <w:rPr>
          <w:rFonts w:ascii="Arial" w:cs="Arial" w:eastAsia="Arial" w:hAnsi="Arial"/>
          <w:sz w:val="16"/>
          <w:szCs w:val="16"/>
          <w:b w:val="1"/>
          <w:bCs w:val="1"/>
          <w:color w:val="auto"/>
        </w:rPr>
      </w:pPr>
    </w:p>
    <w:p>
      <w:pPr>
        <w:ind w:firstLine="656"/>
        <w:spacing w:after="0" w:line="286" w:lineRule="auto"/>
        <w:tabs>
          <w:tab w:leader="none" w:pos="1137"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by Board. </w:t>
      </w:r>
      <w:r>
        <w:rPr>
          <w:rFonts w:ascii="Arial" w:cs="Arial" w:eastAsia="Arial" w:hAnsi="Arial"/>
          <w:sz w:val="16"/>
          <w:szCs w:val="16"/>
          <w:color w:val="auto"/>
        </w:rPr>
        <w:t>The Board will administer the Plan. The Board may delegate administration of the Plan to a Committee or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as provided in Section 2(c).</w:t>
      </w:r>
    </w:p>
    <w:p>
      <w:pPr>
        <w:spacing w:after="0" w:line="169"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Powers of Board. </w:t>
      </w:r>
      <w:r>
        <w:rPr>
          <w:rFonts w:ascii="Arial" w:cs="Arial" w:eastAsia="Arial" w:hAnsi="Arial"/>
          <w:sz w:val="16"/>
          <w:szCs w:val="16"/>
          <w:color w:val="auto"/>
        </w:rPr>
        <w:t>The Board will have the power, subject to, and within the limitations of, the express provisions of the Plan:</w:t>
      </w:r>
    </w:p>
    <w:p>
      <w:pPr>
        <w:spacing w:after="0" w:line="221" w:lineRule="exact"/>
        <w:rPr>
          <w:rFonts w:ascii="Arial" w:cs="Arial" w:eastAsia="Arial" w:hAnsi="Arial"/>
          <w:sz w:val="16"/>
          <w:szCs w:val="16"/>
          <w:b w:val="1"/>
          <w:bCs w:val="1"/>
          <w:color w:val="auto"/>
        </w:rPr>
      </w:pPr>
    </w:p>
    <w:p>
      <w:pPr>
        <w:ind w:left="1660" w:hanging="356"/>
        <w:spacing w:after="0"/>
        <w:tabs>
          <w:tab w:leader="none" w:pos="1660" w:val="left"/>
        </w:tabs>
        <w:numPr>
          <w:ilvl w:val="2"/>
          <w:numId w:val="132"/>
        </w:numPr>
        <w:rPr>
          <w:rFonts w:ascii="Arial" w:cs="Arial" w:eastAsia="Arial" w:hAnsi="Arial"/>
          <w:sz w:val="16"/>
          <w:szCs w:val="16"/>
          <w:b w:val="1"/>
          <w:bCs w:val="1"/>
          <w:color w:val="auto"/>
        </w:rPr>
      </w:pPr>
      <w:r>
        <w:rPr>
          <w:rFonts w:ascii="Arial" w:cs="Arial" w:eastAsia="Arial" w:hAnsi="Arial"/>
          <w:sz w:val="16"/>
          <w:szCs w:val="16"/>
          <w:color w:val="auto"/>
        </w:rPr>
        <w:t>To determine (A) who will be granted Awards, (B) when and how each Award will be granted, (C) what type of Award will be granted,</w:t>
      </w:r>
    </w:p>
    <w:p>
      <w:pPr>
        <w:spacing w:after="0" w:line="21" w:lineRule="exact"/>
        <w:rPr>
          <w:rFonts w:ascii="Arial" w:cs="Arial" w:eastAsia="Arial" w:hAnsi="Arial"/>
          <w:sz w:val="16"/>
          <w:szCs w:val="16"/>
          <w:b w:val="1"/>
          <w:bCs w:val="1"/>
          <w:color w:val="auto"/>
        </w:rPr>
      </w:pPr>
    </w:p>
    <w:p>
      <w:pPr>
        <w:jc w:val="both"/>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(D) the provisions of each Award (which need not be identical), including when a Participant will be permitted to exercise or otherwise receive cash or Common Stock under the Award, (E) the number of shares of Common Stock subject to, or the cash value of, an Award, and (F) the Fair Market Value applicable to an Award.</w:t>
      </w:r>
    </w:p>
    <w:p>
      <w:pPr>
        <w:spacing w:after="0" w:line="186" w:lineRule="exact"/>
        <w:rPr>
          <w:rFonts w:ascii="Arial" w:cs="Arial" w:eastAsia="Arial" w:hAnsi="Arial"/>
          <w:sz w:val="16"/>
          <w:szCs w:val="16"/>
          <w:b w:val="1"/>
          <w:bCs w:val="1"/>
          <w:color w:val="auto"/>
        </w:rPr>
      </w:pPr>
    </w:p>
    <w:p>
      <w:pPr>
        <w:jc w:val="both"/>
        <w:ind w:firstLine="1304"/>
        <w:spacing w:after="0" w:line="266" w:lineRule="auto"/>
        <w:tabs>
          <w:tab w:leader="none" w:pos="1768" w:val="left"/>
        </w:tabs>
        <w:numPr>
          <w:ilvl w:val="2"/>
          <w:numId w:val="132"/>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184" w:lineRule="exact"/>
        <w:rPr>
          <w:rFonts w:ascii="Arial" w:cs="Arial" w:eastAsia="Arial" w:hAnsi="Arial"/>
          <w:sz w:val="16"/>
          <w:szCs w:val="16"/>
          <w:b w:val="1"/>
          <w:bCs w:val="1"/>
          <w:color w:val="auto"/>
        </w:rPr>
      </w:pPr>
    </w:p>
    <w:p>
      <w:pPr>
        <w:ind w:left="1720" w:hanging="416"/>
        <w:spacing w:after="0"/>
        <w:tabs>
          <w:tab w:leader="none" w:pos="1720" w:val="left"/>
        </w:tabs>
        <w:numPr>
          <w:ilvl w:val="2"/>
          <w:numId w:val="132"/>
        </w:numPr>
        <w:rPr>
          <w:rFonts w:ascii="Arial" w:cs="Arial" w:eastAsia="Arial" w:hAnsi="Arial"/>
          <w:sz w:val="16"/>
          <w:szCs w:val="16"/>
          <w:b w:val="1"/>
          <w:bCs w:val="1"/>
          <w:color w:val="auto"/>
        </w:rPr>
      </w:pPr>
      <w:r>
        <w:rPr>
          <w:rFonts w:ascii="Arial" w:cs="Arial" w:eastAsia="Arial" w:hAnsi="Arial"/>
          <w:sz w:val="16"/>
          <w:szCs w:val="16"/>
          <w:color w:val="auto"/>
        </w:rPr>
        <w:t>To settle all controversies regarding the Plan and Awards granted under it.</w:t>
      </w:r>
    </w:p>
    <w:p>
      <w:pPr>
        <w:spacing w:after="0" w:line="221" w:lineRule="exact"/>
        <w:rPr>
          <w:rFonts w:ascii="Arial" w:cs="Arial" w:eastAsia="Arial" w:hAnsi="Arial"/>
          <w:sz w:val="16"/>
          <w:szCs w:val="16"/>
          <w:b w:val="1"/>
          <w:bCs w:val="1"/>
          <w:color w:val="auto"/>
        </w:rPr>
      </w:pPr>
    </w:p>
    <w:p>
      <w:pPr>
        <w:ind w:right="20" w:firstLine="1304"/>
        <w:spacing w:after="0" w:line="304" w:lineRule="auto"/>
        <w:tabs>
          <w:tab w:leader="none" w:pos="1773" w:val="left"/>
        </w:tabs>
        <w:numPr>
          <w:ilvl w:val="2"/>
          <w:numId w:val="132"/>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 Stock may be issued in settlement thereof).</w:t>
      </w:r>
    </w:p>
    <w:p>
      <w:pPr>
        <w:spacing w:after="0" w:line="141" w:lineRule="exact"/>
        <w:rPr>
          <w:rFonts w:ascii="Arial" w:cs="Arial" w:eastAsia="Arial" w:hAnsi="Arial"/>
          <w:sz w:val="16"/>
          <w:szCs w:val="16"/>
          <w:b w:val="1"/>
          <w:bCs w:val="1"/>
          <w:color w:val="auto"/>
        </w:rPr>
      </w:pPr>
    </w:p>
    <w:p>
      <w:pPr>
        <w:jc w:val="both"/>
        <w:ind w:firstLine="1304"/>
        <w:spacing w:after="0" w:line="287" w:lineRule="auto"/>
        <w:tabs>
          <w:tab w:leader="none" w:pos="1728" w:val="left"/>
        </w:tabs>
        <w:numPr>
          <w:ilvl w:val="2"/>
          <w:numId w:val="132"/>
        </w:numPr>
        <w:rPr>
          <w:rFonts w:ascii="Arial" w:cs="Arial" w:eastAsia="Arial" w:hAnsi="Arial"/>
          <w:sz w:val="16"/>
          <w:szCs w:val="16"/>
          <w:b w:val="1"/>
          <w:bCs w:val="1"/>
          <w:color w:val="auto"/>
        </w:rPr>
      </w:pPr>
      <w:r>
        <w:rPr>
          <w:rFonts w:ascii="Arial" w:cs="Arial" w:eastAsia="Arial" w:hAnsi="Arial"/>
          <w:sz w:val="16"/>
          <w:szCs w:val="16"/>
          <w:color w:val="auto"/>
        </w:rPr>
        <w:t>To suspend or terminate the Plan at any time. Except as otherwise provided in the Plan (including Section 2(b)(viii)) or an Award Agreement, suspension or termination of the Plan will not materially impair a Participant’s rights under an outstanding Award without his or her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92" w:name="page93"/>
    <w:bookmarkEnd w:id="92"/>
    <w:p>
      <w:pPr>
        <w:jc w:val="both"/>
        <w:ind w:firstLine="1304"/>
        <w:spacing w:after="0" w:line="258" w:lineRule="auto"/>
        <w:tabs>
          <w:tab w:leader="none" w:pos="1746"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or (E) materially expands the types of Awards available for issuance under the Plan. Except as otherwise provided in the Plan (including Section 2(b)(viii)) or an Award Agreement, no amendment of the Plan will materially impair a Participant’s rights under an outstanding Award without his or her written consent.</w:t>
      </w:r>
    </w:p>
    <w:p>
      <w:pPr>
        <w:spacing w:after="0" w:line="182" w:lineRule="exact"/>
        <w:rPr>
          <w:rFonts w:ascii="Arial" w:cs="Arial" w:eastAsia="Arial" w:hAnsi="Arial"/>
          <w:sz w:val="16"/>
          <w:szCs w:val="16"/>
          <w:b w:val="1"/>
          <w:bCs w:val="1"/>
          <w:color w:val="auto"/>
        </w:rPr>
      </w:pPr>
    </w:p>
    <w:p>
      <w:pPr>
        <w:ind w:firstLine="1304"/>
        <w:spacing w:after="0" w:line="286" w:lineRule="auto"/>
        <w:tabs>
          <w:tab w:leader="none" w:pos="1804"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69" w:lineRule="exact"/>
        <w:rPr>
          <w:rFonts w:ascii="Arial" w:cs="Arial" w:eastAsia="Arial" w:hAnsi="Arial"/>
          <w:sz w:val="16"/>
          <w:szCs w:val="16"/>
          <w:b w:val="1"/>
          <w:bCs w:val="1"/>
          <w:color w:val="auto"/>
        </w:rPr>
      </w:pPr>
    </w:p>
    <w:p>
      <w:pPr>
        <w:jc w:val="both"/>
        <w:ind w:firstLine="1304"/>
        <w:spacing w:after="0" w:line="260" w:lineRule="auto"/>
        <w:tabs>
          <w:tab w:leader="none" w:pos="1836"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outstanding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provided in the Plan (including this Section 2(b)(viii)) or an Award Agreement, no amendment of an outstanding Award will materially impair a Participant’s rights under such Award without his or her written consent.</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Notwithstanding the foregoing or anything in the Plan to the contrary, unless prohibited by applicable law, the Board may amend the terms of any outstanding Award or the Plan, or may suspend or terminate the Plan,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or the Plan into compliance with, Section 409A of the Code, or (D) to comply with other applicable laws or listing requirements.</w:t>
      </w:r>
    </w:p>
    <w:p>
      <w:pPr>
        <w:spacing w:after="0" w:line="176" w:lineRule="exact"/>
        <w:rPr>
          <w:sz w:val="20"/>
          <w:szCs w:val="20"/>
          <w:color w:val="auto"/>
        </w:rPr>
      </w:pPr>
    </w:p>
    <w:p>
      <w:pPr>
        <w:ind w:firstLine="1304"/>
        <w:spacing w:after="0" w:line="286" w:lineRule="auto"/>
        <w:tabs>
          <w:tab w:leader="none" w:pos="1800" w:val="left"/>
        </w:tabs>
        <w:numPr>
          <w:ilvl w:val="1"/>
          <w:numId w:val="134"/>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9" w:lineRule="exact"/>
        <w:rPr>
          <w:rFonts w:ascii="Arial" w:cs="Arial" w:eastAsia="Arial" w:hAnsi="Arial"/>
          <w:sz w:val="16"/>
          <w:szCs w:val="16"/>
          <w:b w:val="1"/>
          <w:bCs w:val="1"/>
          <w:color w:val="auto"/>
        </w:rPr>
      </w:pPr>
    </w:p>
    <w:p>
      <w:pPr>
        <w:jc w:val="both"/>
        <w:ind w:firstLine="1304"/>
        <w:spacing w:after="0" w:line="275" w:lineRule="auto"/>
        <w:tabs>
          <w:tab w:leader="none" w:pos="1687" w:val="left"/>
        </w:tabs>
        <w:numPr>
          <w:ilvl w:val="1"/>
          <w:numId w:val="134"/>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64" w:lineRule="exact"/>
        <w:rPr>
          <w:rFonts w:ascii="Arial" w:cs="Arial" w:eastAsia="Arial" w:hAnsi="Arial"/>
          <w:sz w:val="16"/>
          <w:szCs w:val="16"/>
          <w:b w:val="1"/>
          <w:bCs w:val="1"/>
          <w:color w:val="auto"/>
        </w:rPr>
      </w:pPr>
    </w:p>
    <w:p>
      <w:pPr>
        <w:ind w:left="1040" w:hanging="384"/>
        <w:spacing w:after="0"/>
        <w:tabs>
          <w:tab w:leader="none" w:pos="104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p>
    <w:p>
      <w:pPr>
        <w:spacing w:after="0" w:line="221" w:lineRule="exact"/>
        <w:rPr>
          <w:rFonts w:ascii="Arial" w:cs="Arial" w:eastAsia="Arial" w:hAnsi="Arial"/>
          <w:sz w:val="16"/>
          <w:szCs w:val="16"/>
          <w:b w:val="1"/>
          <w:bCs w:val="1"/>
          <w:color w:val="auto"/>
        </w:rPr>
      </w:pPr>
    </w:p>
    <w:p>
      <w:pPr>
        <w:jc w:val="both"/>
        <w:ind w:firstLine="1304"/>
        <w:spacing w:after="0" w:line="259" w:lineRule="auto"/>
        <w:tabs>
          <w:tab w:leader="none" w:pos="1629" w:val="left"/>
        </w:tabs>
        <w:numPr>
          <w:ilvl w:val="1"/>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 administration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0" w:lineRule="exact"/>
        <w:rPr>
          <w:rFonts w:ascii="Arial" w:cs="Arial" w:eastAsia="Arial" w:hAnsi="Arial"/>
          <w:sz w:val="16"/>
          <w:szCs w:val="16"/>
          <w:b w:val="1"/>
          <w:bCs w:val="1"/>
          <w:color w:val="auto"/>
        </w:rPr>
      </w:pPr>
    </w:p>
    <w:p>
      <w:pPr>
        <w:ind w:left="1680" w:hanging="376"/>
        <w:spacing w:after="0"/>
        <w:tabs>
          <w:tab w:leader="none" w:pos="1680" w:val="left"/>
        </w:tabs>
        <w:numPr>
          <w:ilvl w:val="1"/>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The Committee may consist solely of two or more Non-Employee Directors in accordance with Rule 16b-3.</w:t>
      </w:r>
    </w:p>
    <w:p>
      <w:pPr>
        <w:spacing w:after="0" w:line="234" w:lineRule="exact"/>
        <w:rPr>
          <w:rFonts w:ascii="Arial" w:cs="Arial" w:eastAsia="Arial" w:hAnsi="Arial"/>
          <w:sz w:val="16"/>
          <w:szCs w:val="16"/>
          <w:b w:val="1"/>
          <w:bCs w:val="1"/>
          <w:color w:val="auto"/>
        </w:rPr>
      </w:pPr>
    </w:p>
    <w:p>
      <w:pPr>
        <w:jc w:val="both"/>
        <w:ind w:firstLine="656"/>
        <w:spacing w:after="0" w:line="259" w:lineRule="auto"/>
        <w:tabs>
          <w:tab w:leader="none" w:pos="1067"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Other Person or Body. </w:t>
      </w:r>
      <w:r>
        <w:rPr>
          <w:rFonts w:ascii="Arial" w:cs="Arial" w:eastAsia="Arial" w:hAnsi="Arial"/>
          <w:sz w:val="16"/>
          <w:szCs w:val="16"/>
          <w:color w:val="auto"/>
        </w:rPr>
        <w:t>The Board or any Committee may delegate to one (1) or more persons or bodies the authority to do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one or more of the following to the extent permitted by applicable law: (1) designate recipients, other than Officers, of Awards, provided that no person or body may be delegated authority to grant an Award to themself; (2) determine the number of shares of Common Stock subject to such Awards; and (3) determine the terms of such Awards;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3" w:name="page94"/>
    <w:bookmarkEnd w:id="93"/>
    <w:p>
      <w:pPr>
        <w:jc w:val="both"/>
        <w:ind w:right="20"/>
        <w:spacing w:after="0" w:line="275" w:lineRule="auto"/>
        <w:rPr>
          <w:sz w:val="20"/>
          <w:szCs w:val="20"/>
          <w:color w:val="auto"/>
        </w:rPr>
      </w:pPr>
      <w:r>
        <w:rPr>
          <w:rFonts w:ascii="Arial" w:cs="Arial" w:eastAsia="Arial" w:hAnsi="Arial"/>
          <w:sz w:val="16"/>
          <w:szCs w:val="16"/>
          <w:color w:val="auto"/>
        </w:rPr>
        <w:t>Committee, with any modifications necessary to incorporate or reflect the terms of such Award. Notwithstanding anything to the contrary in this Section 2(d), neither the Board nor any Committee may delegate to any person or body (who is not a Director or that is not comprised solely of Directors, respectively) the authority to determine the Fair Market Value of the Common Stock pursuant to Section 13(x)(iii) below.</w:t>
      </w:r>
    </w:p>
    <w:p>
      <w:pPr>
        <w:spacing w:after="0" w:line="151" w:lineRule="exact"/>
        <w:rPr>
          <w:sz w:val="20"/>
          <w:szCs w:val="20"/>
          <w:color w:val="auto"/>
        </w:rPr>
      </w:pPr>
    </w:p>
    <w:p>
      <w:pPr>
        <w:ind w:firstLine="656"/>
        <w:spacing w:after="0" w:line="286" w:lineRule="auto"/>
        <w:tabs>
          <w:tab w:leader="none" w:pos="1026" w:val="left"/>
        </w:tabs>
        <w:numPr>
          <w:ilvl w:val="1"/>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Board’s Decision. </w:t>
      </w:r>
      <w:r>
        <w:rPr>
          <w:rFonts w:ascii="Arial" w:cs="Arial" w:eastAsia="Arial" w:hAnsi="Arial"/>
          <w:sz w:val="16"/>
          <w:szCs w:val="16"/>
          <w:color w:val="auto"/>
        </w:rPr>
        <w:t>All determinations, interpretations and constructions made by the Board in good faith will not be subject to review</w:t>
      </w:r>
      <w:r>
        <w:rPr>
          <w:rFonts w:ascii="Arial" w:cs="Arial" w:eastAsia="Arial" w:hAnsi="Arial"/>
          <w:sz w:val="16"/>
          <w:szCs w:val="16"/>
          <w:b w:val="1"/>
          <w:bCs w:val="1"/>
          <w:color w:val="auto"/>
        </w:rPr>
        <w:t xml:space="preserve"> </w:t>
      </w:r>
      <w:r>
        <w:rPr>
          <w:rFonts w:ascii="Arial" w:cs="Arial" w:eastAsia="Arial" w:hAnsi="Arial"/>
          <w:sz w:val="16"/>
          <w:szCs w:val="16"/>
          <w:color w:val="auto"/>
        </w:rPr>
        <w:t>by any person and will be final, binding and conclusive on all persons.</w:t>
      </w:r>
    </w:p>
    <w:p>
      <w:pPr>
        <w:spacing w:after="0" w:line="142" w:lineRule="exact"/>
        <w:rPr>
          <w:rFonts w:ascii="Arial" w:cs="Arial" w:eastAsia="Arial" w:hAnsi="Arial"/>
          <w:sz w:val="16"/>
          <w:szCs w:val="16"/>
          <w:b w:val="1"/>
          <w:bCs w:val="1"/>
          <w:color w:val="auto"/>
        </w:rPr>
      </w:pPr>
    </w:p>
    <w:p>
      <w:pPr>
        <w:jc w:val="both"/>
        <w:ind w:firstLine="656"/>
        <w:spacing w:after="0" w:line="265" w:lineRule="auto"/>
        <w:tabs>
          <w:tab w:leader="none" w:pos="1010" w:val="left"/>
        </w:tabs>
        <w:numPr>
          <w:ilvl w:val="1"/>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Cancellation and Re-Grant of Awards. </w:t>
      </w:r>
      <w:r>
        <w:rPr>
          <w:rFonts w:ascii="Arial" w:cs="Arial" w:eastAsia="Arial" w:hAnsi="Arial"/>
          <w:sz w:val="16"/>
          <w:szCs w:val="16"/>
          <w:color w:val="auto"/>
        </w:rPr>
        <w:t>Neither the Board nor any Committee will have the authority to (i) reduce the exercise or strike price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outstanding Option or SAR or (ii) cancel any outstanding Option or SAR that has an exercise or strike price (per share) greater than the then-current Fair Market Value of the Common Stock in exchange for cash or other Awards under the Plan, unless the stockholders of the Company have approved such an action within 12 months prior to such an event.</w:t>
      </w:r>
    </w:p>
    <w:p>
      <w:pPr>
        <w:spacing w:after="0" w:line="159" w:lineRule="exact"/>
        <w:rPr>
          <w:rFonts w:ascii="Arial" w:cs="Arial" w:eastAsia="Arial" w:hAnsi="Arial"/>
          <w:sz w:val="16"/>
          <w:szCs w:val="16"/>
          <w:b w:val="1"/>
          <w:bCs w:val="1"/>
          <w:color w:val="auto"/>
        </w:rPr>
      </w:pPr>
    </w:p>
    <w:p>
      <w:pPr>
        <w:jc w:val="both"/>
        <w:ind w:firstLine="656"/>
        <w:spacing w:after="0" w:line="262" w:lineRule="auto"/>
        <w:tabs>
          <w:tab w:leader="none" w:pos="1058" w:val="left"/>
        </w:tabs>
        <w:numPr>
          <w:ilvl w:val="1"/>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Common Stock subject to an Award, as determined by the Board and contained in the applicable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60" w:lineRule="exact"/>
        <w:rPr>
          <w:rFonts w:ascii="Arial" w:cs="Arial" w:eastAsia="Arial" w:hAnsi="Arial"/>
          <w:sz w:val="16"/>
          <w:szCs w:val="16"/>
          <w:b w:val="1"/>
          <w:bCs w:val="1"/>
          <w:color w:val="auto"/>
        </w:rPr>
      </w:pPr>
    </w:p>
    <w:p>
      <w:pPr>
        <w:ind w:left="320" w:hanging="312"/>
        <w:spacing w:after="0"/>
        <w:tabs>
          <w:tab w:leader="none" w:pos="32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Shares Subject to the Plan.</w:t>
      </w:r>
    </w:p>
    <w:p>
      <w:pPr>
        <w:spacing w:after="0" w:line="207"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Share Reserve.</w:t>
      </w:r>
    </w:p>
    <w:p>
      <w:pPr>
        <w:spacing w:after="0" w:line="207" w:lineRule="exact"/>
        <w:rPr>
          <w:rFonts w:ascii="Arial" w:cs="Arial" w:eastAsia="Arial" w:hAnsi="Arial"/>
          <w:sz w:val="16"/>
          <w:szCs w:val="16"/>
          <w:b w:val="1"/>
          <w:bCs w:val="1"/>
          <w:color w:val="auto"/>
        </w:rPr>
      </w:pPr>
    </w:p>
    <w:p>
      <w:pPr>
        <w:jc w:val="both"/>
        <w:ind w:firstLine="1304"/>
        <w:spacing w:after="0" w:line="275" w:lineRule="auto"/>
        <w:tabs>
          <w:tab w:leader="none" w:pos="1642" w:val="left"/>
        </w:tabs>
        <w:numPr>
          <w:ilvl w:val="2"/>
          <w:numId w:val="137"/>
        </w:numPr>
        <w:rPr>
          <w:rFonts w:ascii="Arial" w:cs="Arial" w:eastAsia="Arial" w:hAnsi="Arial"/>
          <w:sz w:val="16"/>
          <w:szCs w:val="16"/>
          <w:b w:val="1"/>
          <w:bCs w:val="1"/>
          <w:color w:val="auto"/>
        </w:rPr>
      </w:pPr>
      <w:r>
        <w:rPr>
          <w:rFonts w:ascii="Arial" w:cs="Arial" w:eastAsia="Arial" w:hAnsi="Arial"/>
          <w:sz w:val="16"/>
          <w:szCs w:val="16"/>
          <w:color w:val="auto"/>
        </w:rPr>
        <w:t>Subject to Section 9(a) relating to Capitalization Adjustments, the aggregate number of shares of Common Stock that may be issued pursuant to Awards from and after the Effective Date (the “</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 will not exceed the sum of (A) 13,530,000 shares and (B) the Prior Plan Returning Shares, if any, as such shares become available for issuance under this Plan from time to time.</w:t>
      </w:r>
    </w:p>
    <w:p>
      <w:pPr>
        <w:spacing w:after="0" w:line="150" w:lineRule="exact"/>
        <w:rPr>
          <w:rFonts w:ascii="Arial" w:cs="Arial" w:eastAsia="Arial" w:hAnsi="Arial"/>
          <w:sz w:val="16"/>
          <w:szCs w:val="16"/>
          <w:b w:val="1"/>
          <w:bCs w:val="1"/>
          <w:color w:val="auto"/>
        </w:rPr>
      </w:pPr>
    </w:p>
    <w:p>
      <w:pPr>
        <w:jc w:val="both"/>
        <w:ind w:firstLine="1304"/>
        <w:spacing w:after="0" w:line="265" w:lineRule="auto"/>
        <w:tabs>
          <w:tab w:leader="none" w:pos="1768" w:val="left"/>
        </w:tabs>
        <w:numPr>
          <w:ilvl w:val="2"/>
          <w:numId w:val="137"/>
        </w:numPr>
        <w:rPr>
          <w:rFonts w:ascii="Arial" w:cs="Arial" w:eastAsia="Arial" w:hAnsi="Arial"/>
          <w:sz w:val="16"/>
          <w:szCs w:val="16"/>
          <w:b w:val="1"/>
          <w:bCs w:val="1"/>
          <w:color w:val="auto"/>
        </w:rPr>
      </w:pPr>
      <w:r>
        <w:rPr>
          <w:rFonts w:ascii="Arial" w:cs="Arial" w:eastAsia="Arial" w:hAnsi="Arial"/>
          <w:sz w:val="16"/>
          <w:szCs w:val="16"/>
          <w:color w:val="auto"/>
        </w:rPr>
        <w:t>For clarity, the Share Reserve is a limit on the number of shares of Common Stock that may be issued pursuant to the Plan. Accordingly, this Section 3(a) does not limit the granting of Awards except as provided in Section 7(a). Shares may be issued in connection with a merger or acquisition as permitted by Nasdaq Listing Rule 5635(c) or, if applicable, NYSE Listed Company Manual Section 303A.08, NYSE American Company Guide Section 711 or other applicable rule, and such issuance will not reduce the number of shares available for issuance under the Plan.</w:t>
      </w:r>
    </w:p>
    <w:p>
      <w:pPr>
        <w:spacing w:after="0" w:line="159"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Operation of Share Reserve.</w:t>
      </w:r>
    </w:p>
    <w:p>
      <w:pPr>
        <w:spacing w:after="0" w:line="207" w:lineRule="exact"/>
        <w:rPr>
          <w:rFonts w:ascii="Arial" w:cs="Arial" w:eastAsia="Arial" w:hAnsi="Arial"/>
          <w:sz w:val="16"/>
          <w:szCs w:val="16"/>
          <w:b w:val="1"/>
          <w:bCs w:val="1"/>
          <w:color w:val="auto"/>
        </w:rPr>
      </w:pPr>
    </w:p>
    <w:p>
      <w:pPr>
        <w:jc w:val="both"/>
        <w:ind w:firstLine="1304"/>
        <w:spacing w:after="0" w:line="265" w:lineRule="auto"/>
        <w:tabs>
          <w:tab w:leader="none" w:pos="1636" w:val="left"/>
        </w:tabs>
        <w:numPr>
          <w:ilvl w:val="2"/>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Reduction to Share Reserve. </w:t>
      </w:r>
      <w:r>
        <w:rPr>
          <w:rFonts w:ascii="Arial" w:cs="Arial" w:eastAsia="Arial" w:hAnsi="Arial"/>
          <w:sz w:val="16"/>
          <w:szCs w:val="16"/>
          <w:color w:val="auto"/>
        </w:rPr>
        <w:t>The Share Reserve will not be reduced by any of the following shares of Common Stock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will remain available for issuance under the Plan: (A) any shares subject to an Award that are not issued because such Award or any portion thereof expires or otherwise terminates without all of the shares covered by such Award having been issued; and (B) any shares subject to an Award that are not issued because such Award or any portion thereof is settled in cash.</w:t>
      </w:r>
    </w:p>
    <w:p>
      <w:pPr>
        <w:spacing w:after="0" w:line="159" w:lineRule="exact"/>
        <w:rPr>
          <w:rFonts w:ascii="Arial" w:cs="Arial" w:eastAsia="Arial" w:hAnsi="Arial"/>
          <w:sz w:val="16"/>
          <w:szCs w:val="16"/>
          <w:b w:val="1"/>
          <w:bCs w:val="1"/>
          <w:color w:val="auto"/>
        </w:rPr>
      </w:pPr>
    </w:p>
    <w:p>
      <w:pPr>
        <w:jc w:val="both"/>
        <w:ind w:firstLine="1304"/>
        <w:spacing w:after="0" w:line="265" w:lineRule="auto"/>
        <w:tabs>
          <w:tab w:leader="none" w:pos="1698" w:val="left"/>
        </w:tabs>
        <w:numPr>
          <w:ilvl w:val="2"/>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Shares Available for Subsequent Issuance. </w:t>
      </w:r>
      <w:r>
        <w:rPr>
          <w:rFonts w:ascii="Arial" w:cs="Arial" w:eastAsia="Arial" w:hAnsi="Arial"/>
          <w:sz w:val="16"/>
          <w:szCs w:val="16"/>
          <w:color w:val="auto"/>
        </w:rPr>
        <w:t>The following shares of Common Stock will revert to the Share Reserve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again for issuance under the Plan: (A) any shares issued pursuant to an Award that are forfeited back to or repurchased by the Company because of the failure to meet a contingency or condition required for the vesting of such shares; (B) any shares that are reacquired or withheld (or not issued) by the Company to satisfy the purchase price of a Full Value Award granted under the Plan; and (C) any shares that are reacquired or withheld (or not issued) by the Company to satisfy a tax withholding obligation in connection with a Full Value Award granted under the Plan.</w:t>
      </w:r>
    </w:p>
    <w:p>
      <w:pPr>
        <w:spacing w:after="0" w:line="158" w:lineRule="exact"/>
        <w:rPr>
          <w:rFonts w:ascii="Arial" w:cs="Arial" w:eastAsia="Arial" w:hAnsi="Arial"/>
          <w:sz w:val="16"/>
          <w:szCs w:val="16"/>
          <w:b w:val="1"/>
          <w:bCs w:val="1"/>
          <w:color w:val="auto"/>
        </w:rPr>
      </w:pPr>
    </w:p>
    <w:p>
      <w:pPr>
        <w:jc w:val="both"/>
        <w:ind w:firstLine="1304"/>
        <w:spacing w:after="0" w:line="259" w:lineRule="auto"/>
        <w:tabs>
          <w:tab w:leader="none" w:pos="1762" w:val="left"/>
        </w:tabs>
        <w:numPr>
          <w:ilvl w:val="2"/>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Shares Not Available for Subsequent Issuance. </w:t>
      </w:r>
      <w:r>
        <w:rPr>
          <w:rFonts w:ascii="Arial" w:cs="Arial" w:eastAsia="Arial" w:hAnsi="Arial"/>
          <w:sz w:val="16"/>
          <w:szCs w:val="16"/>
          <w:color w:val="auto"/>
        </w:rPr>
        <w:t>The following shares of Common Stock will not revert to the Share Reserve or</w:t>
      </w:r>
      <w:r>
        <w:rPr>
          <w:rFonts w:ascii="Arial" w:cs="Arial" w:eastAsia="Arial" w:hAnsi="Arial"/>
          <w:sz w:val="16"/>
          <w:szCs w:val="16"/>
          <w:b w:val="1"/>
          <w:bCs w:val="1"/>
          <w:color w:val="auto"/>
        </w:rPr>
        <w:t xml:space="preserve"> </w:t>
      </w:r>
      <w:r>
        <w:rPr>
          <w:rFonts w:ascii="Arial" w:cs="Arial" w:eastAsia="Arial" w:hAnsi="Arial"/>
          <w:sz w:val="16"/>
          <w:szCs w:val="16"/>
          <w:color w:val="auto"/>
        </w:rPr>
        <w:t>become available again for issuance under the Plan: (A) any shares that are reacquired or withheld (or not issued) by the Company to satisfy the exercise or strike price of an Appreciation Award granted under the Plan or the Prior Plan (including any shares subject to such Appreciation Award that are not delivered because such Appreciation Award is exercised through a reduction of shares subject to such Appreciation Award (</w:t>
      </w:r>
      <w:r>
        <w:rPr>
          <w:rFonts w:ascii="Arial" w:cs="Arial" w:eastAsia="Arial" w:hAnsi="Arial"/>
          <w:sz w:val="16"/>
          <w:szCs w:val="16"/>
          <w:i w:val="1"/>
          <w:iCs w:val="1"/>
          <w:color w:val="auto"/>
        </w:rPr>
        <w:t>i.e</w:t>
      </w:r>
      <w:r>
        <w:rPr>
          <w:rFonts w:ascii="Arial" w:cs="Arial" w:eastAsia="Arial" w:hAnsi="Arial"/>
          <w:sz w:val="16"/>
          <w:szCs w:val="16"/>
          <w:color w:val="auto"/>
        </w:rPr>
        <w:t>., “net exercised”)); (B) any shares that are reacquired or withheld (or not issued) by the Company to satisfy a tax withholding obligation in connection with an Appreciation Award granted under the Plan or the Prior Plan; (C) any shares repurchased by the Company on the open market with the proceeds of the exercise or strike price of an Appreciation Award granted under the Plan or the Prior Plan; and (D) in the event that a Stock Appreciation Right granted under the Plan or a stock appreciation right granted under the Prior Plan is settled in shares of Common Stock, the gross number of shares of Common Stock subject to such award.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4" w:name="page95"/>
    <w:bookmarkEnd w:id="94"/>
    <w:p>
      <w:pPr>
        <w:ind w:firstLine="656"/>
        <w:spacing w:after="0" w:line="286" w:lineRule="auto"/>
        <w:tabs>
          <w:tab w:leader="none" w:pos="1026" w:val="left"/>
        </w:tabs>
        <w:numPr>
          <w:ilvl w:val="1"/>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 </w:t>
      </w:r>
      <w:r>
        <w:rPr>
          <w:rFonts w:ascii="Arial" w:cs="Arial" w:eastAsia="Arial" w:hAnsi="Arial"/>
          <w:sz w:val="16"/>
          <w:szCs w:val="16"/>
          <w:color w:val="auto"/>
        </w:rPr>
        <w:t>Subject to the Share Reserve and Section 9(a) relating to Capitalization Adjustments, the aggregate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that may be issued pursuant to the exercise of Incentive Stock Options will be 30,000,000 shares.</w:t>
      </w:r>
    </w:p>
    <w:p>
      <w:pPr>
        <w:spacing w:after="0" w:line="169" w:lineRule="exact"/>
        <w:rPr>
          <w:rFonts w:ascii="Arial" w:cs="Arial" w:eastAsia="Arial" w:hAnsi="Arial"/>
          <w:sz w:val="16"/>
          <w:szCs w:val="16"/>
          <w:b w:val="1"/>
          <w:bCs w:val="1"/>
          <w:color w:val="auto"/>
        </w:rPr>
      </w:pPr>
    </w:p>
    <w:p>
      <w:pPr>
        <w:ind w:firstLine="656"/>
        <w:spacing w:after="0" w:line="286" w:lineRule="auto"/>
        <w:tabs>
          <w:tab w:leader="none" w:pos="1107" w:val="left"/>
        </w:tabs>
        <w:numPr>
          <w:ilvl w:val="1"/>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Source of Shares. </w:t>
      </w:r>
      <w:r>
        <w:rPr>
          <w:rFonts w:ascii="Arial" w:cs="Arial" w:eastAsia="Arial" w:hAnsi="Arial"/>
          <w:sz w:val="16"/>
          <w:szCs w:val="16"/>
          <w:color w:val="auto"/>
        </w:rPr>
        <w:t>The stock issuable under the Plan will be shares of authorized but unissued or reacquired Common Stock,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repurchased by the Company on the open market or otherwise.</w:t>
      </w:r>
    </w:p>
    <w:p>
      <w:pPr>
        <w:spacing w:after="0" w:line="169" w:lineRule="exact"/>
        <w:rPr>
          <w:rFonts w:ascii="Arial" w:cs="Arial" w:eastAsia="Arial" w:hAnsi="Arial"/>
          <w:sz w:val="16"/>
          <w:szCs w:val="16"/>
          <w:b w:val="1"/>
          <w:bCs w:val="1"/>
          <w:color w:val="auto"/>
        </w:rPr>
      </w:pPr>
    </w:p>
    <w:p>
      <w:pPr>
        <w:ind w:left="320" w:hanging="312"/>
        <w:spacing w:after="0"/>
        <w:tabs>
          <w:tab w:leader="none" w:pos="32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221" w:lineRule="exact"/>
        <w:rPr>
          <w:rFonts w:ascii="Arial" w:cs="Arial" w:eastAsia="Arial" w:hAnsi="Arial"/>
          <w:sz w:val="16"/>
          <w:szCs w:val="16"/>
          <w:b w:val="1"/>
          <w:bCs w:val="1"/>
          <w:color w:val="auto"/>
        </w:rPr>
      </w:pPr>
    </w:p>
    <w:p>
      <w:pPr>
        <w:jc w:val="both"/>
        <w:ind w:firstLine="656"/>
        <w:spacing w:after="0" w:line="259" w:lineRule="auto"/>
        <w:tabs>
          <w:tab w:leader="none" w:pos="1095" w:val="left"/>
        </w:tabs>
        <w:numPr>
          <w:ilvl w:val="1"/>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for Specific Awards. </w:t>
      </w:r>
      <w:r>
        <w:rPr>
          <w:rFonts w:ascii="Arial" w:cs="Arial" w:eastAsia="Arial" w:hAnsi="Arial"/>
          <w:sz w:val="16"/>
          <w:szCs w:val="16"/>
          <w:color w:val="auto"/>
        </w:rPr>
        <w:t>Incentive Stock Options may be granted only to employees of the Company or a “parent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“subsidiary corporation” thereof (as such terms are defined in Sections 424(e) and 424(f) of the Code).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Awards may not be granted to Employees, Directors and Consultants who are providing Continuous Service only to any “parent” of the Company, as such term is defined in Rule 405, unless (i) the stock underlying such Awards is treated as “service recipient stock” under Section 409A of the Code (for example, because the Awards are granted pursuant to a corporate transaction such as a spin off transaction) or (ii) the Company, in consultation with its legal counsel, has determined that such Awards are otherwise exempt from or alternatively comply with Section 409A of the Code.</w:t>
      </w:r>
    </w:p>
    <w:p>
      <w:pPr>
        <w:spacing w:after="0" w:line="189" w:lineRule="exact"/>
        <w:rPr>
          <w:rFonts w:ascii="Arial" w:cs="Arial" w:eastAsia="Arial" w:hAnsi="Arial"/>
          <w:sz w:val="16"/>
          <w:szCs w:val="16"/>
          <w:b w:val="1"/>
          <w:bCs w:val="1"/>
          <w:color w:val="auto"/>
        </w:rPr>
      </w:pPr>
    </w:p>
    <w:p>
      <w:pPr>
        <w:jc w:val="both"/>
        <w:ind w:firstLine="656"/>
        <w:spacing w:after="0" w:line="266" w:lineRule="auto"/>
        <w:tabs>
          <w:tab w:leader="none" w:pos="1044" w:val="left"/>
        </w:tabs>
        <w:numPr>
          <w:ilvl w:val="1"/>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(per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Option is at least 110% of the Fair Market Value of the Common Stock on the date of grant of such Option and the Option is not exercisable after the expiration of five years from the date of grant.</w:t>
      </w:r>
    </w:p>
    <w:p>
      <w:pPr>
        <w:spacing w:after="0" w:line="184" w:lineRule="exact"/>
        <w:rPr>
          <w:rFonts w:ascii="Arial" w:cs="Arial" w:eastAsia="Arial" w:hAnsi="Arial"/>
          <w:sz w:val="16"/>
          <w:szCs w:val="16"/>
          <w:b w:val="1"/>
          <w:bCs w:val="1"/>
          <w:color w:val="auto"/>
        </w:rPr>
      </w:pPr>
    </w:p>
    <w:p>
      <w:pPr>
        <w:ind w:left="320" w:hanging="312"/>
        <w:spacing w:after="0"/>
        <w:tabs>
          <w:tab w:leader="none" w:pos="32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Provisions Relating to Options and Stock Appreciation Rights.</w:t>
      </w:r>
    </w:p>
    <w:p>
      <w:pPr>
        <w:spacing w:after="0" w:line="2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 xml:space="preserve">Each Option or SAR Agreement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terms and conditions of separate Option or SAR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Award Agreement will conform to (through incorporation of the provisions hereof by reference in the applicable Award Agreement or otherwise) the substance of each of the following provisions:</w:t>
      </w:r>
    </w:p>
    <w:p>
      <w:pPr>
        <w:spacing w:after="0" w:line="174" w:lineRule="exact"/>
        <w:rPr>
          <w:sz w:val="20"/>
          <w:szCs w:val="20"/>
          <w:color w:val="auto"/>
        </w:rPr>
      </w:pPr>
    </w:p>
    <w:p>
      <w:pPr>
        <w:ind w:firstLine="656"/>
        <w:spacing w:after="0" w:line="286" w:lineRule="auto"/>
        <w:tabs>
          <w:tab w:leader="none" w:pos="104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provisions of Section 4(b) regarding Ten Percent Stockholders, no Option or SAR will be exercisable after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10 years from the date of its grant or such shorter period specified in the Award Agreement.</w:t>
      </w:r>
    </w:p>
    <w:p>
      <w:pPr>
        <w:spacing w:after="0" w:line="169" w:lineRule="exact"/>
        <w:rPr>
          <w:rFonts w:ascii="Arial" w:cs="Arial" w:eastAsia="Arial" w:hAnsi="Arial"/>
          <w:sz w:val="16"/>
          <w:szCs w:val="16"/>
          <w:b w:val="1"/>
          <w:bCs w:val="1"/>
          <w:color w:val="auto"/>
        </w:rPr>
      </w:pPr>
    </w:p>
    <w:p>
      <w:pPr>
        <w:jc w:val="both"/>
        <w:ind w:firstLine="656"/>
        <w:spacing w:after="0" w:line="261" w:lineRule="auto"/>
        <w:tabs>
          <w:tab w:leader="none" w:pos="1112"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or Strike Price. </w:t>
      </w:r>
      <w:r>
        <w:rPr>
          <w:rFonts w:ascii="Arial" w:cs="Arial" w:eastAsia="Arial" w:hAnsi="Arial"/>
          <w:sz w:val="16"/>
          <w:szCs w:val="16"/>
          <w:color w:val="auto"/>
        </w:rPr>
        <w:t>Subject to the provisions of Section 4(b) regarding Ten Percent Stockholders, the exercise or strike price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each Option or SAR will be not less than 100% of the Fair Market Value of the Common Stock on the date the Award is granted. Notwithstanding the foregoing, an Option or SAR may be granted with an exercise or strike price (per share) less than 100% of the Fair Market Value of the Common Stock on the date the Award is granted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76" w:lineRule="exact"/>
        <w:rPr>
          <w:rFonts w:ascii="Arial" w:cs="Arial" w:eastAsia="Arial" w:hAnsi="Arial"/>
          <w:sz w:val="16"/>
          <w:szCs w:val="16"/>
          <w:b w:val="1"/>
          <w:bCs w:val="1"/>
          <w:color w:val="auto"/>
        </w:rPr>
      </w:pPr>
    </w:p>
    <w:p>
      <w:pPr>
        <w:jc w:val="both"/>
        <w:ind w:firstLine="656"/>
        <w:spacing w:after="0" w:line="265" w:lineRule="auto"/>
        <w:tabs>
          <w:tab w:leader="none" w:pos="1092"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of Exercise Price for Options. </w:t>
      </w:r>
      <w:r>
        <w:rPr>
          <w:rFonts w:ascii="Arial" w:cs="Arial" w:eastAsia="Arial" w:hAnsi="Arial"/>
          <w:sz w:val="16"/>
          <w:szCs w:val="16"/>
          <w:color w:val="auto"/>
        </w:rPr>
        <w:t>The exercise price of an Option may be paid, to the extent permitted by applicable law and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in its sole discretion, by one or more of the methods of payment set forth below that are specified in the Option Agreement. The Board has the authority to grant Options that do not permit all of the following methods of payment (or that otherwise restrict the ability to utilize certain methods) and to grant Options that require the consent of the Company to utilize a particular method of payment.</w:t>
      </w:r>
    </w:p>
    <w:p>
      <w:pPr>
        <w:spacing w:after="0" w:line="186" w:lineRule="exact"/>
        <w:rPr>
          <w:rFonts w:ascii="Arial" w:cs="Arial" w:eastAsia="Arial" w:hAnsi="Arial"/>
          <w:sz w:val="16"/>
          <w:szCs w:val="16"/>
          <w:b w:val="1"/>
          <w:bCs w:val="1"/>
          <w:color w:val="auto"/>
        </w:rPr>
      </w:pPr>
    </w:p>
    <w:p>
      <w:pPr>
        <w:ind w:left="1640" w:hanging="336"/>
        <w:spacing w:after="0"/>
        <w:tabs>
          <w:tab w:leader="none" w:pos="1640"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By cash (including electronic funds transfers), check, bank draft or money order payable to the Company;</w:t>
      </w:r>
    </w:p>
    <w:p>
      <w:pPr>
        <w:spacing w:after="0" w:line="221" w:lineRule="exact"/>
        <w:rPr>
          <w:rFonts w:ascii="Arial" w:cs="Arial" w:eastAsia="Arial" w:hAnsi="Arial"/>
          <w:sz w:val="16"/>
          <w:szCs w:val="16"/>
          <w:b w:val="1"/>
          <w:bCs w:val="1"/>
          <w:color w:val="auto"/>
        </w:rPr>
      </w:pPr>
    </w:p>
    <w:p>
      <w:pPr>
        <w:jc w:val="both"/>
        <w:ind w:firstLine="1304"/>
        <w:spacing w:after="0" w:line="275" w:lineRule="auto"/>
        <w:tabs>
          <w:tab w:leader="none" w:pos="1674"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pacing w:after="0" w:line="164" w:lineRule="exact"/>
        <w:rPr>
          <w:rFonts w:ascii="Arial" w:cs="Arial" w:eastAsia="Arial" w:hAnsi="Arial"/>
          <w:sz w:val="16"/>
          <w:szCs w:val="16"/>
          <w:b w:val="1"/>
          <w:bCs w:val="1"/>
          <w:color w:val="auto"/>
        </w:rPr>
      </w:pPr>
    </w:p>
    <w:p>
      <w:pPr>
        <w:ind w:left="1720" w:hanging="416"/>
        <w:spacing w:after="0"/>
        <w:tabs>
          <w:tab w:leader="none" w:pos="1720"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By delivery to the Company (either by actual delivery or attestation) of shares of Common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5" w:name="page96"/>
    <w:bookmarkEnd w:id="95"/>
    <w:p>
      <w:pPr>
        <w:jc w:val="both"/>
        <w:ind w:firstLine="1304"/>
        <w:spacing w:after="0" w:line="261" w:lineRule="auto"/>
        <w:tabs>
          <w:tab w:leader="none" w:pos="1719" w:val="left"/>
        </w:tabs>
        <w:numPr>
          <w:ilvl w:val="1"/>
          <w:numId w:val="141"/>
        </w:numPr>
        <w:rPr>
          <w:rFonts w:ascii="Arial" w:cs="Arial" w:eastAsia="Arial" w:hAnsi="Arial"/>
          <w:sz w:val="16"/>
          <w:szCs w:val="16"/>
          <w:b w:val="1"/>
          <w:bCs w:val="1"/>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76" w:lineRule="exact"/>
        <w:rPr>
          <w:rFonts w:ascii="Arial" w:cs="Arial" w:eastAsia="Arial" w:hAnsi="Arial"/>
          <w:sz w:val="16"/>
          <w:szCs w:val="16"/>
          <w:b w:val="1"/>
          <w:bCs w:val="1"/>
          <w:color w:val="auto"/>
        </w:rPr>
      </w:pPr>
    </w:p>
    <w:p>
      <w:pPr>
        <w:ind w:left="1680" w:hanging="376"/>
        <w:spacing w:after="0"/>
        <w:tabs>
          <w:tab w:leader="none" w:pos="1680" w:val="left"/>
        </w:tabs>
        <w:numPr>
          <w:ilvl w:val="1"/>
          <w:numId w:val="141"/>
        </w:numPr>
        <w:rPr>
          <w:rFonts w:ascii="Arial" w:cs="Arial" w:eastAsia="Arial" w:hAnsi="Arial"/>
          <w:sz w:val="16"/>
          <w:szCs w:val="16"/>
          <w:b w:val="1"/>
          <w:bCs w:val="1"/>
          <w:color w:val="auto"/>
        </w:rPr>
      </w:pPr>
      <w:r>
        <w:rPr>
          <w:rFonts w:ascii="Arial" w:cs="Arial" w:eastAsia="Arial" w:hAnsi="Arial"/>
          <w:sz w:val="16"/>
          <w:szCs w:val="16"/>
          <w:color w:val="auto"/>
        </w:rPr>
        <w:t>In any other form of legal consideration that may be acceptable to the Board and specified in the applicable Award Agreement.</w:t>
      </w:r>
    </w:p>
    <w:p>
      <w:pPr>
        <w:spacing w:after="0" w:line="234" w:lineRule="exact"/>
        <w:rPr>
          <w:rFonts w:ascii="Arial" w:cs="Arial" w:eastAsia="Arial" w:hAnsi="Arial"/>
          <w:sz w:val="16"/>
          <w:szCs w:val="16"/>
          <w:b w:val="1"/>
          <w:bCs w:val="1"/>
          <w:color w:val="auto"/>
        </w:rPr>
      </w:pPr>
    </w:p>
    <w:p>
      <w:pPr>
        <w:jc w:val="both"/>
        <w:ind w:firstLine="656"/>
        <w:spacing w:after="0" w:line="259" w:lineRule="auto"/>
        <w:tabs>
          <w:tab w:leader="none" w:pos="1059"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76" w:lineRule="exact"/>
        <w:rPr>
          <w:rFonts w:ascii="Arial" w:cs="Arial" w:eastAsia="Arial" w:hAnsi="Arial"/>
          <w:sz w:val="16"/>
          <w:szCs w:val="16"/>
          <w:b w:val="1"/>
          <w:bCs w:val="1"/>
          <w:color w:val="auto"/>
        </w:rPr>
      </w:pPr>
    </w:p>
    <w:p>
      <w:pPr>
        <w:jc w:val="both"/>
        <w:ind w:firstLine="656"/>
        <w:spacing w:after="0" w:line="271" w:lineRule="auto"/>
        <w:tabs>
          <w:tab w:leader="none" w:pos="1087"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and SARs. </w:t>
      </w:r>
      <w:r>
        <w:rPr>
          <w:rFonts w:ascii="Arial" w:cs="Arial" w:eastAsia="Arial" w:hAnsi="Arial"/>
          <w:sz w:val="16"/>
          <w:szCs w:val="16"/>
          <w:color w:val="auto"/>
        </w:rPr>
        <w:t>The Board may, in its sole discretion, impose such limitations on the transferability of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SARs as the Board will determine. In the absence of such a determination by the Board to the contrary, the restrictions set forth in this Section 5(e) on the transferability of Options and SARs will apply. Notwithstanding the foregoing or anything in the Plan or an Award Agreement to the contrary, no Option or SAR may be transferred to any financial institution without prior stockholder approval.</w:t>
      </w:r>
    </w:p>
    <w:p>
      <w:pPr>
        <w:spacing w:after="0" w:line="167" w:lineRule="exact"/>
        <w:rPr>
          <w:rFonts w:ascii="Arial" w:cs="Arial" w:eastAsia="Arial" w:hAnsi="Arial"/>
          <w:sz w:val="16"/>
          <w:szCs w:val="16"/>
          <w:b w:val="1"/>
          <w:bCs w:val="1"/>
          <w:color w:val="auto"/>
        </w:rPr>
      </w:pPr>
    </w:p>
    <w:p>
      <w:pPr>
        <w:jc w:val="both"/>
        <w:ind w:firstLine="1304"/>
        <w:spacing w:after="0" w:line="265" w:lineRule="auto"/>
        <w:tabs>
          <w:tab w:leader="none" w:pos="1674" w:val="left"/>
        </w:tabs>
        <w:numPr>
          <w:ilvl w:val="1"/>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Sections 5(e)(ii) and 5(e)(iii) below), and will be exercisable during the lifetime of the Participant only by the Participant. Subject to the foregoing paragraph, the Board may, in its sole discretion, permit transfer of the Option or SAR in a manner that is not prohibited by applicable tax and securities laws. Except as explicitly provided in the Plan, neither an Option nor a SAR may be transferred for consideration.</w:t>
      </w:r>
    </w:p>
    <w:p>
      <w:pPr>
        <w:spacing w:after="0" w:line="186" w:lineRule="exact"/>
        <w:rPr>
          <w:rFonts w:ascii="Arial" w:cs="Arial" w:eastAsia="Arial" w:hAnsi="Arial"/>
          <w:sz w:val="16"/>
          <w:szCs w:val="16"/>
          <w:b w:val="1"/>
          <w:bCs w:val="1"/>
          <w:color w:val="auto"/>
        </w:rPr>
      </w:pPr>
    </w:p>
    <w:p>
      <w:pPr>
        <w:jc w:val="both"/>
        <w:ind w:firstLine="1304"/>
        <w:spacing w:after="0" w:line="265" w:lineRule="auto"/>
        <w:tabs>
          <w:tab w:leader="none" w:pos="1683" w:val="left"/>
        </w:tabs>
        <w:numPr>
          <w:ilvl w:val="1"/>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Subject to the approval of the Board or a duly authorized Officer, an Option or SAR may be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2" w:lineRule="exact"/>
        <w:rPr>
          <w:rFonts w:ascii="Arial" w:cs="Arial" w:eastAsia="Arial" w:hAnsi="Arial"/>
          <w:sz w:val="16"/>
          <w:szCs w:val="16"/>
          <w:b w:val="1"/>
          <w:bCs w:val="1"/>
          <w:color w:val="auto"/>
        </w:rPr>
      </w:pPr>
    </w:p>
    <w:p>
      <w:pPr>
        <w:jc w:val="both"/>
        <w:ind w:firstLine="1304"/>
        <w:spacing w:after="0" w:line="261" w:lineRule="auto"/>
        <w:tabs>
          <w:tab w:leader="none" w:pos="1741" w:val="left"/>
        </w:tabs>
        <w:numPr>
          <w:ilvl w:val="1"/>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Subject to the approval of the Board or a duly authorized Officer, a Participant may, by delivering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9" w:lineRule="exact"/>
        <w:rPr>
          <w:rFonts w:ascii="Arial" w:cs="Arial" w:eastAsia="Arial" w:hAnsi="Arial"/>
          <w:sz w:val="16"/>
          <w:szCs w:val="16"/>
          <w:b w:val="1"/>
          <w:bCs w:val="1"/>
          <w:color w:val="auto"/>
        </w:rPr>
      </w:pPr>
    </w:p>
    <w:p>
      <w:pPr>
        <w:jc w:val="both"/>
        <w:ind w:firstLine="656"/>
        <w:spacing w:after="0" w:line="260" w:lineRule="auto"/>
        <w:tabs>
          <w:tab w:leader="none" w:pos="99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total number of shares of Common Stock subject to an Option or SAR may vest and become exercisable in periodic installments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7" w:lineRule="exact"/>
        <w:rPr>
          <w:rFonts w:ascii="Arial" w:cs="Arial" w:eastAsia="Arial" w:hAnsi="Arial"/>
          <w:sz w:val="16"/>
          <w:szCs w:val="16"/>
          <w:b w:val="1"/>
          <w:bCs w:val="1"/>
          <w:color w:val="auto"/>
        </w:rPr>
      </w:pPr>
    </w:p>
    <w:p>
      <w:pPr>
        <w:jc w:val="both"/>
        <w:ind w:firstLine="656"/>
        <w:spacing w:after="0" w:line="262" w:lineRule="auto"/>
        <w:tabs>
          <w:tab w:leader="none" w:pos="1035"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Award Agreement or other written agreement between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that is three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period, the Option or SAR (as applicable) will terminate.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6" w:name="page97"/>
    <w:bookmarkEnd w:id="96"/>
    <w:p>
      <w:pPr>
        <w:jc w:val="both"/>
        <w:ind w:firstLine="656"/>
        <w:spacing w:after="0" w:line="257" w:lineRule="auto"/>
        <w:tabs>
          <w:tab w:leader="none" w:pos="1097"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Award Agreement or other written agreement between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or an Affiliate, if the exercise of an Option or SAR following the termination of a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except as otherwise provided in the applicable Award Agreement or other written agreement between a Participant and the Company or an Affiliate, if the sale of any Common Stock received upon exercise of an Option or SAR following the termination of a Participant’s Continuous Service (other than for Cause) would violate the Company’s insider trading policy, then the Option or SAR will terminate on the earlier of (i) the expiration of a total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376" w:lineRule="exact"/>
        <w:rPr>
          <w:rFonts w:ascii="Arial" w:cs="Arial" w:eastAsia="Arial" w:hAnsi="Arial"/>
          <w:sz w:val="16"/>
          <w:szCs w:val="16"/>
          <w:b w:val="1"/>
          <w:bCs w:val="1"/>
          <w:color w:val="auto"/>
        </w:rPr>
      </w:pPr>
    </w:p>
    <w:p>
      <w:pPr>
        <w:jc w:val="both"/>
        <w:ind w:firstLine="656"/>
        <w:spacing w:after="0" w:line="259" w:lineRule="auto"/>
        <w:tabs>
          <w:tab w:leader="none" w:pos="999"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Award Agreement or other written agreement between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that is 18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period, the Option or SAR (as applicable) will terminate.</w:t>
      </w:r>
    </w:p>
    <w:p>
      <w:pPr>
        <w:spacing w:after="0" w:line="189" w:lineRule="exact"/>
        <w:rPr>
          <w:rFonts w:ascii="Arial" w:cs="Arial" w:eastAsia="Arial" w:hAnsi="Arial"/>
          <w:sz w:val="16"/>
          <w:szCs w:val="16"/>
          <w:b w:val="1"/>
          <w:bCs w:val="1"/>
          <w:color w:val="auto"/>
        </w:rPr>
      </w:pPr>
    </w:p>
    <w:p>
      <w:pPr>
        <w:jc w:val="both"/>
        <w:ind w:firstLine="656"/>
        <w:spacing w:after="0" w:line="258" w:lineRule="auto"/>
        <w:tabs>
          <w:tab w:leader="none" w:pos="990"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written agreement between a Participant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 Affiliate, if (i) a Participant’s Continuous Service terminates as a result of the Participant’s death, or (ii) a Participant dies within the period (if any) specified in the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that is 18 months following the date of death (or such longer or shorter period specified in the Award Agreement), and (ii) the expiration of the term of the Option or SAR as set forth in the Award Agreement. If, after the Participant’s death, the Option or SAR (as applicable) is not exercised within the applicable time period, the Option or SAR (as applicable) will terminate.</w:t>
      </w:r>
    </w:p>
    <w:p>
      <w:pPr>
        <w:spacing w:after="0" w:line="177" w:lineRule="exact"/>
        <w:rPr>
          <w:rFonts w:ascii="Arial" w:cs="Arial" w:eastAsia="Arial" w:hAnsi="Arial"/>
          <w:sz w:val="16"/>
          <w:szCs w:val="16"/>
          <w:b w:val="1"/>
          <w:bCs w:val="1"/>
          <w:color w:val="auto"/>
        </w:rPr>
      </w:pPr>
    </w:p>
    <w:p>
      <w:pPr>
        <w:jc w:val="both"/>
        <w:ind w:firstLine="656"/>
        <w:spacing w:after="0" w:line="271" w:lineRule="auto"/>
        <w:tabs>
          <w:tab w:leader="none" w:pos="1098"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the applicable Award Agreement or other individual written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a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167" w:lineRule="exact"/>
        <w:rPr>
          <w:rFonts w:ascii="Arial" w:cs="Arial" w:eastAsia="Arial" w:hAnsi="Arial"/>
          <w:sz w:val="16"/>
          <w:szCs w:val="16"/>
          <w:b w:val="1"/>
          <w:bCs w:val="1"/>
          <w:color w:val="auto"/>
        </w:rPr>
      </w:pPr>
    </w:p>
    <w:p>
      <w:pPr>
        <w:jc w:val="both"/>
        <w:ind w:firstLine="656"/>
        <w:spacing w:after="0" w:line="259" w:lineRule="auto"/>
        <w:tabs>
          <w:tab w:leader="none" w:pos="1057"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If an Option or SAR is granted to an Employee who is a non-exempt employee for purposes of the Fair Labor</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w:t>
      </w:r>
    </w:p>
    <w:p>
      <w:pPr>
        <w:jc w:val="both"/>
        <w:ind w:firstLine="8"/>
        <w:spacing w:after="0" w:line="255" w:lineRule="auto"/>
        <w:tabs>
          <w:tab w:leader="none" w:pos="20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written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5(l) will apply to all Awards and are hereby incorporated by reference into such Award Agreements.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7" w:name="page98"/>
    <w:bookmarkEnd w:id="97"/>
    <w:p>
      <w:pPr>
        <w:ind w:left="320" w:hanging="312"/>
        <w:spacing w:after="0"/>
        <w:tabs>
          <w:tab w:leader="none" w:pos="32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Provisions of Awards Other than Options and SARs.</w:t>
      </w:r>
    </w:p>
    <w:p>
      <w:pPr>
        <w:spacing w:after="0" w:line="221" w:lineRule="exact"/>
        <w:rPr>
          <w:rFonts w:ascii="Arial" w:cs="Arial" w:eastAsia="Arial" w:hAnsi="Arial"/>
          <w:sz w:val="16"/>
          <w:szCs w:val="16"/>
          <w:b w:val="1"/>
          <w:bCs w:val="1"/>
          <w:color w:val="auto"/>
        </w:rPr>
      </w:pPr>
    </w:p>
    <w:p>
      <w:pPr>
        <w:jc w:val="both"/>
        <w:ind w:firstLine="656"/>
        <w:spacing w:after="0" w:line="261" w:lineRule="auto"/>
        <w:tabs>
          <w:tab w:leader="none" w:pos="1071" w:val="left"/>
        </w:tabs>
        <w:numPr>
          <w:ilvl w:val="1"/>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w:t>
      </w:r>
      <w:r>
        <w:rPr>
          <w:rFonts w:ascii="Arial" w:cs="Arial" w:eastAsia="Arial" w:hAnsi="Arial"/>
          <w:sz w:val="16"/>
          <w:szCs w:val="16"/>
          <w:color w:val="auto"/>
        </w:rPr>
        <w:t>Each Restricted Stock Award Agreement will be in such form and will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separate Restricted Stock Award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Restricted Stock Award Agreement will conform to (through incorporation of the provisions hereof by reference in the applicable Award Agreement or otherwise) the substance of each of the following provisions:</w:t>
      </w:r>
    </w:p>
    <w:p>
      <w:pPr>
        <w:spacing w:after="0" w:line="189" w:lineRule="exact"/>
        <w:rPr>
          <w:rFonts w:ascii="Arial" w:cs="Arial" w:eastAsia="Arial" w:hAnsi="Arial"/>
          <w:sz w:val="16"/>
          <w:szCs w:val="16"/>
          <w:b w:val="1"/>
          <w:bCs w:val="1"/>
          <w:color w:val="auto"/>
        </w:rPr>
      </w:pPr>
    </w:p>
    <w:p>
      <w:pPr>
        <w:jc w:val="both"/>
        <w:ind w:firstLine="1304"/>
        <w:spacing w:after="0" w:line="275" w:lineRule="auto"/>
        <w:tabs>
          <w:tab w:leader="none" w:pos="1642"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A Restricted Stock Award may be awarded in consideration for (A) cash (including electronic funds transfers), check,</w:t>
      </w:r>
      <w:r>
        <w:rPr>
          <w:rFonts w:ascii="Arial" w:cs="Arial" w:eastAsia="Arial" w:hAnsi="Arial"/>
          <w:sz w:val="16"/>
          <w:szCs w:val="16"/>
          <w:b w:val="1"/>
          <w:bCs w:val="1"/>
          <w:color w:val="auto"/>
        </w:rPr>
        <w:t xml:space="preserve"> </w:t>
      </w:r>
      <w:r>
        <w:rPr>
          <w:rFonts w:ascii="Arial" w:cs="Arial" w:eastAsia="Arial" w:hAnsi="Arial"/>
          <w:sz w:val="16"/>
          <w:szCs w:val="16"/>
          <w:color w:val="auto"/>
        </w:rPr>
        <w:t>bank draft or 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64" w:lineRule="exact"/>
        <w:rPr>
          <w:rFonts w:ascii="Arial" w:cs="Arial" w:eastAsia="Arial" w:hAnsi="Arial"/>
          <w:sz w:val="16"/>
          <w:szCs w:val="16"/>
          <w:b w:val="1"/>
          <w:bCs w:val="1"/>
          <w:color w:val="auto"/>
        </w:rPr>
      </w:pPr>
    </w:p>
    <w:p>
      <w:pPr>
        <w:ind w:firstLine="1304"/>
        <w:spacing w:after="0" w:line="286" w:lineRule="auto"/>
        <w:tabs>
          <w:tab w:leader="none" w:pos="1825"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Shares of Common Stock awarded under a Restricted Stock Award Agreement may be subject to forfeiture to or</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by the Company in accordance with a vesting schedule to be determined by the Board.</w:t>
      </w:r>
    </w:p>
    <w:p>
      <w:pPr>
        <w:spacing w:after="0" w:line="169" w:lineRule="exact"/>
        <w:rPr>
          <w:rFonts w:ascii="Arial" w:cs="Arial" w:eastAsia="Arial" w:hAnsi="Arial"/>
          <w:sz w:val="16"/>
          <w:szCs w:val="16"/>
          <w:b w:val="1"/>
          <w:bCs w:val="1"/>
          <w:color w:val="auto"/>
        </w:rPr>
      </w:pPr>
    </w:p>
    <w:p>
      <w:pPr>
        <w:jc w:val="both"/>
        <w:ind w:firstLine="1304"/>
        <w:spacing w:after="0" w:line="266" w:lineRule="auto"/>
        <w:tabs>
          <w:tab w:leader="none" w:pos="1850"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If a Participant’s Continuous Service terminates, the Company may receive through a</w:t>
      </w:r>
      <w:r>
        <w:rPr>
          <w:rFonts w:ascii="Arial" w:cs="Arial" w:eastAsia="Arial" w:hAnsi="Arial"/>
          <w:sz w:val="16"/>
          <w:szCs w:val="16"/>
          <w:b w:val="1"/>
          <w:bCs w:val="1"/>
          <w:color w:val="auto"/>
        </w:rPr>
        <w:t xml:space="preserve"> </w:t>
      </w:r>
      <w:r>
        <w:rPr>
          <w:rFonts w:ascii="Arial" w:cs="Arial" w:eastAsia="Arial" w:hAnsi="Arial"/>
          <w:sz w:val="16"/>
          <w:szCs w:val="16"/>
          <w:color w:val="auto"/>
        </w:rPr>
        <w:t>forfeiture condition or a repurchase right any or all of the shares of Common Stock held by the Participant that have not vested as of the date of such termination under the terms of the Participant’s Restricted Stock Award Agreement.</w:t>
      </w:r>
    </w:p>
    <w:p>
      <w:pPr>
        <w:spacing w:after="0" w:line="184" w:lineRule="exact"/>
        <w:rPr>
          <w:rFonts w:ascii="Arial" w:cs="Arial" w:eastAsia="Arial" w:hAnsi="Arial"/>
          <w:sz w:val="16"/>
          <w:szCs w:val="16"/>
          <w:b w:val="1"/>
          <w:bCs w:val="1"/>
          <w:color w:val="auto"/>
        </w:rPr>
      </w:pPr>
    </w:p>
    <w:p>
      <w:pPr>
        <w:jc w:val="both"/>
        <w:ind w:firstLine="1304"/>
        <w:spacing w:after="0" w:line="260" w:lineRule="auto"/>
        <w:tabs>
          <w:tab w:leader="none" w:pos="1746"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shares of Common Stock under a Restricted Stock Award Agreement will be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spacing w:after="0" w:line="191" w:lineRule="exact"/>
        <w:rPr>
          <w:rFonts w:ascii="Arial" w:cs="Arial" w:eastAsia="Arial" w:hAnsi="Arial"/>
          <w:sz w:val="16"/>
          <w:szCs w:val="16"/>
          <w:b w:val="1"/>
          <w:bCs w:val="1"/>
          <w:color w:val="auto"/>
        </w:rPr>
      </w:pPr>
    </w:p>
    <w:p>
      <w:pPr>
        <w:jc w:val="both"/>
        <w:ind w:firstLine="656"/>
        <w:spacing w:after="0" w:line="265" w:lineRule="auto"/>
        <w:tabs>
          <w:tab w:leader="none" w:pos="1042" w:val="left"/>
        </w:tabs>
        <w:numPr>
          <w:ilvl w:val="1"/>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the Board deems appropriate. The terms and conditions of separate Restricted Stock Unit Award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Restricted Stock Unit Award Agreement will conform to (through incorporation of the provisions hereof by reference in the applicable Award Agreement or otherwise) the substance of each of the following provisions:</w:t>
      </w:r>
    </w:p>
    <w:p>
      <w:pPr>
        <w:spacing w:after="0" w:line="172" w:lineRule="exact"/>
        <w:rPr>
          <w:rFonts w:ascii="Arial" w:cs="Arial" w:eastAsia="Arial" w:hAnsi="Arial"/>
          <w:sz w:val="16"/>
          <w:szCs w:val="16"/>
          <w:b w:val="1"/>
          <w:bCs w:val="1"/>
          <w:color w:val="auto"/>
        </w:rPr>
      </w:pPr>
    </w:p>
    <w:p>
      <w:pPr>
        <w:jc w:val="both"/>
        <w:ind w:firstLine="1304"/>
        <w:spacing w:after="0" w:line="271" w:lineRule="auto"/>
        <w:tabs>
          <w:tab w:leader="none" w:pos="1642"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At the time of grant of a Restricted Stock Unit Award, the Board will determine the consideration, if any, to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67" w:lineRule="exact"/>
        <w:rPr>
          <w:rFonts w:ascii="Arial" w:cs="Arial" w:eastAsia="Arial" w:hAnsi="Arial"/>
          <w:sz w:val="16"/>
          <w:szCs w:val="16"/>
          <w:b w:val="1"/>
          <w:bCs w:val="1"/>
          <w:color w:val="auto"/>
        </w:rPr>
      </w:pPr>
    </w:p>
    <w:p>
      <w:pPr>
        <w:ind w:firstLine="1304"/>
        <w:spacing w:after="0" w:line="286" w:lineRule="auto"/>
        <w:tabs>
          <w:tab w:leader="none" w:pos="1717"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At the time of the grant of a Restricted Stock Unit Award, the Board may impose such restrictions on or conditions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the Restricted Stock Unit Award as it, in its sole discretion, deems appropriate.</w:t>
      </w:r>
    </w:p>
    <w:p>
      <w:pPr>
        <w:spacing w:after="0" w:line="169" w:lineRule="exact"/>
        <w:rPr>
          <w:rFonts w:ascii="Arial" w:cs="Arial" w:eastAsia="Arial" w:hAnsi="Arial"/>
          <w:sz w:val="16"/>
          <w:szCs w:val="16"/>
          <w:b w:val="1"/>
          <w:bCs w:val="1"/>
          <w:color w:val="auto"/>
        </w:rPr>
      </w:pPr>
    </w:p>
    <w:p>
      <w:pPr>
        <w:ind w:firstLine="1304"/>
        <w:spacing w:after="0" w:line="286" w:lineRule="auto"/>
        <w:tabs>
          <w:tab w:leader="none" w:pos="1786"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69" w:lineRule="exact"/>
        <w:rPr>
          <w:rFonts w:ascii="Arial" w:cs="Arial" w:eastAsia="Arial" w:hAnsi="Arial"/>
          <w:sz w:val="16"/>
          <w:szCs w:val="16"/>
          <w:b w:val="1"/>
          <w:bCs w:val="1"/>
          <w:color w:val="auto"/>
        </w:rPr>
      </w:pPr>
    </w:p>
    <w:p>
      <w:pPr>
        <w:jc w:val="both"/>
        <w:ind w:firstLine="1304"/>
        <w:spacing w:after="0" w:line="266" w:lineRule="auto"/>
        <w:tabs>
          <w:tab w:leader="none" w:pos="1722"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Restrictions. </w:t>
      </w:r>
      <w:r>
        <w:rPr>
          <w:rFonts w:ascii="Arial" w:cs="Arial" w:eastAsia="Arial" w:hAnsi="Arial"/>
          <w:sz w:val="16"/>
          <w:szCs w:val="16"/>
          <w:color w:val="auto"/>
        </w:rPr>
        <w:t>At the time of the grant of a Restricted Stock Unit Award, the Board, as it deems appropriate, may impose</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restrictions or conditions that delay the delivery of the shares of Common Stock (or their cash equivalent) subject to the Restricted Stock Unit Award to a time after the vesting of the Restricted Stock Unit Award.</w:t>
      </w:r>
    </w:p>
    <w:p>
      <w:pPr>
        <w:spacing w:after="0" w:line="184" w:lineRule="exact"/>
        <w:rPr>
          <w:rFonts w:ascii="Arial" w:cs="Arial" w:eastAsia="Arial" w:hAnsi="Arial"/>
          <w:sz w:val="16"/>
          <w:szCs w:val="16"/>
          <w:b w:val="1"/>
          <w:bCs w:val="1"/>
          <w:color w:val="auto"/>
        </w:rPr>
      </w:pPr>
    </w:p>
    <w:p>
      <w:pPr>
        <w:jc w:val="both"/>
        <w:ind w:firstLine="1304"/>
        <w:spacing w:after="0" w:line="266" w:lineRule="auto"/>
        <w:tabs>
          <w:tab w:leader="none" w:pos="1748"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Restricted Stock Unit Award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written agreement between a Participant and the Company or an Affiliate, if a Participant’s Continuous Service terminates, any portion of the Participant’s Restricted Stock Unit Award that has not vested as of the date of such termination will be forfeited upon such termination.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8" w:name="page99"/>
    <w:bookmarkEnd w:id="98"/>
    <w:p>
      <w:pPr>
        <w:ind w:left="1040" w:hanging="384"/>
        <w:spacing w:after="0"/>
        <w:tabs>
          <w:tab w:leader="none" w:pos="1040" w:val="left"/>
        </w:tabs>
        <w:numPr>
          <w:ilvl w:val="1"/>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Stock Awards.</w:t>
      </w:r>
    </w:p>
    <w:p>
      <w:pPr>
        <w:spacing w:after="0" w:line="221" w:lineRule="exact"/>
        <w:rPr>
          <w:rFonts w:ascii="Arial" w:cs="Arial" w:eastAsia="Arial" w:hAnsi="Arial"/>
          <w:sz w:val="16"/>
          <w:szCs w:val="16"/>
          <w:b w:val="1"/>
          <w:bCs w:val="1"/>
          <w:color w:val="auto"/>
        </w:rPr>
      </w:pPr>
    </w:p>
    <w:p>
      <w:pPr>
        <w:jc w:val="both"/>
        <w:ind w:firstLine="1304"/>
        <w:spacing w:after="0" w:line="261" w:lineRule="auto"/>
        <w:tabs>
          <w:tab w:leader="none" w:pos="1669" w:val="left"/>
        </w:tabs>
        <w:numPr>
          <w:ilvl w:val="2"/>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A Performance Stock Award is an Award that is payable (including that may be granted, vest or be exercised)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attainment during a Performance Period of specified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Award Agreement, the Board may determine that cash may be used in payment of Performance Stock Awards.</w:t>
      </w:r>
    </w:p>
    <w:p>
      <w:pPr>
        <w:spacing w:after="0" w:line="189" w:lineRule="exact"/>
        <w:rPr>
          <w:rFonts w:ascii="Arial" w:cs="Arial" w:eastAsia="Arial" w:hAnsi="Arial"/>
          <w:sz w:val="16"/>
          <w:szCs w:val="16"/>
          <w:b w:val="1"/>
          <w:bCs w:val="1"/>
          <w:color w:val="auto"/>
        </w:rPr>
      </w:pPr>
    </w:p>
    <w:p>
      <w:pPr>
        <w:jc w:val="both"/>
        <w:ind w:firstLine="1304"/>
        <w:spacing w:after="0" w:line="275" w:lineRule="auto"/>
        <w:tabs>
          <w:tab w:leader="none" w:pos="1739" w:val="left"/>
        </w:tabs>
        <w:numPr>
          <w:ilvl w:val="2"/>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Board Discretion. </w:t>
      </w:r>
      <w:r>
        <w:rPr>
          <w:rFonts w:ascii="Arial" w:cs="Arial" w:eastAsia="Arial" w:hAnsi="Arial"/>
          <w:sz w:val="16"/>
          <w:szCs w:val="16"/>
          <w:color w:val="auto"/>
        </w:rPr>
        <w:t>With respect to any Performance Stock Award, the Board retains the discretion to (A) reduce or eliminate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or economic benefit due upon the attainment of any Performance Goals on the basis of any considerations as the Board, in its sole discretion, may determine and (B) define the manner of calculating the Performance Criteria it selects to use for a Performance Period.</w:t>
      </w:r>
    </w:p>
    <w:p>
      <w:pPr>
        <w:spacing w:after="0" w:line="164" w:lineRule="exact"/>
        <w:rPr>
          <w:rFonts w:ascii="Arial" w:cs="Arial" w:eastAsia="Arial" w:hAnsi="Arial"/>
          <w:sz w:val="16"/>
          <w:szCs w:val="16"/>
          <w:b w:val="1"/>
          <w:bCs w:val="1"/>
          <w:color w:val="auto"/>
        </w:rPr>
      </w:pPr>
    </w:p>
    <w:p>
      <w:pPr>
        <w:jc w:val="both"/>
        <w:ind w:firstLine="656"/>
        <w:spacing w:after="0" w:line="260" w:lineRule="auto"/>
        <w:tabs>
          <w:tab w:leader="none" w:pos="1043" w:val="left"/>
        </w:tabs>
        <w:numPr>
          <w:ilvl w:val="1"/>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Stock Awards. </w:t>
      </w:r>
      <w:r>
        <w:rPr>
          <w:rFonts w:ascii="Arial" w:cs="Arial" w:eastAsia="Arial" w:hAnsi="Arial"/>
          <w:sz w:val="16"/>
          <w:szCs w:val="16"/>
          <w:color w:val="auto"/>
        </w:rPr>
        <w:t>Other forms of Awards valued in whole or in part by reference to, or otherwise based on, Common Stock,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value thereof may be granted either alone or in addition to Awards granted under Section 5 and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91" w:lineRule="exact"/>
        <w:rPr>
          <w:rFonts w:ascii="Arial" w:cs="Arial" w:eastAsia="Arial" w:hAnsi="Arial"/>
          <w:sz w:val="16"/>
          <w:szCs w:val="16"/>
          <w:b w:val="1"/>
          <w:bCs w:val="1"/>
          <w:color w:val="auto"/>
        </w:rPr>
      </w:pPr>
    </w:p>
    <w:p>
      <w:pPr>
        <w:ind w:left="320" w:hanging="312"/>
        <w:spacing w:after="0"/>
        <w:tabs>
          <w:tab w:leader="none" w:pos="32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Covenants of the Company.</w:t>
      </w:r>
    </w:p>
    <w:p>
      <w:pPr>
        <w:spacing w:after="0" w:line="221" w:lineRule="exact"/>
        <w:rPr>
          <w:rFonts w:ascii="Arial" w:cs="Arial" w:eastAsia="Arial" w:hAnsi="Arial"/>
          <w:sz w:val="16"/>
          <w:szCs w:val="16"/>
          <w:b w:val="1"/>
          <w:bCs w:val="1"/>
          <w:color w:val="auto"/>
        </w:rPr>
      </w:pPr>
    </w:p>
    <w:p>
      <w:pPr>
        <w:ind w:firstLine="656"/>
        <w:spacing w:after="0" w:line="304" w:lineRule="auto"/>
        <w:tabs>
          <w:tab w:leader="none" w:pos="1056"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Availability of Shares. </w:t>
      </w:r>
      <w:r>
        <w:rPr>
          <w:rFonts w:ascii="Arial" w:cs="Arial" w:eastAsia="Arial" w:hAnsi="Arial"/>
          <w:sz w:val="16"/>
          <w:szCs w:val="16"/>
          <w:color w:val="auto"/>
        </w:rPr>
        <w:t>The Company will keep available at all times the number of shares of Common Stock reasonably required to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then-outstanding Awards.</w:t>
      </w:r>
    </w:p>
    <w:p>
      <w:pPr>
        <w:spacing w:after="0" w:line="141" w:lineRule="exact"/>
        <w:rPr>
          <w:rFonts w:ascii="Arial" w:cs="Arial" w:eastAsia="Arial" w:hAnsi="Arial"/>
          <w:sz w:val="16"/>
          <w:szCs w:val="16"/>
          <w:b w:val="1"/>
          <w:bCs w:val="1"/>
          <w:color w:val="auto"/>
        </w:rPr>
      </w:pPr>
    </w:p>
    <w:p>
      <w:pPr>
        <w:jc w:val="both"/>
        <w:ind w:firstLine="656"/>
        <w:spacing w:after="0" w:line="259" w:lineRule="auto"/>
        <w:tabs>
          <w:tab w:leader="none" w:pos="1053"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will seek to obtain from each regulatory commission or agency having jurisdiction over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authority required to grant Awards and to issue and sell shares of Common Stock upon exercise of the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80" w:lineRule="exact"/>
        <w:rPr>
          <w:rFonts w:ascii="Arial" w:cs="Arial" w:eastAsia="Arial" w:hAnsi="Arial"/>
          <w:sz w:val="16"/>
          <w:szCs w:val="16"/>
          <w:b w:val="1"/>
          <w:bCs w:val="1"/>
          <w:color w:val="auto"/>
        </w:rPr>
      </w:pPr>
    </w:p>
    <w:p>
      <w:pPr>
        <w:jc w:val="both"/>
        <w:ind w:firstLine="656"/>
        <w:spacing w:after="0" w:line="265" w:lineRule="auto"/>
        <w:tabs>
          <w:tab w:leader="none" w:pos="1051"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w:t>
      </w:r>
      <w:r>
        <w:rPr>
          <w:rFonts w:ascii="Arial" w:cs="Arial" w:eastAsia="Arial" w:hAnsi="Arial"/>
          <w:sz w:val="16"/>
          <w:szCs w:val="16"/>
          <w:color w:val="auto"/>
        </w:rPr>
        <w:t>The Company will have no duty or obligation to any Participant to advise such holder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or manner of exercising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86" w:lineRule="exact"/>
        <w:rPr>
          <w:rFonts w:ascii="Arial" w:cs="Arial" w:eastAsia="Arial" w:hAnsi="Arial"/>
          <w:sz w:val="16"/>
          <w:szCs w:val="16"/>
          <w:b w:val="1"/>
          <w:bCs w:val="1"/>
          <w:color w:val="auto"/>
        </w:rPr>
      </w:pPr>
    </w:p>
    <w:p>
      <w:pPr>
        <w:ind w:left="320" w:hanging="312"/>
        <w:spacing w:after="0"/>
        <w:tabs>
          <w:tab w:leader="none" w:pos="32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21" w:lineRule="exact"/>
        <w:rPr>
          <w:rFonts w:ascii="Arial" w:cs="Arial" w:eastAsia="Arial" w:hAnsi="Arial"/>
          <w:sz w:val="16"/>
          <w:szCs w:val="16"/>
          <w:b w:val="1"/>
          <w:bCs w:val="1"/>
          <w:color w:val="auto"/>
        </w:rPr>
      </w:pPr>
    </w:p>
    <w:p>
      <w:pPr>
        <w:ind w:firstLine="656"/>
        <w:spacing w:after="0" w:line="304" w:lineRule="auto"/>
        <w:tabs>
          <w:tab w:leader="none" w:pos="1121"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from Sales of Common Stock. </w:t>
      </w:r>
      <w:r>
        <w:rPr>
          <w:rFonts w:ascii="Arial" w:cs="Arial" w:eastAsia="Arial" w:hAnsi="Arial"/>
          <w:sz w:val="16"/>
          <w:szCs w:val="16"/>
          <w:color w:val="auto"/>
        </w:rPr>
        <w:t>Proceeds from the sale of shares of Common Stock issued pursuant to Awards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general funds of the Company.</w:t>
      </w:r>
    </w:p>
    <w:p>
      <w:pPr>
        <w:spacing w:after="0" w:line="141" w:lineRule="exact"/>
        <w:rPr>
          <w:rFonts w:ascii="Arial" w:cs="Arial" w:eastAsia="Arial" w:hAnsi="Arial"/>
          <w:sz w:val="16"/>
          <w:szCs w:val="16"/>
          <w:b w:val="1"/>
          <w:bCs w:val="1"/>
          <w:color w:val="auto"/>
        </w:rPr>
      </w:pPr>
    </w:p>
    <w:p>
      <w:pPr>
        <w:jc w:val="both"/>
        <w:ind w:firstLine="656"/>
        <w:spacing w:after="0" w:line="259" w:lineRule="auto"/>
        <w:tabs>
          <w:tab w:leader="none" w:pos="1059"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Awards. </w:t>
      </w:r>
      <w:r>
        <w:rPr>
          <w:rFonts w:ascii="Arial" w:cs="Arial" w:eastAsia="Arial" w:hAnsi="Arial"/>
          <w:sz w:val="16"/>
          <w:szCs w:val="16"/>
          <w:color w:val="auto"/>
        </w:rPr>
        <w:t>Corporate action constituting a grant by the Company of an Award to any Participant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w:t>
      </w:r>
      <w:r>
        <w:rPr>
          <w:rFonts w:ascii="Arial" w:cs="Arial" w:eastAsia="Arial" w:hAnsi="Arial"/>
          <w:sz w:val="16"/>
          <w:szCs w:val="16"/>
          <w:i w:val="1"/>
          <w:iCs w:val="1"/>
          <w:color w:val="auto"/>
        </w:rPr>
        <w:t>e.g</w:t>
      </w:r>
      <w:r>
        <w:rPr>
          <w:rFonts w:ascii="Arial" w:cs="Arial" w:eastAsia="Arial" w:hAnsi="Arial"/>
          <w:sz w:val="16"/>
          <w:szCs w:val="16"/>
          <w:color w:val="auto"/>
        </w:rPr>
        <w:t>., Board consents, resolutions or minutes) documenting the corporate action constituting the grant contain terms (</w:t>
      </w:r>
      <w:r>
        <w:rPr>
          <w:rFonts w:ascii="Arial" w:cs="Arial" w:eastAsia="Arial" w:hAnsi="Arial"/>
          <w:sz w:val="16"/>
          <w:szCs w:val="16"/>
          <w:i w:val="1"/>
          <w:iCs w:val="1"/>
          <w:color w:val="auto"/>
        </w:rPr>
        <w:t>e.g</w:t>
      </w:r>
      <w:r>
        <w:rPr>
          <w:rFonts w:ascii="Arial" w:cs="Arial" w:eastAsia="Arial" w:hAnsi="Arial"/>
          <w:sz w:val="16"/>
          <w:szCs w:val="16"/>
          <w:color w:val="auto"/>
        </w:rPr>
        <w:t>.,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9" w:lineRule="exact"/>
        <w:rPr>
          <w:rFonts w:ascii="Arial" w:cs="Arial" w:eastAsia="Arial" w:hAnsi="Arial"/>
          <w:sz w:val="16"/>
          <w:szCs w:val="16"/>
          <w:b w:val="1"/>
          <w:bCs w:val="1"/>
          <w:color w:val="auto"/>
        </w:rPr>
      </w:pPr>
    </w:p>
    <w:p>
      <w:pPr>
        <w:jc w:val="both"/>
        <w:ind w:firstLine="656"/>
        <w:spacing w:after="0" w:line="265" w:lineRule="auto"/>
        <w:tabs>
          <w:tab w:leader="none" w:pos="1037"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9" w:name="page100"/>
    <w:bookmarkEnd w:id="99"/>
    <w:p>
      <w:pPr>
        <w:jc w:val="both"/>
        <w:ind w:firstLine="656"/>
        <w:spacing w:after="0" w:line="261" w:lineRule="auto"/>
        <w:tabs>
          <w:tab w:leader="none" w:pos="1089"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Award Agreement or any other instrument executed thereunder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Director pursuant to the bylaws of the Company or an Affiliate, or (iii) the service of a Consultant pursuant to the terms of such Consultant’s agreement with the Company or an Affiliate, and any applicable provisions of the corporate law of the state in which the Company or the Affiliate is incorporated, as the case may be.</w:t>
      </w:r>
    </w:p>
    <w:p>
      <w:pPr>
        <w:spacing w:after="0" w:line="176" w:lineRule="exact"/>
        <w:rPr>
          <w:rFonts w:ascii="Arial" w:cs="Arial" w:eastAsia="Arial" w:hAnsi="Arial"/>
          <w:sz w:val="16"/>
          <w:szCs w:val="16"/>
          <w:b w:val="1"/>
          <w:bCs w:val="1"/>
          <w:color w:val="auto"/>
        </w:rPr>
      </w:pPr>
    </w:p>
    <w:p>
      <w:pPr>
        <w:jc w:val="both"/>
        <w:ind w:firstLine="656"/>
        <w:spacing w:after="0" w:line="262" w:lineRule="auto"/>
        <w:tabs>
          <w:tab w:leader="none" w:pos="1041"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Affiliate is reduced (for example, and without limitation, if the Participant is an Employee and has a change in status from a full-time Employee to a part-time Employee or takes an extended leave of absence) after the date of grant of any Award to the Participant, the Board has the right in its sole discretion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3" w:lineRule="exact"/>
        <w:rPr>
          <w:rFonts w:ascii="Arial" w:cs="Arial" w:eastAsia="Arial" w:hAnsi="Arial"/>
          <w:sz w:val="16"/>
          <w:szCs w:val="16"/>
          <w:b w:val="1"/>
          <w:bCs w:val="1"/>
          <w:color w:val="auto"/>
        </w:rPr>
      </w:pPr>
    </w:p>
    <w:p>
      <w:pPr>
        <w:jc w:val="both"/>
        <w:ind w:firstLine="656"/>
        <w:spacing w:after="0" w:line="265" w:lineRule="auto"/>
        <w:tabs>
          <w:tab w:leader="none" w:pos="1028"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 </w:t>
      </w:r>
      <w:r>
        <w:rPr>
          <w:rFonts w:ascii="Arial" w:cs="Arial" w:eastAsia="Arial" w:hAnsi="Arial"/>
          <w:sz w:val="16"/>
          <w:szCs w:val="16"/>
          <w:color w:val="auto"/>
        </w:rPr>
        <w:t>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2"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w:t>
      </w:r>
    </w:p>
    <w:p>
      <w:pPr>
        <w:spacing w:after="0" w:line="21" w:lineRule="exact"/>
        <w:rPr>
          <w:rFonts w:ascii="Arial" w:cs="Arial" w:eastAsia="Arial" w:hAnsi="Arial"/>
          <w:sz w:val="16"/>
          <w:szCs w:val="16"/>
          <w:b w:val="1"/>
          <w:bCs w:val="1"/>
          <w:color w:val="auto"/>
        </w:rPr>
      </w:pPr>
    </w:p>
    <w:p>
      <w:pPr>
        <w:ind w:left="220" w:hanging="212"/>
        <w:spacing w:after="0"/>
        <w:tabs>
          <w:tab w:leader="none" w:pos="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w:t>
      </w:r>
    </w:p>
    <w:p>
      <w:pPr>
        <w:spacing w:after="0" w:line="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9" w:lineRule="exact"/>
        <w:rPr>
          <w:sz w:val="20"/>
          <w:szCs w:val="20"/>
          <w:color w:val="auto"/>
        </w:rPr>
      </w:pPr>
    </w:p>
    <w:p>
      <w:pPr>
        <w:jc w:val="both"/>
        <w:ind w:firstLine="656"/>
        <w:spacing w:after="0" w:line="265" w:lineRule="auto"/>
        <w:tabs>
          <w:tab w:leader="none" w:pos="1121"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Unless prohibited by the terms of an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local or foreign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or (v) by such other method as may be set forth in the Award Agreement.</w:t>
      </w:r>
    </w:p>
    <w:p>
      <w:pPr>
        <w:spacing w:after="0" w:line="172" w:lineRule="exact"/>
        <w:rPr>
          <w:rFonts w:ascii="Arial" w:cs="Arial" w:eastAsia="Arial" w:hAnsi="Arial"/>
          <w:sz w:val="16"/>
          <w:szCs w:val="16"/>
          <w:b w:val="1"/>
          <w:bCs w:val="1"/>
          <w:color w:val="auto"/>
        </w:rPr>
      </w:pPr>
    </w:p>
    <w:p>
      <w:pPr>
        <w:jc w:val="both"/>
        <w:ind w:firstLine="656"/>
        <w:spacing w:after="0" w:line="275" w:lineRule="auto"/>
        <w:tabs>
          <w:tab w:leader="none" w:pos="1143"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w:t>
      </w:r>
      <w:r>
        <w:rPr>
          <w:rFonts w:ascii="Arial" w:cs="Arial" w:eastAsia="Arial" w:hAnsi="Arial"/>
          <w:sz w:val="16"/>
          <w:szCs w:val="16"/>
          <w:color w:val="auto"/>
        </w:rPr>
        <w:t>Any reference herein to a “written” agreement or document will include any agreement or document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filed publicly at www.sec.gov (or any successor website thereto) or posted on the Company’s intranet (or other shared electronic medium controlled by the Company to which the Participant has access).</w:t>
      </w:r>
    </w:p>
    <w:p>
      <w:pPr>
        <w:spacing w:after="0" w:line="164" w:lineRule="exact"/>
        <w:rPr>
          <w:rFonts w:ascii="Arial" w:cs="Arial" w:eastAsia="Arial" w:hAnsi="Arial"/>
          <w:sz w:val="16"/>
          <w:szCs w:val="16"/>
          <w:b w:val="1"/>
          <w:bCs w:val="1"/>
          <w:color w:val="auto"/>
        </w:rPr>
      </w:pPr>
    </w:p>
    <w:p>
      <w:pPr>
        <w:jc w:val="both"/>
        <w:ind w:firstLine="656"/>
        <w:spacing w:after="0" w:line="262" w:lineRule="auto"/>
        <w:tabs>
          <w:tab w:leader="none" w:pos="994"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jc w:val="both"/>
        <w:ind w:firstLine="656"/>
        <w:spacing w:after="0" w:line="257" w:lineRule="auto"/>
        <w:tabs>
          <w:tab w:leader="none" w:pos="1071" w:val="left"/>
        </w:tabs>
        <w:numPr>
          <w:ilvl w:val="1"/>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with Section 409A of the Code,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under such Award that is due because of a “separation from service” (as defined in Section 409A of the Code without regard to alternative definitions thereunder) will be issued or paid before the date that is six months and one day following the date of such Participant’s “separation from service” or, if earlier, the date of the Participant’s death, unless such distribution or payment may be made in a manner that complies with Section 409A of the Code, and any amounts so deferred will be paid in a lump sum on the day after such six-month period elapses, with the balance paid thereafter on the original schedule.</w:t>
      </w:r>
    </w:p>
    <w:p>
      <w:pPr>
        <w:spacing w:after="0" w:line="376" w:lineRule="exact"/>
        <w:rPr>
          <w:rFonts w:ascii="Arial" w:cs="Arial" w:eastAsia="Arial" w:hAnsi="Arial"/>
          <w:sz w:val="16"/>
          <w:szCs w:val="16"/>
          <w:b w:val="1"/>
          <w:bCs w:val="1"/>
          <w:color w:val="auto"/>
        </w:rPr>
      </w:pPr>
    </w:p>
    <w:p>
      <w:pPr>
        <w:jc w:val="both"/>
        <w:ind w:firstLine="656"/>
        <w:spacing w:after="0" w:line="259" w:lineRule="auto"/>
        <w:tabs>
          <w:tab w:leader="none" w:pos="1075" w:val="left"/>
        </w:tabs>
        <w:numPr>
          <w:ilvl w:val="1"/>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other clawback policy that the Company adopts.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189" w:lineRule="exact"/>
        <w:rPr>
          <w:rFonts w:ascii="Arial" w:cs="Arial" w:eastAsia="Arial" w:hAnsi="Arial"/>
          <w:sz w:val="16"/>
          <w:szCs w:val="16"/>
          <w:b w:val="1"/>
          <w:bCs w:val="1"/>
          <w:color w:val="auto"/>
        </w:rPr>
      </w:pPr>
    </w:p>
    <w:p>
      <w:pPr>
        <w:ind w:left="320" w:hanging="312"/>
        <w:spacing w:after="0"/>
        <w:tabs>
          <w:tab w:leader="none" w:pos="32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upon Changes in Common Stock; Other Corporate Events.</w:t>
      </w:r>
    </w:p>
    <w:p>
      <w:pPr>
        <w:spacing w:after="0" w:line="221" w:lineRule="exact"/>
        <w:rPr>
          <w:rFonts w:ascii="Arial" w:cs="Arial" w:eastAsia="Arial" w:hAnsi="Arial"/>
          <w:sz w:val="16"/>
          <w:szCs w:val="16"/>
          <w:b w:val="1"/>
          <w:bCs w:val="1"/>
          <w:color w:val="auto"/>
        </w:rPr>
      </w:pPr>
    </w:p>
    <w:p>
      <w:pPr>
        <w:jc w:val="both"/>
        <w:ind w:firstLine="656"/>
        <w:spacing w:after="0" w:line="265" w:lineRule="auto"/>
        <w:tabs>
          <w:tab w:leader="none" w:pos="1123"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Adjustments. </w:t>
      </w:r>
      <w:r>
        <w:rPr>
          <w:rFonts w:ascii="Arial" w:cs="Arial" w:eastAsia="Arial" w:hAnsi="Arial"/>
          <w:sz w:val="16"/>
          <w:szCs w:val="16"/>
          <w:color w:val="auto"/>
        </w:rPr>
        <w:t>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Awards. The Board will make such adjustments and its determination will be final, binding and conclusive.</w:t>
      </w:r>
    </w:p>
    <w:p>
      <w:pPr>
        <w:spacing w:after="0" w:line="186" w:lineRule="exact"/>
        <w:rPr>
          <w:rFonts w:ascii="Arial" w:cs="Arial" w:eastAsia="Arial" w:hAnsi="Arial"/>
          <w:sz w:val="16"/>
          <w:szCs w:val="16"/>
          <w:b w:val="1"/>
          <w:bCs w:val="1"/>
          <w:color w:val="auto"/>
        </w:rPr>
      </w:pPr>
    </w:p>
    <w:p>
      <w:pPr>
        <w:jc w:val="both"/>
        <w:ind w:firstLine="656"/>
        <w:spacing w:after="0" w:line="260" w:lineRule="auto"/>
        <w:tabs>
          <w:tab w:leader="none" w:pos="1161"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Dissolution or Liquidation. </w:t>
      </w:r>
      <w:r>
        <w:rPr>
          <w:rFonts w:ascii="Arial" w:cs="Arial" w:eastAsia="Arial" w:hAnsi="Arial"/>
          <w:sz w:val="16"/>
          <w:szCs w:val="16"/>
          <w:color w:val="auto"/>
        </w:rPr>
        <w:t>Except as otherwise provided in the applicable Award Agreement or other written agreement between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 and the Company or an Affiliate, in the event of a dissolution or liquidation of the Company, all outstanding Awards (other than Awards consisting of vested and outstanding shares of Common Stock not subject to the Company’s right of repurchase or a forfeiture condition) will terminate immediately prior to the completion of such dissolution or liquidation, and the shares of Common Stock subject to the Company’s right of repurchase or a forfeiture condition may be repurchased or reacquired by the Company notwithstanding the fact that the holder of such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cause some or all Awards to become fully vested, exercisable and/or no longer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or forfeiture (to the extent such Awards have not previously expired or terminated) before the dissolution or liquidation is completed but contingent on its completion.</w:t>
      </w:r>
    </w:p>
    <w:p>
      <w:pPr>
        <w:spacing w:after="0" w:line="373" w:lineRule="exact"/>
        <w:rPr>
          <w:rFonts w:ascii="Arial" w:cs="Arial" w:eastAsia="Arial" w:hAnsi="Arial"/>
          <w:sz w:val="16"/>
          <w:szCs w:val="16"/>
          <w:b w:val="1"/>
          <w:bCs w:val="1"/>
          <w:color w:val="auto"/>
        </w:rPr>
      </w:pPr>
    </w:p>
    <w:p>
      <w:pPr>
        <w:jc w:val="both"/>
        <w:ind w:firstLine="656"/>
        <w:spacing w:after="0" w:line="260" w:lineRule="auto"/>
        <w:tabs>
          <w:tab w:leader="none" w:pos="1091"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Transaction. </w:t>
      </w:r>
      <w:r>
        <w:rPr>
          <w:rFonts w:ascii="Arial" w:cs="Arial" w:eastAsia="Arial" w:hAnsi="Arial"/>
          <w:sz w:val="16"/>
          <w:szCs w:val="16"/>
          <w:color w:val="auto"/>
        </w:rPr>
        <w:t>The provisions of this Section 9(c) will apply to each outstanding Award in the event of a Corporate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provided in the instrument evidencing the Award, in any other written agreement between a Participant and the Company or an Affiliate, or in any director compensation policy of the Company, or unless otherwise expressly provided by the Board at the time of grant of an Award. In the event of a Corporate Transaction, then, notwithstanding any other provision of the Plan, the Board will take one or more of the following actions with respect to outstanding Awards, contingent upon the closing or completion of such Corporate Transaction:</w:t>
      </w:r>
    </w:p>
    <w:p>
      <w:pPr>
        <w:spacing w:after="0" w:line="191" w:lineRule="exact"/>
        <w:rPr>
          <w:rFonts w:ascii="Arial" w:cs="Arial" w:eastAsia="Arial" w:hAnsi="Arial"/>
          <w:sz w:val="16"/>
          <w:szCs w:val="16"/>
          <w:b w:val="1"/>
          <w:bCs w:val="1"/>
          <w:color w:val="auto"/>
        </w:rPr>
      </w:pPr>
    </w:p>
    <w:p>
      <w:pPr>
        <w:jc w:val="both"/>
        <w:ind w:firstLine="1304"/>
        <w:spacing w:after="0" w:line="275" w:lineRule="auto"/>
        <w:tabs>
          <w:tab w:leader="none" w:pos="1656" w:val="left"/>
        </w:tabs>
        <w:numPr>
          <w:ilvl w:val="2"/>
          <w:numId w:val="152"/>
        </w:numPr>
        <w:rPr>
          <w:rFonts w:ascii="Arial" w:cs="Arial" w:eastAsia="Arial" w:hAnsi="Arial"/>
          <w:sz w:val="16"/>
          <w:szCs w:val="16"/>
          <w:b w:val="1"/>
          <w:bCs w:val="1"/>
          <w:color w:val="auto"/>
        </w:rPr>
      </w:pPr>
      <w:r>
        <w:rPr>
          <w:rFonts w:ascii="Arial" w:cs="Arial" w:eastAsia="Arial" w:hAnsi="Arial"/>
          <w:sz w:val="16"/>
          <w:szCs w:val="16"/>
          <w:color w:val="auto"/>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such Corporate Transaction);</w:t>
      </w:r>
    </w:p>
    <w:p>
      <w:pPr>
        <w:spacing w:after="0" w:line="164" w:lineRule="exact"/>
        <w:rPr>
          <w:rFonts w:ascii="Arial" w:cs="Arial" w:eastAsia="Arial" w:hAnsi="Arial"/>
          <w:sz w:val="16"/>
          <w:szCs w:val="16"/>
          <w:b w:val="1"/>
          <w:bCs w:val="1"/>
          <w:color w:val="auto"/>
        </w:rPr>
      </w:pPr>
    </w:p>
    <w:p>
      <w:pPr>
        <w:ind w:firstLine="1304"/>
        <w:spacing w:after="0" w:line="286" w:lineRule="auto"/>
        <w:tabs>
          <w:tab w:leader="none" w:pos="1755" w:val="left"/>
        </w:tabs>
        <w:numPr>
          <w:ilvl w:val="2"/>
          <w:numId w:val="152"/>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1" w:name="page102"/>
    <w:bookmarkEnd w:id="101"/>
    <w:p>
      <w:pPr>
        <w:jc w:val="both"/>
        <w:ind w:firstLine="1304"/>
        <w:spacing w:after="0" w:line="265" w:lineRule="auto"/>
        <w:tabs>
          <w:tab w:leader="none" w:pos="1732"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accelerate the vesting (and exercisability, if applicable), in whole or in part, of the Award to a date prior to the effective time of such Corporate Transaction as the Board will determine (or, if the Board does not determine such a date, to the date that is five days prior to the effective time of such Corporate Transaction), with such Award terminating if not exercised (if applicable) prior to the effective time of such Corporate Transaction in accordance with the exercise procedures determined by the Board;</w:t>
      </w:r>
    </w:p>
    <w:p>
      <w:pPr>
        <w:spacing w:after="0" w:line="186" w:lineRule="exact"/>
        <w:rPr>
          <w:rFonts w:ascii="Arial" w:cs="Arial" w:eastAsia="Arial" w:hAnsi="Arial"/>
          <w:sz w:val="16"/>
          <w:szCs w:val="16"/>
          <w:b w:val="1"/>
          <w:bCs w:val="1"/>
          <w:color w:val="auto"/>
        </w:rPr>
      </w:pPr>
    </w:p>
    <w:p>
      <w:pPr>
        <w:ind w:left="1720" w:hanging="416"/>
        <w:spacing w:after="0"/>
        <w:tabs>
          <w:tab w:leader="none" w:pos="1720"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arrange for the lapse of any reacquisition or repurchase rights held by the Company with respect to the Award;</w:t>
      </w:r>
    </w:p>
    <w:p>
      <w:pPr>
        <w:spacing w:after="0" w:line="221" w:lineRule="exact"/>
        <w:rPr>
          <w:rFonts w:ascii="Arial" w:cs="Arial" w:eastAsia="Arial" w:hAnsi="Arial"/>
          <w:sz w:val="16"/>
          <w:szCs w:val="16"/>
          <w:b w:val="1"/>
          <w:bCs w:val="1"/>
          <w:color w:val="auto"/>
        </w:rPr>
      </w:pPr>
    </w:p>
    <w:p>
      <w:pPr>
        <w:ind w:firstLine="1304"/>
        <w:spacing w:after="0" w:line="286" w:lineRule="auto"/>
        <w:tabs>
          <w:tab w:leader="none" w:pos="1755"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Award, to the extent not vested or not exercised prior to the effective time of such Corporate Transaction, in exchange for such cash consideration, if any, as the Board, in its sole discretion, may consider appropriate; or</w:t>
      </w:r>
    </w:p>
    <w:p>
      <w:pPr>
        <w:spacing w:after="0" w:line="169" w:lineRule="exact"/>
        <w:rPr>
          <w:rFonts w:ascii="Arial" w:cs="Arial" w:eastAsia="Arial" w:hAnsi="Arial"/>
          <w:sz w:val="16"/>
          <w:szCs w:val="16"/>
          <w:b w:val="1"/>
          <w:bCs w:val="1"/>
          <w:color w:val="auto"/>
        </w:rPr>
      </w:pPr>
    </w:p>
    <w:p>
      <w:pPr>
        <w:jc w:val="both"/>
        <w:ind w:firstLine="1304"/>
        <w:spacing w:after="0" w:line="260" w:lineRule="auto"/>
        <w:tabs>
          <w:tab w:leader="none" w:pos="1746"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Award immediately prior to the effective time of such Corporate Transaction, over (B) any exercise price payable by the Participant in connection with such exercise. For clarity, such payment may be zero if the value of such property is equal to or less than the exercise price. Payments under this Section 9(c)(vi) may be delayed to the same extent that payment of consideration to the holders of the Common Stock in connection with such Corporate Transaction is delayed as a result of escrows, earn outs, holdbacks or any other contingencies.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clarity, in the event of a Corporate Transaction, the Board need not take the same action or actions with respect to all Awards or portions thereof or with respect to all Participants.</w:t>
      </w:r>
    </w:p>
    <w:p>
      <w:pPr>
        <w:spacing w:after="0" w:line="156" w:lineRule="exact"/>
        <w:rPr>
          <w:sz w:val="20"/>
          <w:szCs w:val="20"/>
          <w:color w:val="auto"/>
        </w:rPr>
      </w:pPr>
    </w:p>
    <w:p>
      <w:pPr>
        <w:jc w:val="both"/>
        <w:ind w:firstLine="656"/>
        <w:spacing w:after="0" w:line="275" w:lineRule="auto"/>
        <w:tabs>
          <w:tab w:leader="none" w:pos="1080" w:val="left"/>
        </w:tabs>
        <w:numPr>
          <w:ilvl w:val="1"/>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An Award may be subject to additional acceleration of vesting and exercisability upon or after a Change in Control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provided in the Award Agreement for such Award, in any other written agreement or plan between the Company or any Affiliate and the Participant, or in any director compensation policy of the Company, but in the absence of such provision, no such acceleration will occur.</w:t>
      </w:r>
    </w:p>
    <w:p>
      <w:pPr>
        <w:spacing w:after="0" w:line="177" w:lineRule="exact"/>
        <w:rPr>
          <w:rFonts w:ascii="Arial" w:cs="Arial" w:eastAsia="Arial" w:hAnsi="Arial"/>
          <w:sz w:val="16"/>
          <w:szCs w:val="16"/>
          <w:b w:val="1"/>
          <w:bCs w:val="1"/>
          <w:color w:val="auto"/>
        </w:rPr>
      </w:pPr>
    </w:p>
    <w:p>
      <w:pPr>
        <w:jc w:val="both"/>
        <w:ind w:firstLine="656"/>
        <w:spacing w:after="0" w:line="254" w:lineRule="auto"/>
        <w:tabs>
          <w:tab w:leader="none" w:pos="1080" w:val="left"/>
        </w:tabs>
        <w:numPr>
          <w:ilvl w:val="1"/>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Parachute Payments. </w:t>
      </w:r>
      <w:r>
        <w:rPr>
          <w:rFonts w:ascii="Arial" w:cs="Arial" w:eastAsia="Arial" w:hAnsi="Arial"/>
          <w:sz w:val="16"/>
          <w:szCs w:val="16"/>
          <w:color w:val="auto"/>
        </w:rPr>
        <w:t>Except as otherwise provided in the applicable Award Agreement or other written agreement between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or an Affiliate, if any payment or benefit the Participant would receive pursuant to a Change in Control from the Company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will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Participant’s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following order: (A) reduction of cash payments; (B) cancellation of accelerated vesting of equity awards other than stock options; (C) cancellation of accelerated vesting of stock options; and (D) reduction of other benefits paid to the Participant. Within any such category of payments and benefits (that is, (A), (B), (C) or (D)), a reduction will occur first with respect to amounts that are not “deferred compensation” within the meaning of Section 409A of the Code and then with respect to amounts that are. In the event that acceleration of compensation from a Participant’s equity awards is to be reduced, such acceleration of vesting will be canceled, subject to the immediately preceding sentence, in the reverse order of the date of grant. The accounting firm engaged by the Company for general audit purposes as of the day prior to the effective date of the Change in Control will perform the foregoing calculations. If the accounting firm so engaged by the Company is serving as accountant or auditor for the individual, entity or group effecting the Change in Control, the Company will appoint a nationally recognized accounting firm to make the determinations required hereunder. The Company will bear all expenses with respect to the determinations by such accounting firm required to be made hereunder. The accounting firm engaged to make the determinations hereunder will provide its calculations, together with detailed supporting documentation, to the Participant and the Company within 15 calendar days after the date on which the Participant’s right to a Payment is triggered (if requested at that time by the Participant or the Company) or such other time as reasonably requested by the Participant or the Company. Any good faith determinations of the accounting firm made hereunder will be final, binding and conclusive upon the Participant and the Company.</w:t>
      </w:r>
    </w:p>
    <w:p>
      <w:pPr>
        <w:spacing w:after="0" w:line="203" w:lineRule="exact"/>
        <w:rPr>
          <w:rFonts w:ascii="Arial" w:cs="Arial" w:eastAsia="Arial" w:hAnsi="Arial"/>
          <w:sz w:val="16"/>
          <w:szCs w:val="16"/>
          <w:b w:val="1"/>
          <w:bCs w:val="1"/>
          <w:color w:val="auto"/>
        </w:rPr>
      </w:pPr>
    </w:p>
    <w:p>
      <w:pPr>
        <w:ind w:left="420" w:hanging="412"/>
        <w:spacing w:after="0"/>
        <w:tabs>
          <w:tab w:leader="none" w:pos="42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or Suspension of the Plan.</w:t>
      </w:r>
    </w:p>
    <w:p>
      <w:pPr>
        <w:spacing w:after="0" w:line="221" w:lineRule="exact"/>
        <w:rPr>
          <w:rFonts w:ascii="Arial" w:cs="Arial" w:eastAsia="Arial" w:hAnsi="Arial"/>
          <w:sz w:val="16"/>
          <w:szCs w:val="16"/>
          <w:b w:val="1"/>
          <w:bCs w:val="1"/>
          <w:color w:val="auto"/>
        </w:rPr>
      </w:pPr>
    </w:p>
    <w:p>
      <w:pPr>
        <w:jc w:val="both"/>
        <w:ind w:firstLine="656"/>
        <w:spacing w:after="0" w:line="275" w:lineRule="auto"/>
        <w:tabs>
          <w:tab w:leader="none" w:pos="1035"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or Suspension. </w:t>
      </w:r>
      <w:r>
        <w:rPr>
          <w:rFonts w:ascii="Arial" w:cs="Arial" w:eastAsia="Arial" w:hAnsi="Arial"/>
          <w:sz w:val="16"/>
          <w:szCs w:val="16"/>
          <w:color w:val="auto"/>
        </w:rPr>
        <w:t>The Board may suspend or terminate the Plan at any time. No Incentive Stock Option may be granted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tenth anniversary of the earlier of (i) the Adoption Date or (ii) the Effective Date. No Awards may be granted under the Plan while the Plan is suspended or after it is terminated.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2" w:name="page103"/>
    <w:bookmarkEnd w:id="102"/>
    <w:p>
      <w:pPr>
        <w:jc w:val="both"/>
        <w:ind w:firstLine="656"/>
        <w:spacing w:after="0" w:line="275" w:lineRule="auto"/>
        <w:tabs>
          <w:tab w:leader="none" w:pos="1081" w:val="left"/>
        </w:tabs>
        <w:numPr>
          <w:ilvl w:val="1"/>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Impairment of Rights. </w:t>
      </w:r>
      <w:r>
        <w:rPr>
          <w:rFonts w:ascii="Arial" w:cs="Arial" w:eastAsia="Arial" w:hAnsi="Arial"/>
          <w:sz w:val="16"/>
          <w:szCs w:val="16"/>
          <w:color w:val="auto"/>
        </w:rPr>
        <w:t>Suspension or termination of the Plan will not materially impair rights and obligations under any Award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while the Plan is in effect except with the written consent of the affected Participant or as otherwise permitted in the Plan (including Section 2(b)(viii)) or an Award Agreement.</w:t>
      </w:r>
    </w:p>
    <w:p>
      <w:pPr>
        <w:spacing w:after="0" w:line="164" w:lineRule="exact"/>
        <w:rPr>
          <w:rFonts w:ascii="Arial" w:cs="Arial" w:eastAsia="Arial" w:hAnsi="Arial"/>
          <w:sz w:val="16"/>
          <w:szCs w:val="16"/>
          <w:b w:val="1"/>
          <w:bCs w:val="1"/>
          <w:color w:val="auto"/>
        </w:rPr>
      </w:pPr>
    </w:p>
    <w:p>
      <w:pPr>
        <w:ind w:left="400" w:hanging="392"/>
        <w:spacing w:after="0"/>
        <w:tabs>
          <w:tab w:leader="none" w:pos="40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Effective Date of Plan.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Plan, as amended and restated hereby, will become effective on the Effective Date.</w:t>
      </w:r>
    </w:p>
    <w:p>
      <w:pPr>
        <w:spacing w:after="0" w:line="221" w:lineRule="exact"/>
        <w:rPr>
          <w:sz w:val="20"/>
          <w:szCs w:val="20"/>
          <w:color w:val="auto"/>
        </w:rPr>
      </w:pPr>
    </w:p>
    <w:p>
      <w:pPr>
        <w:ind w:left="420" w:hanging="412"/>
        <w:spacing w:after="0"/>
        <w:tabs>
          <w:tab w:leader="none" w:pos="420"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Choice of Law.</w:t>
      </w:r>
    </w:p>
    <w:p>
      <w:pPr>
        <w:spacing w:after="0" w:line="221"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laws of the State of Delaware will govern all questions concerning the construction, validity and interpretation of this Plan, without regard to that state’s conflict of laws rules.</w:t>
      </w:r>
    </w:p>
    <w:p>
      <w:pPr>
        <w:spacing w:after="0" w:line="141" w:lineRule="exact"/>
        <w:rPr>
          <w:sz w:val="20"/>
          <w:szCs w:val="20"/>
          <w:color w:val="auto"/>
        </w:rPr>
      </w:pPr>
    </w:p>
    <w:p>
      <w:pPr>
        <w:ind w:left="420" w:hanging="412"/>
        <w:spacing w:after="0"/>
        <w:tabs>
          <w:tab w:leader="none" w:pos="42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the Plan, the following definitions will apply to the capitalized terms indicated below:</w:t>
      </w:r>
    </w:p>
    <w:p>
      <w:pPr>
        <w:spacing w:after="0" w:line="234"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Adoption Date</w:t>
      </w:r>
      <w:r>
        <w:rPr>
          <w:rFonts w:ascii="Arial" w:cs="Arial" w:eastAsia="Arial" w:hAnsi="Arial"/>
          <w:sz w:val="16"/>
          <w:szCs w:val="16"/>
          <w:color w:val="auto"/>
        </w:rPr>
        <w:t>” means March 31, 2025, which is the date the Plan, as amended and restated hereby, was adopted by the Board.</w:t>
      </w:r>
    </w:p>
    <w:p>
      <w:pPr>
        <w:spacing w:after="0" w:line="221" w:lineRule="exact"/>
        <w:rPr>
          <w:rFonts w:ascii="Arial" w:cs="Arial" w:eastAsia="Arial" w:hAnsi="Arial"/>
          <w:sz w:val="16"/>
          <w:szCs w:val="16"/>
          <w:b w:val="1"/>
          <w:bCs w:val="1"/>
          <w:color w:val="auto"/>
        </w:rPr>
      </w:pPr>
    </w:p>
    <w:p>
      <w:pPr>
        <w:ind w:firstLine="656"/>
        <w:spacing w:after="0" w:line="286" w:lineRule="auto"/>
        <w:tabs>
          <w:tab w:leader="none" w:pos="1035"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169" w:lineRule="exact"/>
        <w:rPr>
          <w:rFonts w:ascii="Arial" w:cs="Arial" w:eastAsia="Arial" w:hAnsi="Arial"/>
          <w:sz w:val="16"/>
          <w:szCs w:val="16"/>
          <w:b w:val="1"/>
          <w:bCs w:val="1"/>
          <w:color w:val="auto"/>
        </w:rPr>
      </w:pPr>
    </w:p>
    <w:p>
      <w:pPr>
        <w:jc w:val="both"/>
        <w:ind w:firstLine="656"/>
        <w:spacing w:after="0" w:line="266" w:lineRule="auto"/>
        <w:tabs>
          <w:tab w:leader="none" w:pos="1026"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Appreciation Award</w:t>
      </w:r>
      <w:r>
        <w:rPr>
          <w:rFonts w:ascii="Arial" w:cs="Arial" w:eastAsia="Arial" w:hAnsi="Arial"/>
          <w:sz w:val="16"/>
          <w:szCs w:val="16"/>
          <w:color w:val="auto"/>
        </w:rPr>
        <w:t>” means (i) a stock option or stock appreciation right granted under the Prior Plan or (ii) an Option or Stock Appreciation Right, in each case with respect to which the exercise or strike price (per share) is at least 100% of the Fair Market Value of the Common Stock subject to the stock option or stock appreciation right, or Option or Stock Appreciation Right, as applicable, on the date of grant.</w:t>
      </w:r>
    </w:p>
    <w:p>
      <w:pPr>
        <w:spacing w:after="0" w:line="184" w:lineRule="exact"/>
        <w:rPr>
          <w:rFonts w:ascii="Arial" w:cs="Arial" w:eastAsia="Arial" w:hAnsi="Arial"/>
          <w:sz w:val="16"/>
          <w:szCs w:val="16"/>
          <w:b w:val="1"/>
          <w:bCs w:val="1"/>
          <w:color w:val="auto"/>
        </w:rPr>
      </w:pPr>
    </w:p>
    <w:p>
      <w:pPr>
        <w:ind w:firstLine="656"/>
        <w:spacing w:after="0" w:line="286" w:lineRule="auto"/>
        <w:tabs>
          <w:tab w:leader="none" w:pos="1062"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 Incentive Stock Option, a Nonstatutory Stock Option, a Stock Appreciation Right, a Restricted Stock Award, a Restricted Stock Unit Award, a Performance Stock Award or any Other Stock Award.</w:t>
      </w:r>
    </w:p>
    <w:p>
      <w:pPr>
        <w:spacing w:after="0" w:line="169" w:lineRule="exact"/>
        <w:rPr>
          <w:rFonts w:ascii="Arial" w:cs="Arial" w:eastAsia="Arial" w:hAnsi="Arial"/>
          <w:sz w:val="16"/>
          <w:szCs w:val="16"/>
          <w:b w:val="1"/>
          <w:bCs w:val="1"/>
          <w:color w:val="auto"/>
        </w:rPr>
      </w:pPr>
    </w:p>
    <w:p>
      <w:pPr>
        <w:ind w:left="1040" w:hanging="384"/>
        <w:spacing w:after="0"/>
        <w:tabs>
          <w:tab w:leader="none" w:pos="104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221" w:lineRule="exact"/>
        <w:rPr>
          <w:rFonts w:ascii="Arial" w:cs="Arial" w:eastAsia="Arial" w:hAnsi="Arial"/>
          <w:sz w:val="16"/>
          <w:szCs w:val="16"/>
          <w:b w:val="1"/>
          <w:bCs w:val="1"/>
          <w:color w:val="auto"/>
        </w:rPr>
      </w:pPr>
    </w:p>
    <w:p>
      <w:pPr>
        <w:ind w:left="1000" w:hanging="344"/>
        <w:spacing w:after="0"/>
        <w:tabs>
          <w:tab w:leader="none" w:pos="100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1" w:lineRule="exact"/>
        <w:rPr>
          <w:rFonts w:ascii="Arial" w:cs="Arial" w:eastAsia="Arial" w:hAnsi="Arial"/>
          <w:sz w:val="16"/>
          <w:szCs w:val="16"/>
          <w:b w:val="1"/>
          <w:bCs w:val="1"/>
          <w:color w:val="auto"/>
        </w:rPr>
      </w:pPr>
    </w:p>
    <w:p>
      <w:pPr>
        <w:jc w:val="both"/>
        <w:ind w:firstLine="656"/>
        <w:spacing w:after="0" w:line="261" w:lineRule="auto"/>
        <w:tabs>
          <w:tab w:leader="none" w:pos="1048"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Award after the Original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will not be treated as a Capitalization Adjustment.</w:t>
      </w:r>
    </w:p>
    <w:p>
      <w:pPr>
        <w:spacing w:after="0" w:line="189" w:lineRule="exact"/>
        <w:rPr>
          <w:rFonts w:ascii="Arial" w:cs="Arial" w:eastAsia="Arial" w:hAnsi="Arial"/>
          <w:sz w:val="16"/>
          <w:szCs w:val="16"/>
          <w:b w:val="1"/>
          <w:bCs w:val="1"/>
          <w:color w:val="auto"/>
        </w:rPr>
      </w:pPr>
    </w:p>
    <w:p>
      <w:pPr>
        <w:jc w:val="both"/>
        <w:ind w:firstLine="656"/>
        <w:spacing w:after="0" w:line="255" w:lineRule="auto"/>
        <w:tabs>
          <w:tab w:leader="none" w:pos="1035"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a Participant and the Company or an Affiliate defining such term and, in the absence of such agreement, such term means, with respect to a Participant, the occurrence of one or more of the following events that has a material negative impact on the business or reputation of the Company or an Affiliate: (i) any willful, material violation by the Participant of any law or regulation applicable to the business of the Company or an Affiliate; (ii) the Participant’s conviction for, or guilty plea to, a felony or a crime involving moral turpitude, or any willful perpetration by the Participant of a common law fraud; (iii) the Participant’s commission of an act of personal dishonesty which involves personal profit in connection with the Company, an Affiliate, or any other entity having a business relationship with the Company or an Affiliate; (iv) any material breach by the Participant of any provision of any agreement or understanding between the Company or an Affiliate and the Participant regarding the terms of the Participant’s service as an employee, officer, director or consultant to the Company or an Affiliate, including without limitation, the willful and continued failure or refusal of the Participant to perform the material duties required of the Participant as an employee, officer, director or consultant to the Company or an Affiliate, other than as a result of having a Disability, or a breach of any applicable invention assignment and confidentiality agreement or similar agreement between the Company or an Affiliate and the Participant; (v) the Participant’s disregard of the policies of the Company or an Affiliate so as to cause loss, damage or injury to the property, reputation or employees of the Company or an Affiliate; or (vi) any other misconduct by the Participant which is materially injurious to the financial condition or business reputation of, or is otherwise materially injurious to, the Company or an Affiliate. The determination that a termination of a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the Participant will have no effect upon any determination of the rights or obligations of the Company or the Participant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3" w:name="page104"/>
    <w:bookmarkEnd w:id="103"/>
    <w:p>
      <w:pPr>
        <w:ind w:left="1020" w:hanging="364"/>
        <w:spacing w:after="0"/>
        <w:tabs>
          <w:tab w:leader="none" w:pos="1020"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events:</w:t>
      </w:r>
    </w:p>
    <w:p>
      <w:pPr>
        <w:spacing w:after="0" w:line="219" w:lineRule="exact"/>
        <w:rPr>
          <w:sz w:val="20"/>
          <w:szCs w:val="20"/>
          <w:color w:val="auto"/>
        </w:rPr>
      </w:pPr>
    </w:p>
    <w:p>
      <w:pPr>
        <w:jc w:val="both"/>
        <w:ind w:firstLine="1304"/>
        <w:spacing w:after="0" w:line="259" w:lineRule="auto"/>
        <w:tabs>
          <w:tab w:leader="none" w:pos="1642" w:val="left"/>
        </w:tabs>
        <w:numPr>
          <w:ilvl w:val="1"/>
          <w:numId w:val="161"/>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jc w:val="both"/>
        <w:ind w:firstLine="8"/>
        <w:spacing w:after="0" w:line="256" w:lineRule="auto"/>
        <w:tabs>
          <w:tab w:leader="none" w:pos="28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2" w:lineRule="exact"/>
        <w:rPr>
          <w:rFonts w:ascii="Arial" w:cs="Arial" w:eastAsia="Arial" w:hAnsi="Arial"/>
          <w:sz w:val="16"/>
          <w:szCs w:val="16"/>
          <w:color w:val="auto"/>
        </w:rPr>
      </w:pPr>
    </w:p>
    <w:p>
      <w:pPr>
        <w:jc w:val="both"/>
        <w:ind w:firstLine="1304"/>
        <w:spacing w:after="0" w:line="261" w:lineRule="auto"/>
        <w:tabs>
          <w:tab w:leader="none" w:pos="1714"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6" w:lineRule="exact"/>
        <w:rPr>
          <w:rFonts w:ascii="Arial" w:cs="Arial" w:eastAsia="Arial" w:hAnsi="Arial"/>
          <w:sz w:val="16"/>
          <w:szCs w:val="16"/>
          <w:b w:val="1"/>
          <w:bCs w:val="1"/>
          <w:color w:val="auto"/>
        </w:rPr>
      </w:pPr>
    </w:p>
    <w:p>
      <w:pPr>
        <w:ind w:firstLine="1304"/>
        <w:spacing w:after="0" w:line="304" w:lineRule="auto"/>
        <w:tabs>
          <w:tab w:leader="none" w:pos="1746"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41" w:lineRule="exact"/>
        <w:rPr>
          <w:rFonts w:ascii="Arial" w:cs="Arial" w:eastAsia="Arial" w:hAnsi="Arial"/>
          <w:sz w:val="16"/>
          <w:szCs w:val="16"/>
          <w:b w:val="1"/>
          <w:bCs w:val="1"/>
          <w:color w:val="auto"/>
        </w:rPr>
      </w:pPr>
    </w:p>
    <w:p>
      <w:pPr>
        <w:jc w:val="both"/>
        <w:ind w:firstLine="1304"/>
        <w:spacing w:after="0" w:line="265" w:lineRule="auto"/>
        <w:tabs>
          <w:tab w:leader="none" w:pos="1732"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2" w:lineRule="exact"/>
        <w:rPr>
          <w:rFonts w:ascii="Arial" w:cs="Arial" w:eastAsia="Arial" w:hAnsi="Arial"/>
          <w:sz w:val="16"/>
          <w:szCs w:val="16"/>
          <w:b w:val="1"/>
          <w:bCs w:val="1"/>
          <w:color w:val="auto"/>
        </w:rPr>
      </w:pPr>
    </w:p>
    <w:p>
      <w:pPr>
        <w:jc w:val="both"/>
        <w:ind w:firstLine="1304"/>
        <w:spacing w:after="0" w:line="265" w:lineRule="auto"/>
        <w:tabs>
          <w:tab w:leader="none" w:pos="1782"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individuals who, on the Original Adoption Date, are members of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xml:space="preserve">”) cease for any reason to constitute at least a majority of the members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Notwithstanding the foregoing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a Participant and the Company or an Affiliate will supersede the foregoing definition with respect to Awards subject to such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(1) if no definition of Change in Control (or any analogous term) is set forth in such an individual written agreement, the foregoing definition will apply; and (2) no Change in Control (or any analogous term) will be deemed to occur with respect to Awards subject to such an individual written agreement without a requirement that the Change in Control (or any analogous term) actually occur.</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The Board may, in its sole discretion and without a Participant’s consent, amend the definition of “Change in Control” to conform to the definition of a “change in control event” under Section 409A of the Code and the regulations thereunder.</w:t>
      </w:r>
    </w:p>
    <w:p>
      <w:pPr>
        <w:spacing w:after="0" w:line="172" w:lineRule="exact"/>
        <w:rPr>
          <w:sz w:val="20"/>
          <w:szCs w:val="20"/>
          <w:color w:val="auto"/>
        </w:rPr>
      </w:pPr>
    </w:p>
    <w:p>
      <w:pPr>
        <w:ind w:left="980" w:hanging="324"/>
        <w:spacing w:after="0"/>
        <w:tabs>
          <w:tab w:leader="none" w:pos="98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21" w:lineRule="exact"/>
        <w:rPr>
          <w:rFonts w:ascii="Arial" w:cs="Arial" w:eastAsia="Arial" w:hAnsi="Arial"/>
          <w:sz w:val="16"/>
          <w:szCs w:val="16"/>
          <w:b w:val="1"/>
          <w:bCs w:val="1"/>
          <w:color w:val="auto"/>
        </w:rPr>
      </w:pPr>
    </w:p>
    <w:p>
      <w:pPr>
        <w:ind w:left="1080" w:hanging="424"/>
        <w:spacing w:after="0"/>
        <w:tabs>
          <w:tab w:leader="none" w:pos="108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ind w:left="980" w:hanging="324"/>
        <w:spacing w:after="0"/>
        <w:tabs>
          <w:tab w:leader="none" w:pos="980"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21" w:lineRule="exact"/>
        <w:rPr>
          <w:rFonts w:ascii="Arial" w:cs="Arial" w:eastAsia="Arial" w:hAnsi="Arial"/>
          <w:sz w:val="16"/>
          <w:szCs w:val="16"/>
          <w:b w:val="1"/>
          <w:bCs w:val="1"/>
          <w:color w:val="auto"/>
        </w:rPr>
      </w:pPr>
    </w:p>
    <w:p>
      <w:pPr>
        <w:ind w:left="1080" w:hanging="424"/>
        <w:spacing w:after="0"/>
        <w:tabs>
          <w:tab w:leader="none" w:pos="1080"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Enphase Energy, Inc., a Delaware corporation.</w:t>
      </w:r>
    </w:p>
    <w:p>
      <w:pPr>
        <w:spacing w:after="0" w:line="234" w:lineRule="exact"/>
        <w:rPr>
          <w:rFonts w:ascii="Arial" w:cs="Arial" w:eastAsia="Arial" w:hAnsi="Arial"/>
          <w:sz w:val="16"/>
          <w:szCs w:val="16"/>
          <w:b w:val="1"/>
          <w:bCs w:val="1"/>
          <w:color w:val="auto"/>
        </w:rPr>
      </w:pPr>
    </w:p>
    <w:p>
      <w:pPr>
        <w:jc w:val="both"/>
        <w:ind w:firstLine="656"/>
        <w:spacing w:after="0" w:line="260" w:lineRule="auto"/>
        <w:tabs>
          <w:tab w:leader="none" w:pos="1089"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91" w:lineRule="exact"/>
        <w:rPr>
          <w:rFonts w:ascii="Arial" w:cs="Arial" w:eastAsia="Arial" w:hAnsi="Arial"/>
          <w:sz w:val="16"/>
          <w:szCs w:val="16"/>
          <w:b w:val="1"/>
          <w:bCs w:val="1"/>
          <w:color w:val="auto"/>
        </w:rPr>
      </w:pPr>
    </w:p>
    <w:p>
      <w:pPr>
        <w:jc w:val="both"/>
        <w:ind w:firstLine="656"/>
        <w:spacing w:after="0" w:line="256" w:lineRule="auto"/>
        <w:tabs>
          <w:tab w:leader="none" w:pos="1035"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or Affiliate’s leave of absence policy, in the written terms of any leave of absence agreement or policy applicable to the Participant, or as otherwise required by law.</w:t>
      </w:r>
    </w:p>
    <w:p>
      <w:pPr>
        <w:spacing w:after="0" w:line="182" w:lineRule="exact"/>
        <w:rPr>
          <w:rFonts w:ascii="Arial" w:cs="Arial" w:eastAsia="Arial" w:hAnsi="Arial"/>
          <w:sz w:val="16"/>
          <w:szCs w:val="16"/>
          <w:b w:val="1"/>
          <w:bCs w:val="1"/>
          <w:color w:val="auto"/>
        </w:rPr>
      </w:pPr>
    </w:p>
    <w:p>
      <w:pPr>
        <w:ind w:right="20" w:firstLine="656"/>
        <w:spacing w:after="0" w:line="304" w:lineRule="auto"/>
        <w:tabs>
          <w:tab w:leader="none" w:pos="1116"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in a single transaction or in a series of related transactions, of any one or more of the following events:</w:t>
      </w:r>
    </w:p>
    <w:p>
      <w:pPr>
        <w:spacing w:after="0" w:line="141" w:lineRule="exact"/>
        <w:rPr>
          <w:rFonts w:ascii="Arial" w:cs="Arial" w:eastAsia="Arial" w:hAnsi="Arial"/>
          <w:sz w:val="16"/>
          <w:szCs w:val="16"/>
          <w:b w:val="1"/>
          <w:bCs w:val="1"/>
          <w:color w:val="auto"/>
        </w:rPr>
      </w:pPr>
    </w:p>
    <w:p>
      <w:pPr>
        <w:ind w:firstLine="1304"/>
        <w:spacing w:after="0" w:line="304" w:lineRule="auto"/>
        <w:tabs>
          <w:tab w:leader="none" w:pos="1683"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the consummation of a sale or other disposition of all or substantially all, as determined by the Board, in its sole discretion, of the consolidated assets of the Company and its Subsidiaries;</w:t>
      </w:r>
    </w:p>
    <w:p>
      <w:pPr>
        <w:spacing w:after="0" w:line="141" w:lineRule="exact"/>
        <w:rPr>
          <w:rFonts w:ascii="Arial" w:cs="Arial" w:eastAsia="Arial" w:hAnsi="Arial"/>
          <w:sz w:val="16"/>
          <w:szCs w:val="16"/>
          <w:b w:val="1"/>
          <w:bCs w:val="1"/>
          <w:color w:val="auto"/>
        </w:rPr>
      </w:pPr>
    </w:p>
    <w:p>
      <w:pPr>
        <w:ind w:left="1680" w:hanging="376"/>
        <w:spacing w:after="0"/>
        <w:tabs>
          <w:tab w:leader="none" w:pos="1680"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the consummation of a sale or other disposition of at least 90% of the outstanding securities of the Company;</w:t>
      </w:r>
    </w:p>
    <w:p>
      <w:pPr>
        <w:spacing w:after="0" w:line="221" w:lineRule="exact"/>
        <w:rPr>
          <w:rFonts w:ascii="Arial" w:cs="Arial" w:eastAsia="Arial" w:hAnsi="Arial"/>
          <w:sz w:val="16"/>
          <w:szCs w:val="16"/>
          <w:b w:val="1"/>
          <w:bCs w:val="1"/>
          <w:color w:val="auto"/>
        </w:rPr>
      </w:pPr>
    </w:p>
    <w:p>
      <w:pPr>
        <w:ind w:left="1720" w:hanging="416"/>
        <w:spacing w:after="0"/>
        <w:tabs>
          <w:tab w:leader="none" w:pos="1720"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not the surviving corporation; or</w:t>
      </w:r>
    </w:p>
    <w:p>
      <w:pPr>
        <w:spacing w:after="0" w:line="234" w:lineRule="exact"/>
        <w:rPr>
          <w:rFonts w:ascii="Arial" w:cs="Arial" w:eastAsia="Arial" w:hAnsi="Arial"/>
          <w:sz w:val="16"/>
          <w:szCs w:val="16"/>
          <w:b w:val="1"/>
          <w:bCs w:val="1"/>
          <w:color w:val="auto"/>
        </w:rPr>
      </w:pPr>
    </w:p>
    <w:p>
      <w:pPr>
        <w:jc w:val="both"/>
        <w:ind w:firstLine="1304"/>
        <w:spacing w:after="0" w:line="275" w:lineRule="auto"/>
        <w:tabs>
          <w:tab w:leader="none" w:pos="1732"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4" w:lineRule="exact"/>
        <w:rPr>
          <w:sz w:val="20"/>
          <w:szCs w:val="20"/>
          <w:color w:val="auto"/>
        </w:rPr>
      </w:pPr>
    </w:p>
    <w:p>
      <w:pPr>
        <w:jc w:val="both"/>
        <w:ind w:firstLine="185"/>
        <w:spacing w:after="0" w:line="265" w:lineRule="auto"/>
        <w:rPr>
          <w:sz w:val="20"/>
          <w:szCs w:val="20"/>
          <w:color w:val="auto"/>
        </w:rPr>
      </w:pPr>
      <w:r>
        <w:rPr>
          <w:rFonts w:ascii="Arial" w:cs="Arial" w:eastAsia="Arial" w:hAnsi="Arial"/>
          <w:sz w:val="16"/>
          <w:szCs w:val="16"/>
          <w:color w:val="auto"/>
        </w:rPr>
        <w:t>If required for compliance with Section 409A of the Code, in no event will an event be deemed a Corporate Transaction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The Board may, in its sole discretion and without a Participant’s consent, amend the definition of “Corporate Transaction” to conform to the definition of a “change in control event” under Section 409A of the Code and the regulations thereunder.</w:t>
      </w:r>
    </w:p>
    <w:p>
      <w:pPr>
        <w:spacing w:after="0" w:line="172" w:lineRule="exact"/>
        <w:rPr>
          <w:sz w:val="20"/>
          <w:szCs w:val="20"/>
          <w:color w:val="auto"/>
        </w:rPr>
      </w:pPr>
    </w:p>
    <w:p>
      <w:pPr>
        <w:ind w:left="1040" w:hanging="384"/>
        <w:spacing w:after="0"/>
        <w:tabs>
          <w:tab w:leader="none" w:pos="1040"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21" w:lineRule="exact"/>
        <w:rPr>
          <w:rFonts w:ascii="Arial" w:cs="Arial" w:eastAsia="Arial" w:hAnsi="Arial"/>
          <w:sz w:val="16"/>
          <w:szCs w:val="16"/>
          <w:b w:val="1"/>
          <w:bCs w:val="1"/>
          <w:color w:val="auto"/>
        </w:rPr>
      </w:pPr>
    </w:p>
    <w:p>
      <w:pPr>
        <w:jc w:val="both"/>
        <w:ind w:firstLine="656"/>
        <w:spacing w:after="0" w:line="265" w:lineRule="auto"/>
        <w:tabs>
          <w:tab w:leader="none" w:pos="1012"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86" w:lineRule="exact"/>
        <w:rPr>
          <w:rFonts w:ascii="Arial" w:cs="Arial" w:eastAsia="Arial" w:hAnsi="Arial"/>
          <w:sz w:val="16"/>
          <w:szCs w:val="16"/>
          <w:b w:val="1"/>
          <w:bCs w:val="1"/>
          <w:color w:val="auto"/>
        </w:rPr>
      </w:pPr>
    </w:p>
    <w:p>
      <w:pPr>
        <w:ind w:firstLine="656"/>
        <w:spacing w:after="0" w:line="286" w:lineRule="auto"/>
        <w:tabs>
          <w:tab w:leader="none" w:pos="1134"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effective date of this Plan (as amended and restated hereby), which is the date of the Annual Meeting of Stockholders of the Company held in 2025, provided that this Plan is approved by the Company’s stockholders at such meeting.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5" w:name="page106"/>
    <w:bookmarkEnd w:id="105"/>
    <w:p>
      <w:pPr>
        <w:ind w:right="20" w:firstLine="656"/>
        <w:spacing w:after="0" w:line="286" w:lineRule="auto"/>
        <w:tabs>
          <w:tab w:leader="none" w:pos="1017"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employed by the Company or an Affiliate. However, service solely as a Director, or payment of a fee for such services, will not cause a Director to be considered an “Employee” for purposes of the Plan.</w:t>
      </w:r>
    </w:p>
    <w:p>
      <w:pPr>
        <w:spacing w:after="0" w:line="169" w:lineRule="exact"/>
        <w:rPr>
          <w:rFonts w:ascii="Arial" w:cs="Arial" w:eastAsia="Arial" w:hAnsi="Arial"/>
          <w:sz w:val="16"/>
          <w:szCs w:val="16"/>
          <w:b w:val="1"/>
          <w:bCs w:val="1"/>
          <w:color w:val="auto"/>
        </w:rPr>
      </w:pPr>
    </w:p>
    <w:p>
      <w:pPr>
        <w:ind w:left="1040" w:hanging="384"/>
        <w:spacing w:after="0"/>
        <w:tabs>
          <w:tab w:leader="none" w:pos="104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 corporation, partnership, limited liability company or other entity.</w:t>
      </w:r>
    </w:p>
    <w:p>
      <w:pPr>
        <w:spacing w:after="0" w:line="221" w:lineRule="exact"/>
        <w:rPr>
          <w:rFonts w:ascii="Arial" w:cs="Arial" w:eastAsia="Arial" w:hAnsi="Arial"/>
          <w:sz w:val="16"/>
          <w:szCs w:val="16"/>
          <w:b w:val="1"/>
          <w:bCs w:val="1"/>
          <w:color w:val="auto"/>
        </w:rPr>
      </w:pPr>
    </w:p>
    <w:p>
      <w:pPr>
        <w:ind w:left="1040" w:hanging="384"/>
        <w:spacing w:after="0"/>
        <w:tabs>
          <w:tab w:leader="none" w:pos="104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34" w:lineRule="exact"/>
        <w:rPr>
          <w:rFonts w:ascii="Arial" w:cs="Arial" w:eastAsia="Arial" w:hAnsi="Arial"/>
          <w:sz w:val="16"/>
          <w:szCs w:val="16"/>
          <w:b w:val="1"/>
          <w:bCs w:val="1"/>
          <w:color w:val="auto"/>
        </w:rPr>
      </w:pPr>
    </w:p>
    <w:p>
      <w:pPr>
        <w:jc w:val="both"/>
        <w:ind w:firstLine="656"/>
        <w:spacing w:after="0" w:line="259" w:lineRule="auto"/>
        <w:tabs>
          <w:tab w:leader="none" w:pos="1116"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Original Effective Date, is the Owner, directly or indirectly, of securities of the Company representing more than fifty percent 50% of the combined voting power of the Company’s then outstanding securities.</w:t>
      </w:r>
    </w:p>
    <w:p>
      <w:pPr>
        <w:spacing w:after="0" w:line="176" w:lineRule="exact"/>
        <w:rPr>
          <w:rFonts w:ascii="Arial" w:cs="Arial" w:eastAsia="Arial" w:hAnsi="Arial"/>
          <w:sz w:val="16"/>
          <w:szCs w:val="16"/>
          <w:b w:val="1"/>
          <w:bCs w:val="1"/>
          <w:color w:val="auto"/>
        </w:rPr>
      </w:pPr>
    </w:p>
    <w:p>
      <w:pPr>
        <w:ind w:left="1040" w:hanging="384"/>
        <w:spacing w:after="0"/>
        <w:tabs>
          <w:tab w:leader="none" w:pos="104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the Common Stock determined as follows:</w:t>
      </w:r>
    </w:p>
    <w:p>
      <w:pPr>
        <w:spacing w:after="0" w:line="234" w:lineRule="exact"/>
        <w:rPr>
          <w:rFonts w:ascii="Arial" w:cs="Arial" w:eastAsia="Arial" w:hAnsi="Arial"/>
          <w:sz w:val="16"/>
          <w:szCs w:val="16"/>
          <w:b w:val="1"/>
          <w:bCs w:val="1"/>
          <w:color w:val="auto"/>
        </w:rPr>
      </w:pPr>
    </w:p>
    <w:p>
      <w:pPr>
        <w:jc w:val="both"/>
        <w:ind w:firstLine="1304"/>
        <w:spacing w:after="0" w:line="265" w:lineRule="auto"/>
        <w:tabs>
          <w:tab w:leader="none" w:pos="1750" w:val="left"/>
        </w:tabs>
        <w:numPr>
          <w:ilvl w:val="1"/>
          <w:numId w:val="166"/>
        </w:numPr>
        <w:rPr>
          <w:rFonts w:ascii="Arial" w:cs="Arial" w:eastAsia="Arial" w:hAnsi="Arial"/>
          <w:sz w:val="16"/>
          <w:szCs w:val="16"/>
          <w:b w:val="1"/>
          <w:bCs w:val="1"/>
          <w:color w:val="auto"/>
        </w:rPr>
      </w:pPr>
      <w:r>
        <w:rPr>
          <w:rFonts w:ascii="Arial" w:cs="Arial" w:eastAsia="Arial" w:hAnsi="Arial"/>
          <w:sz w:val="16"/>
          <w:szCs w:val="16"/>
          <w:color w:val="auto"/>
        </w:rPr>
        <w:t>Unless otherwise provided by the Board, if the Common Stock is listed on any established stock exchange or traded on any established market, then the Fair Market Value of a share of Common Stock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2" w:lineRule="exact"/>
        <w:rPr>
          <w:rFonts w:ascii="Arial" w:cs="Arial" w:eastAsia="Arial" w:hAnsi="Arial"/>
          <w:sz w:val="16"/>
          <w:szCs w:val="16"/>
          <w:b w:val="1"/>
          <w:bCs w:val="1"/>
          <w:color w:val="auto"/>
        </w:rPr>
      </w:pPr>
    </w:p>
    <w:p>
      <w:pPr>
        <w:ind w:right="20" w:firstLine="1304"/>
        <w:spacing w:after="0" w:line="304" w:lineRule="auto"/>
        <w:tabs>
          <w:tab w:leader="none" w:pos="1701" w:val="left"/>
        </w:tabs>
        <w:numPr>
          <w:ilvl w:val="1"/>
          <w:numId w:val="166"/>
        </w:numPr>
        <w:rPr>
          <w:rFonts w:ascii="Arial" w:cs="Arial" w:eastAsia="Arial" w:hAnsi="Arial"/>
          <w:sz w:val="16"/>
          <w:szCs w:val="16"/>
          <w:b w:val="1"/>
          <w:bCs w:val="1"/>
          <w:color w:val="auto"/>
        </w:rPr>
      </w:pPr>
      <w:r>
        <w:rPr>
          <w:rFonts w:ascii="Arial" w:cs="Arial" w:eastAsia="Arial" w:hAnsi="Arial"/>
          <w:sz w:val="16"/>
          <w:szCs w:val="16"/>
          <w:color w:val="auto"/>
        </w:rPr>
        <w:t>Unless otherwise provided by the Board, if there is no closing sales price for the Common Stock on the date of determination, then the Fair Market Value of a share of Common Stock will be the closing sales price for such stock on the last preceding date for which such quotation exists.</w:t>
      </w:r>
    </w:p>
    <w:p>
      <w:pPr>
        <w:spacing w:after="0" w:line="141" w:lineRule="exact"/>
        <w:rPr>
          <w:rFonts w:ascii="Arial" w:cs="Arial" w:eastAsia="Arial" w:hAnsi="Arial"/>
          <w:sz w:val="16"/>
          <w:szCs w:val="16"/>
          <w:b w:val="1"/>
          <w:bCs w:val="1"/>
          <w:color w:val="auto"/>
        </w:rPr>
      </w:pPr>
    </w:p>
    <w:p>
      <w:pPr>
        <w:ind w:firstLine="1304"/>
        <w:spacing w:after="0" w:line="286" w:lineRule="auto"/>
        <w:tabs>
          <w:tab w:leader="none" w:pos="1719" w:val="left"/>
        </w:tabs>
        <w:numPr>
          <w:ilvl w:val="1"/>
          <w:numId w:val="166"/>
        </w:numPr>
        <w:rPr>
          <w:rFonts w:ascii="Arial" w:cs="Arial" w:eastAsia="Arial" w:hAnsi="Arial"/>
          <w:sz w:val="16"/>
          <w:szCs w:val="16"/>
          <w:b w:val="1"/>
          <w:bCs w:val="1"/>
          <w:color w:val="auto"/>
        </w:rPr>
      </w:pPr>
      <w:r>
        <w:rPr>
          <w:rFonts w:ascii="Arial" w:cs="Arial" w:eastAsia="Arial" w:hAnsi="Arial"/>
          <w:sz w:val="16"/>
          <w:szCs w:val="16"/>
          <w:color w:val="auto"/>
        </w:rPr>
        <w:t>In the absence of such markets for the Common Stock, the Fair Market Value of a share of Common Stock will be determined by the Board in good faith and in a manner that complies with Sections 409A and 422 of the Code.</w:t>
      </w:r>
    </w:p>
    <w:p>
      <w:pPr>
        <w:spacing w:after="0" w:line="169" w:lineRule="exact"/>
        <w:rPr>
          <w:rFonts w:ascii="Arial" w:cs="Arial" w:eastAsia="Arial" w:hAnsi="Arial"/>
          <w:sz w:val="16"/>
          <w:szCs w:val="16"/>
          <w:b w:val="1"/>
          <w:bCs w:val="1"/>
          <w:color w:val="auto"/>
        </w:rPr>
      </w:pPr>
    </w:p>
    <w:p>
      <w:pPr>
        <w:ind w:left="1040" w:hanging="384"/>
        <w:spacing w:after="0"/>
        <w:tabs>
          <w:tab w:leader="none" w:pos="104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(i) a stock award granted under the Prior Plan or (ii) an Award, in each case that is not an Appreciation Award.</w:t>
      </w:r>
    </w:p>
    <w:p>
      <w:pPr>
        <w:spacing w:after="0" w:line="221" w:lineRule="exact"/>
        <w:rPr>
          <w:rFonts w:ascii="Arial" w:cs="Arial" w:eastAsia="Arial" w:hAnsi="Arial"/>
          <w:sz w:val="16"/>
          <w:szCs w:val="16"/>
          <w:b w:val="1"/>
          <w:bCs w:val="1"/>
          <w:color w:val="auto"/>
        </w:rPr>
      </w:pPr>
    </w:p>
    <w:p>
      <w:pPr>
        <w:ind w:firstLine="656"/>
        <w:spacing w:after="0" w:line="304" w:lineRule="auto"/>
        <w:tabs>
          <w:tab w:leader="none" w:pos="1071"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means an option granted pursuant to Section 5 that is intended to be, and that qualifies as, an “incentive stock option” within the meaning of Section 422 of the Code.</w:t>
      </w:r>
    </w:p>
    <w:p>
      <w:pPr>
        <w:spacing w:after="0" w:line="141" w:lineRule="exact"/>
        <w:rPr>
          <w:sz w:val="20"/>
          <w:szCs w:val="20"/>
          <w:color w:val="auto"/>
        </w:rPr>
      </w:pPr>
    </w:p>
    <w:p>
      <w:pPr>
        <w:jc w:val="both"/>
        <w:ind w:firstLine="656"/>
        <w:spacing w:after="0" w:line="261" w:lineRule="auto"/>
        <w:tabs>
          <w:tab w:leader="none" w:pos="1184"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6" w:lineRule="exact"/>
        <w:rPr>
          <w:rFonts w:ascii="Arial" w:cs="Arial" w:eastAsia="Arial" w:hAnsi="Arial"/>
          <w:sz w:val="16"/>
          <w:szCs w:val="16"/>
          <w:b w:val="1"/>
          <w:bCs w:val="1"/>
          <w:color w:val="auto"/>
        </w:rPr>
      </w:pPr>
    </w:p>
    <w:p>
      <w:pPr>
        <w:ind w:left="1140" w:hanging="484"/>
        <w:spacing w:after="0"/>
        <w:tabs>
          <w:tab w:leader="none" w:pos="114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 option granted pursuant to Section 5 that does not qualify as an Incentive Stock Option.</w:t>
      </w:r>
    </w:p>
    <w:p>
      <w:pPr>
        <w:spacing w:after="0" w:line="234" w:lineRule="exact"/>
        <w:rPr>
          <w:rFonts w:ascii="Arial" w:cs="Arial" w:eastAsia="Arial" w:hAnsi="Arial"/>
          <w:sz w:val="16"/>
          <w:szCs w:val="16"/>
          <w:b w:val="1"/>
          <w:bCs w:val="1"/>
          <w:color w:val="auto"/>
        </w:rPr>
      </w:pPr>
    </w:p>
    <w:p>
      <w:pPr>
        <w:ind w:left="1120" w:hanging="464"/>
        <w:spacing w:after="0"/>
        <w:tabs>
          <w:tab w:leader="none" w:pos="112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within the meaning of Section 16 of the Exchange Act.</w:t>
      </w:r>
    </w:p>
    <w:p>
      <w:pPr>
        <w:spacing w:after="0" w:line="221" w:lineRule="exact"/>
        <w:rPr>
          <w:rFonts w:ascii="Arial" w:cs="Arial" w:eastAsia="Arial" w:hAnsi="Arial"/>
          <w:sz w:val="16"/>
          <w:szCs w:val="16"/>
          <w:b w:val="1"/>
          <w:bCs w:val="1"/>
          <w:color w:val="auto"/>
        </w:rPr>
      </w:pPr>
    </w:p>
    <w:p>
      <w:pPr>
        <w:ind w:left="1180" w:hanging="524"/>
        <w:spacing w:after="0"/>
        <w:tabs>
          <w:tab w:leader="none" w:pos="118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3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Plan.</w:t>
      </w:r>
    </w:p>
    <w:p>
      <w:pPr>
        <w:spacing w:after="0" w:line="205" w:lineRule="exact"/>
        <w:rPr>
          <w:rFonts w:ascii="Arial" w:cs="Arial" w:eastAsia="Arial" w:hAnsi="Arial"/>
          <w:sz w:val="16"/>
          <w:szCs w:val="16"/>
          <w:b w:val="1"/>
          <w:bCs w:val="1"/>
          <w:color w:val="auto"/>
        </w:rPr>
      </w:pPr>
    </w:p>
    <w:p>
      <w:pPr>
        <w:ind w:right="20" w:firstLine="656"/>
        <w:spacing w:after="0" w:line="286" w:lineRule="auto"/>
        <w:tabs>
          <w:tab w:leader="none" w:pos="1116"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means a written agreement between the Company and a holder of an Option evidencing the terms and conditions of an Option grant. Each Option Agreement will be subject to the terms and conditions of the Plan.</w:t>
      </w:r>
    </w:p>
    <w:p>
      <w:pPr>
        <w:spacing w:after="0" w:line="169" w:lineRule="exact"/>
        <w:rPr>
          <w:rFonts w:ascii="Arial" w:cs="Arial" w:eastAsia="Arial" w:hAnsi="Arial"/>
          <w:sz w:val="16"/>
          <w:szCs w:val="16"/>
          <w:b w:val="1"/>
          <w:bCs w:val="1"/>
          <w:color w:val="auto"/>
        </w:rPr>
      </w:pPr>
    </w:p>
    <w:p>
      <w:pPr>
        <w:ind w:left="1060" w:hanging="404"/>
        <w:spacing w:after="0"/>
        <w:tabs>
          <w:tab w:leader="none" w:pos="106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Adoption Date</w:t>
      </w:r>
      <w:r>
        <w:rPr>
          <w:rFonts w:ascii="Arial" w:cs="Arial" w:eastAsia="Arial" w:hAnsi="Arial"/>
          <w:sz w:val="16"/>
          <w:szCs w:val="16"/>
          <w:color w:val="auto"/>
        </w:rPr>
        <w:t>” means March 25, 2021, which is the date the Plan was originally adopted by the Board.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6" w:name="page107"/>
    <w:bookmarkEnd w:id="106"/>
    <w:p>
      <w:pPr>
        <w:ind w:left="1140" w:hanging="484"/>
        <w:spacing w:after="0"/>
        <w:tabs>
          <w:tab w:leader="none" w:pos="114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Effective Date</w:t>
      </w:r>
      <w:r>
        <w:rPr>
          <w:rFonts w:ascii="Arial" w:cs="Arial" w:eastAsia="Arial" w:hAnsi="Arial"/>
          <w:sz w:val="16"/>
          <w:szCs w:val="16"/>
          <w:color w:val="auto"/>
        </w:rPr>
        <w:t>” means May 19, 2021.</w:t>
      </w:r>
    </w:p>
    <w:p>
      <w:pPr>
        <w:spacing w:after="0" w:line="221" w:lineRule="exact"/>
        <w:rPr>
          <w:rFonts w:ascii="Arial" w:cs="Arial" w:eastAsia="Arial" w:hAnsi="Arial"/>
          <w:sz w:val="16"/>
          <w:szCs w:val="16"/>
          <w:b w:val="1"/>
          <w:bCs w:val="1"/>
          <w:color w:val="auto"/>
        </w:rPr>
      </w:pPr>
    </w:p>
    <w:p>
      <w:pPr>
        <w:ind w:firstLine="656"/>
        <w:spacing w:after="0" w:line="304" w:lineRule="auto"/>
        <w:tabs>
          <w:tab w:leader="none" w:pos="1147"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w:t>
      </w:r>
      <w:r>
        <w:rPr>
          <w:rFonts w:ascii="Arial" w:cs="Arial" w:eastAsia="Arial" w:hAnsi="Arial"/>
          <w:sz w:val="16"/>
          <w:szCs w:val="16"/>
          <w:color w:val="auto"/>
        </w:rPr>
        <w:t>” means an award based in whole or in part by reference to the Common Stock which is granted pursuant to the terms and conditions of Section 6(d).</w:t>
      </w:r>
    </w:p>
    <w:p>
      <w:pPr>
        <w:spacing w:after="0" w:line="141" w:lineRule="exact"/>
        <w:rPr>
          <w:rFonts w:ascii="Arial" w:cs="Arial" w:eastAsia="Arial" w:hAnsi="Arial"/>
          <w:sz w:val="16"/>
          <w:szCs w:val="16"/>
          <w:b w:val="1"/>
          <w:bCs w:val="1"/>
          <w:color w:val="auto"/>
        </w:rPr>
      </w:pPr>
    </w:p>
    <w:p>
      <w:pPr>
        <w:ind w:firstLine="656"/>
        <w:spacing w:after="0" w:line="304" w:lineRule="auto"/>
        <w:tabs>
          <w:tab w:leader="none" w:pos="1053"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41" w:lineRule="exact"/>
        <w:rPr>
          <w:rFonts w:ascii="Arial" w:cs="Arial" w:eastAsia="Arial" w:hAnsi="Arial"/>
          <w:sz w:val="16"/>
          <w:szCs w:val="16"/>
          <w:b w:val="1"/>
          <w:bCs w:val="1"/>
          <w:color w:val="auto"/>
        </w:rPr>
      </w:pPr>
    </w:p>
    <w:p>
      <w:pPr>
        <w:jc w:val="both"/>
        <w:ind w:firstLine="656"/>
        <w:spacing w:after="0" w:line="275" w:lineRule="auto"/>
        <w:tabs>
          <w:tab w:leader="none" w:pos="1093"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4" w:lineRule="exact"/>
        <w:rPr>
          <w:rFonts w:ascii="Arial" w:cs="Arial" w:eastAsia="Arial" w:hAnsi="Arial"/>
          <w:sz w:val="16"/>
          <w:szCs w:val="16"/>
          <w:b w:val="1"/>
          <w:bCs w:val="1"/>
          <w:color w:val="auto"/>
        </w:rPr>
      </w:pPr>
    </w:p>
    <w:p>
      <w:pPr>
        <w:ind w:firstLine="656"/>
        <w:spacing w:after="0" w:line="304" w:lineRule="auto"/>
        <w:tabs>
          <w:tab w:leader="none" w:pos="1238"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 Award.</w:t>
      </w:r>
    </w:p>
    <w:p>
      <w:pPr>
        <w:spacing w:after="0" w:line="141" w:lineRule="exact"/>
        <w:rPr>
          <w:rFonts w:ascii="Arial" w:cs="Arial" w:eastAsia="Arial" w:hAnsi="Arial"/>
          <w:sz w:val="16"/>
          <w:szCs w:val="16"/>
          <w:b w:val="1"/>
          <w:bCs w:val="1"/>
          <w:color w:val="auto"/>
        </w:rPr>
      </w:pPr>
    </w:p>
    <w:p>
      <w:pPr>
        <w:jc w:val="both"/>
        <w:ind w:firstLine="656"/>
        <w:spacing w:after="0" w:line="256" w:lineRule="auto"/>
        <w:tabs>
          <w:tab w:leader="none" w:pos="108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workforce diversity; (xxxi) growth of net income or operating income; (xxxii) billings; and (xxxiii) any other measures of performance selected by the Board. Partial achievement of the specified criteria may result in the payment or vesting corresponding to the degree of achievement as specified in the applicable Award Agreement.</w:t>
      </w:r>
    </w:p>
    <w:p>
      <w:pPr>
        <w:spacing w:after="0" w:line="196" w:lineRule="exact"/>
        <w:rPr>
          <w:rFonts w:ascii="Arial" w:cs="Arial" w:eastAsia="Arial" w:hAnsi="Arial"/>
          <w:sz w:val="16"/>
          <w:szCs w:val="16"/>
          <w:b w:val="1"/>
          <w:bCs w:val="1"/>
          <w:color w:val="auto"/>
        </w:rPr>
      </w:pPr>
    </w:p>
    <w:p>
      <w:pPr>
        <w:jc w:val="both"/>
        <w:ind w:firstLine="656"/>
        <w:spacing w:after="0" w:line="257" w:lineRule="auto"/>
        <w:tabs>
          <w:tab w:leader="none" w:pos="1224"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to make appropriate adjustments in the method of calculating the attainment of Performance Goals for a Performance Period as follows: (i) to exclude restructuring and/or other nonrecurring charges; (ii) to exclude exchange rate effects, as applicable, for non-U.S. dollar denominated Performance Goals;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and (vi) to make other appropriate adjustments selected by the Board.</w:t>
      </w:r>
    </w:p>
    <w:p>
      <w:pPr>
        <w:spacing w:after="0" w:line="192" w:lineRule="exact"/>
        <w:rPr>
          <w:rFonts w:ascii="Arial" w:cs="Arial" w:eastAsia="Arial" w:hAnsi="Arial"/>
          <w:sz w:val="16"/>
          <w:szCs w:val="16"/>
          <w:b w:val="1"/>
          <w:bCs w:val="1"/>
          <w:color w:val="auto"/>
        </w:rPr>
      </w:pPr>
    </w:p>
    <w:p>
      <w:pPr>
        <w:jc w:val="both"/>
        <w:ind w:firstLine="656"/>
        <w:spacing w:after="0" w:line="275" w:lineRule="auto"/>
        <w:tabs>
          <w:tab w:leader="none" w:pos="1134"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means the period of time selected by the Board over which the attainment of one or more Performance Goals will be measured for the purpose of determining a Participant’s right to and the payment of a Performance Stock Award. Performance Periods may be of varying and overlapping duration, at the sole discretion of the Board.</w:t>
      </w:r>
    </w:p>
    <w:p>
      <w:pPr>
        <w:spacing w:after="0" w:line="164" w:lineRule="exact"/>
        <w:rPr>
          <w:rFonts w:ascii="Arial" w:cs="Arial" w:eastAsia="Arial" w:hAnsi="Arial"/>
          <w:sz w:val="16"/>
          <w:szCs w:val="16"/>
          <w:b w:val="1"/>
          <w:bCs w:val="1"/>
          <w:color w:val="auto"/>
        </w:rPr>
      </w:pPr>
    </w:p>
    <w:p>
      <w:pPr>
        <w:ind w:left="1140" w:hanging="484"/>
        <w:spacing w:after="0"/>
        <w:tabs>
          <w:tab w:leader="none" w:pos="114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Stock Award</w:t>
      </w:r>
      <w:r>
        <w:rPr>
          <w:rFonts w:ascii="Arial" w:cs="Arial" w:eastAsia="Arial" w:hAnsi="Arial"/>
          <w:sz w:val="16"/>
          <w:szCs w:val="16"/>
          <w:color w:val="auto"/>
        </w:rPr>
        <w:t>” means an Award granted under the terms and conditions of Section 6(c).</w:t>
      </w:r>
    </w:p>
    <w:p>
      <w:pPr>
        <w:spacing w:after="0" w:line="221" w:lineRule="exact"/>
        <w:rPr>
          <w:rFonts w:ascii="Arial" w:cs="Arial" w:eastAsia="Arial" w:hAnsi="Arial"/>
          <w:sz w:val="16"/>
          <w:szCs w:val="16"/>
          <w:b w:val="1"/>
          <w:bCs w:val="1"/>
          <w:color w:val="auto"/>
        </w:rPr>
      </w:pPr>
    </w:p>
    <w:p>
      <w:pPr>
        <w:ind w:left="1140" w:hanging="484"/>
        <w:spacing w:after="0"/>
        <w:tabs>
          <w:tab w:leader="none" w:pos="114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Enphase Energy, Inc. 2021 Equity Incentive Plan.</w:t>
      </w:r>
    </w:p>
    <w:p>
      <w:pPr>
        <w:spacing w:after="0" w:line="234" w:lineRule="exact"/>
        <w:rPr>
          <w:rFonts w:ascii="Arial" w:cs="Arial" w:eastAsia="Arial" w:hAnsi="Arial"/>
          <w:sz w:val="16"/>
          <w:szCs w:val="16"/>
          <w:b w:val="1"/>
          <w:bCs w:val="1"/>
          <w:color w:val="auto"/>
        </w:rPr>
      </w:pPr>
    </w:p>
    <w:p>
      <w:pPr>
        <w:ind w:left="1140" w:hanging="484"/>
        <w:spacing w:after="0"/>
        <w:tabs>
          <w:tab w:leader="none" w:pos="114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Enphase Energy, Inc. 2011 Equity Incentive Plan.</w:t>
      </w:r>
    </w:p>
    <w:p>
      <w:pPr>
        <w:spacing w:after="0" w:line="221" w:lineRule="exact"/>
        <w:rPr>
          <w:rFonts w:ascii="Arial" w:cs="Arial" w:eastAsia="Arial" w:hAnsi="Arial"/>
          <w:sz w:val="16"/>
          <w:szCs w:val="16"/>
          <w:b w:val="1"/>
          <w:bCs w:val="1"/>
          <w:color w:val="auto"/>
        </w:rPr>
      </w:pPr>
    </w:p>
    <w:p>
      <w:pPr>
        <w:ind w:left="1060" w:hanging="404"/>
        <w:spacing w:after="0"/>
        <w:tabs>
          <w:tab w:leader="none" w:pos="106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 Award</w:t>
      </w:r>
      <w:r>
        <w:rPr>
          <w:rFonts w:ascii="Arial" w:cs="Arial" w:eastAsia="Arial" w:hAnsi="Arial"/>
          <w:sz w:val="16"/>
          <w:szCs w:val="16"/>
          <w:color w:val="auto"/>
        </w:rPr>
        <w:t>” means an award granted under the Prior Plan that is outstanding as of the Original Effective Date.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7" w:name="page108"/>
    <w:bookmarkEnd w:id="107"/>
    <w:p>
      <w:pPr>
        <w:jc w:val="both"/>
        <w:ind w:firstLine="656"/>
        <w:spacing w:after="0" w:line="258" w:lineRule="auto"/>
        <w:tabs>
          <w:tab w:leader="none" w:pos="1184"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 Returning Shares</w:t>
      </w:r>
      <w:r>
        <w:rPr>
          <w:rFonts w:ascii="Arial" w:cs="Arial" w:eastAsia="Arial" w:hAnsi="Arial"/>
          <w:sz w:val="16"/>
          <w:szCs w:val="16"/>
          <w:color w:val="auto"/>
        </w:rPr>
        <w:t>” means: (i) any shares of Common Stock subject to a Prior Plan Award that on or following the Original Effective Date are not issued because such Prior Plan Award or any portion thereof expires or otherwise terminates without all of the shares covered by such Prior Plan Award having been issued; (ii) any shares of Common Stock subject to a Prior Plan Award that on or following the Original Effective Date are not issued because such Prior Plan Award or any portion thereof is settled in cash; (iii) any shares of Common Stock issued pursuant to a Prior Plan Award that on or following the Original Effective Date are forfeited back to or repurchased by the Company because of the failure to meet a contingency or condition required for the vesting of such shares; (iv) any shares of Common Stock that on or following the Original Effective Date are reacquired or withheld (or not issued) by the Company to satisfy the purchase price of a Prior Plan Award that is a Full Value Award; and (v) any shares of Common Stock that on or following the Original Effective Date are reacquired or withheld (or not issued) by the Company to satisfy a tax withholding obligation in connection with a Prior Plan Award that is a Full Value Award.</w:t>
      </w:r>
    </w:p>
    <w:p>
      <w:pPr>
        <w:spacing w:after="0" w:line="190" w:lineRule="exact"/>
        <w:rPr>
          <w:rFonts w:ascii="Arial" w:cs="Arial" w:eastAsia="Arial" w:hAnsi="Arial"/>
          <w:sz w:val="16"/>
          <w:szCs w:val="16"/>
          <w:b w:val="1"/>
          <w:bCs w:val="1"/>
          <w:color w:val="auto"/>
        </w:rPr>
      </w:pPr>
    </w:p>
    <w:p>
      <w:pPr>
        <w:ind w:left="1100" w:hanging="444"/>
        <w:spacing w:after="0"/>
        <w:tabs>
          <w:tab w:leader="none" w:pos="110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w:t>
      </w:r>
    </w:p>
    <w:p>
      <w:pPr>
        <w:spacing w:after="0" w:line="2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6(a).</w:t>
      </w:r>
    </w:p>
    <w:p>
      <w:pPr>
        <w:spacing w:after="0" w:line="205" w:lineRule="exact"/>
        <w:rPr>
          <w:rFonts w:ascii="Arial" w:cs="Arial" w:eastAsia="Arial" w:hAnsi="Arial"/>
          <w:sz w:val="16"/>
          <w:szCs w:val="16"/>
          <w:b w:val="1"/>
          <w:bCs w:val="1"/>
          <w:color w:val="auto"/>
        </w:rPr>
      </w:pPr>
    </w:p>
    <w:p>
      <w:pPr>
        <w:jc w:val="both"/>
        <w:ind w:firstLine="656"/>
        <w:spacing w:after="0" w:line="275" w:lineRule="auto"/>
        <w:tabs>
          <w:tab w:leader="none" w:pos="1242"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64" w:lineRule="exact"/>
        <w:rPr>
          <w:rFonts w:ascii="Arial" w:cs="Arial" w:eastAsia="Arial" w:hAnsi="Arial"/>
          <w:sz w:val="16"/>
          <w:szCs w:val="16"/>
          <w:b w:val="1"/>
          <w:bCs w:val="1"/>
          <w:color w:val="auto"/>
        </w:rPr>
      </w:pPr>
    </w:p>
    <w:p>
      <w:pPr>
        <w:ind w:left="1140" w:hanging="484"/>
        <w:spacing w:after="0"/>
        <w:tabs>
          <w:tab w:leader="none" w:pos="114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 and conditions of</w:t>
      </w:r>
    </w:p>
    <w:p>
      <w:pPr>
        <w:spacing w:after="0" w:line="3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Section 6(b).</w:t>
      </w:r>
    </w:p>
    <w:p>
      <w:pPr>
        <w:spacing w:after="0" w:line="205" w:lineRule="exact"/>
        <w:rPr>
          <w:rFonts w:ascii="Arial" w:cs="Arial" w:eastAsia="Arial" w:hAnsi="Arial"/>
          <w:sz w:val="16"/>
          <w:szCs w:val="16"/>
          <w:b w:val="1"/>
          <w:bCs w:val="1"/>
          <w:color w:val="auto"/>
        </w:rPr>
      </w:pPr>
    </w:p>
    <w:p>
      <w:pPr>
        <w:jc w:val="both"/>
        <w:ind w:firstLine="656"/>
        <w:spacing w:after="0" w:line="275" w:lineRule="auto"/>
        <w:tabs>
          <w:tab w:leader="none" w:pos="1242"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 Agreement</w:t>
      </w:r>
      <w:r>
        <w:rPr>
          <w:rFonts w:ascii="Arial" w:cs="Arial" w:eastAsia="Arial" w:hAnsi="Arial"/>
          <w:sz w:val="16"/>
          <w:szCs w:val="16"/>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64" w:lineRule="exact"/>
        <w:rPr>
          <w:rFonts w:ascii="Arial" w:cs="Arial" w:eastAsia="Arial" w:hAnsi="Arial"/>
          <w:sz w:val="16"/>
          <w:szCs w:val="16"/>
          <w:b w:val="1"/>
          <w:bCs w:val="1"/>
          <w:color w:val="auto"/>
        </w:rPr>
      </w:pPr>
    </w:p>
    <w:p>
      <w:pPr>
        <w:ind w:left="1120" w:hanging="464"/>
        <w:spacing w:after="0"/>
        <w:tabs>
          <w:tab w:leader="none" w:pos="112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234" w:lineRule="exact"/>
        <w:rPr>
          <w:rFonts w:ascii="Arial" w:cs="Arial" w:eastAsia="Arial" w:hAnsi="Arial"/>
          <w:sz w:val="16"/>
          <w:szCs w:val="16"/>
          <w:b w:val="1"/>
          <w:bCs w:val="1"/>
          <w:color w:val="auto"/>
        </w:rPr>
      </w:pPr>
    </w:p>
    <w:p>
      <w:pPr>
        <w:ind w:left="1120" w:hanging="464"/>
        <w:spacing w:after="0"/>
        <w:tabs>
          <w:tab w:leader="none" w:pos="112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405</w:t>
      </w:r>
      <w:r>
        <w:rPr>
          <w:rFonts w:ascii="Arial" w:cs="Arial" w:eastAsia="Arial" w:hAnsi="Arial"/>
          <w:sz w:val="16"/>
          <w:szCs w:val="16"/>
          <w:color w:val="auto"/>
        </w:rPr>
        <w:t>” means Rule 405 promulgated under the Securities Act.</w:t>
      </w:r>
    </w:p>
    <w:p>
      <w:pPr>
        <w:spacing w:after="0" w:line="221" w:lineRule="exact"/>
        <w:rPr>
          <w:rFonts w:ascii="Arial" w:cs="Arial" w:eastAsia="Arial" w:hAnsi="Arial"/>
          <w:sz w:val="16"/>
          <w:szCs w:val="16"/>
          <w:b w:val="1"/>
          <w:bCs w:val="1"/>
          <w:color w:val="auto"/>
        </w:rPr>
      </w:pPr>
    </w:p>
    <w:p>
      <w:pPr>
        <w:ind w:left="1100" w:hanging="444"/>
        <w:spacing w:after="0"/>
        <w:tabs>
          <w:tab w:leader="none" w:pos="110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35" w:lineRule="exact"/>
        <w:rPr>
          <w:sz w:val="20"/>
          <w:szCs w:val="20"/>
          <w:color w:val="auto"/>
        </w:rPr>
      </w:pPr>
    </w:p>
    <w:p>
      <w:pPr>
        <w:ind w:firstLine="656"/>
        <w:spacing w:after="0" w:line="286" w:lineRule="auto"/>
        <w:tabs>
          <w:tab w:leader="none" w:pos="1247"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right to receive the appreciation on Common Stock that is granted pursuant to the terms and conditions of Section 5.</w:t>
      </w:r>
    </w:p>
    <w:p>
      <w:pPr>
        <w:spacing w:after="0" w:line="155" w:lineRule="exact"/>
        <w:rPr>
          <w:rFonts w:ascii="Arial" w:cs="Arial" w:eastAsia="Arial" w:hAnsi="Arial"/>
          <w:sz w:val="16"/>
          <w:szCs w:val="16"/>
          <w:b w:val="1"/>
          <w:bCs w:val="1"/>
          <w:color w:val="auto"/>
        </w:rPr>
      </w:pPr>
    </w:p>
    <w:p>
      <w:pPr>
        <w:jc w:val="both"/>
        <w:ind w:firstLine="656"/>
        <w:spacing w:after="0" w:line="275" w:lineRule="auto"/>
        <w:tabs>
          <w:tab w:leader="none" w:pos="1246"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 Agreement</w:t>
      </w:r>
      <w:r>
        <w:rPr>
          <w:rFonts w:ascii="Arial" w:cs="Arial" w:eastAsia="Arial" w:hAnsi="Arial"/>
          <w:sz w:val="16"/>
          <w:szCs w:val="16"/>
          <w:color w:val="auto"/>
        </w:rPr>
        <w:t>” or “</w:t>
      </w:r>
      <w:r>
        <w:rPr>
          <w:rFonts w:ascii="Arial" w:cs="Arial" w:eastAsia="Arial" w:hAnsi="Arial"/>
          <w:sz w:val="16"/>
          <w:szCs w:val="16"/>
          <w:b w:val="1"/>
          <w:bCs w:val="1"/>
          <w:i w:val="1"/>
          <w:iCs w:val="1"/>
          <w:color w:val="auto"/>
        </w:rPr>
        <w:t>SAR Agreement</w:t>
      </w:r>
      <w:r>
        <w:rPr>
          <w:rFonts w:ascii="Arial" w:cs="Arial" w:eastAsia="Arial" w:hAnsi="Arial"/>
          <w:sz w:val="16"/>
          <w:szCs w:val="16"/>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7" w:lineRule="exact"/>
        <w:rPr>
          <w:rFonts w:ascii="Arial" w:cs="Arial" w:eastAsia="Arial" w:hAnsi="Arial"/>
          <w:sz w:val="16"/>
          <w:szCs w:val="16"/>
          <w:b w:val="1"/>
          <w:bCs w:val="1"/>
          <w:color w:val="auto"/>
        </w:rPr>
      </w:pPr>
    </w:p>
    <w:p>
      <w:pPr>
        <w:jc w:val="both"/>
        <w:ind w:firstLine="656"/>
        <w:spacing w:after="0" w:line="260" w:lineRule="auto"/>
        <w:tabs>
          <w:tab w:leader="none" w:pos="1274"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91" w:lineRule="exact"/>
        <w:rPr>
          <w:rFonts w:ascii="Arial" w:cs="Arial" w:eastAsia="Arial" w:hAnsi="Arial"/>
          <w:sz w:val="16"/>
          <w:szCs w:val="16"/>
          <w:b w:val="1"/>
          <w:bCs w:val="1"/>
          <w:color w:val="auto"/>
        </w:rPr>
      </w:pPr>
    </w:p>
    <w:p>
      <w:pPr>
        <w:ind w:firstLine="656"/>
        <w:spacing w:after="0" w:line="286" w:lineRule="auto"/>
        <w:tabs>
          <w:tab w:leader="none" w:pos="1260"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10% of the total combined voting power of all classes of stock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F37321"/>
        </w:rPr>
        <w:t xml:space="preserve">Enphase Energy, Inc. </w:t>
      </w:r>
      <w:r>
        <w:rPr>
          <w:rFonts w:ascii="Arial" w:cs="Arial" w:eastAsia="Arial" w:hAnsi="Arial"/>
          <w:sz w:val="13"/>
          <w:szCs w:val="13"/>
          <w:color w:val="5F6062"/>
        </w:rPr>
        <w:t>| 2025 Proxy Statement | B</w:t>
      </w:r>
      <w:r>
        <w:rPr>
          <w:rFonts w:ascii="Arial" w:cs="Arial" w:eastAsia="Arial" w:hAnsi="Arial"/>
          <w:sz w:val="13"/>
          <w:szCs w:val="13"/>
          <w:color w:val="6D6D6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84397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8439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500380</wp:posOffset>
            </wp:positionV>
            <wp:extent cx="5966460" cy="77152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lvl w:ilvl="1">
      <w:lvlJc w:val="left"/>
      <w:lvlText w:val="☐"/>
      <w:numFmt w:val="bullet"/>
      <w:start w:val="1"/>
    </w:lvl>
  </w:abstractNum>
  <w:abstractNum w:abstractNumId="4">
    <w:nsid w:val="4C04A8AF"/>
    <w:multiLevelType w:val="hybridMultilevel"/>
    <w:lvl w:ilvl="0">
      <w:lvlJc w:val="left"/>
      <w:lvlText w:val="%1."/>
      <w:numFmt w:val="decimal"/>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1"/>
      <w:numFmt w:val="bullet"/>
      <w:start w:val="1"/>
    </w:lvl>
  </w:abstractNum>
  <w:abstractNum w:abstractNumId="7">
    <w:nsid w:val="3222E7CD"/>
    <w:multiLevelType w:val="hybridMultilevel"/>
    <w:lvl w:ilvl="0">
      <w:lvlJc w:val="left"/>
      <w:lvlText w:val="2"/>
      <w:numFmt w:val="bullet"/>
      <w:start w:val="1"/>
    </w:lvl>
  </w:abstractNum>
  <w:abstractNum w:abstractNumId="8">
    <w:nsid w:val="74DE0EE3"/>
    <w:multiLevelType w:val="hybridMultilevel"/>
    <w:lvl w:ilvl="0">
      <w:lvlJc w:val="left"/>
      <w:lvlText w:val="3"/>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lvl w:ilvl="1">
      <w:lvlJc w:val="left"/>
      <w:lvlText w:val="•"/>
      <w:numFmt w:val="bullet"/>
      <w:start w:val="1"/>
    </w:lvl>
  </w:abstractNum>
  <w:abstractNum w:abstractNumId="13">
    <w:nsid w:val="39EE015C"/>
    <w:multiLevelType w:val="hybridMultilevel"/>
    <w:lvl w:ilvl="0">
      <w:lvlJc w:val="left"/>
      <w:lvlText w:val="n"/>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1"/>
      <w:numFmt w:val="bullet"/>
      <w:start w:val="1"/>
    </w:lvl>
  </w:abstractNum>
  <w:abstractNum w:abstractNumId="23">
    <w:nsid w:val="50801EE1"/>
    <w:multiLevelType w:val="hybridMultilevel"/>
    <w:lvl w:ilvl="0">
      <w:lvlJc w:val="left"/>
      <w:lvlText w:val="1"/>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n"/>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1"/>
      <w:numFmt w:val="bullet"/>
      <w:start w:val="1"/>
    </w:lvl>
  </w:abstractNum>
  <w:abstractNum w:abstractNumId="29">
    <w:nsid w:val="6A5F7029"/>
    <w:multiLevelType w:val="hybridMultilevel"/>
    <w:lvl w:ilvl="0">
      <w:lvlJc w:val="left"/>
      <w:lvlText w:val="2"/>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1"/>
      <w:numFmt w:val="bullet"/>
      <w:start w:val="1"/>
    </w:lvl>
  </w:abstractNum>
  <w:abstractNum w:abstractNumId="33">
    <w:nsid w:val="7DE67713"/>
    <w:multiLevelType w:val="hybridMultilevel"/>
    <w:lvl w:ilvl="0">
      <w:lvlJc w:val="left"/>
      <w:lvlText w:val="1"/>
      <w:numFmt w:val="bullet"/>
      <w:start w:val="1"/>
    </w:lvl>
  </w:abstractNum>
  <w:abstractNum w:abstractNumId="34">
    <w:nsid w:val="555C55B5"/>
    <w:multiLevelType w:val="hybridMultilevel"/>
    <w:lvl w:ilvl="0">
      <w:lvlJc w:val="left"/>
      <w:lvlText w:val="1"/>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1"/>
      <w:numFmt w:val="bullet"/>
      <w:start w:val="1"/>
    </w:lvl>
  </w:abstractNum>
  <w:abstractNum w:abstractNumId="37">
    <w:nsid w:val="6A3DD3E8"/>
    <w:multiLevelType w:val="hybridMultilevel"/>
    <w:lvl w:ilvl="0">
      <w:lvlJc w:val="left"/>
      <w:lvlText w:val="1"/>
      <w:numFmt w:val="bullet"/>
      <w:start w:val="1"/>
    </w:lvl>
  </w:abstractNum>
  <w:abstractNum w:abstractNumId="38">
    <w:nsid w:val="71C91298"/>
    <w:multiLevelType w:val="hybridMultilevel"/>
    <w:lvl w:ilvl="0">
      <w:lvlJc w:val="left"/>
      <w:lvlText w:val="1"/>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1"/>
      <w:numFmt w:val="bullet"/>
      <w:start w:val="1"/>
    </w:lvl>
  </w:abstractNum>
  <w:abstractNum w:abstractNumId="50">
    <w:nsid w:val="1CA0C5FA"/>
    <w:multiLevelType w:val="hybridMultilevel"/>
    <w:lvl w:ilvl="0">
      <w:lvlJc w:val="left"/>
      <w:lvlText w:val="2"/>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1"/>
      <w:numFmt w:val="bullet"/>
      <w:start w:val="1"/>
    </w:lvl>
  </w:abstractNum>
  <w:abstractNum w:abstractNumId="53">
    <w:nsid w:val="7C58FD05"/>
    <w:multiLevelType w:val="hybridMultilevel"/>
    <w:lvl w:ilvl="0">
      <w:lvlJc w:val="left"/>
      <w:lvlText w:val="2"/>
      <w:numFmt w:val="bullet"/>
      <w:start w:val="1"/>
    </w:lvl>
  </w:abstractNum>
  <w:abstractNum w:abstractNumId="54">
    <w:nsid w:val="23D86AAC"/>
    <w:multiLevelType w:val="hybridMultilevel"/>
    <w:lvl w:ilvl="0">
      <w:lvlJc w:val="left"/>
      <w:lvlText w:val="3"/>
      <w:numFmt w:val="bullet"/>
      <w:start w:val="1"/>
    </w:lvl>
  </w:abstractNum>
  <w:abstractNum w:abstractNumId="55">
    <w:nsid w:val="45E6D486"/>
    <w:multiLevelType w:val="hybridMultilevel"/>
    <w:lvl w:ilvl="0">
      <w:lvlJc w:val="left"/>
      <w:lvlText w:val="4"/>
      <w:numFmt w:val="bullet"/>
      <w:start w:val="1"/>
    </w:lvl>
  </w:abstractNum>
  <w:abstractNum w:abstractNumId="56">
    <w:nsid w:val="5C10FE21"/>
    <w:multiLevelType w:val="hybridMultilevel"/>
    <w:lvl w:ilvl="0">
      <w:lvlJc w:val="left"/>
      <w:lvlText w:val="1"/>
      <w:numFmt w:val="bullet"/>
      <w:start w:val="1"/>
    </w:lvl>
  </w:abstractNum>
  <w:abstractNum w:abstractNumId="57">
    <w:nsid w:val="E7FFA2B"/>
    <w:multiLevelType w:val="hybridMultilevel"/>
    <w:lvl w:ilvl="0">
      <w:lvlJc w:val="left"/>
      <w:lvlText w:val="2"/>
      <w:numFmt w:val="bullet"/>
      <w:start w:val="1"/>
    </w:lvl>
  </w:abstractNum>
  <w:abstractNum w:abstractNumId="58">
    <w:nsid w:val="3C5991AA"/>
    <w:multiLevelType w:val="hybridMultilevel"/>
    <w:lvl w:ilvl="0">
      <w:lvlJc w:val="left"/>
      <w:lvlText w:val="3"/>
      <w:numFmt w:val="bullet"/>
      <w:start w:val="1"/>
    </w:lvl>
  </w:abstractNum>
  <w:abstractNum w:abstractNumId="59">
    <w:nsid w:val="4BD8591A"/>
    <w:multiLevelType w:val="hybridMultilevel"/>
    <w:lvl w:ilvl="0">
      <w:lvlJc w:val="left"/>
      <w:lvlText w:val="4"/>
      <w:numFmt w:val="bullet"/>
      <w:start w:val="1"/>
    </w:lvl>
  </w:abstractNum>
  <w:abstractNum w:abstractNumId="60">
    <w:nsid w:val="78DF6A55"/>
    <w:multiLevelType w:val="hybridMultilevel"/>
    <w:lvl w:ilvl="0">
      <w:lvlJc w:val="left"/>
      <w:lvlText w:val="5"/>
      <w:numFmt w:val="bullet"/>
      <w:start w:val="1"/>
    </w:lvl>
  </w:abstractNum>
  <w:abstractNum w:abstractNumId="61">
    <w:nsid w:val="39B7AAA2"/>
    <w:multiLevelType w:val="hybridMultilevel"/>
    <w:lvl w:ilvl="0">
      <w:lvlJc w:val="left"/>
      <w:lvlText w:val="6"/>
      <w:numFmt w:val="bullet"/>
      <w:start w:val="1"/>
    </w:lvl>
  </w:abstractNum>
  <w:abstractNum w:abstractNumId="62">
    <w:nsid w:val="2B0D8DBE"/>
    <w:multiLevelType w:val="hybridMultilevel"/>
    <w:lvl w:ilvl="0">
      <w:lvlJc w:val="left"/>
      <w:lvlText w:val="7"/>
      <w:numFmt w:val="bullet"/>
      <w:start w:val="1"/>
    </w:lvl>
  </w:abstractNum>
  <w:abstractNum w:abstractNumId="63">
    <w:nsid w:val="6C80EC70"/>
    <w:multiLevelType w:val="hybridMultilevel"/>
    <w:lvl w:ilvl="0">
      <w:lvlJc w:val="left"/>
      <w:lvlText w:val="1"/>
      <w:numFmt w:val="bullet"/>
      <w:start w:val="1"/>
    </w:lvl>
  </w:abstractNum>
  <w:abstractNum w:abstractNumId="64">
    <w:nsid w:val="379E21B5"/>
    <w:multiLevelType w:val="hybridMultilevel"/>
    <w:lvl w:ilvl="0">
      <w:lvlJc w:val="left"/>
      <w:lvlText w:val="2"/>
      <w:numFmt w:val="bullet"/>
      <w:start w:val="1"/>
    </w:lvl>
  </w:abstractNum>
  <w:abstractNum w:abstractNumId="65">
    <w:nsid w:val="69E373"/>
    <w:multiLevelType w:val="hybridMultilevel"/>
    <w:lvl w:ilvl="0">
      <w:lvlJc w:val="left"/>
      <w:lvlText w:val="3"/>
      <w:numFmt w:val="bullet"/>
      <w:start w:val="1"/>
    </w:lvl>
  </w:abstractNum>
  <w:abstractNum w:abstractNumId="66">
    <w:nsid w:val="2C27173B"/>
    <w:multiLevelType w:val="hybridMultilevel"/>
    <w:lvl w:ilvl="0">
      <w:lvlJc w:val="left"/>
      <w:lvlText w:val="5"/>
      <w:numFmt w:val="bullet"/>
      <w:start w:val="1"/>
    </w:lvl>
  </w:abstractNum>
  <w:abstractNum w:abstractNumId="67">
    <w:nsid w:val="4C9B0904"/>
    <w:multiLevelType w:val="hybridMultilevel"/>
    <w:lvl w:ilvl="0">
      <w:lvlJc w:val="left"/>
      <w:lvlText w:val="6"/>
      <w:numFmt w:val="bullet"/>
      <w:start w:val="1"/>
    </w:lvl>
  </w:abstractNum>
  <w:abstractNum w:abstractNumId="68">
    <w:nsid w:val="6AA7B75C"/>
    <w:multiLevelType w:val="hybridMultilevel"/>
    <w:lvl w:ilvl="0">
      <w:lvlJc w:val="left"/>
      <w:lvlText w:val="7"/>
      <w:numFmt w:val="bullet"/>
      <w:start w:val="1"/>
    </w:lvl>
  </w:abstractNum>
  <w:abstractNum w:abstractNumId="69">
    <w:nsid w:val="1DF029D3"/>
    <w:multiLevelType w:val="hybridMultilevel"/>
    <w:lvl w:ilvl="0">
      <w:lvlJc w:val="left"/>
      <w:lvlText w:val="8"/>
      <w:numFmt w:val="bullet"/>
      <w:start w:val="1"/>
    </w:lvl>
  </w:abstractNum>
  <w:abstractNum w:abstractNumId="70">
    <w:nsid w:val="5675FF36"/>
    <w:multiLevelType w:val="hybridMultilevel"/>
    <w:lvl w:ilvl="0">
      <w:lvlJc w:val="left"/>
      <w:lvlText w:val="9"/>
      <w:numFmt w:val="bullet"/>
      <w:start w:val="1"/>
    </w:lvl>
  </w:abstractNum>
  <w:abstractNum w:abstractNumId="71">
    <w:nsid w:val="3DD15094"/>
    <w:multiLevelType w:val="hybridMultilevel"/>
    <w:lvl w:ilvl="0">
      <w:lvlJc w:val="left"/>
      <w:lvlText w:val="1"/>
      <w:numFmt w:val="bullet"/>
      <w:start w:val="1"/>
    </w:lvl>
  </w:abstractNum>
  <w:abstractNum w:abstractNumId="72">
    <w:nsid w:val="3DB012B3"/>
    <w:multiLevelType w:val="hybridMultilevel"/>
    <w:lvl w:ilvl="0">
      <w:lvlJc w:val="left"/>
      <w:lvlText w:val="2"/>
      <w:numFmt w:val="bullet"/>
      <w:start w:val="1"/>
    </w:lvl>
  </w:abstractNum>
  <w:abstractNum w:abstractNumId="73">
    <w:nsid w:val="2708C9AF"/>
    <w:multiLevelType w:val="hybridMultilevel"/>
    <w:lvl w:ilvl="0">
      <w:lvlJc w:val="left"/>
      <w:lvlText w:val="3"/>
      <w:numFmt w:val="bullet"/>
      <w:start w:val="1"/>
    </w:lvl>
  </w:abstractNum>
  <w:abstractNum w:abstractNumId="74">
    <w:nsid w:val="5B25ACE2"/>
    <w:multiLevelType w:val="hybridMultilevel"/>
    <w:lvl w:ilvl="0">
      <w:lvlJc w:val="left"/>
      <w:lvlText w:val="•"/>
      <w:numFmt w:val="bullet"/>
      <w:start w:val="1"/>
    </w:lvl>
  </w:abstractNum>
  <w:abstractNum w:abstractNumId="75">
    <w:nsid w:val="175DFCF0"/>
    <w:multiLevelType w:val="hybridMultilevel"/>
    <w:lvl w:ilvl="0">
      <w:lvlJc w:val="left"/>
      <w:lvlText w:val="1"/>
      <w:numFmt w:val="bullet"/>
      <w:start w:val="1"/>
    </w:lvl>
  </w:abstractNum>
  <w:abstractNum w:abstractNumId="76">
    <w:nsid w:val="4F97E3E4"/>
    <w:multiLevelType w:val="hybridMultilevel"/>
    <w:lvl w:ilvl="0">
      <w:lvlJc w:val="left"/>
      <w:lvlText w:val="2"/>
      <w:numFmt w:val="bullet"/>
      <w:start w:val="1"/>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1"/>
      <w:numFmt w:val="bullet"/>
      <w:start w:val="1"/>
    </w:lvl>
  </w:abstractNum>
  <w:abstractNum w:abstractNumId="80">
    <w:nsid w:val="56438D15"/>
    <w:multiLevelType w:val="hybridMultilevel"/>
    <w:lvl w:ilvl="0">
      <w:lvlJc w:val="left"/>
      <w:lvlText w:val="2"/>
      <w:numFmt w:val="bullet"/>
      <w:start w:val="1"/>
    </w:lvl>
  </w:abstractNum>
  <w:abstractNum w:abstractNumId="81">
    <w:nsid w:val="519E3149"/>
    <w:multiLevelType w:val="hybridMultilevel"/>
    <w:lvl w:ilvl="0">
      <w:lvlJc w:val="left"/>
      <w:lvlText w:val="3"/>
      <w:numFmt w:val="bullet"/>
      <w:start w:val="1"/>
    </w:lvl>
  </w:abstractNum>
  <w:abstractNum w:abstractNumId="82">
    <w:nsid w:val="2C6E4AFD"/>
    <w:multiLevelType w:val="hybridMultilevel"/>
    <w:lvl w:ilvl="0">
      <w:lvlJc w:val="left"/>
      <w:lvlText w:val="4"/>
      <w:numFmt w:val="bullet"/>
      <w:start w:val="1"/>
    </w:lvl>
  </w:abstractNum>
  <w:abstractNum w:abstractNumId="83">
    <w:nsid w:val="17A1B582"/>
    <w:multiLevelType w:val="hybridMultilevel"/>
    <w:lvl w:ilvl="0">
      <w:lvlJc w:val="left"/>
      <w:lvlText w:val="5"/>
      <w:numFmt w:val="bullet"/>
      <w:start w:val="1"/>
    </w:lvl>
  </w:abstractNum>
  <w:abstractNum w:abstractNumId="84">
    <w:nsid w:val="4DF72E4E"/>
    <w:multiLevelType w:val="hybridMultilevel"/>
    <w:lvl w:ilvl="0">
      <w:lvlJc w:val="left"/>
      <w:lvlText w:val="1"/>
      <w:numFmt w:val="bullet"/>
      <w:start w:val="1"/>
    </w:lvl>
  </w:abstractNum>
  <w:abstractNum w:abstractNumId="85">
    <w:nsid w:val="5046B5A9"/>
    <w:multiLevelType w:val="hybridMultilevel"/>
    <w:lvl w:ilvl="0">
      <w:lvlJc w:val="left"/>
      <w:lvlText w:val="2"/>
      <w:numFmt w:val="bullet"/>
      <w:start w:val="1"/>
    </w:lvl>
  </w:abstractNum>
  <w:abstractNum w:abstractNumId="86">
    <w:nsid w:val="5D888A08"/>
    <w:multiLevelType w:val="hybridMultilevel"/>
    <w:lvl w:ilvl="0">
      <w:lvlJc w:val="left"/>
      <w:lvlText w:val="3"/>
      <w:numFmt w:val="bullet"/>
      <w:start w:val="1"/>
    </w:lvl>
  </w:abstractNum>
  <w:abstractNum w:abstractNumId="87">
    <w:nsid w:val="2A082C70"/>
    <w:multiLevelType w:val="hybridMultilevel"/>
    <w:lvl w:ilvl="0">
      <w:lvlJc w:val="left"/>
      <w:lvlText w:val="4"/>
      <w:numFmt w:val="bullet"/>
      <w:start w:val="1"/>
    </w:lvl>
  </w:abstractNum>
  <w:abstractNum w:abstractNumId="88">
    <w:nsid w:val="5EC6AFD4"/>
    <w:multiLevelType w:val="hybridMultilevel"/>
    <w:lvl w:ilvl="0">
      <w:lvlJc w:val="left"/>
      <w:lvlText w:val="5"/>
      <w:numFmt w:val="bullet"/>
      <w:start w:val="1"/>
    </w:lvl>
  </w:abstractNum>
  <w:abstractNum w:abstractNumId="89">
    <w:nsid w:val="19E21BB2"/>
    <w:multiLevelType w:val="hybridMultilevel"/>
    <w:lvl w:ilvl="0">
      <w:lvlJc w:val="left"/>
      <w:lvlText w:val="6"/>
      <w:numFmt w:val="bullet"/>
      <w:start w:val="1"/>
    </w:lvl>
  </w:abstractNum>
  <w:abstractNum w:abstractNumId="90">
    <w:nsid w:val="75E0858A"/>
    <w:multiLevelType w:val="hybridMultilevel"/>
    <w:lvl w:ilvl="0">
      <w:lvlJc w:val="left"/>
      <w:lvlText w:val="7"/>
      <w:numFmt w:val="bullet"/>
      <w:start w:val="1"/>
    </w:lvl>
  </w:abstractNum>
  <w:abstractNum w:abstractNumId="91">
    <w:nsid w:val="57A61A29"/>
    <w:multiLevelType w:val="hybridMultilevel"/>
    <w:lvl w:ilvl="0">
      <w:lvlJc w:val="left"/>
      <w:lvlText w:val="1"/>
      <w:numFmt w:val="bullet"/>
      <w:start w:val="1"/>
    </w:lvl>
  </w:abstractNum>
  <w:abstractNum w:abstractNumId="92">
    <w:nsid w:val="5399C654"/>
    <w:multiLevelType w:val="hybridMultilevel"/>
    <w:lvl w:ilvl="0">
      <w:lvlJc w:val="left"/>
      <w:lvlText w:val="2"/>
      <w:numFmt w:val="bullet"/>
      <w:start w:val="1"/>
    </w:lvl>
  </w:abstractNum>
  <w:abstractNum w:abstractNumId="93">
    <w:nsid w:val="20EE1348"/>
    <w:multiLevelType w:val="hybridMultilevel"/>
    <w:lvl w:ilvl="0">
      <w:lvlJc w:val="left"/>
      <w:lvlText w:val="3"/>
      <w:numFmt w:val="bullet"/>
      <w:start w:val="1"/>
    </w:lvl>
  </w:abstractNum>
  <w:abstractNum w:abstractNumId="94">
    <w:nsid w:val="4427069A"/>
    <w:multiLevelType w:val="hybridMultilevel"/>
    <w:lvl w:ilvl="0">
      <w:lvlJc w:val="left"/>
      <w:lvlText w:val="1"/>
      <w:numFmt w:val="bullet"/>
      <w:start w:val="1"/>
    </w:lvl>
  </w:abstractNum>
  <w:abstractNum w:abstractNumId="95">
    <w:nsid w:val="B37E80A"/>
    <w:multiLevelType w:val="hybridMultilevel"/>
    <w:lvl w:ilvl="0">
      <w:lvlJc w:val="left"/>
      <w:lvlText w:val="2"/>
      <w:numFmt w:val="bullet"/>
      <w:start w:val="1"/>
    </w:lvl>
  </w:abstractNum>
  <w:abstractNum w:abstractNumId="96">
    <w:nsid w:val="2157F6BC"/>
    <w:multiLevelType w:val="hybridMultilevel"/>
    <w:lvl w:ilvl="0">
      <w:lvlJc w:val="left"/>
      <w:lvlText w:val="3"/>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1"/>
      <w:numFmt w:val="bullet"/>
      <w:start w:val="1"/>
    </w:lvl>
  </w:abstractNum>
  <w:abstractNum w:abstractNumId="99">
    <w:nsid w:val="BFFAE18"/>
    <w:multiLevelType w:val="hybridMultilevel"/>
    <w:lvl w:ilvl="0">
      <w:lvlJc w:val="left"/>
      <w:lvlText w:val="1"/>
      <w:numFmt w:val="bullet"/>
      <w:start w:val="1"/>
    </w:lvl>
  </w:abstractNum>
  <w:abstractNum w:abstractNumId="100">
    <w:nsid w:val="E3E47A8"/>
    <w:multiLevelType w:val="hybridMultilevel"/>
    <w:lvl w:ilvl="0">
      <w:lvlJc w:val="left"/>
      <w:lvlText w:val="2"/>
      <w:numFmt w:val="bullet"/>
      <w:start w:val="1"/>
    </w:lvl>
  </w:abstractNum>
  <w:abstractNum w:abstractNumId="101">
    <w:nsid w:val="2E48F044"/>
    <w:multiLevelType w:val="hybridMultilevel"/>
    <w:lvl w:ilvl="0">
      <w:lvlJc w:val="left"/>
      <w:lvlText w:val="3"/>
      <w:numFmt w:val="bullet"/>
      <w:start w:val="1"/>
    </w:lvl>
  </w:abstractNum>
  <w:abstractNum w:abstractNumId="102">
    <w:nsid w:val="49D0FEAC"/>
    <w:multiLevelType w:val="hybridMultilevel"/>
    <w:lvl w:ilvl="0">
      <w:lvlJc w:val="left"/>
      <w:lvlText w:val="4"/>
      <w:numFmt w:val="bullet"/>
      <w:start w:val="1"/>
    </w:lvl>
  </w:abstractNum>
  <w:abstractNum w:abstractNumId="103">
    <w:nsid w:val="4BEE5A5B"/>
    <w:multiLevelType w:val="hybridMultilevel"/>
    <w:lvl w:ilvl="0">
      <w:lvlJc w:val="left"/>
      <w:lvlText w:val="5"/>
      <w:numFmt w:val="bullet"/>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1)"/>
      <w:numFmt w:val="lowerRoman"/>
      <w:start w:val="2"/>
    </w:lvl>
  </w:abstractNum>
  <w:abstractNum w:abstractNumId="106">
    <w:nsid w:val="634C574C"/>
    <w:multiLevelType w:val="hybridMultilevel"/>
    <w:lvl w:ilvl="0">
      <w:lvlJc w:val="left"/>
      <w:lvlText w:val="(%1)"/>
      <w:numFmt w:val="lowerRoman"/>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1)"/>
      <w:numFmt w:val="lowerRoman"/>
      <w:start w:val="6"/>
    </w:lvl>
  </w:abstractNum>
  <w:abstractNum w:abstractNumId="109">
    <w:nsid w:val="1849C29B"/>
    <w:multiLevelType w:val="hybridMultilevel"/>
    <w:lvl w:ilvl="0">
      <w:lvlJc w:val="left"/>
      <w:lvlText w:val="(%1)"/>
      <w:numFmt w:val="lowerRoman"/>
      <w:start w:val="4"/>
    </w:lvl>
  </w:abstractNum>
  <w:abstractNum w:abstractNumId="110">
    <w:nsid w:val="7DFF9D09"/>
    <w:multiLevelType w:val="hybridMultilevel"/>
    <w:lvl w:ilvl="0">
      <w:lvlJc w:val="left"/>
      <w:lvlText w:val="1"/>
      <w:numFmt w:val="bullet"/>
      <w:start w:val="1"/>
    </w:lvl>
  </w:abstractNum>
  <w:abstractNum w:abstractNumId="111">
    <w:nsid w:val="754342"/>
    <w:multiLevelType w:val="hybridMultilevel"/>
    <w:lvl w:ilvl="0">
      <w:lvlJc w:val="left"/>
      <w:lvlText w:val="2"/>
      <w:numFmt w:val="bullet"/>
      <w:start w:val="1"/>
    </w:lvl>
  </w:abstractNum>
  <w:abstractNum w:abstractNumId="112">
    <w:nsid w:val="69E7F3E5"/>
    <w:multiLevelType w:val="hybridMultilevel"/>
    <w:lvl w:ilvl="0">
      <w:lvlJc w:val="left"/>
      <w:lvlText w:val="%1"/>
      <w:numFmt w:val="decimal"/>
      <w:start w:val="452"/>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1"/>
      <w:numFmt w:val="bullet"/>
      <w:start w:val="1"/>
    </w:lvl>
  </w:abstractNum>
  <w:abstractNum w:abstractNumId="115">
    <w:nsid w:val="37DF2233"/>
    <w:multiLevelType w:val="hybridMultilevel"/>
    <w:lvl w:ilvl="0">
      <w:lvlJc w:val="left"/>
      <w:lvlText w:val="2"/>
      <w:numFmt w:val="bullet"/>
      <w:start w:val="1"/>
    </w:lvl>
  </w:abstractNum>
  <w:abstractNum w:abstractNumId="116">
    <w:nsid w:val="7AB49DAF"/>
    <w:multiLevelType w:val="hybridMultilevel"/>
    <w:lvl w:ilvl="0">
      <w:lvlJc w:val="left"/>
      <w:lvlText w:val="3"/>
      <w:numFmt w:val="bullet"/>
      <w:start w:val="1"/>
    </w:lvl>
  </w:abstractNum>
  <w:abstractNum w:abstractNumId="117">
    <w:nsid w:val="759F82CD"/>
    <w:multiLevelType w:val="hybridMultilevel"/>
    <w:lvl w:ilvl="0">
      <w:lvlJc w:val="left"/>
      <w:lvlText w:val="4"/>
      <w:numFmt w:val="bullet"/>
      <w:start w:val="1"/>
    </w:lvl>
  </w:abstractNum>
  <w:abstractNum w:abstractNumId="118">
    <w:nsid w:val="61E74EA3"/>
    <w:multiLevelType w:val="hybridMultilevel"/>
    <w:lvl w:ilvl="0">
      <w:lvlJc w:val="left"/>
      <w:lvlText w:val="5"/>
      <w:numFmt w:val="bullet"/>
      <w:start w:val="1"/>
    </w:lvl>
  </w:abstractNum>
  <w:abstractNum w:abstractNumId="119">
    <w:nsid w:val="597B4D84"/>
    <w:multiLevelType w:val="hybridMultilevel"/>
    <w:lvl w:ilvl="0">
      <w:lvlJc w:val="left"/>
      <w:lvlText w:val="6"/>
      <w:numFmt w:val="bullet"/>
      <w:start w:val="1"/>
    </w:lvl>
  </w:abstractNum>
  <w:abstractNum w:abstractNumId="120">
    <w:nsid w:val="F819E7F"/>
    <w:multiLevelType w:val="hybridMultilevel"/>
    <w:lvl w:ilvl="0">
      <w:lvlJc w:val="left"/>
      <w:lvlText w:val="7"/>
      <w:numFmt w:val="bullet"/>
      <w:start w:val="1"/>
    </w:lvl>
  </w:abstractNum>
  <w:abstractNum w:abstractNumId="121">
    <w:nsid w:val="57C7D42D"/>
    <w:multiLevelType w:val="hybridMultilevel"/>
    <w:lvl w:ilvl="0">
      <w:lvlJc w:val="left"/>
      <w:lvlText w:val="8"/>
      <w:numFmt w:val="bullet"/>
      <w:start w:val="1"/>
    </w:lvl>
  </w:abstractNum>
  <w:abstractNum w:abstractNumId="122">
    <w:nsid w:val="312167AD"/>
    <w:multiLevelType w:val="hybridMultilevel"/>
    <w:lvl w:ilvl="0">
      <w:lvlJc w:val="left"/>
      <w:lvlText w:val="%1"/>
      <w:numFmt w:val="decimal"/>
      <w:start w:val="10"/>
    </w:lvl>
  </w:abstractNum>
  <w:abstractNum w:abstractNumId="123">
    <w:nsid w:val="631B64D4"/>
    <w:multiLevelType w:val="hybridMultilevel"/>
    <w:lvl w:ilvl="0">
      <w:lvlJc w:val="left"/>
      <w:lvlText w:val="1"/>
      <w:numFmt w:val="bullet"/>
      <w:start w:val="1"/>
    </w:lvl>
  </w:abstractNum>
  <w:abstractNum w:abstractNumId="124">
    <w:nsid w:val="78B5E776"/>
    <w:multiLevelType w:val="hybridMultilevel"/>
    <w:lvl w:ilvl="0">
      <w:lvlJc w:val="left"/>
      <w:lvlText w:val="2"/>
      <w:numFmt w:val="bullet"/>
      <w:start w:val="1"/>
    </w:lvl>
  </w:abstractNum>
  <w:abstractNum w:abstractNumId="125">
    <w:nsid w:val="75486E47"/>
    <w:multiLevelType w:val="hybridMultilevel"/>
    <w:lvl w:ilvl="0">
      <w:lvlJc w:val="left"/>
      <w:lvlText w:val="3"/>
      <w:numFmt w:val="bullet"/>
      <w:start w:val="1"/>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
      <w:numFmt w:val="bullet"/>
      <w:start w:val="1"/>
    </w:lvl>
    <w:lvl w:ilvl="1">
      <w:lvlJc w:val="left"/>
      <w:lvlText w:val="\endash "/>
      <w:numFmt w:val="bullet"/>
      <w:start w:val="1"/>
    </w:lvl>
  </w:abstractNum>
  <w:abstractNum w:abstractNumId="129">
    <w:nsid w:val="46263DEC"/>
    <w:multiLevelType w:val="hybridMultilevel"/>
    <w:lvl w:ilvl="0">
      <w:lvlJc w:val="left"/>
      <w:lvlText w:val="•"/>
      <w:numFmt w:val="bullet"/>
      <w:start w:val="1"/>
    </w:lvl>
  </w:abstractNum>
  <w:abstractNum w:abstractNumId="130">
    <w:nsid w:val="260D8C4A"/>
    <w:multiLevelType w:val="hybridMultilevel"/>
    <w:lvl w:ilvl="0">
      <w:lvlJc w:val="left"/>
      <w:lvlText w:val="•"/>
      <w:numFmt w:val="bullet"/>
      <w:start w:val="1"/>
    </w:lvl>
  </w:abstractNum>
  <w:abstractNum w:abstractNumId="131">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2">
    <w:nsid w:val="746F2E30"/>
    <w:multiLevelType w:val="hybridMultilevel"/>
    <w:lvl w:ilvl="0">
      <w:lvlJc w:val="left"/>
      <w:lvlText w:val="(%1)"/>
      <w:numFmt w:val="lowerRoman"/>
      <w:start w:val="6"/>
    </w:lvl>
  </w:abstractNum>
  <w:abstractNum w:abstractNumId="133">
    <w:nsid w:val="6FDE8AF6"/>
    <w:multiLevelType w:val="hybridMultilevel"/>
    <w:lvl w:ilvl="0">
      <w:lvlJc w:val="left"/>
      <w:lvlText w:val="%1"/>
      <w:numFmt w:val="lowerLetter"/>
      <w:start w:val="1"/>
    </w:lvl>
    <w:lvl w:ilvl="1">
      <w:lvlJc w:val="left"/>
      <w:lvlText w:val="(%2)"/>
      <w:numFmt w:val="lowerRoman"/>
      <w:start w:val="9"/>
    </w:lvl>
  </w:abstractNum>
  <w:abstractNum w:abstractNumId="134">
    <w:nsid w:val="3FC32E20"/>
    <w:multiLevelType w:val="hybridMultilevel"/>
    <w:lvl w:ilvl="0">
      <w:lvlJc w:val="left"/>
      <w:lvlText w:val="(%1)"/>
      <w:numFmt w:val="lowerLetter"/>
      <w:start w:val="3"/>
    </w:lvl>
    <w:lvl w:ilvl="1">
      <w:lvlJc w:val="left"/>
      <w:lvlText w:val="(%2)"/>
      <w:numFmt w:val="lowerRoman"/>
      <w:start w:val="1"/>
    </w:lvl>
  </w:abstractNum>
  <w:abstractNum w:abstractNumId="135">
    <w:nsid w:val="49C0E82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6">
    <w:nsid w:val="14D5368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7">
    <w:nsid w:val="230F856C"/>
    <w:multiLevelType w:val="hybridMultilevel"/>
    <w:lvl w:ilvl="0">
      <w:lvlJc w:val="left"/>
      <w:lvlText w:val="%1"/>
      <w:numFmt w:val="decimal"/>
      <w:start w:val="1"/>
    </w:lvl>
    <w:lvl w:ilvl="1">
      <w:lvlJc w:val="left"/>
      <w:lvlText w:val="(%2)"/>
      <w:numFmt w:val="lowerLetter"/>
      <w:start w:val="3"/>
    </w:lvl>
  </w:abstractNum>
  <w:abstractNum w:abstractNumId="138">
    <w:nsid w:val="6EAA85FB"/>
    <w:multiLevelType w:val="hybridMultilevel"/>
    <w:lvl w:ilvl="0">
      <w:lvlJc w:val="left"/>
      <w:lvlText w:val="%1."/>
      <w:numFmt w:val="decimal"/>
      <w:start w:val="4"/>
    </w:lvl>
    <w:lvl w:ilvl="1">
      <w:lvlJc w:val="left"/>
      <w:lvlText w:val="(%2)"/>
      <w:numFmt w:val="lowerLetter"/>
      <w:start w:val="1"/>
    </w:lvl>
  </w:abstractNum>
  <w:abstractNum w:abstractNumId="139">
    <w:nsid w:val="3F06ECB2"/>
    <w:multiLevelType w:val="hybridMultilevel"/>
    <w:lvl w:ilvl="0">
      <w:lvlJc w:val="left"/>
      <w:lvlText w:val="(%1)"/>
      <w:numFmt w:val="lowerLetter"/>
      <w:start w:val="1"/>
    </w:lvl>
    <w:lvl w:ilvl="1">
      <w:lvlJc w:val="left"/>
      <w:lvlText w:val="(%2)"/>
      <w:numFmt w:val="lowerRoman"/>
      <w:start w:val="1"/>
    </w:lvl>
  </w:abstractNum>
  <w:abstractNum w:abstractNumId="140">
    <w:nsid w:val="3B594807"/>
    <w:multiLevelType w:val="hybridMultilevel"/>
    <w:lvl w:ilvl="0">
      <w:lvlJc w:val="left"/>
      <w:lvlText w:val="%1"/>
      <w:numFmt w:val="lowerLetter"/>
      <w:start w:val="1"/>
    </w:lvl>
    <w:lvl w:ilvl="1">
      <w:lvlJc w:val="left"/>
      <w:lvlText w:val="(%2)"/>
      <w:numFmt w:val="lowerRoman"/>
      <w:start w:val="4"/>
    </w:lvl>
  </w:abstractNum>
  <w:abstractNum w:abstractNumId="141">
    <w:nsid w:val="6CAA2304"/>
    <w:multiLevelType w:val="hybridMultilevel"/>
    <w:lvl w:ilvl="0">
      <w:lvlJc w:val="left"/>
      <w:lvlText w:val="(%1)"/>
      <w:numFmt w:val="lowerLetter"/>
      <w:start w:val="4"/>
    </w:lvl>
    <w:lvl w:ilvl="1">
      <w:lvlJc w:val="left"/>
      <w:lvlText w:val="(%2)"/>
      <w:numFmt w:val="lowerRoman"/>
      <w:start w:val="1"/>
    </w:lvl>
  </w:abstractNum>
  <w:abstractNum w:abstractNumId="142">
    <w:nsid w:val="3F7C2FF4"/>
    <w:multiLevelType w:val="hybridMultilevel"/>
    <w:lvl w:ilvl="0">
      <w:lvlJc w:val="left"/>
      <w:lvlText w:val="%1"/>
      <w:numFmt w:val="lowerLetter"/>
      <w:start w:val="1"/>
    </w:lvl>
    <w:lvl w:ilvl="1">
      <w:lvlJc w:val="left"/>
      <w:lvlText w:val="(%2)"/>
      <w:numFmt w:val="lowerLetter"/>
      <w:start w:val="8"/>
    </w:lvl>
  </w:abstractNum>
  <w:abstractNum w:abstractNumId="143">
    <w:nsid w:val="25413BEC"/>
    <w:multiLevelType w:val="hybridMultilevel"/>
    <w:lvl w:ilvl="0">
      <w:lvlJc w:val="left"/>
      <w:lvlText w:val="(%1)"/>
      <w:numFmt w:val="lowerLetter"/>
      <w:start w:val="9"/>
    </w:lvl>
    <w:lvl w:ilvl="1">
      <w:lvlJc w:val="left"/>
      <w:lvlText w:val="%2"/>
      <w:numFmt w:val="lowerLetter"/>
      <w:start w:val="1"/>
    </w:lvl>
  </w:abstractNum>
  <w:abstractNum w:abstractNumId="144">
    <w:nsid w:val="17180B0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5">
    <w:nsid w:val="579328B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6">
    <w:nsid w:val="5D205E2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7">
    <w:nsid w:val="11CCA8BA"/>
    <w:multiLevelType w:val="hybridMultilevel"/>
    <w:lvl w:ilvl="0">
      <w:lvlJc w:val="left"/>
      <w:lvlText w:val="%1"/>
      <w:numFmt w:val="lowerLetter"/>
      <w:start w:val="1"/>
    </w:lvl>
    <w:lvl w:ilvl="1">
      <w:lvlJc w:val="left"/>
      <w:lvlText w:val="(%2)"/>
      <w:numFmt w:val="lowerLetter"/>
      <w:start w:val="4"/>
    </w:lvl>
  </w:abstractNum>
  <w:abstractNum w:abstractNumId="148">
    <w:nsid w:val="4D32AB86"/>
    <w:multiLevelType w:val="hybridMultilevel"/>
    <w:lvl w:ilvl="0">
      <w:lvlJc w:val="left"/>
      <w:lvlText w:val="(%1)"/>
      <w:numFmt w:val="lowerLetter"/>
      <w:start w:val="9"/>
    </w:lvl>
    <w:lvl w:ilvl="1">
      <w:lvlJc w:val="left"/>
      <w:lvlText w:val="%2"/>
      <w:numFmt w:val="lowerLetter"/>
      <w:start w:val="1"/>
    </w:lvl>
  </w:abstractNum>
  <w:abstractNum w:abstractNumId="149">
    <w:nsid w:val="3F07ACC3"/>
    <w:multiLevelType w:val="hybridMultilevel"/>
    <w:lvl w:ilvl="0">
      <w:lvlJc w:val="left"/>
      <w:lvlText w:val="(%1)"/>
      <w:numFmt w:val="lowerLetter"/>
      <w:start w:val="8"/>
    </w:lvl>
  </w:abstractNum>
  <w:abstractNum w:abstractNumId="150">
    <w:nsid w:val="6B47F63E"/>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51">
    <w:nsid w:val="5CB44A0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2">
    <w:nsid w:val="16CF80F1"/>
    <w:multiLevelType w:val="hybridMultilevel"/>
    <w:lvl w:ilvl="0">
      <w:lvlJc w:val="left"/>
      <w:lvlText w:val="(%1)"/>
      <w:numFmt w:val="lowerRoman"/>
      <w:start w:val="3"/>
    </w:lvl>
  </w:abstractNum>
  <w:abstractNum w:abstractNumId="153">
    <w:nsid w:val="1C695DEC"/>
    <w:multiLevelType w:val="hybridMultilevel"/>
    <w:lvl w:ilvl="0">
      <w:lvlJc w:val="left"/>
      <w:lvlText w:val="%1"/>
      <w:numFmt w:val="decimal"/>
      <w:start w:val="1"/>
    </w:lvl>
    <w:lvl w:ilvl="1">
      <w:lvlJc w:val="left"/>
      <w:lvlText w:val="(%2)"/>
      <w:numFmt w:val="lowerLetter"/>
      <w:start w:val="4"/>
    </w:lvl>
  </w:abstractNum>
  <w:abstractNum w:abstractNumId="154">
    <w:nsid w:val="3FCFAED9"/>
    <w:multiLevelType w:val="hybridMultilevel"/>
    <w:lvl w:ilvl="0">
      <w:lvlJc w:val="left"/>
      <w:lvlText w:val="%1."/>
      <w:numFmt w:val="decimal"/>
      <w:start w:val="10"/>
    </w:lvl>
    <w:lvl w:ilvl="1">
      <w:lvlJc w:val="left"/>
      <w:lvlText w:val="(%2)"/>
      <w:numFmt w:val="lowerLetter"/>
      <w:start w:val="1"/>
    </w:lvl>
  </w:abstractNum>
  <w:abstractNum w:abstractNumId="155">
    <w:nsid w:val="F856867"/>
    <w:multiLevelType w:val="hybridMultilevel"/>
    <w:lvl w:ilvl="0">
      <w:lvlJc w:val="left"/>
      <w:lvlText w:val="%1"/>
      <w:numFmt w:val="decimal"/>
      <w:start w:val="1"/>
    </w:lvl>
    <w:lvl w:ilvl="1">
      <w:lvlJc w:val="left"/>
      <w:lvlText w:val="(%2)"/>
      <w:numFmt w:val="lowerLetter"/>
      <w:start w:val="2"/>
    </w:lvl>
  </w:abstractNum>
  <w:abstractNum w:abstractNumId="156">
    <w:nsid w:val="11B1CC33"/>
    <w:multiLevelType w:val="hybridMultilevel"/>
    <w:lvl w:ilvl="0">
      <w:lvlJc w:val="left"/>
      <w:lvlText w:val="%1."/>
      <w:numFmt w:val="decimal"/>
      <w:start w:val="11"/>
    </w:lvl>
    <w:lvl w:ilvl="1">
      <w:lvlJc w:val="left"/>
      <w:lvlText w:val="%2"/>
      <w:numFmt w:val="lowerLetter"/>
      <w:start w:val="1"/>
    </w:lvl>
  </w:abstractNum>
  <w:abstractNum w:abstractNumId="157">
    <w:nsid w:val="2E22FBB7"/>
    <w:multiLevelType w:val="hybridMultilevel"/>
    <w:lvl w:ilvl="0">
      <w:lvlJc w:val="left"/>
      <w:lvlText w:val="%1."/>
      <w:numFmt w:val="decimal"/>
      <w:start w:val="12"/>
    </w:lvl>
  </w:abstractNum>
  <w:abstractNum w:abstractNumId="158">
    <w:nsid w:val="29934699"/>
    <w:multiLevelType w:val="hybridMultilevel"/>
    <w:lvl w:ilvl="0">
      <w:lvlJc w:val="left"/>
      <w:lvlText w:val="%1."/>
      <w:numFmt w:val="decimal"/>
      <w:start w:val="13"/>
    </w:lvl>
    <w:lvl w:ilvl="1">
      <w:lvlJc w:val="left"/>
      <w:lvlText w:val="(%2)"/>
      <w:numFmt w:val="lowerLetter"/>
      <w:start w:val="1"/>
    </w:lvl>
  </w:abstractNum>
  <w:abstractNum w:abstractNumId="159">
    <w:nsid w:val="77485850"/>
    <w:multiLevelType w:val="hybridMultilevel"/>
    <w:lvl w:ilvl="0">
      <w:lvlJc w:val="left"/>
      <w:lvlText w:val="(%1)"/>
      <w:numFmt w:val="lowerRoman"/>
      <w:start w:val="1"/>
    </w:lvl>
  </w:abstractNum>
  <w:abstractNum w:abstractNumId="160">
    <w:nsid w:val="744939A3"/>
    <w:multiLevelType w:val="hybridMultilevel"/>
    <w:lvl w:ilvl="0">
      <w:lvlJc w:val="left"/>
      <w:lvlText w:val="%1"/>
      <w:numFmt w:val="upperLetter"/>
      <w:start w:val="1"/>
    </w:lvl>
    <w:lvl w:ilvl="1">
      <w:lvlJc w:val="left"/>
      <w:lvlText w:val="(%2)"/>
      <w:numFmt w:val="lowerRoman"/>
      <w:start w:val="1"/>
    </w:lvl>
  </w:abstractNum>
  <w:abstractNum w:abstractNumId="161">
    <w:nsid w:val="4FA0D2E3"/>
    <w:multiLevelType w:val="hybridMultilevel"/>
    <w:lvl w:ilvl="0">
      <w:lvlJc w:val="left"/>
      <w:lvlText w:val="(%1)"/>
      <w:numFmt w:val="upperLetter"/>
      <w:start w:val="2"/>
    </w:lvl>
    <w:lvl w:ilvl="1">
      <w:lvlJc w:val="left"/>
      <w:lvlText w:val="(%2)"/>
      <w:numFmt w:val="lowerRoman"/>
      <w:start w:val="2"/>
    </w:lvl>
  </w:abstractNum>
  <w:abstractNum w:abstractNumId="162">
    <w:nsid w:val="6B1D2C14"/>
    <w:multiLevelType w:val="hybridMultilevel"/>
    <w:lvl w:ilvl="0">
      <w:lvlJc w:val="left"/>
      <w:lvlText w:val="(%1)"/>
      <w:numFmt w:val="lowerLetter"/>
      <w:start w:val="10"/>
    </w:lvl>
  </w:abstractNum>
  <w:abstractNum w:abstractNumId="163">
    <w:nsid w:val="68B867D3"/>
    <w:multiLevelType w:val="hybridMultilevel"/>
    <w:lvl w:ilvl="0">
      <w:lvlJc w:val="left"/>
      <w:lvlText w:val="(%1)"/>
      <w:numFmt w:val="lowerLetter"/>
      <w:start w:val="12"/>
    </w:lvl>
    <w:lvl w:ilvl="1">
      <w:lvlJc w:val="left"/>
      <w:lvlText w:val="(%2)"/>
      <w:numFmt w:val="lowerRoman"/>
      <w:start w:val="1"/>
    </w:lvl>
  </w:abstractNum>
  <w:abstractNum w:abstractNumId="164">
    <w:nsid w:val="3F7F5DD9"/>
    <w:multiLevelType w:val="hybridMultilevel"/>
    <w:lvl w:ilvl="0">
      <w:lvlJc w:val="left"/>
      <w:lvlText w:val="(%1)"/>
      <w:numFmt w:val="lowerLetter"/>
      <w:start w:val="17"/>
    </w:lvl>
  </w:abstractNum>
  <w:abstractNum w:abstractNumId="165">
    <w:nsid w:val="2AE05A34"/>
    <w:multiLevelType w:val="hybridMultilevel"/>
    <w:lvl w:ilvl="0">
      <w:lvlJc w:val="left"/>
      <w:lvlText w:val="(%1)"/>
      <w:numFmt w:val="lowerLetter"/>
      <w:start w:val="20"/>
    </w:lvl>
    <w:lvl w:ilvl="1">
      <w:lvlJc w:val="left"/>
      <w:lvlText w:val="(%2)"/>
      <w:numFmt w:val="lowerRoman"/>
      <w:start w:val="1"/>
    </w:lvl>
  </w:abstractNum>
  <w:abstractNum w:abstractNumId="166">
    <w:nsid w:val="32794FF7"/>
    <w:multiLevelType w:val="hybridMultilevel"/>
    <w:lvl w:ilvl="0">
      <w:lvlJc w:val="left"/>
      <w:lvlText w:val="(%1)"/>
      <w:numFmt w:val="lowerLetter"/>
      <w:start w:val="27"/>
    </w:lvl>
  </w:abstractNum>
  <w:abstractNum w:abstractNumId="167">
    <w:nsid w:val="5454945E"/>
    <w:multiLevelType w:val="hybridMultilevel"/>
    <w:lvl w:ilvl="0">
      <w:lvlJc w:val="left"/>
      <w:lvlText w:val="(%1)"/>
      <w:numFmt w:val="lowerLetter"/>
      <w:start w:val="33"/>
    </w:lvl>
  </w:abstractNum>
  <w:abstractNum w:abstractNumId="168">
    <w:nsid w:val="4DEFDFA0"/>
    <w:multiLevelType w:val="hybridMultilevel"/>
    <w:lvl w:ilvl="0">
      <w:lvlJc w:val="left"/>
      <w:lvlText w:val="(%1)"/>
      <w:numFmt w:val="lowerLetter"/>
      <w:start w:val="45"/>
    </w:lvl>
  </w:abstractNum>
  <w:abstractNum w:abstractNumId="169">
    <w:nsid w:val="2123D5F2"/>
    <w:multiLevelType w:val="hybridMultilevel"/>
    <w:lvl w:ilvl="0">
      <w:lvlJc w:val="left"/>
      <w:lvlText w:val="(%1)"/>
      <w:numFmt w:val="low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2025-04-04T15:32:31Z</dcterms:created>
  <dcterms:modified xsi:type="dcterms:W3CDTF">2025-04-04T15:32:31Z</dcterms:modified>
</cp:coreProperties>
</file>