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337820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252095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277495</wp:posOffset>
            </wp:positionV>
            <wp:extent cx="2863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328295</wp:posOffset>
            </wp:positionV>
            <wp:extent cx="2863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80"/>
        <w:spacing w:after="0"/>
        <w:rPr>
          <w:sz w:val="20"/>
          <w:szCs w:val="20"/>
          <w:color w:val="auto"/>
        </w:rPr>
      </w:pPr>
      <w:r>
        <w:rPr>
          <w:rFonts w:ascii="Arial" w:cs="Arial" w:eastAsia="Arial" w:hAnsi="Arial"/>
          <w:sz w:val="11"/>
          <w:szCs w:val="11"/>
          <w:color w:val="auto"/>
        </w:rPr>
        <w:t>(Mark One)</w:t>
      </w:r>
    </w:p>
    <w:p>
      <w:pPr>
        <w:spacing w:after="0" w:line="39" w:lineRule="exact"/>
        <w:rPr>
          <w:sz w:val="24"/>
          <w:szCs w:val="24"/>
          <w:color w:val="auto"/>
        </w:rPr>
      </w:pPr>
    </w:p>
    <w:p>
      <w:pPr>
        <w:ind w:left="4100" w:right="2920" w:hanging="3701"/>
        <w:spacing w:after="0" w:line="382" w:lineRule="auto"/>
        <w:tabs>
          <w:tab w:leader="none" w:pos="946"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940" w:hanging="541"/>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1" w:lineRule="exact"/>
        <w:rPr>
          <w:sz w:val="24"/>
          <w:szCs w:val="24"/>
          <w:color w:val="auto"/>
        </w:rPr>
      </w:pPr>
    </w:p>
    <w:p>
      <w:pPr>
        <w:ind w:left="400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83185</wp:posOffset>
            </wp:positionV>
            <wp:extent cx="2863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168910</wp:posOffset>
            </wp:positionV>
            <wp:extent cx="186880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1320" w:type="dxa"/>
        <w:tblCellMar>
          <w:top w:w="0" w:type="dxa"/>
          <w:left w:w="0" w:type="dxa"/>
          <w:bottom w:w="0" w:type="dxa"/>
          <w:right w:w="0" w:type="dxa"/>
        </w:tblCellMar>
      </w:tblPr>
      <w:tr>
        <w:trPr>
          <w:trHeight w:val="324"/>
        </w:trPr>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00" w:type="dxa"/>
            <w:vAlign w:val="bottom"/>
            <w:gridSpan w:val="2"/>
          </w:tcPr>
          <w:p>
            <w:pPr>
              <w:jc w:val="center"/>
              <w:ind w:right="2300"/>
              <w:spacing w:after="0"/>
              <w:rPr>
                <w:sz w:val="20"/>
                <w:szCs w:val="20"/>
                <w:color w:val="auto"/>
              </w:rPr>
            </w:pPr>
            <w:r>
              <w:rPr>
                <w:rFonts w:ascii="Arial" w:cs="Arial" w:eastAsia="Arial" w:hAnsi="Arial"/>
                <w:sz w:val="25"/>
                <w:szCs w:val="25"/>
                <w:b w:val="1"/>
                <w:bCs w:val="1"/>
                <w:color w:val="auto"/>
                <w:w w:val="99"/>
              </w:rPr>
              <w:t>Enphase Energy, Inc.</w:t>
            </w:r>
          </w:p>
        </w:tc>
      </w:tr>
      <w:tr>
        <w:trPr>
          <w:trHeight w:val="130"/>
        </w:trPr>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100" w:type="dxa"/>
            <w:vAlign w:val="bottom"/>
            <w:gridSpan w:val="2"/>
          </w:tcPr>
          <w:p>
            <w:pPr>
              <w:jc w:val="center"/>
              <w:ind w:right="2280"/>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252"/>
        </w:trPr>
        <w:tc>
          <w:tcPr>
            <w:tcW w:w="20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480" w:type="dxa"/>
            <w:vAlign w:val="bottom"/>
          </w:tcPr>
          <w:p>
            <w:pPr>
              <w:spacing w:after="0"/>
              <w:rPr>
                <w:sz w:val="21"/>
                <w:szCs w:val="21"/>
                <w:color w:val="auto"/>
              </w:rPr>
            </w:pPr>
          </w:p>
        </w:tc>
      </w:tr>
      <w:tr>
        <w:trPr>
          <w:trHeight w:val="387"/>
        </w:trPr>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Delaware</w:t>
            </w:r>
          </w:p>
        </w:tc>
        <w:tc>
          <w:tcPr>
            <w:tcW w:w="5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20-4645388</w:t>
            </w:r>
          </w:p>
        </w:tc>
      </w:tr>
      <w:tr>
        <w:trPr>
          <w:trHeight w:val="165"/>
        </w:trPr>
        <w:tc>
          <w:tcPr>
            <w:tcW w:w="290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5100" w:type="dxa"/>
            <w:vAlign w:val="bottom"/>
            <w:gridSpan w:val="2"/>
          </w:tcPr>
          <w:p>
            <w:pPr>
              <w:jc w:val="center"/>
              <w:ind w:left="3364"/>
              <w:spacing w:after="0"/>
              <w:rPr>
                <w:sz w:val="20"/>
                <w:szCs w:val="20"/>
                <w:color w:val="auto"/>
              </w:rPr>
            </w:pPr>
            <w:r>
              <w:rPr>
                <w:rFonts w:ascii="Arial" w:cs="Arial" w:eastAsia="Arial" w:hAnsi="Arial"/>
                <w:sz w:val="11"/>
                <w:szCs w:val="11"/>
                <w:color w:val="auto"/>
                <w:w w:val="98"/>
              </w:rPr>
              <w:t>(I.R.S. Employer 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47281 Bayside Parkway</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Fremont, CA 94538</w:t>
      </w:r>
    </w:p>
    <w:p>
      <w:pPr>
        <w:jc w:val="center"/>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(707) 774-7000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84455</wp:posOffset>
            </wp:positionV>
            <wp:extent cx="2863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Title of each class</w:t>
            </w: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100" w:type="dxa"/>
            <w:vAlign w:val="bottom"/>
          </w:tcPr>
          <w:p>
            <w:pPr>
              <w:spacing w:after="0"/>
              <w:rPr>
                <w:sz w:val="14"/>
                <w:szCs w:val="1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243"/>
        </w:trPr>
        <w:tc>
          <w:tcPr>
            <w:tcW w:w="4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Common Stock, $0.00001 par value per share</w:t>
            </w:r>
          </w:p>
        </w:tc>
        <w:tc>
          <w:tcPr>
            <w:tcW w:w="2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ENPH</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rPr>
              <w:t>Nasdaq Global Market</w:t>
            </w:r>
          </w:p>
        </w:tc>
      </w:tr>
    </w:tbl>
    <w:p>
      <w:pPr>
        <w:spacing w:after="0" w:line="127"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right="68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right="1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11"/>
        </w:trPr>
        <w:tc>
          <w:tcPr>
            <w:tcW w:w="2200" w:type="dxa"/>
            <w:vAlign w:val="bottom"/>
            <w:vMerge w:val="restart"/>
          </w:tcPr>
          <w:p>
            <w:pPr>
              <w:spacing w:after="0"/>
              <w:rPr>
                <w:sz w:val="20"/>
                <w:szCs w:val="20"/>
                <w:color w:val="auto"/>
              </w:rPr>
            </w:pPr>
            <w:r>
              <w:rPr>
                <w:rFonts w:ascii="Arial" w:cs="Arial" w:eastAsia="Arial" w:hAnsi="Arial"/>
                <w:sz w:val="13"/>
                <w:szCs w:val="13"/>
                <w:color w:val="auto"/>
              </w:rPr>
              <w:t>Large accelerated filer</w:t>
            </w:r>
          </w:p>
        </w:tc>
        <w:tc>
          <w:tcPr>
            <w:tcW w:w="33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vMerge w:val="restart"/>
          </w:tcPr>
          <w:p>
            <w:pPr>
              <w:ind w:left="234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3"/>
        </w:trPr>
        <w:tc>
          <w:tcPr>
            <w:tcW w:w="220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200" w:type="dxa"/>
            <w:vAlign w:val="bottom"/>
            <w:vMerge w:val="restart"/>
          </w:tcPr>
          <w:p>
            <w:pPr>
              <w:spacing w:after="0"/>
              <w:rPr>
                <w:sz w:val="20"/>
                <w:szCs w:val="20"/>
                <w:color w:val="auto"/>
              </w:rPr>
            </w:pPr>
            <w:r>
              <w:rPr>
                <w:rFonts w:ascii="Arial" w:cs="Arial" w:eastAsia="Arial" w:hAnsi="Arial"/>
                <w:sz w:val="13"/>
                <w:szCs w:val="13"/>
                <w:color w:val="auto"/>
              </w:rPr>
              <w:t>Non-accelerated filer</w:t>
            </w:r>
          </w:p>
        </w:tc>
        <w:tc>
          <w:tcPr>
            <w:tcW w:w="33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vMerge w:val="restart"/>
          </w:tcPr>
          <w:p>
            <w:pPr>
              <w:ind w:left="2340"/>
              <w:spacing w:after="0"/>
              <w:rPr>
                <w:sz w:val="20"/>
                <w:szCs w:val="20"/>
                <w:color w:val="auto"/>
              </w:rPr>
            </w:pPr>
            <w:r>
              <w:rPr>
                <w:rFonts w:ascii="Arial" w:cs="Arial" w:eastAsia="Arial" w:hAnsi="Arial"/>
                <w:sz w:val="13"/>
                <w:szCs w:val="13"/>
                <w:color w:val="auto"/>
              </w:rPr>
              <w:t>Smaller reporting company</w:t>
            </w:r>
          </w:p>
        </w:tc>
        <w:tc>
          <w:tcPr>
            <w:tcW w:w="840" w:type="dxa"/>
            <w:vAlign w:val="bottom"/>
            <w:vMerge w:val="restart"/>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3"/>
        </w:trPr>
        <w:tc>
          <w:tcPr>
            <w:tcW w:w="220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680" w:type="dxa"/>
            <w:vAlign w:val="bottom"/>
          </w:tcPr>
          <w:p>
            <w:pPr>
              <w:ind w:left="2340"/>
              <w:spacing w:after="0"/>
              <w:rPr>
                <w:sz w:val="20"/>
                <w:szCs w:val="20"/>
                <w:color w:val="auto"/>
              </w:rPr>
            </w:pPr>
            <w:r>
              <w:rPr>
                <w:rFonts w:ascii="Arial" w:cs="Arial" w:eastAsia="Arial" w:hAnsi="Arial"/>
                <w:sz w:val="13"/>
                <w:szCs w:val="13"/>
                <w:color w:val="auto"/>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3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3040"/>
        <w:spacing w:after="0" w:line="21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As of July 28, 2020, there were 126,007,389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162560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FOR THE QUARTERLY PERIOD ENDED JUNE 30, 2020</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9140" w:type="dxa"/>
            <w:vAlign w:val="bottom"/>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Page</w:t>
            </w:r>
          </w:p>
        </w:tc>
      </w:tr>
      <w:tr>
        <w:trPr>
          <w:trHeight w:val="210"/>
        </w:trPr>
        <w:tc>
          <w:tcPr>
            <w:tcW w:w="820" w:type="dxa"/>
            <w:vAlign w:val="bottom"/>
          </w:tcPr>
          <w:p>
            <w:pPr>
              <w:spacing w:after="0"/>
              <w:rPr>
                <w:sz w:val="18"/>
                <w:szCs w:val="18"/>
                <w:color w:val="auto"/>
              </w:rPr>
            </w:pPr>
          </w:p>
        </w:tc>
        <w:tc>
          <w:tcPr>
            <w:tcW w:w="9140" w:type="dxa"/>
            <w:vAlign w:val="bottom"/>
          </w:tcPr>
          <w:p>
            <w:pPr>
              <w:ind w:left="3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tc>
        <w:tc>
          <w:tcPr>
            <w:tcW w:w="1220" w:type="dxa"/>
            <w:vAlign w:val="bottom"/>
          </w:tcPr>
          <w:p>
            <w:pPr>
              <w:spacing w:after="0"/>
              <w:rPr>
                <w:sz w:val="18"/>
                <w:szCs w:val="18"/>
                <w:color w:val="auto"/>
              </w:rPr>
            </w:pPr>
          </w:p>
        </w:tc>
      </w:tr>
      <w:tr>
        <w:trPr>
          <w:trHeight w:val="580"/>
        </w:trPr>
        <w:tc>
          <w:tcPr>
            <w:tcW w:w="820" w:type="dxa"/>
            <w:vAlign w:val="bottom"/>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9140" w:type="dxa"/>
            <w:vAlign w:val="bottom"/>
          </w:tcPr>
          <w:p>
            <w:pPr>
              <w:ind w:left="2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1220" w:type="dxa"/>
            <w:vAlign w:val="bottom"/>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w:t>
              </w:r>
            </w:hyperlink>
          </w:p>
        </w:tc>
        <w:tc>
          <w:tcPr>
            <w:tcW w:w="1220" w:type="dxa"/>
            <w:vAlign w:val="bottom"/>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w:t>
              </w:r>
            </w:hyperlink>
          </w:p>
        </w:tc>
        <w:tc>
          <w:tcPr>
            <w:tcW w:w="1220" w:type="dxa"/>
            <w:vAlign w:val="bottom"/>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w:t>
              </w:r>
            </w:hyperlink>
          </w:p>
        </w:tc>
        <w:tc>
          <w:tcPr>
            <w:tcW w:w="122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Stockholders’ Equity</w:t>
              </w:r>
            </w:hyperlink>
          </w:p>
        </w:tc>
        <w:tc>
          <w:tcPr>
            <w:tcW w:w="1220" w:type="dxa"/>
            <w:vAlign w:val="bottom"/>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Cash Flows</w:t>
              </w:r>
            </w:hyperlink>
          </w:p>
        </w:tc>
        <w:tc>
          <w:tcPr>
            <w:tcW w:w="122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1220" w:type="dxa"/>
            <w:vAlign w:val="bottom"/>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tc>
      </w:tr>
      <w:tr>
        <w:trPr>
          <w:trHeight w:val="243"/>
        </w:trPr>
        <w:tc>
          <w:tcPr>
            <w:tcW w:w="820" w:type="dxa"/>
            <w:vAlign w:val="bottom"/>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2.</w:t>
              </w:r>
            </w:hyperlink>
          </w:p>
        </w:tc>
        <w:tc>
          <w:tcPr>
            <w:tcW w:w="9140" w:type="dxa"/>
            <w:vAlign w:val="bottom"/>
          </w:tcPr>
          <w:p>
            <w:pPr>
              <w:ind w:left="200"/>
              <w:spacing w:after="0"/>
              <w:rPr>
                <w:rFonts w:ascii="Arial" w:cs="Arial" w:eastAsia="Arial" w:hAnsi="Arial"/>
                <w:sz w:val="16"/>
                <w:szCs w:val="16"/>
                <w:color w:val="0000EE"/>
              </w:rPr>
            </w:pPr>
            <w:hyperlink w:anchor="page31">
              <w:r>
                <w:rPr>
                  <w:rFonts w:ascii="Arial" w:cs="Arial" w:eastAsia="Arial" w:hAnsi="Arial"/>
                  <w:sz w:val="16"/>
                  <w:szCs w:val="16"/>
                  <w:color w:val="0000EE"/>
                </w:rPr>
                <w:t>Management’s Discussion and Analysis of Financial Condition and Results of Operations</w:t>
              </w:r>
            </w:hyperlink>
          </w:p>
        </w:tc>
        <w:tc>
          <w:tcPr>
            <w:tcW w:w="1220" w:type="dxa"/>
            <w:vAlign w:val="bottom"/>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43"/>
        </w:trPr>
        <w:tc>
          <w:tcPr>
            <w:tcW w:w="820" w:type="dxa"/>
            <w:vAlign w:val="bottom"/>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3.</w:t>
              </w:r>
            </w:hyperlink>
          </w:p>
        </w:tc>
        <w:tc>
          <w:tcPr>
            <w:tcW w:w="9140" w:type="dxa"/>
            <w:vAlign w:val="bottom"/>
          </w:tcPr>
          <w:p>
            <w:pPr>
              <w:ind w:left="200"/>
              <w:spacing w:after="0"/>
              <w:rPr>
                <w:rFonts w:ascii="Arial" w:cs="Arial" w:eastAsia="Arial" w:hAnsi="Arial"/>
                <w:sz w:val="16"/>
                <w:szCs w:val="16"/>
                <w:color w:val="0000EE"/>
              </w:rPr>
            </w:pPr>
            <w:hyperlink w:anchor="page42">
              <w:r>
                <w:rPr>
                  <w:rFonts w:ascii="Arial" w:cs="Arial" w:eastAsia="Arial" w:hAnsi="Arial"/>
                  <w:sz w:val="16"/>
                  <w:szCs w:val="16"/>
                  <w:color w:val="0000EE"/>
                </w:rPr>
                <w:t>Quantitative and Qualitative Disclosures About Market Risk</w:t>
              </w:r>
            </w:hyperlink>
          </w:p>
        </w:tc>
        <w:tc>
          <w:tcPr>
            <w:tcW w:w="1220" w:type="dxa"/>
            <w:vAlign w:val="bottom"/>
          </w:tcPr>
          <w:p>
            <w:pPr>
              <w:jc w:val="right"/>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43"/>
        </w:trPr>
        <w:tc>
          <w:tcPr>
            <w:tcW w:w="820" w:type="dxa"/>
            <w:vAlign w:val="bottom"/>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Item 4.</w:t>
              </w:r>
            </w:hyperlink>
          </w:p>
        </w:tc>
        <w:tc>
          <w:tcPr>
            <w:tcW w:w="9140" w:type="dxa"/>
            <w:vAlign w:val="bottom"/>
          </w:tcPr>
          <w:p>
            <w:pPr>
              <w:ind w:left="200"/>
              <w:spacing w:after="0"/>
              <w:rPr>
                <w:rFonts w:ascii="Arial" w:cs="Arial" w:eastAsia="Arial" w:hAnsi="Arial"/>
                <w:sz w:val="16"/>
                <w:szCs w:val="16"/>
                <w:color w:val="0000EE"/>
              </w:rPr>
            </w:pPr>
            <w:hyperlink w:anchor="page44">
              <w:r>
                <w:rPr>
                  <w:rFonts w:ascii="Arial" w:cs="Arial" w:eastAsia="Arial" w:hAnsi="Arial"/>
                  <w:sz w:val="16"/>
                  <w:szCs w:val="16"/>
                  <w:color w:val="0000EE"/>
                </w:rPr>
                <w:t>Controls and Procedures</w:t>
              </w:r>
            </w:hyperlink>
          </w:p>
        </w:tc>
        <w:tc>
          <w:tcPr>
            <w:tcW w:w="1220" w:type="dxa"/>
            <w:vAlign w:val="bottom"/>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r>
      <w:tr>
        <w:trPr>
          <w:trHeight w:val="540"/>
        </w:trPr>
        <w:tc>
          <w:tcPr>
            <w:tcW w:w="820" w:type="dxa"/>
            <w:vAlign w:val="bottom"/>
          </w:tcPr>
          <w:p>
            <w:pPr>
              <w:spacing w:after="0"/>
              <w:rPr>
                <w:sz w:val="24"/>
                <w:szCs w:val="24"/>
                <w:color w:val="auto"/>
              </w:rPr>
            </w:pPr>
          </w:p>
        </w:tc>
        <w:tc>
          <w:tcPr>
            <w:tcW w:w="9140" w:type="dxa"/>
            <w:vAlign w:val="bottom"/>
          </w:tcPr>
          <w:p>
            <w:pPr>
              <w:ind w:left="3460"/>
              <w:spacing w:after="0"/>
              <w:rPr>
                <w:rFonts w:ascii="Arial" w:cs="Arial" w:eastAsia="Arial" w:hAnsi="Arial"/>
                <w:sz w:val="16"/>
                <w:szCs w:val="16"/>
                <w:b w:val="1"/>
                <w:bCs w:val="1"/>
                <w:u w:val="single" w:color="auto"/>
                <w:color w:val="0000EE"/>
              </w:rPr>
            </w:pPr>
            <w:hyperlink w:anchor="page45">
              <w:r>
                <w:rPr>
                  <w:rFonts w:ascii="Arial" w:cs="Arial" w:eastAsia="Arial" w:hAnsi="Arial"/>
                  <w:sz w:val="16"/>
                  <w:szCs w:val="16"/>
                  <w:b w:val="1"/>
                  <w:bCs w:val="1"/>
                  <w:u w:val="single" w:color="auto"/>
                  <w:color w:val="0000EE"/>
                </w:rPr>
                <w:t>PART II. OTHER INFORMATION</w:t>
              </w:r>
            </w:hyperlink>
          </w:p>
        </w:tc>
        <w:tc>
          <w:tcPr>
            <w:tcW w:w="1220" w:type="dxa"/>
            <w:vAlign w:val="bottom"/>
          </w:tcPr>
          <w:p>
            <w:pPr>
              <w:spacing w:after="0"/>
              <w:rPr>
                <w:sz w:val="24"/>
                <w:szCs w:val="24"/>
                <w:color w:val="auto"/>
              </w:rPr>
            </w:pPr>
          </w:p>
        </w:tc>
      </w:tr>
      <w:tr>
        <w:trPr>
          <w:trHeight w:val="567"/>
        </w:trPr>
        <w:tc>
          <w:tcPr>
            <w:tcW w:w="820" w:type="dxa"/>
            <w:vAlign w:val="bottom"/>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Item 1.</w:t>
              </w:r>
            </w:hyperlink>
          </w:p>
        </w:tc>
        <w:tc>
          <w:tcPr>
            <w:tcW w:w="9140" w:type="dxa"/>
            <w:vAlign w:val="bottom"/>
          </w:tcPr>
          <w:p>
            <w:pPr>
              <w:ind w:left="200"/>
              <w:spacing w:after="0"/>
              <w:rPr>
                <w:rFonts w:ascii="Arial" w:cs="Arial" w:eastAsia="Arial" w:hAnsi="Arial"/>
                <w:sz w:val="16"/>
                <w:szCs w:val="16"/>
                <w:color w:val="0000EE"/>
              </w:rPr>
            </w:pPr>
            <w:hyperlink w:anchor="page45">
              <w:r>
                <w:rPr>
                  <w:rFonts w:ascii="Arial" w:cs="Arial" w:eastAsia="Arial" w:hAnsi="Arial"/>
                  <w:sz w:val="16"/>
                  <w:szCs w:val="16"/>
                  <w:color w:val="0000EE"/>
                </w:rPr>
                <w:t>Legal Proceedings</w:t>
              </w:r>
            </w:hyperlink>
          </w:p>
        </w:tc>
        <w:tc>
          <w:tcPr>
            <w:tcW w:w="1220" w:type="dxa"/>
            <w:vAlign w:val="bottom"/>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r>
      <w:tr>
        <w:trPr>
          <w:trHeight w:val="243"/>
        </w:trPr>
        <w:tc>
          <w:tcPr>
            <w:tcW w:w="820" w:type="dxa"/>
            <w:vAlign w:val="bottom"/>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Item 1A.</w:t>
              </w:r>
            </w:hyperlink>
          </w:p>
        </w:tc>
        <w:tc>
          <w:tcPr>
            <w:tcW w:w="9140" w:type="dxa"/>
            <w:vAlign w:val="bottom"/>
          </w:tcPr>
          <w:p>
            <w:pPr>
              <w:ind w:left="200"/>
              <w:spacing w:after="0"/>
              <w:rPr>
                <w:rFonts w:ascii="Arial" w:cs="Arial" w:eastAsia="Arial" w:hAnsi="Arial"/>
                <w:sz w:val="16"/>
                <w:szCs w:val="16"/>
                <w:color w:val="0000EE"/>
              </w:rPr>
            </w:pPr>
            <w:hyperlink w:anchor="page45">
              <w:r>
                <w:rPr>
                  <w:rFonts w:ascii="Arial" w:cs="Arial" w:eastAsia="Arial" w:hAnsi="Arial"/>
                  <w:sz w:val="16"/>
                  <w:szCs w:val="16"/>
                  <w:color w:val="0000EE"/>
                </w:rPr>
                <w:t>Risk Factors</w:t>
              </w:r>
            </w:hyperlink>
          </w:p>
        </w:tc>
        <w:tc>
          <w:tcPr>
            <w:tcW w:w="1220" w:type="dxa"/>
            <w:vAlign w:val="bottom"/>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r>
      <w:tr>
        <w:trPr>
          <w:trHeight w:val="243"/>
        </w:trPr>
        <w:tc>
          <w:tcPr>
            <w:tcW w:w="820" w:type="dxa"/>
            <w:vAlign w:val="bottom"/>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2.</w:t>
              </w:r>
            </w:hyperlink>
          </w:p>
        </w:tc>
        <w:tc>
          <w:tcPr>
            <w:tcW w:w="9140" w:type="dxa"/>
            <w:vAlign w:val="bottom"/>
          </w:tcPr>
          <w:p>
            <w:pPr>
              <w:ind w:left="200"/>
              <w:spacing w:after="0"/>
              <w:rPr>
                <w:rFonts w:ascii="Arial" w:cs="Arial" w:eastAsia="Arial" w:hAnsi="Arial"/>
                <w:sz w:val="16"/>
                <w:szCs w:val="16"/>
                <w:color w:val="0000EE"/>
              </w:rPr>
            </w:pPr>
            <w:hyperlink w:anchor="page49">
              <w:r>
                <w:rPr>
                  <w:rFonts w:ascii="Arial" w:cs="Arial" w:eastAsia="Arial" w:hAnsi="Arial"/>
                  <w:sz w:val="16"/>
                  <w:szCs w:val="16"/>
                  <w:color w:val="0000EE"/>
                </w:rPr>
                <w:t>Unregistered Sales of Equity Securities and Use of Proceeds</w:t>
              </w:r>
            </w:hyperlink>
          </w:p>
        </w:tc>
        <w:tc>
          <w:tcPr>
            <w:tcW w:w="1220" w:type="dxa"/>
            <w:vAlign w:val="bottom"/>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47</w:t>
              </w:r>
            </w:hyperlink>
          </w:p>
        </w:tc>
      </w:tr>
      <w:tr>
        <w:trPr>
          <w:trHeight w:val="243"/>
        </w:trPr>
        <w:tc>
          <w:tcPr>
            <w:tcW w:w="820" w:type="dxa"/>
            <w:vAlign w:val="bottom"/>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3.</w:t>
              </w:r>
            </w:hyperlink>
          </w:p>
        </w:tc>
        <w:tc>
          <w:tcPr>
            <w:tcW w:w="9140" w:type="dxa"/>
            <w:vAlign w:val="bottom"/>
          </w:tcPr>
          <w:p>
            <w:pPr>
              <w:ind w:left="200"/>
              <w:spacing w:after="0"/>
              <w:rPr>
                <w:rFonts w:ascii="Arial" w:cs="Arial" w:eastAsia="Arial" w:hAnsi="Arial"/>
                <w:sz w:val="16"/>
                <w:szCs w:val="16"/>
                <w:color w:val="0000EE"/>
              </w:rPr>
            </w:pPr>
            <w:hyperlink w:anchor="page50">
              <w:r>
                <w:rPr>
                  <w:rFonts w:ascii="Arial" w:cs="Arial" w:eastAsia="Arial" w:hAnsi="Arial"/>
                  <w:sz w:val="16"/>
                  <w:szCs w:val="16"/>
                  <w:color w:val="0000EE"/>
                </w:rPr>
                <w:t>Defaults Upon Senior Securities</w:t>
              </w:r>
            </w:hyperlink>
          </w:p>
        </w:tc>
        <w:tc>
          <w:tcPr>
            <w:tcW w:w="122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48</w:t>
              </w:r>
            </w:hyperlink>
          </w:p>
        </w:tc>
      </w:tr>
      <w:tr>
        <w:trPr>
          <w:trHeight w:val="243"/>
        </w:trPr>
        <w:tc>
          <w:tcPr>
            <w:tcW w:w="820" w:type="dxa"/>
            <w:vAlign w:val="bottom"/>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4.</w:t>
              </w:r>
            </w:hyperlink>
          </w:p>
        </w:tc>
        <w:tc>
          <w:tcPr>
            <w:tcW w:w="9140" w:type="dxa"/>
            <w:vAlign w:val="bottom"/>
          </w:tcPr>
          <w:p>
            <w:pPr>
              <w:ind w:left="200"/>
              <w:spacing w:after="0"/>
              <w:rPr>
                <w:rFonts w:ascii="Arial" w:cs="Arial" w:eastAsia="Arial" w:hAnsi="Arial"/>
                <w:sz w:val="16"/>
                <w:szCs w:val="16"/>
                <w:color w:val="0000EE"/>
              </w:rPr>
            </w:pPr>
            <w:hyperlink w:anchor="page50">
              <w:r>
                <w:rPr>
                  <w:rFonts w:ascii="Arial" w:cs="Arial" w:eastAsia="Arial" w:hAnsi="Arial"/>
                  <w:sz w:val="16"/>
                  <w:szCs w:val="16"/>
                  <w:color w:val="0000EE"/>
                </w:rPr>
                <w:t>Mine Safety Disclosures</w:t>
              </w:r>
            </w:hyperlink>
          </w:p>
        </w:tc>
        <w:tc>
          <w:tcPr>
            <w:tcW w:w="122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48</w:t>
              </w:r>
            </w:hyperlink>
          </w:p>
        </w:tc>
      </w:tr>
      <w:tr>
        <w:trPr>
          <w:trHeight w:val="243"/>
        </w:trPr>
        <w:tc>
          <w:tcPr>
            <w:tcW w:w="820" w:type="dxa"/>
            <w:vAlign w:val="bottom"/>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5.</w:t>
              </w:r>
            </w:hyperlink>
          </w:p>
        </w:tc>
        <w:tc>
          <w:tcPr>
            <w:tcW w:w="9140" w:type="dxa"/>
            <w:vAlign w:val="bottom"/>
          </w:tcPr>
          <w:p>
            <w:pPr>
              <w:ind w:left="200"/>
              <w:spacing w:after="0"/>
              <w:rPr>
                <w:rFonts w:ascii="Arial" w:cs="Arial" w:eastAsia="Arial" w:hAnsi="Arial"/>
                <w:sz w:val="16"/>
                <w:szCs w:val="16"/>
                <w:color w:val="0000EE"/>
              </w:rPr>
            </w:pPr>
            <w:hyperlink w:anchor="page50">
              <w:r>
                <w:rPr>
                  <w:rFonts w:ascii="Arial" w:cs="Arial" w:eastAsia="Arial" w:hAnsi="Arial"/>
                  <w:sz w:val="16"/>
                  <w:szCs w:val="16"/>
                  <w:color w:val="0000EE"/>
                </w:rPr>
                <w:t>Other Information</w:t>
              </w:r>
            </w:hyperlink>
          </w:p>
        </w:tc>
        <w:tc>
          <w:tcPr>
            <w:tcW w:w="122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48</w:t>
              </w:r>
            </w:hyperlink>
          </w:p>
        </w:tc>
      </w:tr>
      <w:tr>
        <w:trPr>
          <w:trHeight w:val="243"/>
        </w:trPr>
        <w:tc>
          <w:tcPr>
            <w:tcW w:w="820" w:type="dxa"/>
            <w:vAlign w:val="bottom"/>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6.</w:t>
              </w:r>
            </w:hyperlink>
          </w:p>
        </w:tc>
        <w:tc>
          <w:tcPr>
            <w:tcW w:w="9140" w:type="dxa"/>
            <w:vAlign w:val="bottom"/>
          </w:tcPr>
          <w:p>
            <w:pPr>
              <w:ind w:left="200"/>
              <w:spacing w:after="0"/>
              <w:rPr>
                <w:rFonts w:ascii="Arial" w:cs="Arial" w:eastAsia="Arial" w:hAnsi="Arial"/>
                <w:sz w:val="16"/>
                <w:szCs w:val="16"/>
                <w:color w:val="0000EE"/>
              </w:rPr>
            </w:pPr>
            <w:hyperlink w:anchor="page51">
              <w:r>
                <w:rPr>
                  <w:rFonts w:ascii="Arial" w:cs="Arial" w:eastAsia="Arial" w:hAnsi="Arial"/>
                  <w:sz w:val="16"/>
                  <w:szCs w:val="16"/>
                  <w:color w:val="0000EE"/>
                </w:rPr>
                <w:t>Exhibits</w:t>
              </w:r>
            </w:hyperlink>
          </w:p>
        </w:tc>
        <w:tc>
          <w:tcPr>
            <w:tcW w:w="1220" w:type="dxa"/>
            <w:vAlign w:val="bottom"/>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52">
              <w:r>
                <w:rPr>
                  <w:rFonts w:ascii="Arial" w:cs="Arial" w:eastAsia="Arial" w:hAnsi="Arial"/>
                  <w:sz w:val="16"/>
                  <w:szCs w:val="16"/>
                  <w:color w:val="0000EE"/>
                </w:rPr>
                <w:t>Signature</w:t>
              </w:r>
            </w:hyperlink>
          </w:p>
        </w:tc>
        <w:tc>
          <w:tcPr>
            <w:tcW w:w="1220" w:type="dxa"/>
            <w:vAlign w:val="bottom"/>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50</w:t>
              </w:r>
            </w:hyperlink>
          </w:p>
        </w:tc>
      </w:tr>
    </w:tbl>
    <w:p>
      <w:pPr>
        <w:sectPr>
          <w:pgSz w:w="11900" w:h="16838" w:orient="portrait"/>
          <w:cols w:equalWidth="0" w:num="1">
            <w:col w:w="11180"/>
          </w:cols>
          <w:pgMar w:left="360" w:top="495" w:right="359" w:bottom="1440" w:gutter="0" w:footer="0" w:header="0"/>
        </w:sectPr>
      </w:pPr>
    </w:p>
    <w:bookmarkStart w:id="2" w:name="page3"/>
    <w:bookmarkEnd w:id="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38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607,254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251,409</w:t>
            </w:r>
          </w:p>
        </w:tc>
        <w:tc>
          <w:tcPr>
            <w:tcW w:w="0" w:type="dxa"/>
            <w:vAlign w:val="bottom"/>
          </w:tcPr>
          <w:p>
            <w:pPr>
              <w:spacing w:after="0"/>
              <w:rPr>
                <w:sz w:val="1"/>
                <w:szCs w:val="1"/>
                <w:color w:val="auto"/>
              </w:rPr>
            </w:pPr>
          </w:p>
        </w:tc>
      </w:tr>
      <w:tr>
        <w:trPr>
          <w:trHeight w:val="260"/>
        </w:trPr>
        <w:tc>
          <w:tcPr>
            <w:tcW w:w="822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44,700</w:t>
            </w: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allowances of $296 and $564 at June 30, 2020 and December 31, 2019,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145,413</w:t>
            </w:r>
          </w:p>
        </w:tc>
        <w:tc>
          <w:tcPr>
            <w:tcW w:w="0" w:type="dxa"/>
            <w:vAlign w:val="bottom"/>
          </w:tcPr>
          <w:p>
            <w:pPr>
              <w:spacing w:after="0"/>
              <w:rPr>
                <w:sz w:val="1"/>
                <w:szCs w:val="1"/>
                <w:color w:val="auto"/>
              </w:rPr>
            </w:pPr>
          </w:p>
        </w:tc>
      </w:tr>
      <w:tr>
        <w:trPr>
          <w:trHeight w:val="260"/>
        </w:trPr>
        <w:tc>
          <w:tcPr>
            <w:tcW w:w="822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31,186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32,056</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29,257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26,079</w:t>
            </w:r>
          </w:p>
        </w:tc>
        <w:tc>
          <w:tcPr>
            <w:tcW w:w="0" w:type="dxa"/>
            <w:vAlign w:val="bottom"/>
          </w:tcPr>
          <w:p>
            <w:pPr>
              <w:spacing w:after="0"/>
              <w:rPr>
                <w:sz w:val="1"/>
                <w:szCs w:val="1"/>
                <w:color w:val="auto"/>
              </w:rPr>
            </w:pPr>
          </w:p>
        </w:tc>
      </w:tr>
      <w:tr>
        <w:trPr>
          <w:trHeight w:val="240"/>
        </w:trPr>
        <w:tc>
          <w:tcPr>
            <w:tcW w:w="822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757,201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499,657</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28,936</w:t>
            </w:r>
          </w:p>
        </w:tc>
        <w:tc>
          <w:tcPr>
            <w:tcW w:w="0" w:type="dxa"/>
            <w:vAlign w:val="bottom"/>
          </w:tcPr>
          <w:p>
            <w:pPr>
              <w:spacing w:after="0"/>
              <w:rPr>
                <w:sz w:val="1"/>
                <w:szCs w:val="1"/>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Operating lease, right of use asset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11,462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10,117</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28,086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24,783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24,783</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49,551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44,620</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93,872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74,531</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997,927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713,223</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24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2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24,135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57,474</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46,691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47,092</w:t>
            </w:r>
          </w:p>
        </w:tc>
        <w:tc>
          <w:tcPr>
            <w:tcW w:w="0" w:type="dxa"/>
            <w:vAlign w:val="bottom"/>
          </w:tcPr>
          <w:p>
            <w:pPr>
              <w:spacing w:after="0"/>
              <w:rPr>
                <w:sz w:val="1"/>
                <w:szCs w:val="1"/>
                <w:color w:val="auto"/>
              </w:rPr>
            </w:pPr>
          </w:p>
        </w:tc>
      </w:tr>
      <w:tr>
        <w:trPr>
          <w:trHeight w:val="260"/>
        </w:trPr>
        <w:tc>
          <w:tcPr>
            <w:tcW w:w="8220" w:type="dxa"/>
            <w:vAlign w:val="bottom"/>
          </w:tcPr>
          <w:p>
            <w:pPr>
              <w:ind w:left="380"/>
              <w:spacing w:after="0"/>
              <w:rPr>
                <w:sz w:val="20"/>
                <w:szCs w:val="20"/>
                <w:color w:val="auto"/>
              </w:rPr>
            </w:pPr>
            <w:r>
              <w:rPr>
                <w:rFonts w:ascii="Arial" w:cs="Arial" w:eastAsia="Arial" w:hAnsi="Arial"/>
                <w:sz w:val="16"/>
                <w:szCs w:val="16"/>
                <w:color w:val="auto"/>
              </w:rPr>
              <w:t>Deferred revenues, current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40,256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81,783</w:t>
            </w: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Warranty obligations, current (includes $6,917 and $6,794 measured at fair value at June 30, 2020 and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December 31, 2019, respectively)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current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102,271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223,523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199,311</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 noncurrent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110,977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100,204</w:t>
            </w:r>
          </w:p>
        </w:tc>
        <w:tc>
          <w:tcPr>
            <w:tcW w:w="0" w:type="dxa"/>
            <w:vAlign w:val="bottom"/>
          </w:tcPr>
          <w:p>
            <w:pPr>
              <w:spacing w:after="0"/>
              <w:rPr>
                <w:sz w:val="1"/>
                <w:szCs w:val="1"/>
                <w:color w:val="auto"/>
              </w:rPr>
            </w:pPr>
          </w:p>
        </w:tc>
      </w:tr>
      <w:tr>
        <w:trPr>
          <w:trHeight w:val="218"/>
        </w:trPr>
        <w:tc>
          <w:tcPr>
            <w:tcW w:w="8220" w:type="dxa"/>
            <w:vAlign w:val="bottom"/>
          </w:tcPr>
          <w:p>
            <w:pPr>
              <w:ind w:left="380"/>
              <w:spacing w:after="0"/>
              <w:rPr>
                <w:sz w:val="20"/>
                <w:szCs w:val="20"/>
                <w:color w:val="auto"/>
              </w:rPr>
            </w:pPr>
            <w:r>
              <w:rPr>
                <w:rFonts w:ascii="Arial" w:cs="Arial" w:eastAsia="Arial" w:hAnsi="Arial"/>
                <w:sz w:val="16"/>
                <w:szCs w:val="16"/>
                <w:color w:val="auto"/>
              </w:rPr>
              <w:t>Warranty obligations, noncurrent (includes $14,215 and $13,012 measured at fair value at June 30, 2020</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ind w:left="460"/>
              <w:spacing w:after="0"/>
              <w:rPr>
                <w:sz w:val="20"/>
                <w:szCs w:val="20"/>
                <w:color w:val="auto"/>
              </w:rPr>
            </w:pPr>
            <w:r>
              <w:rPr>
                <w:rFonts w:ascii="Arial" w:cs="Arial" w:eastAsia="Arial" w:hAnsi="Arial"/>
                <w:sz w:val="16"/>
                <w:szCs w:val="16"/>
                <w:color w:val="auto"/>
              </w:rPr>
              <w:t>and December 31, 2019, respectively)</w:t>
            </w:r>
          </w:p>
        </w:tc>
        <w:tc>
          <w:tcPr>
            <w:tcW w:w="26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27,737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27,020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11,817</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noncurrent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253,174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102,659</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627,751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441,011</w:t>
            </w:r>
          </w:p>
        </w:tc>
        <w:tc>
          <w:tcPr>
            <w:tcW w:w="0" w:type="dxa"/>
            <w:vAlign w:val="bottom"/>
          </w:tcPr>
          <w:p>
            <w:pPr>
              <w:spacing w:after="0"/>
              <w:rPr>
                <w:sz w:val="1"/>
                <w:szCs w:val="1"/>
                <w:color w:val="auto"/>
              </w:rPr>
            </w:pP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220" w:type="dxa"/>
            <w:vAlign w:val="bottom"/>
          </w:tcPr>
          <w:p>
            <w:pPr>
              <w:ind w:left="380"/>
              <w:spacing w:after="0"/>
              <w:rPr>
                <w:sz w:val="20"/>
                <w:szCs w:val="20"/>
                <w:color w:val="auto"/>
              </w:rPr>
            </w:pPr>
            <w:r>
              <w:rPr>
                <w:rFonts w:ascii="Arial" w:cs="Arial" w:eastAsia="Arial" w:hAnsi="Arial"/>
                <w:sz w:val="16"/>
                <w:szCs w:val="16"/>
                <w:color w:val="auto"/>
              </w:rPr>
              <w:t>Common stock, $0.00001 par value, 200,000 shares and 150,000 shares authorized; and 125,979 shares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ind w:left="460"/>
              <w:spacing w:after="0"/>
              <w:rPr>
                <w:sz w:val="20"/>
                <w:szCs w:val="20"/>
                <w:color w:val="auto"/>
              </w:rPr>
            </w:pPr>
            <w:r>
              <w:rPr>
                <w:rFonts w:ascii="Arial" w:cs="Arial" w:eastAsia="Arial" w:hAnsi="Arial"/>
                <w:sz w:val="16"/>
                <w:szCs w:val="16"/>
                <w:color w:val="auto"/>
              </w:rPr>
              <w:t>and 123,109 shares issued and outstanding at June 30, 2020 and December 31, 2019, respectively</w:t>
            </w:r>
          </w:p>
        </w:tc>
        <w:tc>
          <w:tcPr>
            <w:tcW w:w="26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534,867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458,315</w:t>
            </w:r>
          </w:p>
        </w:tc>
        <w:tc>
          <w:tcPr>
            <w:tcW w:w="0" w:type="dxa"/>
            <w:vAlign w:val="bottom"/>
          </w:tcPr>
          <w:p>
            <w:pPr>
              <w:spacing w:after="0"/>
              <w:rPr>
                <w:sz w:val="1"/>
                <w:szCs w:val="1"/>
                <w:color w:val="auto"/>
              </w:rPr>
            </w:pPr>
          </w:p>
        </w:tc>
      </w:tr>
      <w:tr>
        <w:trPr>
          <w:trHeight w:val="260"/>
        </w:trPr>
        <w:tc>
          <w:tcPr>
            <w:tcW w:w="82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(163,539)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(185,181)</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370,176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272,212</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997,927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713,223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1</w:t>
      </w:r>
    </w:p>
    <w:p>
      <w:pPr>
        <w:sectPr>
          <w:pgSz w:w="11900" w:h="16838" w:orient="portrait"/>
          <w:cols w:equalWidth="0" w:num="1">
            <w:col w:w="11240"/>
          </w:cols>
          <w:pgMar w:left="320" w:top="283" w:right="339" w:bottom="713" w:gutter="0" w:footer="0" w:header="0"/>
          <w:type w:val="continuous"/>
        </w:sectPr>
      </w:pPr>
    </w:p>
    <w:bookmarkStart w:id="3" w:name="page4"/>
    <w:bookmarkEnd w:id="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125,538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331,083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234,244</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77,151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88,775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202,021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155,586</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48,387</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129,062</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78,658</w:t>
            </w:r>
          </w:p>
        </w:tc>
        <w:tc>
          <w:tcPr>
            <w:tcW w:w="0" w:type="dxa"/>
            <w:vAlign w:val="bottom"/>
          </w:tcPr>
          <w:p>
            <w:pPr>
              <w:spacing w:after="0"/>
              <w:rPr>
                <w:sz w:val="1"/>
                <w:szCs w:val="1"/>
                <w:color w:val="auto"/>
              </w:rPr>
            </w:pPr>
          </w:p>
        </w:tc>
      </w:tr>
      <w:tr>
        <w:trPr>
          <w:trHeight w:val="254"/>
        </w:trPr>
        <w:tc>
          <w:tcPr>
            <w:tcW w:w="48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25,068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18,128</w:t>
            </w:r>
          </w:p>
        </w:tc>
        <w:tc>
          <w:tcPr>
            <w:tcW w:w="0" w:type="dxa"/>
            <w:vAlign w:val="bottom"/>
          </w:tcPr>
          <w:p>
            <w:pPr>
              <w:spacing w:after="0"/>
              <w:rPr>
                <w:sz w:val="1"/>
                <w:szCs w:val="1"/>
                <w:color w:val="auto"/>
              </w:rPr>
            </w:pPr>
          </w:p>
        </w:tc>
      </w:tr>
      <w:tr>
        <w:trPr>
          <w:trHeight w:val="260"/>
        </w:trPr>
        <w:tc>
          <w:tcPr>
            <w:tcW w:w="48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12,371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24,143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16,487</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24,285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18,463</w:t>
            </w:r>
          </w:p>
        </w:tc>
        <w:tc>
          <w:tcPr>
            <w:tcW w:w="0" w:type="dxa"/>
            <w:vAlign w:val="bottom"/>
          </w:tcPr>
          <w:p>
            <w:pPr>
              <w:spacing w:after="0"/>
              <w:rPr>
                <w:sz w:val="1"/>
                <w:szCs w:val="1"/>
                <w:color w:val="auto"/>
              </w:rPr>
            </w:pPr>
          </w:p>
        </w:tc>
      </w:tr>
      <w:tr>
        <w:trPr>
          <w:trHeight w:val="263"/>
        </w:trPr>
        <w:tc>
          <w:tcPr>
            <w:tcW w:w="48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37,533</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27,872</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73,496</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54,077</w:t>
            </w:r>
          </w:p>
        </w:tc>
        <w:tc>
          <w:tcPr>
            <w:tcW w:w="0" w:type="dxa"/>
            <w:vAlign w:val="bottom"/>
          </w:tcPr>
          <w:p>
            <w:pPr>
              <w:spacing w:after="0"/>
              <w:rPr>
                <w:sz w:val="1"/>
                <w:szCs w:val="1"/>
                <w:color w:val="auto"/>
              </w:rPr>
            </w:pPr>
          </w:p>
        </w:tc>
      </w:tr>
      <w:tr>
        <w:trPr>
          <w:trHeight w:val="247"/>
        </w:trPr>
        <w:tc>
          <w:tcPr>
            <w:tcW w:w="484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55,566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24,581</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0" w:type="dxa"/>
            <w:vAlign w:val="bottom"/>
          </w:tcPr>
          <w:p>
            <w:pPr>
              <w:spacing w:after="0"/>
              <w:rPr>
                <w:sz w:val="1"/>
                <w:szCs w:val="1"/>
                <w:color w:val="auto"/>
              </w:rPr>
            </w:pPr>
          </w:p>
        </w:tc>
      </w:tr>
      <w:tr>
        <w:trPr>
          <w:trHeight w:val="260"/>
        </w:trPr>
        <w:tc>
          <w:tcPr>
            <w:tcW w:w="4840" w:type="dxa"/>
            <w:vAlign w:val="bottom"/>
          </w:tcPr>
          <w:p>
            <w:pPr>
              <w:ind w:left="38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73"/>
        </w:trPr>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derivatives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(44,348)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(64,709)</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(52,353)</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(10,259)</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14,322</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6,561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18,429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4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21,642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13,383</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54"/>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per share calculation: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48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125,603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113,677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124,567</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110,951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125,603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130,737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138,910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129,400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w:t>
      </w:r>
    </w:p>
    <w:p>
      <w:pPr>
        <w:sectPr>
          <w:pgSz w:w="11900" w:h="16838" w:orient="portrait"/>
          <w:cols w:equalWidth="0" w:num="1">
            <w:col w:w="11240"/>
          </w:cols>
          <w:pgMar w:left="320" w:top="283" w:right="339" w:bottom="1440" w:gutter="0" w:footer="0" w:header="0"/>
        </w:sectPr>
      </w:pPr>
    </w:p>
    <w:bookmarkStart w:id="4" w:name="page5"/>
    <w:bookmarkEnd w:id="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10,618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21,642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13,383</w:t>
            </w:r>
          </w:p>
        </w:tc>
      </w:tr>
      <w:tr>
        <w:trPr>
          <w:trHeight w:val="224"/>
        </w:trPr>
        <w:tc>
          <w:tcPr>
            <w:tcW w:w="48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30"/>
        </w:trPr>
        <w:tc>
          <w:tcPr>
            <w:tcW w:w="48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(47,356)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10,369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21,412</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13,055</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w:t>
      </w:r>
    </w:p>
    <w:p>
      <w:pPr>
        <w:sectPr>
          <w:pgSz w:w="11900" w:h="16838" w:orient="portrait"/>
          <w:cols w:equalWidth="0" w:num="1">
            <w:col w:w="11240"/>
          </w:cols>
          <w:pgMar w:left="320" w:top="283" w:right="339" w:bottom="1440" w:gutter="0" w:footer="0" w:header="0"/>
        </w:sectPr>
      </w:pPr>
    </w:p>
    <w:bookmarkStart w:id="5" w:name="page6"/>
    <w:bookmarkEnd w:id="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3"/>
        </w:trPr>
        <w:tc>
          <w:tcPr>
            <w:tcW w:w="114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Common stock and paid-in capital</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433,543</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357,024</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458,316</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353,336</w:t>
            </w:r>
          </w:p>
        </w:tc>
      </w:tr>
      <w:tr>
        <w:trPr>
          <w:trHeight w:val="280"/>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additional paid in capital</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5080" w:type="dxa"/>
            <w:vAlign w:val="bottom"/>
            <w:gridSpan w:val="2"/>
          </w:tcPr>
          <w:p>
            <w:pPr>
              <w:ind w:left="280"/>
              <w:spacing w:after="0"/>
              <w:rPr>
                <w:sz w:val="20"/>
                <w:szCs w:val="20"/>
                <w:color w:val="auto"/>
              </w:rPr>
            </w:pPr>
            <w:r>
              <w:rPr>
                <w:rFonts w:ascii="Arial" w:cs="Arial" w:eastAsia="Arial" w:hAnsi="Arial"/>
                <w:sz w:val="16"/>
                <w:szCs w:val="16"/>
                <w:color w:val="auto"/>
              </w:rPr>
              <w:t>Issuance of common stock from exercise of equity awards</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2,622</w:t>
            </w:r>
          </w:p>
        </w:tc>
      </w:tr>
      <w:tr>
        <w:trPr>
          <w:trHeight w:val="228"/>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of withholding taxes related to net share settlement of</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4"/>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awards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r>
      <w:tr>
        <w:trPr>
          <w:trHeight w:val="260"/>
        </w:trPr>
        <w:tc>
          <w:tcPr>
            <w:tcW w:w="5080" w:type="dxa"/>
            <w:vAlign w:val="bottom"/>
            <w:gridSpan w:val="2"/>
          </w:tcPr>
          <w:p>
            <w:pPr>
              <w:ind w:left="280"/>
              <w:spacing w:after="0"/>
              <w:rPr>
                <w:sz w:val="20"/>
                <w:szCs w:val="20"/>
                <w:color w:val="auto"/>
              </w:rPr>
            </w:pPr>
            <w:r>
              <w:rPr>
                <w:rFonts w:ascii="Arial" w:cs="Arial" w:eastAsia="Arial" w:hAnsi="Arial"/>
                <w:sz w:val="16"/>
                <w:szCs w:val="16"/>
                <w:color w:val="auto"/>
              </w:rPr>
              <w:t>Conversion of convertible notes due 2023, net</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58,857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58,857</w:t>
            </w:r>
          </w:p>
        </w:tc>
      </w:tr>
      <w:tr>
        <w:trPr>
          <w:trHeight w:val="280"/>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Equity component of convertible notes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116,300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116,300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35,089</w:t>
            </w:r>
          </w:p>
        </w:tc>
      </w:tr>
      <w:tr>
        <w:trPr>
          <w:trHeight w:val="260"/>
        </w:trPr>
        <w:tc>
          <w:tcPr>
            <w:tcW w:w="5080" w:type="dxa"/>
            <w:vAlign w:val="bottom"/>
            <w:gridSpan w:val="2"/>
          </w:tcPr>
          <w:p>
            <w:pPr>
              <w:ind w:left="280"/>
              <w:spacing w:after="0"/>
              <w:rPr>
                <w:sz w:val="20"/>
                <w:szCs w:val="20"/>
                <w:color w:val="auto"/>
              </w:rPr>
            </w:pPr>
            <w:r>
              <w:rPr>
                <w:rFonts w:ascii="Arial" w:cs="Arial" w:eastAsia="Arial" w:hAnsi="Arial"/>
                <w:sz w:val="16"/>
                <w:szCs w:val="16"/>
                <w:color w:val="auto"/>
              </w:rPr>
              <w:t>Cost of convertible notes hedge related to the convertible notes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(117,108)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(117,108)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(36,313)</w:t>
            </w:r>
          </w:p>
        </w:tc>
      </w:tr>
      <w:tr>
        <w:trPr>
          <w:trHeight w:val="280"/>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Sale of warrants related to the convertible notes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96,351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96,351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29,818</w:t>
            </w:r>
          </w:p>
        </w:tc>
      </w:tr>
      <w:tr>
        <w:trPr>
          <w:trHeight w:val="264"/>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Stock-based compensation expense and 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12,300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19,815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8,457</w:t>
            </w:r>
          </w:p>
        </w:tc>
      </w:tr>
      <w:tr>
        <w:trPr>
          <w:trHeight w:val="25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534,868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449,803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534,868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449,803</w:t>
            </w:r>
          </w:p>
        </w:tc>
      </w:tr>
      <w:tr>
        <w:trPr>
          <w:trHeight w:val="32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Accumulated deficit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(116,245)</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(343,563)</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(185,181)</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(346,302)</w:t>
            </w:r>
          </w:p>
        </w:tc>
      </w:tr>
      <w:tr>
        <w:trPr>
          <w:trHeight w:val="280"/>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accumulated deficit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other</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64"/>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(47,294)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21,642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13,383</w:t>
            </w:r>
          </w:p>
        </w:tc>
      </w:tr>
      <w:tr>
        <w:trPr>
          <w:trHeight w:val="25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(163,539)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(332,946)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(163,539)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(332,946)</w:t>
            </w:r>
          </w:p>
        </w:tc>
      </w:tr>
      <w:tr>
        <w:trPr>
          <w:trHeight w:val="32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Accumulated other comprehensive income (loss)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742</w:t>
            </w:r>
          </w:p>
        </w:tc>
      </w:tr>
      <w:tr>
        <w:trPr>
          <w:trHeight w:val="273"/>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50"/>
        </w:trPr>
        <w:tc>
          <w:tcPr>
            <w:tcW w:w="5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r>
      <w:tr>
        <w:trPr>
          <w:trHeight w:val="24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 ending balance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370,176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370,176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117,271</w:t>
            </w: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9"/>
        </w:trPr>
        <w:tc>
          <w:tcPr>
            <w:tcW w:w="114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123" w:lineRule="exact"/>
        <w:rPr>
          <w:sz w:val="20"/>
          <w:szCs w:val="20"/>
          <w:color w:val="auto"/>
        </w:rPr>
      </w:pPr>
    </w:p>
    <w:p>
      <w:pPr>
        <w:ind w:left="500" w:hanging="492"/>
        <w:spacing w:after="0" w:line="260"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adoption of Accounting Standards Update (“ASU”) 2018-07, “Compensation - Stock Compensation: Improvements to Non-employee Share-Based Payment Accounting” on January 1,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w:t>
      </w:r>
    </w:p>
    <w:p>
      <w:pPr>
        <w:sectPr>
          <w:pgSz w:w="11900" w:h="16838" w:orient="portrait"/>
          <w:cols w:equalWidth="0" w:num="1">
            <w:col w:w="11240"/>
          </w:cols>
          <w:pgMar w:left="320" w:top="283" w:right="339" w:bottom="1440" w:gutter="0" w:footer="0" w:header="0"/>
        </w:sectPr>
      </w:pPr>
    </w:p>
    <w:bookmarkStart w:id="6" w:name="page7"/>
    <w:bookmarkEnd w:id="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19050</wp:posOffset>
            </wp:positionV>
            <wp:extent cx="20656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21,642</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13,383</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7,694</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2,266</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Financing fees on extinguishment of debt</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2,152</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8,224</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Change in fair value of derivatives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44,348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(19,104)</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(3,827)</w:t>
            </w: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(9,568)</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Accounts payable, accrued and other liabilities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16,805</w:t>
            </w: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Warranty obligations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w:t>
            </w: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5,904</w:t>
            </w:r>
          </w:p>
        </w:tc>
      </w:tr>
      <w:tr>
        <w:trPr>
          <w:trHeight w:val="256"/>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64,653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31,835</w:t>
            </w: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r>
      <w:tr>
        <w:trPr>
          <w:trHeight w:val="250"/>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Issuance of convertible notes, net of issuance costs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312,420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128,040</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convertible note hedges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(36,313)</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Sale of warrants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71,552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29,819</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Principal payments and financing fees on debt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(45,122)</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equity awards and employee stock purchase plan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w:t>
            </w:r>
          </w:p>
        </w:tc>
      </w:tr>
      <w:tr>
        <w:trPr>
          <w:trHeight w:val="25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254,477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70,956</w:t>
            </w: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311,145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99,722</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cash—Beginning of period</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296,109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106,237</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607,254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205,959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Purchases of fixed assets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1,194</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payable unpaid upon exchange of convertible notes due 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226695</wp:posOffset>
            </wp:positionV>
            <wp:extent cx="6943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5</w:t>
      </w:r>
    </w:p>
    <w:p>
      <w:pPr>
        <w:sectPr>
          <w:pgSz w:w="11900" w:h="16838" w:orient="portrait"/>
          <w:cols w:equalWidth="0" w:num="1">
            <w:col w:w="11240"/>
          </w:cols>
          <w:pgMar w:left="320" w:top="283" w:right="339" w:bottom="1440" w:gutter="0" w:footer="0" w:header="0"/>
          <w:type w:val="continuous"/>
        </w:sectPr>
      </w:pPr>
    </w:p>
    <w:bookmarkStart w:id="7" w:name="page8"/>
    <w:bookmarkEnd w:id="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Enphase Energy, Inc. (the “Company”) is a global energy technology company. The Company delivers smart, easy-to-use solutions that manage solar generation, storage and communication on one intelligent platform. The Company revolutionized the solar industry with its microinverter technology and produces a fully integrated solar-plus-storage solution.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United States (“U.S.”), or GAAP. The condensed consolidated financial statements include the accounts of the Company and its wholly-owned subsidiaries. All intercompany balances and transactions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stockholders’ equity and cash flows for the interim periods indicated. The results of operations for the three and six months ended June 30, 2020 are not necessarily indicative of the operating results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doubtful accounts, stock-based compensation, inventory valuation, accrued warranty obligations, fair value of debt derivatives, fair value of acquired intangible assets and goodwill, useful lives of acquired intangible assets and property and equipment, incremental borrowing rate for right-of-use assets and lease liability, legal contingencies, and tax valuation allowance. These estimates are based on information available as of the date of the financial statements; therefore, actual results could differ materially from management’s estimates using different assumptions or under different conditions.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worldwide spread of the COVID-19 virus has resulted in a global slowdown of economic activity which decreased demand for a broad variety of goods and services, including from our customers, while also disrupting sales channels and marketing activities for an unknown period of time and may continue to create significant uncertainty in future operational and financial performance. The Company expects this to result in negative impact on its sales and its results of operations. In preparing the Company’s condensed consolidated financial statements in accordance with GAAP, the Company is required to make estimates, assumptions and judgments that affect the amounts reported in its financial statements and the accompanying disclosures.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288925</wp:posOffset>
            </wp:positionV>
            <wp:extent cx="6943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6</w:t>
      </w:r>
    </w:p>
    <w:p>
      <w:pPr>
        <w:sectPr>
          <w:pgSz w:w="11900" w:h="16838" w:orient="portrait"/>
          <w:cols w:equalWidth="0" w:num="1">
            <w:col w:w="11240"/>
          </w:cols>
          <w:pgMar w:left="320" w:top="283" w:right="339" w:bottom="1440" w:gutter="0" w:footer="0" w:header="0"/>
        </w:sectPr>
      </w:pPr>
    </w:p>
    <w:bookmarkStart w:id="8" w:name="page9"/>
    <w:bookmarkEnd w:id="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There have been no significant changes to the Company’s significant accounting policies in Note 2. “Summary of Significant Accounting Policies,” of the notes to consolidated financial statements included in Item 8 of the Company’s 2019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adopted the new standard effective January 1, 2020 on a prospective basis and the adoption of this guidance did not have a material impact on its consolidated financial statements.</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 current expected credit loss (CECL) model which will result in earlier recognition of credit losses. On January 1, 2020, the Company on a prospective basis adopted Topic 326, the measurement of expected credit losses under the CECL model is applicable to financial assets measured at amortized cost, including accounts receivable. The adoption of this guidance did not have a material impact on the Company’s consolidated financial statements.</w:t>
      </w:r>
    </w:p>
    <w:p>
      <w:pPr>
        <w:spacing w:after="0" w:line="24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solutions for the solar photovoltaic (“PV”) industry. Disaggregated revenue by primary geographical market and timing of revenue recognition for the Company’s single product line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3"/>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4"/>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2"/>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Primary geographical markets: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50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100,791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99,909</w:t>
            </w:r>
          </w:p>
        </w:tc>
        <w:tc>
          <w:tcPr>
            <w:tcW w:w="12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280,391</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177,595</w:t>
            </w:r>
          </w:p>
        </w:tc>
      </w:tr>
      <w:tr>
        <w:trPr>
          <w:trHeight w:val="273"/>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24,747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34,185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50,692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56,649</w:t>
            </w:r>
          </w:p>
        </w:tc>
      </w:tr>
      <w:tr>
        <w:trPr>
          <w:trHeight w:val="280"/>
        </w:trPr>
        <w:tc>
          <w:tcPr>
            <w:tcW w:w="5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125,538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134,094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331,083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234,244</w:t>
            </w:r>
          </w:p>
        </w:tc>
      </w:tr>
      <w:tr>
        <w:trPr>
          <w:trHeight w:val="200"/>
        </w:trPr>
        <w:tc>
          <w:tcPr>
            <w:tcW w:w="5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 delivered at a point in time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114,299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124,336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308,978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214,736</w:t>
            </w:r>
          </w:p>
        </w:tc>
      </w:tr>
      <w:tr>
        <w:trPr>
          <w:trHeight w:val="263"/>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Products and services delivered over time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11,239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9,758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22,105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19,508</w:t>
            </w:r>
          </w:p>
        </w:tc>
      </w:tr>
      <w:tr>
        <w:trPr>
          <w:trHeight w:val="24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125,538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134,094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331,083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234,244</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7</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Receivables, and contract assets and contract liabilities from contracts with customers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3"/>
          </w:tcPr>
          <w:p>
            <w:pPr>
              <w:jc w:val="right"/>
              <w:ind w:right="96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89,504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145,413</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Short-term contract assets (Prepaid expenses and other assets)</w:t>
            </w:r>
          </w:p>
        </w:tc>
        <w:tc>
          <w:tcPr>
            <w:tcW w:w="2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16,416</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15,055</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assets (Other assets)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46,960</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42,087</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Short-term contract liabilities (Deferred revenues)</w:t>
            </w:r>
          </w:p>
        </w:tc>
        <w:tc>
          <w:tcPr>
            <w:tcW w:w="2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40,256</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81,783</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liabilities (Deferred revenues)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110,977</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100,204</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three and six months ended June 30, 2020.</w:t>
      </w:r>
    </w:p>
    <w:p>
      <w:pPr>
        <w:spacing w:after="0" w:line="2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Significant changes in the balances of contract assets (prepaid expenses and other assets) during the period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tcPr>
          <w:p>
            <w:pPr>
              <w:ind w:left="40"/>
              <w:spacing w:after="0"/>
              <w:rPr>
                <w:sz w:val="20"/>
                <w:szCs w:val="20"/>
                <w:color w:val="auto"/>
              </w:rPr>
            </w:pPr>
            <w:r>
              <w:rPr>
                <w:rFonts w:ascii="Arial" w:cs="Arial" w:eastAsia="Arial" w:hAnsi="Arial"/>
                <w:sz w:val="16"/>
                <w:szCs w:val="16"/>
                <w:b w:val="1"/>
                <w:bCs w:val="1"/>
                <w:color w:val="auto"/>
              </w:rPr>
              <w:t>Contract Assets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3"/>
        </w:trPr>
        <w:tc>
          <w:tcPr>
            <w:tcW w:w="9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2019</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57,142</w:t>
            </w:r>
          </w:p>
        </w:tc>
      </w:tr>
      <w:tr>
        <w:trPr>
          <w:trHeight w:val="233"/>
        </w:trPr>
        <w:tc>
          <w:tcPr>
            <w:tcW w:w="9760" w:type="dxa"/>
            <w:vAlign w:val="bottom"/>
          </w:tcPr>
          <w:p>
            <w:pPr>
              <w:ind w:left="380"/>
              <w:spacing w:after="0"/>
              <w:rPr>
                <w:sz w:val="20"/>
                <w:szCs w:val="20"/>
                <w:color w:val="auto"/>
              </w:rPr>
            </w:pPr>
            <w:r>
              <w:rPr>
                <w:rFonts w:ascii="Arial" w:cs="Arial" w:eastAsia="Arial" w:hAnsi="Arial"/>
                <w:sz w:val="16"/>
                <w:szCs w:val="16"/>
                <w:color w:val="auto"/>
              </w:rPr>
              <w:t>Amount recognized</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(8,439)</w:t>
            </w:r>
          </w:p>
        </w:tc>
      </w:tr>
      <w:tr>
        <w:trPr>
          <w:trHeight w:val="253"/>
        </w:trPr>
        <w:tc>
          <w:tcPr>
            <w:tcW w:w="9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w:t>
            </w: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14,673</w:t>
            </w:r>
          </w:p>
        </w:tc>
      </w:tr>
      <w:tr>
        <w:trPr>
          <w:trHeight w:val="230"/>
        </w:trPr>
        <w:tc>
          <w:tcPr>
            <w:tcW w:w="9760" w:type="dxa"/>
            <w:vAlign w:val="bottom"/>
          </w:tcPr>
          <w:p>
            <w:pPr>
              <w:ind w:left="280"/>
              <w:spacing w:after="0"/>
              <w:rPr>
                <w:sz w:val="20"/>
                <w:szCs w:val="20"/>
                <w:color w:val="auto"/>
              </w:rPr>
            </w:pPr>
            <w:r>
              <w:rPr>
                <w:rFonts w:ascii="Arial" w:cs="Arial" w:eastAsia="Arial" w:hAnsi="Arial"/>
                <w:sz w:val="16"/>
                <w:szCs w:val="16"/>
                <w:color w:val="auto"/>
              </w:rPr>
              <w:t>Balance as of June 30, 2020</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63,376</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liabilities (deferred revenues) during the period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80" w:type="dxa"/>
            <w:vAlign w:val="bottom"/>
          </w:tcPr>
          <w:p>
            <w:pPr>
              <w:ind w:left="40"/>
              <w:spacing w:after="0"/>
              <w:rPr>
                <w:sz w:val="20"/>
                <w:szCs w:val="20"/>
                <w:color w:val="auto"/>
              </w:rPr>
            </w:pPr>
            <w:r>
              <w:rPr>
                <w:rFonts w:ascii="Arial" w:cs="Arial" w:eastAsia="Arial" w:hAnsi="Arial"/>
                <w:sz w:val="16"/>
                <w:szCs w:val="16"/>
                <w:b w:val="1"/>
                <w:bCs w:val="1"/>
                <w:color w:val="auto"/>
              </w:rPr>
              <w:t>Contract Liabilities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9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2019</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181,987</w:t>
            </w:r>
          </w:p>
        </w:tc>
      </w:tr>
      <w:tr>
        <w:trPr>
          <w:trHeight w:val="233"/>
        </w:trPr>
        <w:tc>
          <w:tcPr>
            <w:tcW w:w="9780" w:type="dxa"/>
            <w:vAlign w:val="bottom"/>
          </w:tcPr>
          <w:p>
            <w:pPr>
              <w:ind w:left="380"/>
              <w:spacing w:after="0"/>
              <w:rPr>
                <w:sz w:val="20"/>
                <w:szCs w:val="20"/>
                <w:color w:val="auto"/>
              </w:rPr>
            </w:pPr>
            <w:r>
              <w:rPr>
                <w:rFonts w:ascii="Arial" w:cs="Arial" w:eastAsia="Arial" w:hAnsi="Arial"/>
                <w:sz w:val="16"/>
                <w:szCs w:val="16"/>
                <w:color w:val="auto"/>
              </w:rPr>
              <w:t>Revenue recognized</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(66,841)</w:t>
            </w:r>
          </w:p>
        </w:tc>
      </w:tr>
      <w:tr>
        <w:trPr>
          <w:trHeight w:val="253"/>
        </w:trPr>
        <w:tc>
          <w:tcPr>
            <w:tcW w:w="9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due to billings</w:t>
            </w: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36,087</w:t>
            </w:r>
          </w:p>
        </w:tc>
      </w:tr>
      <w:tr>
        <w:trPr>
          <w:trHeight w:val="230"/>
        </w:trPr>
        <w:tc>
          <w:tcPr>
            <w:tcW w:w="9780" w:type="dxa"/>
            <w:vAlign w:val="bottom"/>
          </w:tcPr>
          <w:p>
            <w:pPr>
              <w:ind w:left="280"/>
              <w:spacing w:after="0"/>
              <w:rPr>
                <w:sz w:val="20"/>
                <w:szCs w:val="20"/>
                <w:color w:val="auto"/>
              </w:rPr>
            </w:pPr>
            <w:r>
              <w:rPr>
                <w:rFonts w:ascii="Arial" w:cs="Arial" w:eastAsia="Arial" w:hAnsi="Arial"/>
                <w:sz w:val="16"/>
                <w:szCs w:val="16"/>
                <w:color w:val="auto"/>
              </w:rPr>
              <w:t>Balance as of June 30, 2020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151,233</w:t>
            </w:r>
          </w:p>
        </w:tc>
      </w:tr>
      <w:tr>
        <w:trPr>
          <w:trHeight w:val="20"/>
        </w:trPr>
        <w:tc>
          <w:tcPr>
            <w:tcW w:w="9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8</w:t>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47" w:lineRule="exact"/>
        <w:rPr>
          <w:sz w:val="20"/>
          <w:szCs w:val="20"/>
          <w:color w:val="auto"/>
        </w:rPr>
      </w:pPr>
    </w:p>
    <w:p>
      <w:pPr>
        <w:ind w:right="520" w:firstLine="486"/>
        <w:spacing w:after="0" w:line="261" w:lineRule="auto"/>
        <w:rPr>
          <w:sz w:val="20"/>
          <w:szCs w:val="20"/>
          <w:color w:val="auto"/>
        </w:rPr>
      </w:pPr>
      <w:r>
        <w:rPr>
          <w:rFonts w:ascii="Arial" w:cs="Arial" w:eastAsia="Arial" w:hAnsi="Arial"/>
          <w:sz w:val="18"/>
          <w:szCs w:val="18"/>
          <w:color w:val="auto"/>
        </w:rPr>
        <w:t>Estimated revenue expected to be recognized in future periods related to performance obligations that are unsatisfied or partially unsatisfied at the end of the reporting period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June 30,</w:t>
            </w:r>
          </w:p>
        </w:tc>
      </w:tr>
      <w:tr>
        <w:trPr>
          <w:trHeight w:val="196"/>
        </w:trPr>
        <w:tc>
          <w:tcPr>
            <w:tcW w:w="9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2020</w:t>
            </w:r>
          </w:p>
        </w:tc>
      </w:tr>
      <w:tr>
        <w:trPr>
          <w:trHeight w:val="203"/>
        </w:trPr>
        <w:tc>
          <w:tcPr>
            <w:tcW w:w="9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2020 (remaining six months)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21,679</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36,389</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31,357</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25,564</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20,373</w:t>
            </w:r>
          </w:p>
        </w:tc>
      </w:tr>
      <w:tr>
        <w:trPr>
          <w:trHeight w:val="246"/>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15,871</w:t>
            </w:r>
          </w:p>
        </w:tc>
      </w:tr>
      <w:tr>
        <w:trPr>
          <w:trHeight w:val="240"/>
        </w:trPr>
        <w:tc>
          <w:tcPr>
            <w:tcW w:w="9780" w:type="dxa"/>
            <w:vAlign w:val="bottom"/>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151,233</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204"/>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89,800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145,977</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doubtful accounts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89,504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145,413</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financial health of customers, days past due, collection history and existing economic conditions. The following table sets forth activities in the allowance for doubtful accounts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0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June 30,</w:t>
            </w:r>
          </w:p>
        </w:tc>
      </w:tr>
      <w:tr>
        <w:trPr>
          <w:trHeight w:val="250"/>
        </w:trPr>
        <w:tc>
          <w:tcPr>
            <w:tcW w:w="7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2020</w:t>
            </w:r>
          </w:p>
        </w:tc>
        <w:tc>
          <w:tcPr>
            <w:tcW w:w="1440" w:type="dxa"/>
            <w:vAlign w:val="bottom"/>
            <w:tcBorders>
              <w:bottom w:val="single" w:sz="8" w:color="auto"/>
            </w:tcBorders>
          </w:tcPr>
          <w:p>
            <w:pPr>
              <w:spacing w:after="0"/>
              <w:rPr>
                <w:sz w:val="21"/>
                <w:szCs w:val="21"/>
                <w:color w:val="auto"/>
              </w:rPr>
            </w:pPr>
          </w:p>
        </w:tc>
      </w:tr>
      <w:tr>
        <w:trPr>
          <w:trHeight w:val="250"/>
        </w:trPr>
        <w:tc>
          <w:tcPr>
            <w:tcW w:w="7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5"/>
          </w:tcPr>
          <w:p>
            <w:pPr>
              <w:jc w:val="right"/>
              <w:ind w:right="1082"/>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the period</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564</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Net charges to expenses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185</w:t>
            </w:r>
          </w:p>
        </w:tc>
      </w:tr>
      <w:tr>
        <w:trPr>
          <w:trHeight w:val="273"/>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Write-offs, net of recoveries</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40"/>
        </w:trPr>
        <w:tc>
          <w:tcPr>
            <w:tcW w:w="7980" w:type="dxa"/>
            <w:vAlign w:val="bottom"/>
          </w:tcPr>
          <w:p>
            <w:pPr>
              <w:ind w:left="40"/>
              <w:spacing w:after="0"/>
              <w:rPr>
                <w:sz w:val="20"/>
                <w:szCs w:val="20"/>
                <w:color w:val="auto"/>
              </w:rPr>
            </w:pPr>
            <w:r>
              <w:rPr>
                <w:rFonts w:ascii="Arial" w:cs="Arial" w:eastAsia="Arial" w:hAnsi="Arial"/>
                <w:sz w:val="16"/>
                <w:szCs w:val="16"/>
                <w:color w:val="auto"/>
              </w:rPr>
              <w:t>Balance, at end of the period</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296</w:t>
            </w:r>
          </w:p>
        </w:tc>
      </w:tr>
      <w:tr>
        <w:trPr>
          <w:trHeight w:val="20"/>
        </w:trPr>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9</w:t>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 of the following:</w:t>
      </w:r>
    </w:p>
    <w:p>
      <w:pPr>
        <w:spacing w:after="0" w:line="159" w:lineRule="exact"/>
        <w:rPr>
          <w:sz w:val="20"/>
          <w:szCs w:val="20"/>
          <w:color w:val="auto"/>
        </w:rPr>
      </w:pPr>
    </w:p>
    <w:tbl>
      <w:tblPr>
        <w:tblLayout w:type="fixed"/>
        <w:tblInd w:w="8180" w:type="dxa"/>
        <w:tblCellMar>
          <w:top w:w="0" w:type="dxa"/>
          <w:left w:w="0" w:type="dxa"/>
          <w:bottom w:w="0" w:type="dxa"/>
          <w:right w:w="0" w:type="dxa"/>
        </w:tblCellMar>
      </w:tblPr>
      <w:tr>
        <w:trPr>
          <w:trHeight w:val="162"/>
        </w:trPr>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9"/>
              </w:rPr>
              <w:t>June 30,</w:t>
            </w: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4"/>
        </w:trPr>
        <w:tc>
          <w:tcPr>
            <w:tcW w:w="1040" w:type="dxa"/>
            <w:vAlign w:val="bottom"/>
          </w:tcPr>
          <w:p>
            <w:pPr>
              <w:spacing w:after="0"/>
              <w:rPr>
                <w:sz w:val="17"/>
                <w:szCs w:val="17"/>
                <w:color w:val="auto"/>
              </w:rPr>
            </w:pPr>
          </w:p>
        </w:tc>
        <w:tc>
          <w:tcPr>
            <w:tcW w:w="2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Raw materials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inventory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47"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auto"/>
        </w:rPr>
        <w:t>Accrued liabilities consist of the following: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4,197</w:t>
            </w:r>
          </w:p>
        </w:tc>
      </w:tr>
      <w:tr>
        <w:trPr>
          <w:trHeight w:val="283"/>
        </w:trPr>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25,386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27,859</w:t>
            </w:r>
          </w:p>
        </w:tc>
      </w:tr>
      <w:tr>
        <w:trPr>
          <w:trHeight w:val="237"/>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31,186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32,056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9"/>
              </w:rPr>
              <w:t>June 30,</w:t>
            </w: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3"/>
        </w:trPr>
        <w:tc>
          <w:tcPr>
            <w:tcW w:w="1040" w:type="dxa"/>
            <w:vAlign w:val="bottom"/>
          </w:tcPr>
          <w:p>
            <w:pPr>
              <w:spacing w:after="0"/>
              <w:rPr>
                <w:sz w:val="17"/>
                <w:szCs w:val="17"/>
                <w:color w:val="auto"/>
              </w:rPr>
            </w:pPr>
          </w:p>
        </w:tc>
        <w:tc>
          <w:tcPr>
            <w:tcW w:w="2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r>
    </w:tbl>
    <w:p>
      <w:pPr>
        <w:spacing w:after="0" w:line="53" w:lineRule="exact"/>
        <w:rPr>
          <w:sz w:val="20"/>
          <w:szCs w:val="20"/>
          <w:color w:val="auto"/>
        </w:rPr>
      </w:pPr>
    </w:p>
    <w:p>
      <w:pPr>
        <w:sectPr>
          <w:pgSz w:w="11900" w:h="16838" w:orient="portrait"/>
          <w:cols w:equalWidth="0" w:num="2">
            <w:col w:w="7460" w:space="720"/>
            <w:col w:w="30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Salaries, commissions, incentive compensation and benefits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3,607</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5,524</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color w:val="auto"/>
              </w:rPr>
              <w:t>Customer rebates and sales incentives</w:t>
            </w: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24,198</w:t>
            </w: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4,908</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color w:val="auto"/>
              </w:rPr>
              <w:t>Operating lease liabilities, current</w:t>
            </w: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3,570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3,170</w:t>
            </w:r>
          </w:p>
        </w:tc>
      </w:tr>
      <w:tr>
        <w:trPr>
          <w:trHeight w:val="273"/>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16,133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9,292</w:t>
            </w:r>
          </w:p>
        </w:tc>
      </w:tr>
      <w:tr>
        <w:trPr>
          <w:trHeight w:val="240"/>
        </w:trPr>
        <w:tc>
          <w:tcPr>
            <w:tcW w:w="8180" w:type="dxa"/>
            <w:vAlign w:val="bottom"/>
          </w:tcPr>
          <w:p>
            <w:pPr>
              <w:ind w:left="180"/>
              <w:spacing w:after="0"/>
              <w:rPr>
                <w:sz w:val="20"/>
                <w:szCs w:val="20"/>
                <w:color w:val="auto"/>
              </w:rPr>
            </w:pPr>
            <w:r>
              <w:rPr>
                <w:rFonts w:ascii="Arial" w:cs="Arial" w:eastAsia="Arial" w:hAnsi="Arial"/>
                <w:sz w:val="16"/>
                <w:szCs w:val="16"/>
                <w:color w:val="auto"/>
              </w:rPr>
              <w:t>Total accrued liabilities</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46,691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47,092</w:t>
            </w: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goodwill and purchased intangible assets as of June 30, 2020 and December 31, 2019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5"/>
              </w:rPr>
              <w:t>Accumulated</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Gross</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Net</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Gross</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920" w:type="dxa"/>
            <w:vAlign w:val="bottom"/>
          </w:tcPr>
          <w:p>
            <w:pPr>
              <w:ind w:left="180"/>
              <w:spacing w:after="0"/>
              <w:rPr>
                <w:sz w:val="20"/>
                <w:szCs w:val="20"/>
                <w:color w:val="auto"/>
              </w:rPr>
            </w:pPr>
            <w:r>
              <w:rPr>
                <w:rFonts w:ascii="Arial" w:cs="Arial" w:eastAsia="Arial" w:hAnsi="Arial"/>
                <w:sz w:val="16"/>
                <w:szCs w:val="16"/>
                <w:color w:val="auto"/>
              </w:rPr>
              <w:t>Other indefinite-lived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20" w:type="dxa"/>
            <w:vAlign w:val="bottom"/>
          </w:tcPr>
          <w:p>
            <w:pPr>
              <w:ind w:left="260"/>
              <w:spacing w:after="0"/>
              <w:rPr>
                <w:sz w:val="20"/>
                <w:szCs w:val="20"/>
                <w:color w:val="auto"/>
              </w:rPr>
            </w:pPr>
            <w:r>
              <w:rPr>
                <w:rFonts w:ascii="Arial" w:cs="Arial" w:eastAsia="Arial" w:hAnsi="Arial"/>
                <w:sz w:val="16"/>
                <w:szCs w:val="16"/>
                <w:color w:val="auto"/>
              </w:rPr>
              <w:t>intangibles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28"/>
        </w:trPr>
        <w:tc>
          <w:tcPr>
            <w:tcW w:w="1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with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finite lives: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920" w:type="dxa"/>
            <w:vAlign w:val="bottom"/>
          </w:tcPr>
          <w:p>
            <w:pPr>
              <w:ind w:left="280"/>
              <w:spacing w:after="0"/>
              <w:rPr>
                <w:sz w:val="20"/>
                <w:szCs w:val="20"/>
                <w:color w:val="auto"/>
              </w:rPr>
            </w:pPr>
            <w:r>
              <w:rPr>
                <w:rFonts w:ascii="Arial" w:cs="Arial" w:eastAsia="Arial" w:hAnsi="Arial"/>
                <w:sz w:val="16"/>
                <w:szCs w:val="16"/>
                <w:color w:val="auto"/>
              </w:rPr>
              <w:t>Developed technology</w:t>
            </w:r>
          </w:p>
        </w:tc>
        <w:tc>
          <w:tcPr>
            <w:tcW w:w="34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13,100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8,915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13,100</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10,007</w:t>
            </w:r>
          </w:p>
        </w:tc>
        <w:tc>
          <w:tcPr>
            <w:tcW w:w="0" w:type="dxa"/>
            <w:vAlign w:val="bottom"/>
          </w:tcPr>
          <w:p>
            <w:pPr>
              <w:spacing w:after="0"/>
              <w:rPr>
                <w:sz w:val="1"/>
                <w:szCs w:val="1"/>
                <w:color w:val="auto"/>
              </w:rPr>
            </w:pPr>
          </w:p>
        </w:tc>
      </w:tr>
      <w:tr>
        <w:trPr>
          <w:trHeight w:val="228"/>
        </w:trPr>
        <w:tc>
          <w:tcPr>
            <w:tcW w:w="1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Customer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relationships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23,100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18,885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23,100</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20,286</w:t>
            </w:r>
          </w:p>
        </w:tc>
        <w:tc>
          <w:tcPr>
            <w:tcW w:w="0" w:type="dxa"/>
            <w:vAlign w:val="bottom"/>
          </w:tcPr>
          <w:p>
            <w:pPr>
              <w:spacing w:after="0"/>
              <w:rPr>
                <w:sz w:val="1"/>
                <w:szCs w:val="1"/>
                <w:color w:val="auto"/>
              </w:rPr>
            </w:pPr>
          </w:p>
        </w:tc>
      </w:tr>
      <w:tr>
        <w:trPr>
          <w:trHeight w:val="198"/>
        </w:trPr>
        <w:tc>
          <w:tcPr>
            <w:tcW w:w="1920" w:type="dxa"/>
            <w:vAlign w:val="bottom"/>
          </w:tcPr>
          <w:p>
            <w:pPr>
              <w:ind w:left="380"/>
              <w:spacing w:after="0"/>
              <w:rPr>
                <w:sz w:val="20"/>
                <w:szCs w:val="20"/>
                <w:color w:val="auto"/>
              </w:rPr>
            </w:pPr>
            <w:r>
              <w:rPr>
                <w:rFonts w:ascii="Arial" w:cs="Arial" w:eastAsia="Arial" w:hAnsi="Arial"/>
                <w:sz w:val="16"/>
                <w:szCs w:val="16"/>
                <w:color w:val="auto"/>
              </w:rPr>
              <w:t>Total purchased</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22"/>
              <w:spacing w:after="0"/>
              <w:rPr>
                <w:sz w:val="20"/>
                <w:szCs w:val="20"/>
                <w:color w:val="auto"/>
              </w:rPr>
            </w:pPr>
            <w:r>
              <w:rPr>
                <w:rFonts w:ascii="Arial" w:cs="Arial" w:eastAsia="Arial" w:hAnsi="Arial"/>
                <w:sz w:val="16"/>
                <w:szCs w:val="16"/>
                <w:color w:val="auto"/>
              </w:rPr>
              <w:t>36,486</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7"/>
                <w:szCs w:val="17"/>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3"/>
              <w:spacing w:after="0"/>
              <w:rPr>
                <w:sz w:val="20"/>
                <w:szCs w:val="20"/>
                <w:color w:val="auto"/>
              </w:rPr>
            </w:pPr>
            <w:r>
              <w:rPr>
                <w:rFonts w:ascii="Arial" w:cs="Arial" w:eastAsia="Arial" w:hAnsi="Arial"/>
                <w:sz w:val="16"/>
                <w:szCs w:val="16"/>
                <w:color w:val="auto"/>
              </w:rPr>
              <w:t>28,086</w:t>
            </w:r>
          </w:p>
        </w:tc>
        <w:tc>
          <w:tcPr>
            <w:tcW w:w="100" w:type="dxa"/>
            <w:vAlign w:val="bottom"/>
          </w:tcPr>
          <w:p>
            <w:pPr>
              <w:spacing w:after="0"/>
              <w:rPr>
                <w:sz w:val="17"/>
                <w:szCs w:val="17"/>
                <w:color w:val="auto"/>
              </w:rPr>
            </w:pP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42"/>
              <w:spacing w:after="0"/>
              <w:rPr>
                <w:sz w:val="20"/>
                <w:szCs w:val="20"/>
                <w:color w:val="auto"/>
              </w:rPr>
            </w:pPr>
            <w:r>
              <w:rPr>
                <w:rFonts w:ascii="Arial" w:cs="Arial" w:eastAsia="Arial" w:hAnsi="Arial"/>
                <w:sz w:val="16"/>
                <w:szCs w:val="16"/>
                <w:color w:val="auto"/>
              </w:rPr>
              <w:t>36,486</w:t>
            </w:r>
          </w:p>
        </w:tc>
        <w:tc>
          <w:tcPr>
            <w:tcW w:w="3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17"/>
                <w:szCs w:val="17"/>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2"/>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03"/>
        </w:trPr>
        <w:tc>
          <w:tcPr>
            <w:tcW w:w="1920" w:type="dxa"/>
            <w:vAlign w:val="bottom"/>
          </w:tcPr>
          <w:p>
            <w:pPr>
              <w:ind w:left="46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10</w:t>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finite-lived intangible assets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03"/>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3"/>
        </w:trPr>
        <w:tc>
          <w:tcPr>
            <w:tcW w:w="5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 and patents and licensed technology</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1,092</w:t>
            </w: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1,271</w:t>
            </w:r>
          </w:p>
        </w:tc>
      </w:tr>
      <w:tr>
        <w:trPr>
          <w:trHeight w:val="24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amortization expense</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1,246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2,493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2,363</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Amortization of developed technology, patents and licensed technology is recorded to sales and marketing expense. The developed technology acquired from the Company’s acquisition of SunPower Corporation’s (“SunPower”) microinverter business in August 2018 was embedded in the microinverters that SunPower sold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20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master supply agreement (“MSA”) entered into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pacing w:after="0" w:line="2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WARRANTY OBLIGATIONS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warranty activities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3"/>
        </w:trPr>
        <w:tc>
          <w:tcPr>
            <w:tcW w:w="48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gridSpan w:val="3"/>
          </w:tcPr>
          <w:p>
            <w:pPr>
              <w:jc w:val="center"/>
              <w:ind w:left="641"/>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37,501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31,042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37,098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31,294</w:t>
            </w:r>
          </w:p>
        </w:tc>
      </w:tr>
      <w:tr>
        <w:trPr>
          <w:trHeight w:val="260"/>
        </w:trPr>
        <w:tc>
          <w:tcPr>
            <w:tcW w:w="4840" w:type="dxa"/>
            <w:vAlign w:val="bottom"/>
          </w:tcPr>
          <w:p>
            <w:pPr>
              <w:ind w:left="2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2,170</w:t>
            </w:r>
          </w:p>
        </w:tc>
      </w:tr>
      <w:tr>
        <w:trPr>
          <w:trHeight w:val="280"/>
        </w:trPr>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3,425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1,503</w:t>
            </w:r>
          </w:p>
        </w:tc>
      </w:tr>
      <w:tr>
        <w:trPr>
          <w:trHeight w:val="260"/>
        </w:trPr>
        <w:tc>
          <w:tcPr>
            <w:tcW w:w="484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(5,848)</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(4,502)</w:t>
            </w:r>
          </w:p>
        </w:tc>
      </w:tr>
      <w:tr>
        <w:trPr>
          <w:trHeight w:val="280"/>
        </w:trPr>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1,101</w:t>
            </w:r>
          </w:p>
        </w:tc>
      </w:tr>
      <w:tr>
        <w:trPr>
          <w:trHeight w:val="263"/>
        </w:trPr>
        <w:tc>
          <w:tcPr>
            <w:tcW w:w="48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1,428</w:t>
            </w: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end of period</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37,907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32,994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37,907</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32,994</w:t>
            </w:r>
          </w:p>
        </w:tc>
      </w:tr>
      <w:tr>
        <w:trPr>
          <w:trHeight w:val="263"/>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(7,468)</w:t>
            </w:r>
          </w:p>
        </w:tc>
      </w:tr>
      <w:tr>
        <w:trPr>
          <w:trHeight w:val="23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25,526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27,737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25,526</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and six months ended June 30, 2020, the Company recorded additional warranty expense of $1.7 million and $3.4 million, respectively, based on continuing analysis of field performance data and diagnostic root-cause failure analysis primarily relating to its prior generation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11</w:t>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02" w:lineRule="exact"/>
        <w:rPr>
          <w:sz w:val="20"/>
          <w:szCs w:val="20"/>
          <w:color w:val="auto"/>
        </w:rPr>
      </w:pPr>
    </w:p>
    <w:p>
      <w:pPr>
        <w:jc w:val="both"/>
        <w:ind w:left="820" w:hanging="326"/>
        <w:spacing w:after="0" w:line="256"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1" w:lineRule="exact"/>
        <w:rPr>
          <w:rFonts w:ascii="Arial" w:cs="Arial" w:eastAsia="Arial" w:hAnsi="Arial"/>
          <w:sz w:val="18"/>
          <w:szCs w:val="18"/>
          <w:color w:val="auto"/>
        </w:rPr>
      </w:pPr>
    </w:p>
    <w:p>
      <w:pPr>
        <w:ind w:left="820" w:right="20" w:hanging="326"/>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The Company considers all highly liquid investments, such as certificates of deposit and money market instruments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three months or less at the time of acquisition to be cash equivalents. For all periods presented, its cash balances consist of amounts held in non-interest-bearing and interest-bearing deposits and money market accounts and are within Level 1 of the fair value hierarchy because they are valued using quoted market prices for identical instruments in active markets. As of June 30, 2020, cash and cash equivalents balance includes money market funds of $598.5 million.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Convertible Notes due 2025 Derivatives</w:t>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the Company issued $320 million aggregate principal amount of 0.25% convertible senior notes due 2025 (the “Notes due 2025”). Concurrently with the issuance of Notes due 2025, the Company entered into privately-negotiated convertible note hedge and warrant transactions which in combination are intended to reduce the potential dilution from the conversion of the Notes due 2025. On May 20, 2020, at the Company’s annual meeting of stockholders, the stockholders approved an amendment to its certificate of incorporation to increase the number of authorized shares of the Company’s common stock. As a result, the Company satisfied the share reservation condition (as defined in the relevant indenture associated with the Notes due 2025). The Company will now be able to settle the Notes due 2025, convertible notes hedge and warrants through payment or delivery, as the case may be, of cash, shares of its common stock or a combination thereof, at the Company’s election. Accordingly, on May 20, 2020, the embedded derivative liability, convertible notes hedge and warrants liability were remeasured at a fair value of $116.3 million, $117.1 million and $96.4 million, respectively, and were then reclassified to additional paid-in-capital in the condensed consolidated balance sheet in the second quarter of 2020 and are no longer remeasured as long as they continue to meet the conditions for equity classification. See Note 8. “Debt” for additional information related to these transactions.</w:t>
      </w:r>
    </w:p>
    <w:p>
      <w:pPr>
        <w:spacing w:after="0" w:line="21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Convertible notes embedded derivative was estimated using Binomial Lattice model and the fair value of Convertible notes hedge and Warrants liability was estimated using Black-Scholes-Merton model. The significant observable inputs, either directly or indirectly, and assumptions used in the models to calculate the fair value of the derivatives include the Company’s common stock price, exercise price of the derivatives, risk-free interest rate, volatility, annual coupon rate and remaining contractual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12</w:t>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 xml:space="preserve">Notes due 2025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due 2024. </w:t>
      </w:r>
      <w:r>
        <w:rPr>
          <w:rFonts w:ascii="Arial" w:cs="Arial" w:eastAsia="Arial" w:hAnsi="Arial"/>
          <w:sz w:val="18"/>
          <w:szCs w:val="18"/>
          <w:color w:val="auto"/>
        </w:rPr>
        <w:t>The Company carries the Notes due 2025</w:t>
      </w:r>
      <w:r>
        <w:rPr>
          <w:rFonts w:ascii="Arial" w:cs="Arial" w:eastAsia="Arial" w:hAnsi="Arial"/>
          <w:sz w:val="18"/>
          <w:szCs w:val="18"/>
          <w:i w:val="1"/>
          <w:iCs w:val="1"/>
          <w:color w:val="auto"/>
        </w:rPr>
        <w:t xml:space="preserve"> and </w:t>
      </w:r>
      <w:r>
        <w:rPr>
          <w:rFonts w:ascii="Arial" w:cs="Arial" w:eastAsia="Arial" w:hAnsi="Arial"/>
          <w:sz w:val="18"/>
          <w:szCs w:val="18"/>
          <w:color w:val="auto"/>
        </w:rPr>
        <w:t>Notes due 2024 (as defined below) at face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unamortized discount and issuance costs on its condensed consolidated balance sheets. The fair value of the Notes due 2025 and Notes due 2024 of $288.9 million and $350.5 million, respectively, was determined based on the closing trading prices per $ 100 principal amount as of the last day of trading for the period. The Company considers the fair value of the Notes due 2025 and Notes due 2024 to be a Level 2 measurement as they are not actively traded.</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i w:val="1"/>
          <w:iCs w:val="1"/>
          <w:color w:val="auto"/>
        </w:rPr>
        <w: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Warranty Obligations.</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table presents the Company’s warranty obligation that were measured at fair value on a recurring basis and its categorization within the fair value hierarchy.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8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7"/>
                <w:szCs w:val="17"/>
                <w:color w:val="auto"/>
              </w:rPr>
            </w:pPr>
          </w:p>
        </w:tc>
      </w:tr>
      <w:tr>
        <w:trPr>
          <w:trHeight w:val="316"/>
        </w:trPr>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Level 3</w:t>
            </w:r>
          </w:p>
        </w:tc>
        <w:tc>
          <w:tcPr>
            <w:tcW w:w="440" w:type="dxa"/>
            <w:vAlign w:val="bottom"/>
          </w:tcPr>
          <w:p>
            <w:pPr>
              <w:spacing w:after="0"/>
              <w:rPr>
                <w:sz w:val="24"/>
                <w:szCs w:val="24"/>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w w:val="99"/>
              </w:rPr>
              <w:t>Level 3</w:t>
            </w:r>
          </w:p>
        </w:tc>
      </w:tr>
      <w:tr>
        <w:trPr>
          <w:trHeight w:val="270"/>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Warranty obligations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6,794</w:t>
            </w:r>
          </w:p>
        </w:tc>
      </w:tr>
      <w:tr>
        <w:trPr>
          <w:trHeight w:val="263"/>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Non-current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14,215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13,012</w:t>
            </w:r>
          </w:p>
        </w:tc>
      </w:tr>
      <w:tr>
        <w:trPr>
          <w:trHeight w:val="250"/>
        </w:trPr>
        <w:tc>
          <w:tcPr>
            <w:tcW w:w="8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warranty obligations measured at fair value</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21,132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19,806</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Total liabilities measured at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21,132</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19,806</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0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48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gridSpan w:val="3"/>
          </w:tcPr>
          <w:p>
            <w:pPr>
              <w:jc w:val="center"/>
              <w:ind w:left="641"/>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20,425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19,806</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11,757</w:t>
            </w:r>
          </w:p>
        </w:tc>
      </w:tr>
      <w:tr>
        <w:trPr>
          <w:trHeight w:val="260"/>
        </w:trPr>
        <w:tc>
          <w:tcPr>
            <w:tcW w:w="4840" w:type="dxa"/>
            <w:vAlign w:val="bottom"/>
          </w:tcPr>
          <w:p>
            <w:pPr>
              <w:ind w:left="1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2,170</w:t>
            </w:r>
          </w:p>
        </w:tc>
      </w:tr>
      <w:tr>
        <w:trPr>
          <w:trHeight w:val="280"/>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860</w:t>
            </w:r>
          </w:p>
        </w:tc>
      </w:tr>
      <w:tr>
        <w:trPr>
          <w:trHeight w:val="260"/>
        </w:trPr>
        <w:tc>
          <w:tcPr>
            <w:tcW w:w="484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80"/>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1,101</w:t>
            </w:r>
          </w:p>
        </w:tc>
      </w:tr>
      <w:tr>
        <w:trPr>
          <w:trHeight w:val="264"/>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1,428</w:t>
            </w:r>
          </w:p>
        </w:tc>
      </w:tr>
      <w:tr>
        <w:trPr>
          <w:trHeight w:val="24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21,132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14,856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21,132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14,856</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13</w:t>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and December 31, 2019, the significant unobservable inputs used in the fair value measurement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liabilities designated as Level 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0" w:type="dxa"/>
            <w:vAlign w:val="bottom"/>
            <w:gridSpan w:val="3"/>
          </w:tcPr>
          <w:p>
            <w:pPr>
              <w:jc w:val="center"/>
              <w:ind w:right="968"/>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Description of Significant Unobservable</w:t>
            </w:r>
          </w:p>
        </w:tc>
        <w:tc>
          <w:tcPr>
            <w:tcW w:w="1020" w:type="dxa"/>
            <w:vAlign w:val="bottom"/>
          </w:tcPr>
          <w:p>
            <w:pPr>
              <w:jc w:val="center"/>
              <w:ind w:left="324"/>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1"/>
        </w:trPr>
        <w:tc>
          <w:tcPr>
            <w:tcW w:w="3160" w:type="dxa"/>
            <w:vAlign w:val="bottom"/>
            <w:gridSpan w:val="2"/>
          </w:tcPr>
          <w:p>
            <w:pPr>
              <w:ind w:left="120"/>
              <w:spacing w:after="0"/>
              <w:rPr>
                <w:sz w:val="20"/>
                <w:szCs w:val="20"/>
                <w:color w:val="auto"/>
              </w:rPr>
            </w:pPr>
            <w:r>
              <w:rPr>
                <w:rFonts w:ascii="Arial" w:cs="Arial" w:eastAsia="Arial" w:hAnsi="Arial"/>
                <w:sz w:val="16"/>
                <w:szCs w:val="16"/>
                <w:color w:val="auto"/>
              </w:rPr>
              <w:t>Warranty obligations for microinverters</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Discounted cash flows</w:t>
            </w:r>
          </w:p>
        </w:tc>
        <w:tc>
          <w:tcPr>
            <w:tcW w:w="3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020" w:type="dxa"/>
            <w:vAlign w:val="bottom"/>
            <w:tcBorders>
              <w:bottom w:val="single" w:sz="8" w:color="CCEEFF"/>
            </w:tcBorders>
            <w:shd w:val="clear" w:color="auto" w:fill="CCEEFF"/>
          </w:tcPr>
          <w:p>
            <w:pPr>
              <w:jc w:val="center"/>
              <w:ind w:left="344"/>
              <w:spacing w:after="0"/>
              <w:rPr>
                <w:sz w:val="20"/>
                <w:szCs w:val="20"/>
                <w:color w:val="auto"/>
              </w:rPr>
            </w:pPr>
            <w:r>
              <w:rPr>
                <w:rFonts w:ascii="Arial" w:cs="Arial" w:eastAsia="Arial" w:hAnsi="Arial"/>
                <w:sz w:val="16"/>
                <w:szCs w:val="16"/>
                <w:color w:val="auto"/>
                <w:w w:val="99"/>
              </w:rPr>
              <w:t>15%</w:t>
            </w:r>
          </w:p>
        </w:tc>
        <w:tc>
          <w:tcPr>
            <w:tcW w:w="2000" w:type="dxa"/>
            <w:vAlign w:val="bottom"/>
            <w:tcBorders>
              <w:bottom w:val="single" w:sz="8" w:color="CCEEFF"/>
            </w:tcBorders>
            <w:gridSpan w:val="3"/>
            <w:shd w:val="clear" w:color="auto" w:fill="CCEEFF"/>
          </w:tcPr>
          <w:p>
            <w:pPr>
              <w:jc w:val="center"/>
              <w:ind w:left="46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96"/>
        </w:trPr>
        <w:tc>
          <w:tcPr>
            <w:tcW w:w="3160" w:type="dxa"/>
            <w:vAlign w:val="bottom"/>
            <w:gridSpan w:val="2"/>
            <w:vMerge w:val="restart"/>
          </w:tcPr>
          <w:p>
            <w:pPr>
              <w:ind w:left="200"/>
              <w:spacing w:after="0"/>
              <w:rPr>
                <w:sz w:val="20"/>
                <w:szCs w:val="20"/>
                <w:color w:val="auto"/>
              </w:rPr>
            </w:pPr>
            <w:r>
              <w:rPr>
                <w:rFonts w:ascii="Arial" w:cs="Arial" w:eastAsia="Arial" w:hAnsi="Arial"/>
                <w:sz w:val="16"/>
                <w:szCs w:val="16"/>
                <w:color w:val="auto"/>
              </w:rPr>
              <w:t>sold since January 1, 2014</w:t>
            </w:r>
          </w:p>
        </w:tc>
        <w:tc>
          <w:tcPr>
            <w:tcW w:w="1920" w:type="dxa"/>
            <w:vAlign w:val="bottom"/>
            <w:gridSpan w:val="2"/>
            <w:vMerge w:val="continue"/>
          </w:tcPr>
          <w:p>
            <w:pPr>
              <w:spacing w:after="0"/>
              <w:rPr>
                <w:sz w:val="8"/>
                <w:szCs w:val="8"/>
                <w:color w:val="auto"/>
              </w:rPr>
            </w:pPr>
          </w:p>
        </w:tc>
        <w:tc>
          <w:tcPr>
            <w:tcW w:w="3140" w:type="dxa"/>
            <w:vAlign w:val="bottom"/>
            <w:tcBorders>
              <w:top w:val="single" w:sz="8" w:color="ACACAC"/>
            </w:tcBorders>
            <w:gridSpan w:val="2"/>
            <w:vMerge w:val="restart"/>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020" w:type="dxa"/>
            <w:vAlign w:val="bottom"/>
            <w:tcBorders>
              <w:top w:val="single" w:sz="8" w:color="ACACAC"/>
            </w:tcBorders>
            <w:vMerge w:val="restart"/>
          </w:tcPr>
          <w:p>
            <w:pPr>
              <w:jc w:val="center"/>
              <w:ind w:left="344"/>
              <w:spacing w:after="0"/>
              <w:rPr>
                <w:sz w:val="20"/>
                <w:szCs w:val="20"/>
                <w:color w:val="auto"/>
              </w:rPr>
            </w:pPr>
            <w:r>
              <w:rPr>
                <w:rFonts w:ascii="Arial" w:cs="Arial" w:eastAsia="Arial" w:hAnsi="Arial"/>
                <w:sz w:val="16"/>
                <w:szCs w:val="16"/>
                <w:color w:val="auto"/>
                <w:w w:val="99"/>
              </w:rPr>
              <w:t>16%</w:t>
            </w:r>
          </w:p>
        </w:tc>
        <w:tc>
          <w:tcPr>
            <w:tcW w:w="2000" w:type="dxa"/>
            <w:vAlign w:val="bottom"/>
            <w:tcBorders>
              <w:top w:val="single" w:sz="8" w:color="ACACAC"/>
            </w:tcBorders>
            <w:gridSpan w:val="3"/>
            <w:vMerge w:val="restart"/>
          </w:tcPr>
          <w:p>
            <w:pPr>
              <w:jc w:val="center"/>
              <w:ind w:left="46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35"/>
        </w:trPr>
        <w:tc>
          <w:tcPr>
            <w:tcW w:w="316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Sensitivity of Level 3 Inputs - Warranty Obligations</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8"/>
          <w:szCs w:val="18"/>
          <w:color w:val="auto"/>
        </w:rPr>
        <w:t>‑</w:t>
      </w:r>
      <w:r>
        <w:rPr>
          <w:rFonts w:ascii="Arial" w:cs="Arial" w:eastAsia="Arial" w:hAnsi="Arial"/>
          <w:sz w:val="18"/>
          <w:szCs w:val="18"/>
          <w:color w:val="auto"/>
        </w:rPr>
        <w:t>adjusted risk</w:t>
      </w:r>
      <w:r>
        <w:rPr>
          <w:rFonts w:ascii="MS PGothic" w:cs="MS PGothic" w:eastAsia="MS PGothic" w:hAnsi="MS PGothic"/>
          <w:sz w:val="18"/>
          <w:szCs w:val="18"/>
          <w:color w:val="auto"/>
        </w:rPr>
        <w:t>‑</w:t>
      </w:r>
      <w:r>
        <w:rPr>
          <w:rFonts w:ascii="Arial" w:cs="Arial" w:eastAsia="Arial" w:hAnsi="Arial"/>
          <w:sz w:val="18"/>
          <w:szCs w:val="18"/>
          <w:color w:val="auto"/>
        </w:rPr>
        <w:t>free rate (“discount rate”) is determined by reference to the Company’s own credit standing at the fair value measurement date. Increasing the profit element and risk premium input by 100 basis points would result in a $0.2 million increase to the liability. Decreasing the profit element and risk premium by 100 basis points would result in a $0.2 million reduction of the liability. Increasing the discount rate by 100 basis points would result in a $0.9 million reduction of the liability. Decreasing the discount rate by 100 basis points would result in a $1.0 million increase to the liability.</w:t>
      </w:r>
    </w:p>
    <w:p>
      <w:pPr>
        <w:spacing w:after="0" w:line="25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Restructuring expense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20" w:type="dxa"/>
            <w:vAlign w:val="bottom"/>
            <w:gridSpan w:val="4"/>
          </w:tcPr>
          <w:p>
            <w:pPr>
              <w:jc w:val="center"/>
              <w:ind w:left="36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422"/>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3"/>
        </w:trPr>
        <w:tc>
          <w:tcPr>
            <w:tcW w:w="4380" w:type="dxa"/>
            <w:vAlign w:val="bottom"/>
          </w:tcPr>
          <w:p>
            <w:pPr>
              <w:spacing w:after="0"/>
              <w:rPr>
                <w:sz w:val="22"/>
                <w:szCs w:val="22"/>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04"/>
        </w:trPr>
        <w:tc>
          <w:tcPr>
            <w:tcW w:w="4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gridSpan w:val="3"/>
          </w:tcPr>
          <w:p>
            <w:pPr>
              <w:jc w:val="right"/>
              <w:ind w:right="282"/>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2"/>
        </w:trPr>
        <w:tc>
          <w:tcPr>
            <w:tcW w:w="4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8"/>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arrangements</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1,099</w:t>
            </w:r>
          </w:p>
        </w:tc>
      </w:tr>
      <w:tr>
        <w:trPr>
          <w:trHeight w:val="263"/>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 loss reserves</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40"/>
        </w:trPr>
        <w:tc>
          <w:tcPr>
            <w:tcW w:w="4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restructuring charges</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completed its restructuring activities under the 2018 Plan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14</w:t>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regarding the Company’s long-term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320,000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2025</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248,000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97"/>
        </w:trPr>
        <w:tc>
          <w:tcPr>
            <w:tcW w:w="8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2024</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132,000</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(35,815)</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2024</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99,699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96,185</w:t>
            </w:r>
          </w:p>
        </w:tc>
      </w:tr>
      <w:tr>
        <w:trPr>
          <w:trHeight w:val="270"/>
        </w:trPr>
        <w:tc>
          <w:tcPr>
            <w:tcW w:w="8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2023</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5,000</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2023</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4,857</w:t>
            </w:r>
          </w:p>
        </w:tc>
      </w:tr>
      <w:tr>
        <w:trPr>
          <w:trHeight w:val="270"/>
        </w:trPr>
        <w:tc>
          <w:tcPr>
            <w:tcW w:w="8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 of long-term financing receivable recorded as debt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4,501</w:t>
            </w:r>
          </w:p>
        </w:tc>
      </w:tr>
      <w:tr>
        <w:trPr>
          <w:trHeight w:val="256"/>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carrying amount of debt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355,445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105,543</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convertible notes and long-term financing receivable recorded as debt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r>
      <w:tr>
        <w:trPr>
          <w:trHeight w:val="24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253,174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102,659</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Convertible Senior Notes due 2025</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the Company issued $320.0 million aggregate principal amount of the Notes due 2025. The Notes due 2025 are general unsecured obligations and bear interest at an annual rate of 0.25% per year, payable semi-annually on March 1 and September 1 of each year, beginning September 1, 2020. The Notes due 2025 are governed by an indenture between the Company and U.S. Bank National Association, as trustee. The Notes due 2025 will mature on March 1, 2025, unless earlier repurchased by the Company or converted at the option of the holders. The Company may not redeem the notes prior to the maturity date, and no sinking fund is provided for the notes. The Notes due 2025 may be converted, under certain circumstances as described below, based on an initial conversion rate of 12.2637 shares of common stock per $1,000 principal amount (which represents an initial conversion price of $81.54 per share). The conversion rate for the Notes due 2025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$313.0 million in net proceeds, after deducting the initial purchasers’ discount, from the issuance of the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288290</wp:posOffset>
            </wp:positionV>
            <wp:extent cx="6943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15</w:t>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2025 may be converted prior to the close of business on the business day immediately preceding September 1, 2024, in multiples of $1,000 principal amount, at the option of the holder only under the following circumstances: (1) during any calendar quarter commencing after the calendar quarter ending on June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1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For the period from March 9, 2020, the issuance date, through May 19, 2020, the number of authorized and unissued shares of the Company’s common stock that are not reserved for other purposes was less than the maximum number of underlying shares that would be required to settle the Notes due 2025 into equity. Accordingly, unless and until the Company had a number of authorized shares that were not issued or reserved for any other purpose that equaled or exceeded the maximum number of underlying shares (“share reservation condition”), the Company would be required to pay to the converting holder in respect of each $1,000 principal amount of notes being converted solely in cash in an amount equal to the sum of the daily conversion values for each of the 20 consecutive trading days during the related observation period. However, following satisfaction of the share reservation condition, the Company could settle conversions of notes through payment or delivery, as the case may be, of cash, shares of the Company’s common stock or a combination of cash and shares of its common stock, at the Company’s election.</w:t>
      </w:r>
    </w:p>
    <w:p>
      <w:pPr>
        <w:spacing w:after="0" w:line="21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accounting for the issuance of the Notes due 2025, on March 9, 2020, the conversion option of the Notes due 2025 was deemed an embedded derivative requiring bifurcation from the Notes due 2025 (“host contract”) and separate accounting as an embedded derivative liability, as a result of the Company not having the necessary number of authorized but unissued shares of its common stock available to settle the conversion option of the Notes due 2025 in shares. The proceeds from the Notes due 2025 were first allocated to the embedded derivative liability and the remaining proceeds were then allocated to the host contract. On March 9, 2020, the carrying amount of the embedded derivative liability of $68.7 million representing the conversion option was determined using the Binomial Lattice model and the remaining $ 251.3 million was allocated to the host contract. The difference between the principal amount of the Notes due 2025 and the fair value of the host contract (the “debt discount”) is amortized to interest expense using the effective interest method over the term of the Notes due 2025.</w:t>
      </w:r>
    </w:p>
    <w:p>
      <w:pPr>
        <w:spacing w:after="0" w:line="21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May 20, 2020, at the Company’s annual meeting of stockholders, the stockholders approved an amendment to the Amended and Restated Certificate of Incorporation to increase the number of authorized shares of the Company’s common stock, par value $0.00001 per share, from 150,000,000 shares to 200,000,000 shares (the “Amendment”). The Amendment became effective upon filing with the Secretary of State of Delaware on May 20, 2020. As a result, the Company satisfied the share reservation condition. The Company may now settle the Notes due 2025 and warrants issued in conjunction with the Notes due 2025 through payment or delivery, as the case may be, of cash, shares of its common stock or a combination of cash and shares of its common stock, at the Company’s election. Accordingly, on May 20, 2020, the embedded derivative liability was remeasured at a fair value of $116.3 million and was then reclassified to additional paid-in-capital in the condensed consolidated balance sheet in the second quarter of 2020 and is no longer remeasured as long as it continues to meet the conditions for equity classification. The Company recorded the change in the fair value of the embedded derivative in other expense, net in the condensed consolidated statement of operations during the three and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288925</wp:posOffset>
            </wp:positionV>
            <wp:extent cx="6943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16</w:t>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fair value and the change in fair value for the convertible note embedded derivative (in thousands):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Convertible note embedded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80" w:type="dxa"/>
            <w:vAlign w:val="bottom"/>
          </w:tcPr>
          <w:p>
            <w:pPr>
              <w:ind w:left="180"/>
              <w:spacing w:after="0"/>
              <w:rPr>
                <w:sz w:val="20"/>
                <w:szCs w:val="20"/>
                <w:color w:val="auto"/>
              </w:rPr>
            </w:pPr>
            <w:r>
              <w:rPr>
                <w:rFonts w:ascii="Arial" w:cs="Arial" w:eastAsia="Arial" w:hAnsi="Arial"/>
                <w:sz w:val="16"/>
                <w:szCs w:val="16"/>
                <w:color w:val="auto"/>
              </w:rPr>
              <w:t>Fair value as of March 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68,700</w:t>
            </w:r>
          </w:p>
        </w:tc>
      </w:tr>
      <w:tr>
        <w:trPr>
          <w:trHeight w:val="246"/>
        </w:trPr>
        <w:tc>
          <w:tcPr>
            <w:tcW w:w="9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the fair value</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(23,600)</w:t>
            </w:r>
          </w:p>
        </w:tc>
      </w:tr>
      <w:tr>
        <w:trPr>
          <w:trHeight w:val="233"/>
        </w:trPr>
        <w:tc>
          <w:tcPr>
            <w:tcW w:w="9880" w:type="dxa"/>
            <w:vAlign w:val="bottom"/>
          </w:tcPr>
          <w:p>
            <w:pPr>
              <w:ind w:left="180"/>
              <w:spacing w:after="0"/>
              <w:rPr>
                <w:sz w:val="20"/>
                <w:szCs w:val="20"/>
                <w:color w:val="auto"/>
              </w:rPr>
            </w:pPr>
            <w:r>
              <w:rPr>
                <w:rFonts w:ascii="Arial" w:cs="Arial" w:eastAsia="Arial" w:hAnsi="Arial"/>
                <w:sz w:val="16"/>
                <w:szCs w:val="16"/>
                <w:color w:val="auto"/>
              </w:rPr>
              <w:t>Fair value as of March 31, 2020</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45,100</w:t>
            </w:r>
          </w:p>
        </w:tc>
      </w:tr>
      <w:tr>
        <w:trPr>
          <w:trHeight w:val="246"/>
        </w:trPr>
        <w:tc>
          <w:tcPr>
            <w:tcW w:w="9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the fair value</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71,200</w:t>
            </w:r>
          </w:p>
        </w:tc>
      </w:tr>
      <w:tr>
        <w:trPr>
          <w:trHeight w:val="240"/>
        </w:trPr>
        <w:tc>
          <w:tcPr>
            <w:tcW w:w="9880" w:type="dxa"/>
            <w:vAlign w:val="bottom"/>
          </w:tcPr>
          <w:p>
            <w:pPr>
              <w:ind w:left="180"/>
              <w:spacing w:after="0"/>
              <w:rPr>
                <w:sz w:val="20"/>
                <w:szCs w:val="20"/>
                <w:color w:val="auto"/>
              </w:rPr>
            </w:pPr>
            <w:r>
              <w:rPr>
                <w:rFonts w:ascii="Arial" w:cs="Arial" w:eastAsia="Arial" w:hAnsi="Arial"/>
                <w:sz w:val="16"/>
                <w:szCs w:val="16"/>
                <w:color w:val="auto"/>
              </w:rPr>
              <w:t>Fair value as of May 20, 2020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116,300</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Debt issuance costs for the issuance of the Notes due 2025 were approximately $7.6 million, consisting of initial purchasers' discount and other issuance costs. In accounting for the transaction costs, the Company allocated the total amount incurred to the Notes due 2025 host contract. Transaction costs were recorded as debt issuance cost (presented as contra debt in the condensed consolidated balance sheet) and are being amortized to interest expense over the term of the Notes due 2025.</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total amount of interest cost recognized relating to the Notes due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780" w:type="dxa"/>
            <w:vAlign w:val="bottom"/>
          </w:tcPr>
          <w:p>
            <w:pPr>
              <w:jc w:val="right"/>
              <w:ind w:right="32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June 30, 2020</w:t>
            </w:r>
          </w:p>
        </w:tc>
      </w:tr>
      <w:tr>
        <w:trPr>
          <w:trHeight w:val="250"/>
        </w:trPr>
        <w:tc>
          <w:tcPr>
            <w:tcW w:w="7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gridSpan w:val="4"/>
          </w:tcPr>
          <w:p>
            <w:pPr>
              <w:jc w:val="right"/>
              <w:ind w:right="1462"/>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249</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180" w:type="dxa"/>
            <w:vAlign w:val="bottom"/>
          </w:tcPr>
          <w:p>
            <w:pPr>
              <w:spacing w:after="0"/>
              <w:rPr>
                <w:sz w:val="22"/>
                <w:szCs w:val="22"/>
                <w:color w:val="auto"/>
              </w:rPr>
            </w:pP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3,812</w:t>
            </w: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468</w:t>
            </w:r>
          </w:p>
        </w:tc>
      </w:tr>
      <w:tr>
        <w:trPr>
          <w:trHeight w:val="240"/>
        </w:trPr>
        <w:tc>
          <w:tcPr>
            <w:tcW w:w="7200" w:type="dxa"/>
            <w:vAlign w:val="bottom"/>
          </w:tcPr>
          <w:p>
            <w:pPr>
              <w:ind w:left="180"/>
              <w:spacing w:after="0"/>
              <w:rPr>
                <w:sz w:val="20"/>
                <w:szCs w:val="20"/>
                <w:color w:val="auto"/>
              </w:rPr>
            </w:pPr>
            <w:r>
              <w:rPr>
                <w:rFonts w:ascii="Arial" w:cs="Arial" w:eastAsia="Arial" w:hAnsi="Arial"/>
                <w:sz w:val="16"/>
                <w:szCs w:val="16"/>
                <w:color w:val="auto"/>
              </w:rPr>
              <w:t>Total interest cost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4,529</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derived effective interest rate on the Notes due 2025 host contract was determined to be 5.18%, which remain unchanged from the date of issuance. The remaining unamortized debt discount was $64.9 million as of June 30, 2020, will be amortized over approximately 4.7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2025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2025, the Company entered into privately-negotiated convertible note hedge transactions pursuant to which the Company has the option to purchase a total of approximately 3.9 million shares of its common stock (subject to anti-dilution adjustments), which is the same number of shares initially issuable upon conversion of the notes, at a price of $81.54 per share, which is the initial conversion price of the Notes due 2025. The total cost of the convertible note hedge transactions was approximately $89.1 million. The convertible note hedge transactions are expected generally to reduce potential dilution to the Company’s common stock upon any conversion of the Notes due 2025 and/or offset any cash payments the Company is required to make in excess of the principal amount of converted notes, as the case may be. As of June 30, 2020, the Company had not purchased any shares under the convertible note hedge transactions.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3.9 million shares of the Company’s common stock (subject to anti-dilution adjustments) at an initial strike price of $106.94 per share. The Company received aggregate proceeds of approximately $71.6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2025 and to effectively increase the overall conversion price from $81.54 to $106.94 per share. The Warrants are only exercisable on the applicable expiration dates in accordance with the agreements relating to each of the Warrants. Subject to the other terms of the Warrants, the first expiration date applicable to the Warrants is June 1, 2025, and the final expiration date applicable to the Warrants is September 23, 2025. As of June 30, 2020, the Warrants had not been exercised and remained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288925</wp:posOffset>
            </wp:positionV>
            <wp:extent cx="6943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17</w:t>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period from March 9, 2020, the issuance date of the convertible notes hedge and warrant transactions, through May 19, 2020, the number of authorized and unissued shares of the Company’s common stock that are not reserved for other purposes was less than the maximum number of underlying shares that will be required to settle the Notes due 2025 through the delivery of shares of the Company’s common stock. Accordingly, the convertibles note hedge and the warrant transactions could only be settled on net cash settlement basis. As a result the convertible note hedge and the warrants transaction were classified as a Convertible notes hedge asset and Warrants liability, respectively, in the condensed consolidated balance sheet and the change in fair value of derivatives was included in other expense, net in the condensed consolidated statement of operations.</w:t>
      </w:r>
    </w:p>
    <w:p>
      <w:pPr>
        <w:spacing w:after="0" w:line="2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May 20, 2020, at the Company’s annual meeting of stockholders, the stockholders approved the Amendment, and as a result, the Convertible notes hedge asset and Warrants liabilities were remeasured at a fair value of $117.1 million and $96.4 million, respectively, and were then reclassified to additional paid-in-capital in the condensed consolidated balance sheet in the second quarter of 2020 and is no longer remeasured as long as they continue to meet the conditions for equity classification. The change in the fair value of the Convertible notes hedge asset and Warrants liability were recorded in other expense, net in the condensed consolidated statements of operations during the three and six months ended June 30, 2020.</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fair value and the change in fair value for the Convertible notes hedge asset and Warrants liability:</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Convertible notes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7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hedge</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Warrants liability</w:t>
            </w:r>
          </w:p>
        </w:tc>
      </w:tr>
      <w:tr>
        <w:trPr>
          <w:trHeight w:val="250"/>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4"/>
          </w:tcPr>
          <w:p>
            <w:pPr>
              <w:jc w:val="right"/>
              <w:ind w:right="1081"/>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Fair value as of March 9,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89,056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71,552</w:t>
            </w:r>
          </w:p>
        </w:tc>
      </w:tr>
      <w:tr>
        <w:trPr>
          <w:trHeight w:val="264"/>
        </w:trPr>
        <w:tc>
          <w:tcPr>
            <w:tcW w:w="7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the fair value</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(32,915)</w:t>
            </w:r>
          </w:p>
        </w:tc>
      </w:tr>
      <w:tr>
        <w:trPr>
          <w:trHeight w:val="256"/>
        </w:trPr>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Fair value as of March 31, 2020</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47,885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38,637</w:t>
            </w:r>
          </w:p>
        </w:tc>
      </w:tr>
      <w:tr>
        <w:trPr>
          <w:trHeight w:val="264"/>
        </w:trPr>
        <w:tc>
          <w:tcPr>
            <w:tcW w:w="7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the fair value</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69,223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57,715</w:t>
            </w:r>
          </w:p>
        </w:tc>
      </w:tr>
      <w:tr>
        <w:trPr>
          <w:trHeight w:val="24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Fair value as of May 20,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117,108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96,352</w:t>
            </w: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2024</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288290</wp:posOffset>
            </wp:positionV>
            <wp:extent cx="6943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18</w:t>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2023,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June 30, 2020, the sale price of the Company’s common stock was greater than or equal to $26.6513 (130% of the notes conversion price) for at least 20 trading days (whether consecutive or not) during a period of 30 consecutive trading days preceding the quarter-ended June 30, 2020. As a result, as of June 30, 2020, the Notes due 2024 are convertible at the holders’ option through September 30, 2020. Accordingly, the Company classified the net carrying amount of the Notes due 2024 of $99.7 million as Debt, current on the condensed consolidated balance sheet as of June 30, 2020.</w:t>
      </w:r>
    </w:p>
    <w:p>
      <w:pPr>
        <w:spacing w:after="0" w:line="20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condensed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separated the Notes due 2024 into liability and equity components, this resulted in a tax basis difference associated with the liability component that represents a temporary difference. The Company recognized the deferred taxes of $0.3 million for the tax effect of that temporary difference as an adjustment to the equity component included in additional paid-in capital in the condensed consolidated balance sheet.</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$ 3.3 million, were recorded as debt issuance cost (presented as contra debt in the condensed consolidated balance sheet) and are being amortized to interest expense over the term of the Notes due 2024. The transaction costs attributable to the equity component were approximately $1.3 million and were netted with the equity component in stockholders’ equity. As of June 30, 2020 and December 31, 2019, the unamortized deferred issuance cost for the Notes due 2024 was $2.6 million and $2.9 million, respectively,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216535</wp:posOffset>
            </wp:positionV>
            <wp:extent cx="6943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19</w:t>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total amount of interest cost recognized relating to the Notes due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54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92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3,183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416</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r>
      <w:tr>
        <w:trPr>
          <w:trHeight w:val="240"/>
        </w:trPr>
        <w:tc>
          <w:tcPr>
            <w:tcW w:w="5080" w:type="dxa"/>
            <w:vAlign w:val="bottom"/>
          </w:tcPr>
          <w:p>
            <w:pPr>
              <w:ind w:left="180"/>
              <w:spacing w:after="0"/>
              <w:rPr>
                <w:sz w:val="20"/>
                <w:szCs w:val="20"/>
                <w:color w:val="auto"/>
              </w:rPr>
            </w:pPr>
            <w:r>
              <w:rPr>
                <w:rFonts w:ascii="Arial" w:cs="Arial" w:eastAsia="Arial" w:hAnsi="Arial"/>
                <w:sz w:val="16"/>
                <w:szCs w:val="16"/>
                <w:color w:val="auto"/>
              </w:rPr>
              <w:t>Total interest cost recognized</w:t>
            </w: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553</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effective interest rate on the liability component Notes due 2024 was 7.75% for the three and six months ended June 30, 2020, which remains unchanged from the date of issuance. The remaining unamortized debt discount was $29.7 million and $32.9 million as of June 30, 2020 and December 31, 2019, respectively, will be amortized over approximately 3.9 years from June 30,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2024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 As of June 30, 2020, and through the date of this quarterly report, the Company had not purchased any shares under the convertible note hedge transactions.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$25.2320 per share. The Warrants are only exercisable on the applicable expiration dates in accordance with the Warrants. Subject to the other terms of the Warrants, the first expiration date applicable to the Warrants is September 1, 2024, and the final expiration date applicable to the Warrants is April 22, 2025. As of June 30, 2020, and through the report date, the Warrants had not been exercised and remained outstanding.</w:t>
      </w:r>
    </w:p>
    <w:p>
      <w:pPr>
        <w:spacing w:after="0" w:line="2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Given that the transactions meet certain accounting criteria, the Notes due 2024 hedge and the warrants transactions are recorded in stockholders’ equity, and they are not accounted for as derivatives and are not remeasured each reporting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2023</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both June 30, 2020 and December 31, 2019, $5.0 million aggregate principal amount of the Notes due 2023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20</w:t>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209"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The following table presents the amount of interest cost recognized relating to the contractual interest coupon and the amortization of debt issuance costs of the Notes due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54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Contractual interest expense</w:t>
            </w: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1,133</w:t>
            </w: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225</w:t>
            </w:r>
          </w:p>
        </w:tc>
      </w:tr>
      <w:tr>
        <w:trPr>
          <w:trHeight w:val="236"/>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Total interest costs recognized</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1,358</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Long-Term Financing Receivables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 $2.8 million. This transaction was recorded as debt on the accompanying consolidated balance sheets, and the debt balance was relieved in January 2019 as the underlying receivables were settled. During the year ended December 31, 2018, the third party made three additional purchases of receivables that resulted in total net proceeds to the Company of $5.6 million. These transactions were recorded as debt on the accompanying condensed consolidated balance sheets, and the total associated debt balance will be relieved by September 2021 as the underlying receivables are settled.</w:t>
      </w:r>
    </w:p>
    <w:p>
      <w:pPr>
        <w:spacing w:after="0" w:line="23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Company leases office facilities under noncancelable operating leases that expire on various dates through 2028, some of which may include options to extend the leases for up to 12 years.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presented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700" w:type="dxa"/>
            <w:vAlign w:val="bottom"/>
            <w:gridSpan w:val="2"/>
          </w:tcPr>
          <w:p>
            <w:pPr>
              <w:jc w:val="center"/>
              <w:ind w:left="206"/>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left="666"/>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64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50"/>
        </w:trPr>
        <w:tc>
          <w:tcPr>
            <w:tcW w:w="48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r>
      <w:tr>
        <w:trPr>
          <w:trHeight w:val="204"/>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gridSpan w:val="3"/>
          </w:tcPr>
          <w:p>
            <w:pPr>
              <w:jc w:val="center"/>
              <w:ind w:left="605"/>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
        </w:trPr>
        <w:tc>
          <w:tcPr>
            <w:tcW w:w="4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1,280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2,502</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291465</wp:posOffset>
            </wp:positionV>
            <wp:extent cx="6943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21</w:t>
      </w:r>
    </w:p>
    <w:p>
      <w:pPr>
        <w:sectPr>
          <w:pgSz w:w="11900" w:h="16838" w:orient="portrait"/>
          <w:cols w:equalWidth="0" w:num="1">
            <w:col w:w="11240"/>
          </w:cols>
          <w:pgMar w:left="320" w:top="283" w:right="339" w:bottom="1440" w:gutter="0" w:footer="0" w:header="0"/>
        </w:sectPr>
      </w:pPr>
    </w:p>
    <w:bookmarkStart w:id="23" w:name="page24"/>
    <w:bookmarkEnd w:id="2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liabilities are presented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6"/>
          </w:tcPr>
          <w:p>
            <w:pPr>
              <w:jc w:val="right"/>
              <w:ind w:right="1100"/>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5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current (Accrued liabilities)</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3,570</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3,170</w:t>
            </w:r>
          </w:p>
        </w:tc>
        <w:tc>
          <w:tcPr>
            <w:tcW w:w="60" w:type="dxa"/>
            <w:vAlign w:val="bottom"/>
          </w:tcPr>
          <w:p>
            <w:pPr>
              <w:spacing w:after="0"/>
              <w:rPr>
                <w:sz w:val="23"/>
                <w:szCs w:val="23"/>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lease liabilities, noncurrent (Other liabilities)</w:t>
            </w:r>
          </w:p>
        </w:tc>
        <w:tc>
          <w:tcPr>
            <w:tcW w:w="9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9,542</w:t>
            </w:r>
          </w:p>
        </w:tc>
        <w:tc>
          <w:tcPr>
            <w:tcW w:w="60" w:type="dxa"/>
            <w:vAlign w:val="bottom"/>
          </w:tcPr>
          <w:p>
            <w:pPr>
              <w:spacing w:after="0"/>
              <w:rPr>
                <w:sz w:val="22"/>
                <w:szCs w:val="22"/>
                <w:color w:val="auto"/>
              </w:rPr>
            </w:pPr>
          </w:p>
        </w:tc>
      </w:tr>
      <w:tr>
        <w:trPr>
          <w:trHeight w:val="24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lease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13,772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12,712</w:t>
            </w:r>
          </w:p>
        </w:tc>
        <w:tc>
          <w:tcPr>
            <w:tcW w:w="6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8"/>
        </w:trPr>
        <w:tc>
          <w:tcPr>
            <w:tcW w:w="5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lease information:</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Weighted average remaining lease term</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color w:val="auto"/>
              </w:rPr>
              <w:t>5.4 years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5.5 years</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discount rate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8"/>
              </w:rPr>
              <w:t>8.6%</w:t>
            </w:r>
          </w:p>
        </w:tc>
        <w:tc>
          <w:tcPr>
            <w:tcW w:w="60" w:type="dxa"/>
            <w:vAlign w:val="bottom"/>
          </w:tcPr>
          <w:p>
            <w:pPr>
              <w:spacing w:after="0"/>
              <w:rPr>
                <w:sz w:val="24"/>
                <w:szCs w:val="24"/>
                <w:color w:val="auto"/>
              </w:rPr>
            </w:pPr>
          </w:p>
        </w:tc>
      </w:tr>
      <w:tr>
        <w:trPr>
          <w:trHeight w:val="540"/>
        </w:trPr>
        <w:tc>
          <w:tcPr>
            <w:tcW w:w="7580" w:type="dxa"/>
            <w:vAlign w:val="bottom"/>
            <w:gridSpan w:val="4"/>
          </w:tcPr>
          <w:p>
            <w:pPr>
              <w:ind w:left="500"/>
              <w:spacing w:after="0"/>
              <w:rPr>
                <w:sz w:val="20"/>
                <w:szCs w:val="20"/>
                <w:color w:val="auto"/>
              </w:rPr>
            </w:pPr>
            <w:r>
              <w:rPr>
                <w:rFonts w:ascii="Arial" w:cs="Arial" w:eastAsia="Arial" w:hAnsi="Arial"/>
                <w:sz w:val="18"/>
                <w:szCs w:val="18"/>
                <w:color w:val="auto"/>
                <w:w w:val="99"/>
              </w:rPr>
              <w:t>Supplemental cash flow and other information related to operating leases, are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5080" w:type="dxa"/>
            <w:vAlign w:val="bottom"/>
          </w:tcPr>
          <w:p>
            <w:pPr>
              <w:spacing w:after="0"/>
              <w:rPr>
                <w:sz w:val="24"/>
                <w:szCs w:val="24"/>
                <w:color w:val="auto"/>
              </w:rPr>
            </w:pPr>
          </w:p>
        </w:tc>
        <w:tc>
          <w:tcPr>
            <w:tcW w:w="25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220"/>
              <w:spacing w:after="0"/>
              <w:rPr>
                <w:sz w:val="20"/>
                <w:szCs w:val="20"/>
                <w:color w:val="auto"/>
              </w:rPr>
            </w:pPr>
            <w:r>
              <w:rPr>
                <w:rFonts w:ascii="Arial" w:cs="Arial" w:eastAsia="Arial" w:hAnsi="Arial"/>
                <w:sz w:val="14"/>
                <w:szCs w:val="14"/>
                <w:b w:val="1"/>
                <w:bCs w:val="1"/>
                <w:color w:val="auto"/>
              </w:rPr>
              <w:t>June 30,</w:t>
            </w:r>
          </w:p>
        </w:tc>
      </w:tr>
      <w:tr>
        <w:trPr>
          <w:trHeight w:val="264"/>
        </w:trPr>
        <w:tc>
          <w:tcPr>
            <w:tcW w:w="50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r>
      <w:tr>
        <w:trPr>
          <w:trHeight w:val="204"/>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gridSpan w:val="6"/>
          </w:tcPr>
          <w:p>
            <w:pPr>
              <w:ind w:left="1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6"/>
                <w:szCs w:val="16"/>
                <w:color w:val="auto"/>
              </w:rPr>
              <w:t>Cash paid for amounts included in the measurement of lease</w:t>
            </w: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4"/>
        </w:trPr>
        <w:tc>
          <w:tcPr>
            <w:tcW w:w="5080" w:type="dxa"/>
            <w:vAlign w:val="bottom"/>
          </w:tcPr>
          <w:p>
            <w:pPr>
              <w:ind w:left="200"/>
              <w:spacing w:after="0"/>
              <w:rPr>
                <w:sz w:val="20"/>
                <w:szCs w:val="20"/>
                <w:color w:val="auto"/>
              </w:rPr>
            </w:pPr>
            <w:r>
              <w:rPr>
                <w:rFonts w:ascii="Arial" w:cs="Arial" w:eastAsia="Arial" w:hAnsi="Arial"/>
                <w:sz w:val="16"/>
                <w:szCs w:val="16"/>
                <w:color w:val="auto"/>
              </w:rPr>
              <w:t>liabilities: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cash flows from operating leases</w:t>
            </w:r>
          </w:p>
        </w:tc>
        <w:tc>
          <w:tcPr>
            <w:tcW w:w="92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1,145</w:t>
            </w:r>
          </w:p>
        </w:tc>
        <w:tc>
          <w:tcPr>
            <w:tcW w:w="10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60" w:type="dxa"/>
            <w:vAlign w:val="bottom"/>
            <w:tcBorders>
              <w:bottom w:val="single" w:sz="8" w:color="CCEEFF"/>
            </w:tcBorders>
            <w:shd w:val="clear" w:color="auto" w:fill="CCEEFF"/>
          </w:tcPr>
          <w:p>
            <w:pPr>
              <w:spacing w:after="0"/>
              <w:rPr>
                <w:sz w:val="22"/>
                <w:szCs w:val="22"/>
                <w:color w:val="auto"/>
              </w:rPr>
            </w:pPr>
          </w:p>
        </w:tc>
      </w:tr>
      <w:tr>
        <w:trPr>
          <w:trHeight w:val="324"/>
        </w:trPr>
        <w:tc>
          <w:tcPr>
            <w:tcW w:w="5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5080" w:type="dxa"/>
            <w:vAlign w:val="bottom"/>
          </w:tcPr>
          <w:p>
            <w:pPr>
              <w:ind w:left="180"/>
              <w:spacing w:after="0"/>
              <w:rPr>
                <w:sz w:val="20"/>
                <w:szCs w:val="20"/>
                <w:color w:val="auto"/>
              </w:rPr>
            </w:pPr>
            <w:r>
              <w:rPr>
                <w:rFonts w:ascii="Arial" w:cs="Arial" w:eastAsia="Arial" w:hAnsi="Arial"/>
                <w:sz w:val="16"/>
                <w:szCs w:val="16"/>
                <w:color w:val="auto"/>
              </w:rPr>
              <w:t>Lease liabilities arising from obtaining right-of-use assets</w:t>
            </w:r>
          </w:p>
        </w:tc>
        <w:tc>
          <w:tcPr>
            <w:tcW w:w="920" w:type="dxa"/>
            <w:vAlign w:val="bottom"/>
          </w:tcPr>
          <w:p>
            <w:pPr>
              <w:jc w:val="right"/>
              <w:ind w:right="74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4,834</w:t>
            </w:r>
          </w:p>
        </w:tc>
        <w:tc>
          <w:tcPr>
            <w:tcW w:w="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4,834</w:t>
            </w:r>
          </w:p>
        </w:tc>
        <w:tc>
          <w:tcPr>
            <w:tcW w:w="60" w:type="dxa"/>
            <w:vAlign w:val="bottom"/>
          </w:tcPr>
          <w:p>
            <w:pPr>
              <w:spacing w:after="0"/>
              <w:rPr>
                <w:sz w:val="21"/>
                <w:szCs w:val="21"/>
                <w:color w:val="auto"/>
              </w:rPr>
            </w:pPr>
          </w:p>
        </w:tc>
      </w:tr>
      <w:tr>
        <w:trPr>
          <w:trHeight w:val="668"/>
        </w:trPr>
        <w:tc>
          <w:tcPr>
            <w:tcW w:w="7580" w:type="dxa"/>
            <w:vAlign w:val="bottom"/>
            <w:gridSpan w:val="4"/>
          </w:tcPr>
          <w:p>
            <w:pPr>
              <w:ind w:left="500"/>
              <w:spacing w:after="0"/>
              <w:rPr>
                <w:sz w:val="20"/>
                <w:szCs w:val="20"/>
                <w:color w:val="auto"/>
              </w:rPr>
            </w:pPr>
            <w:r>
              <w:rPr>
                <w:rFonts w:ascii="Arial" w:cs="Arial" w:eastAsia="Arial" w:hAnsi="Arial"/>
                <w:sz w:val="18"/>
                <w:szCs w:val="18"/>
                <w:color w:val="auto"/>
              </w:rPr>
              <w:t>Undiscounted cash flows of operating lease liabilities as of June 30, 2020 are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5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(In thousands)</w:t>
            </w:r>
          </w:p>
        </w:tc>
      </w:tr>
      <w:tr>
        <w:trPr>
          <w:trHeight w:val="52"/>
        </w:trPr>
        <w:tc>
          <w:tcPr>
            <w:tcW w:w="5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3"/>
        </w:trPr>
        <w:tc>
          <w:tcPr>
            <w:tcW w:w="5080" w:type="dxa"/>
            <w:vAlign w:val="bottom"/>
          </w:tcPr>
          <w:p>
            <w:pPr>
              <w:ind w:left="180"/>
              <w:spacing w:after="0"/>
              <w:rPr>
                <w:sz w:val="20"/>
                <w:szCs w:val="20"/>
                <w:color w:val="auto"/>
              </w:rPr>
            </w:pPr>
            <w:r>
              <w:rPr>
                <w:rFonts w:ascii="Arial" w:cs="Arial" w:eastAsia="Arial" w:hAnsi="Arial"/>
                <w:sz w:val="16"/>
                <w:szCs w:val="16"/>
                <w:color w:val="auto"/>
              </w:rPr>
              <w:t>2020 (remaining six months)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2,307</w:t>
            </w:r>
          </w:p>
        </w:tc>
        <w:tc>
          <w:tcPr>
            <w:tcW w:w="60" w:type="dxa"/>
            <w:vAlign w:val="bottom"/>
          </w:tcPr>
          <w:p>
            <w:pPr>
              <w:spacing w:after="0"/>
              <w:rPr>
                <w:sz w:val="20"/>
                <w:szCs w:val="20"/>
                <w:color w:val="auto"/>
              </w:rPr>
            </w:pPr>
          </w:p>
        </w:tc>
      </w:tr>
      <w:tr>
        <w:trPr>
          <w:trHeight w:val="253"/>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60" w:type="dxa"/>
            <w:vAlign w:val="bottom"/>
            <w:shd w:val="clear" w:color="auto" w:fill="CCEEFF"/>
          </w:tcPr>
          <w:p>
            <w:pPr>
              <w:spacing w:after="0"/>
              <w:rPr>
                <w:sz w:val="21"/>
                <w:szCs w:val="21"/>
                <w:color w:val="auto"/>
              </w:rPr>
            </w:pPr>
          </w:p>
        </w:tc>
      </w:tr>
      <w:tr>
        <w:trPr>
          <w:trHeight w:val="233"/>
        </w:trPr>
        <w:tc>
          <w:tcPr>
            <w:tcW w:w="5080" w:type="dxa"/>
            <w:vAlign w:val="bottom"/>
          </w:tcPr>
          <w:p>
            <w:pPr>
              <w:ind w:left="180"/>
              <w:spacing w:after="0"/>
              <w:rPr>
                <w:sz w:val="20"/>
                <w:szCs w:val="20"/>
                <w:color w:val="auto"/>
              </w:rPr>
            </w:pPr>
            <w:r>
              <w:rPr>
                <w:rFonts w:ascii="Arial" w:cs="Arial" w:eastAsia="Arial" w:hAnsi="Arial"/>
                <w:sz w:val="16"/>
                <w:szCs w:val="16"/>
                <w:color w:val="auto"/>
              </w:rPr>
              <w:t>2022</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3,365</w:t>
            </w:r>
          </w:p>
        </w:tc>
        <w:tc>
          <w:tcPr>
            <w:tcW w:w="60" w:type="dxa"/>
            <w:vAlign w:val="bottom"/>
          </w:tcPr>
          <w:p>
            <w:pPr>
              <w:spacing w:after="0"/>
              <w:rPr>
                <w:sz w:val="20"/>
                <w:szCs w:val="20"/>
                <w:color w:val="auto"/>
              </w:rPr>
            </w:pPr>
          </w:p>
        </w:tc>
      </w:tr>
      <w:tr>
        <w:trPr>
          <w:trHeight w:val="253"/>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60" w:type="dxa"/>
            <w:vAlign w:val="bottom"/>
            <w:shd w:val="clear" w:color="auto" w:fill="CCEEFF"/>
          </w:tcPr>
          <w:p>
            <w:pPr>
              <w:spacing w:after="0"/>
              <w:rPr>
                <w:sz w:val="21"/>
                <w:szCs w:val="21"/>
                <w:color w:val="auto"/>
              </w:rPr>
            </w:pPr>
          </w:p>
        </w:tc>
      </w:tr>
      <w:tr>
        <w:trPr>
          <w:trHeight w:val="233"/>
        </w:trPr>
        <w:tc>
          <w:tcPr>
            <w:tcW w:w="5080" w:type="dxa"/>
            <w:vAlign w:val="bottom"/>
          </w:tcPr>
          <w:p>
            <w:pPr>
              <w:ind w:left="180"/>
              <w:spacing w:after="0"/>
              <w:rPr>
                <w:sz w:val="20"/>
                <w:szCs w:val="20"/>
                <w:color w:val="auto"/>
              </w:rPr>
            </w:pPr>
            <w:r>
              <w:rPr>
                <w:rFonts w:ascii="Arial" w:cs="Arial" w:eastAsia="Arial" w:hAnsi="Arial"/>
                <w:sz w:val="16"/>
                <w:szCs w:val="16"/>
                <w:color w:val="auto"/>
              </w:rPr>
              <w:t>2024</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1,445</w:t>
            </w:r>
          </w:p>
        </w:tc>
        <w:tc>
          <w:tcPr>
            <w:tcW w:w="60" w:type="dxa"/>
            <w:vAlign w:val="bottom"/>
          </w:tcPr>
          <w:p>
            <w:pPr>
              <w:spacing w:after="0"/>
              <w:rPr>
                <w:sz w:val="20"/>
                <w:szCs w:val="20"/>
                <w:color w:val="auto"/>
              </w:rPr>
            </w:pPr>
          </w:p>
        </w:tc>
      </w:tr>
      <w:tr>
        <w:trPr>
          <w:trHeight w:val="246"/>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2025 and thereafter</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60" w:type="dxa"/>
            <w:vAlign w:val="bottom"/>
            <w:tcBorders>
              <w:bottom w:val="single" w:sz="8" w:color="auto"/>
            </w:tcBorders>
            <w:shd w:val="clear" w:color="auto" w:fill="CCEEFF"/>
          </w:tcPr>
          <w:p>
            <w:pPr>
              <w:spacing w:after="0"/>
              <w:rPr>
                <w:sz w:val="21"/>
                <w:szCs w:val="21"/>
                <w:color w:val="auto"/>
              </w:rPr>
            </w:pPr>
          </w:p>
        </w:tc>
      </w:tr>
      <w:tr>
        <w:trPr>
          <w:trHeight w:val="233"/>
        </w:trPr>
        <w:tc>
          <w:tcPr>
            <w:tcW w:w="5080" w:type="dxa"/>
            <w:vAlign w:val="bottom"/>
          </w:tcPr>
          <w:p>
            <w:pPr>
              <w:ind w:left="280"/>
              <w:spacing w:after="0"/>
              <w:rPr>
                <w:sz w:val="20"/>
                <w:szCs w:val="20"/>
                <w:color w:val="auto"/>
              </w:rPr>
            </w:pPr>
            <w:r>
              <w:rPr>
                <w:rFonts w:ascii="Arial" w:cs="Arial" w:eastAsia="Arial" w:hAnsi="Arial"/>
                <w:sz w:val="16"/>
                <w:szCs w:val="16"/>
                <w:color w:val="auto"/>
              </w:rPr>
              <w:t>Total lease payments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16,393</w:t>
            </w:r>
          </w:p>
        </w:tc>
        <w:tc>
          <w:tcPr>
            <w:tcW w:w="60" w:type="dxa"/>
            <w:vAlign w:val="bottom"/>
          </w:tcPr>
          <w:p>
            <w:pPr>
              <w:spacing w:after="0"/>
              <w:rPr>
                <w:sz w:val="20"/>
                <w:szCs w:val="20"/>
                <w:color w:val="auto"/>
              </w:rPr>
            </w:pPr>
          </w:p>
        </w:tc>
      </w:tr>
      <w:tr>
        <w:trPr>
          <w:trHeight w:val="24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imputed lease interest</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(2,621)</w:t>
            </w:r>
          </w:p>
        </w:tc>
      </w:tr>
      <w:tr>
        <w:trPr>
          <w:trHeight w:val="240"/>
        </w:trPr>
        <w:tc>
          <w:tcPr>
            <w:tcW w:w="508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13,772</w:t>
            </w:r>
          </w:p>
        </w:tc>
        <w:tc>
          <w:tcPr>
            <w:tcW w:w="6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contractual obligations related to component inventory that its primary contract manufacturer procures on its behalf in accordance with its production forecast as well as other inventory related purchase commitments. As of June 30, 2020, these purchase obligations totaled approximately $75.2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Credits</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Company had a standby letter of credit in the aggregate amount of $44.7 million, primarily in connection with one of its customer contracts. The letter of credit served as a performance security for product delivered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280670</wp:posOffset>
            </wp:positionV>
            <wp:extent cx="6943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63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22</w:t>
      </w:r>
    </w:p>
    <w:p>
      <w:pPr>
        <w:sectPr>
          <w:pgSz w:w="11900" w:h="16838" w:orient="portrait"/>
          <w:cols w:equalWidth="0" w:num="1">
            <w:col w:w="11240"/>
          </w:cols>
          <w:pgMar w:left="320" w:top="229" w:right="339" w:bottom="632" w:gutter="0" w:footer="0" w:header="0"/>
          <w:type w:val="continuous"/>
        </w:sectPr>
      </w:pPr>
    </w:p>
    <w:bookmarkStart w:id="24" w:name="page25"/>
    <w:bookmarkEnd w:id="2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customer in the first quarter of 2020 and expired on April 30, 2020. No amounts were drawn against this letter of credit. As of June 30, 2020, the Company has no letter of credit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is subject to various legal proceedings relating to claims arising out of its operations that have not been fully resolved.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August 4, 2020, the Company is not currently a party to any matters that the management expects will have an adverse material effect on the Company’s consolidated financial position, results of operations or cash flows.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Since late September 2018, the Company has paid tariffs imposed on its microinverters by the China Section 301 Tariff Actions (“Section 301 Tariffs”) taken by the Office of the United States Trade Representative (the “USTR”). The Company has sought refunds on tariffs previously paid on certain microinverter products that fit the dimensions and weight limits within a Section 301 Tariff exclusion under U.S. note 20(ss)(40) to subchapter III of chapter 99 of the Harmonized Tariff Schedule of the United States (the “Tariff Exclusion”). There is no material impact on the Company’s condensed consolidated statements of operations for the three and six months ended June 30, 2020. The Company expects there will be a material positive impact on the Company’s financial statements if all of the requested refunds are approved in the future, totaling approximately $39 million plus accrued interest. The Tariff Exclusion expires on August 7, 2020, and the Company has filed a comment with the USTR supporting an extension of the Tariff Exclusion. The Company continues to pay Section 301 Tariffs on its storage and communication products and other accessories imported from China which are not subject to the Tariff Exclusion.</w:t>
      </w:r>
    </w:p>
    <w:p>
      <w:pPr>
        <w:spacing w:after="0" w:line="24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condensed consolidated statements of operations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3"/>
        </w:trPr>
        <w:tc>
          <w:tcPr>
            <w:tcW w:w="48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4"/>
        </w:trPr>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gridSpan w:val="3"/>
          </w:tcPr>
          <w:p>
            <w:pPr>
              <w:jc w:val="center"/>
              <w:ind w:left="641"/>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617</w:t>
            </w: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5,182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1,844</w:t>
            </w:r>
          </w:p>
        </w:tc>
      </w:tr>
      <w:tr>
        <w:trPr>
          <w:trHeight w:val="28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3,610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5,552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2,359</w:t>
            </w: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4,090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7,138</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3,017</w:t>
            </w:r>
          </w:p>
        </w:tc>
      </w:tr>
      <w:tr>
        <w:trPr>
          <w:trHeight w:val="28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r>
      <w:tr>
        <w:trPr>
          <w:trHeight w:val="230"/>
        </w:trPr>
        <w:tc>
          <w:tcPr>
            <w:tcW w:w="48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12,300</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19,815</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8,224</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48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7"/>
        </w:trPr>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jc w:val="center"/>
              <w:ind w:left="643"/>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
        </w:trPr>
        <w:tc>
          <w:tcPr>
            <w:tcW w:w="4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RSUs, and PSUs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11,557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4,760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18,634</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7,982</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242</w:t>
            </w:r>
          </w:p>
        </w:tc>
      </w:tr>
      <w:tr>
        <w:trPr>
          <w:trHeight w:val="236"/>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19,815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8,224</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9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23</w:t>
      </w:r>
    </w:p>
    <w:p>
      <w:pPr>
        <w:sectPr>
          <w:pgSz w:w="11900" w:h="16838" w:orient="portrait"/>
          <w:cols w:equalWidth="0" w:num="1">
            <w:col w:w="11240"/>
          </w:cols>
          <w:pgMar w:left="320" w:top="229" w:right="339" w:bottom="983" w:gutter="0" w:footer="0" w:header="0"/>
          <w:type w:val="continuous"/>
        </w:sectPr>
      </w:pPr>
    </w:p>
    <w:bookmarkStart w:id="25" w:name="page26"/>
    <w:bookmarkEnd w:id="2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As of June 30, 2020, there was approximately $76.9 million of total unrecognized stock-based compensation expense related to unvested equity awards, which are expected to be recognized over a weighted-average period of 2.1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with the following assumptions:</w:t>
      </w:r>
    </w:p>
    <w:p>
      <w:pPr>
        <w:spacing w:after="0" w:line="180" w:lineRule="exact"/>
        <w:rPr>
          <w:sz w:val="20"/>
          <w:szCs w:val="20"/>
          <w:color w:val="auto"/>
        </w:rPr>
      </w:pPr>
    </w:p>
    <w:p>
      <w:pPr>
        <w:jc w:val="both"/>
        <w:ind w:left="820" w:hanging="326"/>
        <w:spacing w:after="0" w:line="261"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79" w:lineRule="exact"/>
        <w:rPr>
          <w:rFonts w:ascii="Arial" w:cs="Arial" w:eastAsia="Arial" w:hAnsi="Arial"/>
          <w:sz w:val="18"/>
          <w:szCs w:val="18"/>
          <w:i w:val="1"/>
          <w:iCs w:val="1"/>
          <w:color w:val="auto"/>
        </w:rPr>
      </w:pPr>
    </w:p>
    <w:p>
      <w:pPr>
        <w:jc w:val="both"/>
        <w:ind w:left="820" w:hanging="326"/>
        <w:spacing w:after="0" w:line="266"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was calculated based on the Company’s historical stock prices, supplemented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with historical volatility of the common stock of several peer companies with characteristics similar to those of the Company.</w:t>
      </w:r>
    </w:p>
    <w:p>
      <w:pPr>
        <w:spacing w:after="0" w:line="175" w:lineRule="exact"/>
        <w:rPr>
          <w:rFonts w:ascii="Arial" w:cs="Arial" w:eastAsia="Arial" w:hAnsi="Arial"/>
          <w:sz w:val="18"/>
          <w:szCs w:val="18"/>
          <w:i w:val="1"/>
          <w:iCs w:val="1"/>
          <w:color w:val="auto"/>
        </w:rPr>
      </w:pPr>
    </w:p>
    <w:p>
      <w:pPr>
        <w:ind w:left="820" w:hanging="326"/>
        <w:spacing w:after="0" w:line="28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maturity that approximated the Company’s expected term.</w:t>
      </w:r>
    </w:p>
    <w:p>
      <w:pPr>
        <w:spacing w:after="0" w:line="161"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was based on the Company’s dividend history and the anticipated dividend payout over its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18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80" w:type="dxa"/>
            <w:vAlign w:val="bottom"/>
            <w:gridSpan w:val="4"/>
          </w:tcPr>
          <w:p>
            <w:pPr>
              <w:jc w:val="center"/>
              <w:ind w:right="26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4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tcBorders>
              <w:bottom w:val="single" w:sz="8" w:color="auto"/>
            </w:tcBorders>
          </w:tcPr>
          <w:p>
            <w:pPr>
              <w:spacing w:after="0"/>
              <w:rPr>
                <w:sz w:val="17"/>
                <w:szCs w:val="17"/>
                <w:color w:val="auto"/>
              </w:rPr>
            </w:pPr>
          </w:p>
        </w:tc>
      </w:tr>
      <w:tr>
        <w:trPr>
          <w:trHeight w:val="263"/>
        </w:trPr>
        <w:tc>
          <w:tcPr>
            <w:tcW w:w="4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56"/>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38.45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9.16</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Pr>
          <w:p>
            <w:pPr>
              <w:spacing w:after="0"/>
              <w:rPr>
                <w:sz w:val="22"/>
                <w:szCs w:val="22"/>
                <w:color w:val="auto"/>
              </w:rPr>
            </w:pPr>
          </w:p>
        </w:tc>
        <w:tc>
          <w:tcPr>
            <w:tcW w:w="1160" w:type="dxa"/>
            <w:vAlign w:val="bottom"/>
          </w:tcPr>
          <w:p>
            <w:pPr>
              <w:jc w:val="right"/>
              <w:ind w:right="222"/>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3.8</w:t>
            </w: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Annual risk-free rate of return</w:t>
            </w:r>
          </w:p>
        </w:tc>
        <w:tc>
          <w:tcPr>
            <w:tcW w:w="380" w:type="dxa"/>
            <w:vAlign w:val="bottom"/>
          </w:tcPr>
          <w:p>
            <w:pPr>
              <w:spacing w:after="0"/>
              <w:rPr>
                <w:sz w:val="22"/>
                <w:szCs w:val="22"/>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3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fair value of the Company’s restricted stock units (“RSU”) awards granted is based upon the closing price of the Company’s stock price on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6943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24</w:t>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66"/>
        </w:trPr>
        <w:tc>
          <w:tcPr>
            <w:tcW w:w="11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06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64.17</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June 30, 2020</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3,065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138,877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40"/>
              <w:spacing w:after="0"/>
              <w:rPr>
                <w:sz w:val="20"/>
                <w:szCs w:val="20"/>
                <w:color w:val="auto"/>
              </w:rPr>
            </w:pPr>
            <w:r>
              <w:rPr>
                <w:rFonts w:ascii="Arial" w:cs="Arial" w:eastAsia="Arial" w:hAnsi="Arial"/>
                <w:sz w:val="16"/>
                <w:szCs w:val="16"/>
                <w:color w:val="auto"/>
              </w:rPr>
              <w:t>Vested and expected to vest at June 30, 2020</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gridSpan w:val="2"/>
            <w:vMerge w:val="continue"/>
          </w:tcPr>
          <w:p>
            <w:pPr>
              <w:spacing w:after="0"/>
              <w:rPr>
                <w:sz w:val="22"/>
                <w:szCs w:val="22"/>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3,065</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138,877</w:t>
            </w:r>
          </w:p>
        </w:tc>
        <w:tc>
          <w:tcPr>
            <w:tcW w:w="0" w:type="dxa"/>
            <w:vAlign w:val="bottom"/>
          </w:tcPr>
          <w:p>
            <w:pPr>
              <w:spacing w:after="0"/>
              <w:rPr>
                <w:sz w:val="1"/>
                <w:szCs w:val="1"/>
                <w:color w:val="auto"/>
              </w:rPr>
            </w:pPr>
          </w:p>
        </w:tc>
      </w:tr>
      <w:tr>
        <w:trPr>
          <w:trHeight w:val="224"/>
        </w:trPr>
        <w:tc>
          <w:tcPr>
            <w:tcW w:w="506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Exercisable at June 30, 2020</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102,649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2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intrinsic value of options exercised is based upon the value of the Company’s stock at exercise. The intrinsic value of options outstanding, vested and expected to vest, and exercisable as of June 30, 2020 is based on the closing price of the Company’s stock fair value on June 30, 2020 or the earlier of the last trading day prior to June 30, 2020, if June 30, 2020 is a non-trading day. The Company’s stock fair value used in this computation was $47.57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June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r>
      <w:tr>
        <w:trPr>
          <w:trHeight w:val="204"/>
        </w:trPr>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
        </w:trPr>
        <w:tc>
          <w:tcPr>
            <w:tcW w:w="1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7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$1.11</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706</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546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0.80</w:t>
            </w:r>
          </w:p>
        </w:tc>
      </w:tr>
      <w:tr>
        <w:trPr>
          <w:trHeight w:val="260"/>
        </w:trPr>
        <w:tc>
          <w:tcPr>
            <w:tcW w:w="1660" w:type="dxa"/>
            <w:vAlign w:val="bottom"/>
          </w:tcPr>
          <w:p>
            <w:pPr>
              <w:jc w:val="right"/>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 $1.29</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r>
      <w:tr>
        <w:trPr>
          <w:trHeight w:val="28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$1.31</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709</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r>
      <w:tr>
        <w:trPr>
          <w:trHeight w:val="260"/>
        </w:trPr>
        <w:tc>
          <w:tcPr>
            <w:tcW w:w="3500" w:type="dxa"/>
            <w:vAlign w:val="bottom"/>
            <w:gridSpan w:val="3"/>
          </w:tcPr>
          <w:p>
            <w:pPr>
              <w:ind w:left="1200"/>
              <w:spacing w:after="0"/>
              <w:rPr>
                <w:sz w:val="20"/>
                <w:szCs w:val="20"/>
                <w:color w:val="auto"/>
              </w:rPr>
            </w:pPr>
            <w:r>
              <w:rPr>
                <w:rFonts w:ascii="Arial" w:cs="Arial" w:eastAsia="Arial" w:hAnsi="Arial"/>
                <w:sz w:val="16"/>
                <w:szCs w:val="16"/>
                <w:color w:val="auto"/>
              </w:rPr>
              <w:t>$1.37 —– $14.58</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639</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2"/>
                <w:szCs w:val="22"/>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6.22</w:t>
            </w:r>
          </w:p>
        </w:tc>
      </w:tr>
      <w:tr>
        <w:trPr>
          <w:trHeight w:val="28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$64.17</w:t>
            </w: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64.17</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64.17</w:t>
            </w:r>
          </w:p>
        </w:tc>
      </w:tr>
      <w:tr>
        <w:trPr>
          <w:trHeight w:val="233"/>
        </w:trPr>
        <w:tc>
          <w:tcPr>
            <w:tcW w:w="1660" w:type="dxa"/>
            <w:vAlign w:val="bottom"/>
          </w:tcPr>
          <w:p>
            <w:pPr>
              <w:jc w:val="right"/>
              <w:ind w:right="820"/>
              <w:spacing w:after="0"/>
              <w:rPr>
                <w:sz w:val="20"/>
                <w:szCs w:val="20"/>
                <w:color w:val="auto"/>
              </w:rPr>
            </w:pPr>
            <w:r>
              <w:rPr>
                <w:rFonts w:ascii="Arial" w:cs="Arial" w:eastAsia="Arial" w:hAnsi="Arial"/>
                <w:sz w:val="16"/>
                <w:szCs w:val="16"/>
                <w:b w:val="1"/>
                <w:bCs w:val="1"/>
                <w:color w:val="auto"/>
              </w:rPr>
              <w:t>Total</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3,065</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2,270</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2.37</w:t>
            </w:r>
          </w:p>
        </w:tc>
      </w:tr>
      <w:tr>
        <w:trPr>
          <w:trHeight w:val="20"/>
        </w:trPr>
        <w:tc>
          <w:tcPr>
            <w:tcW w:w="1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2020 Form 10-Q | 25</w:t>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 at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4,263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02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36.62</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55,925</w:t>
            </w:r>
          </w:p>
        </w:tc>
      </w:tr>
      <w:tr>
        <w:trPr>
          <w:trHeight w:val="263"/>
        </w:trPr>
        <w:tc>
          <w:tcPr>
            <w:tcW w:w="4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June 30, 2020</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3,894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185,236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5060" w:type="dxa"/>
            <w:vAlign w:val="bottom"/>
            <w:gridSpan w:val="3"/>
          </w:tcPr>
          <w:p>
            <w:pPr>
              <w:ind w:left="40"/>
              <w:spacing w:after="0"/>
              <w:rPr>
                <w:sz w:val="20"/>
                <w:szCs w:val="20"/>
                <w:color w:val="auto"/>
              </w:rPr>
            </w:pPr>
            <w:r>
              <w:rPr>
                <w:rFonts w:ascii="Arial" w:cs="Arial" w:eastAsia="Arial" w:hAnsi="Arial"/>
                <w:sz w:val="16"/>
                <w:szCs w:val="16"/>
                <w:color w:val="auto"/>
              </w:rPr>
              <w:t>Expected to vest at June 30, 2020</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3,894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185,236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intrinsic value of RSUs vested is based upon the value of the Company’s stock when vested. The intrinsic value of RSUs outstanding and expected to vest as of June 30, 2020 is based on the closing price of the Company’s stock on June 30, 2020 or the earlier of the last trading day prior to June 30, 2020, if June 30, 2020 is a non-trading day. The Company’s stock fair value used in this computation was $47.57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PSU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 at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02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52,144</w:t>
            </w:r>
          </w:p>
        </w:tc>
      </w:tr>
      <w:tr>
        <w:trPr>
          <w:trHeight w:val="263"/>
        </w:trPr>
        <w:tc>
          <w:tcPr>
            <w:tcW w:w="4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June 30, 2020</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479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50.37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22,777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intrinsic value of PSUs vested is based upon the value of the Company’s stock when vested. The intrinsic value of PSUs outstanding and expected to vest as of June 30, 2020 is based on the closing price of the Company’s stock on June 30, 2020 or the earlier of the last trading day prior to June 30, 2020, if June 30, 2020 is a non-trading day. The Company’s stock fair value used in this computation was $47.57 per share.</w:t>
      </w:r>
    </w:p>
    <w:p>
      <w:pPr>
        <w:spacing w:after="0" w:line="23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three and six months ended June 30, 2020, the Company’s income tax benefit of $6.6 million and $18.4 million, respectively, on a net loss before income taxes of $ 53.9 million and on a net income before income taxes of $ 3.2 million, respectively, calculated using the annualized effective tax rate method, was primarily due to tax deduction from employee stock compensation as a discrete event, partially offset by projected tax expense in the U.S. and foreign jurisdictions that are profitable. For the three and six months ended June 30, 2019, the Company’s income tax provision of $ 0.6 million and $0.9 million, respectively, on income before income taxes of $ 11.2 million and $14.3 million, respectively, calculated using the discrete tax approach, was primarily related to income taxes attributable to its foreign operations.</w:t>
      </w:r>
    </w:p>
    <w:p>
      <w:pPr>
        <w:spacing w:after="0" w:line="2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and six months ended June 30, 2020, in accordance with FASB guidance for interim reporting of income tax, the Company has computed its provision for income taxes based on a projected annual effective tax rate while excluding loss jurisdictions which cannot be benefited.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07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26</w:t>
      </w:r>
    </w:p>
    <w:p>
      <w:pPr>
        <w:sectPr>
          <w:pgSz w:w="11900" w:h="16838" w:orient="portrait"/>
          <w:cols w:equalWidth="0" w:num="1">
            <w:col w:w="11240"/>
          </w:cols>
          <w:pgMar w:left="320" w:top="229" w:right="339" w:bottom="1078" w:gutter="0" w:footer="0" w:header="0"/>
          <w:type w:val="continuous"/>
        </w:sectPr>
      </w:pPr>
    </w:p>
    <w:bookmarkStart w:id="28" w:name="page29"/>
    <w:bookmarkEnd w:id="2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and six months ended June 30, 2019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3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ESPP, the Notes due 2023, the Notes due 2024, Warrants issued in conjunction with the Notes due 2024, and from May 20, 2020 to the end of the reporting period, the Notes due 2025 and Warrants issued in conjunction with the Notes due 2025. See Note 8. “Debt” for additional information.</w:t>
      </w:r>
    </w:p>
    <w:p>
      <w:pPr>
        <w:spacing w:after="0" w:line="2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dilutive effect of potentially dilutive common shares is reflected in diluted earnings per share by application of the treasury stock method for stock options, RSUs, PSUs, Notes due 2024, warrants issued in conjunction with the Notes due 2024, Notes due 2025, warrants issued in conjunction with the Notes due 2025 and shares to be purchased under the ESPP, and by application of the if-converted method for the Notes due 2023. To the extent these potential common shares are antidilutive, they are excluded from the calculation of diluted net income (loss) per share.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rPr>
              <w:t>(In thousands, except per share data)</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(47,294)</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10,618</w:t>
            </w:r>
          </w:p>
        </w:tc>
        <w:tc>
          <w:tcPr>
            <w:tcW w:w="100" w:type="dxa"/>
            <w:vAlign w:val="bottom"/>
          </w:tcPr>
          <w:p>
            <w:pPr>
              <w:spacing w:after="0"/>
              <w:rPr>
                <w:sz w:val="22"/>
                <w:szCs w:val="22"/>
                <w:color w:val="auto"/>
              </w:rPr>
            </w:pPr>
          </w:p>
        </w:tc>
        <w:tc>
          <w:tcPr>
            <w:tcW w:w="360" w:type="dxa"/>
            <w:vAlign w:val="bottom"/>
          </w:tcPr>
          <w:p>
            <w:pPr>
              <w:jc w:val="center"/>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21,642</w:t>
            </w:r>
          </w:p>
        </w:tc>
        <w:tc>
          <w:tcPr>
            <w:tcW w:w="12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13,383</w:t>
            </w:r>
          </w:p>
        </w:tc>
        <w:tc>
          <w:tcPr>
            <w:tcW w:w="0" w:type="dxa"/>
            <w:vAlign w:val="bottom"/>
          </w:tcPr>
          <w:p>
            <w:pPr>
              <w:spacing w:after="0"/>
              <w:rPr>
                <w:sz w:val="1"/>
                <w:szCs w:val="1"/>
                <w:color w:val="auto"/>
              </w:rPr>
            </w:pPr>
          </w:p>
        </w:tc>
      </w:tr>
      <w:tr>
        <w:trPr>
          <w:trHeight w:val="273"/>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due 2023 interest and financing costs, net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80"/>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 (loss)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(47,294)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11,048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21,731</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14,389</w:t>
            </w:r>
          </w:p>
        </w:tc>
        <w:tc>
          <w:tcPr>
            <w:tcW w:w="0" w:type="dxa"/>
            <w:vAlign w:val="bottom"/>
          </w:tcPr>
          <w:p>
            <w:pPr>
              <w:spacing w:after="0"/>
              <w:rPr>
                <w:sz w:val="1"/>
                <w:szCs w:val="1"/>
                <w:color w:val="auto"/>
              </w:rPr>
            </w:pPr>
          </w:p>
        </w:tc>
      </w:tr>
      <w:tr>
        <w:trPr>
          <w:trHeight w:val="308"/>
        </w:trPr>
        <w:tc>
          <w:tcPr>
            <w:tcW w:w="4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basic per share amounts: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125,603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113,677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124,567</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110,951</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color w:val="auto"/>
              </w:rPr>
              <w:t>Shares used in diluted per share amounts: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113,677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124,567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110,951</w:t>
            </w:r>
          </w:p>
        </w:tc>
        <w:tc>
          <w:tcPr>
            <w:tcW w:w="0" w:type="dxa"/>
            <w:vAlign w:val="bottom"/>
          </w:tcPr>
          <w:p>
            <w:pPr>
              <w:spacing w:after="0"/>
              <w:rPr>
                <w:sz w:val="1"/>
                <w:szCs w:val="1"/>
                <w:color w:val="auto"/>
              </w:rPr>
            </w:pPr>
          </w:p>
        </w:tc>
      </w:tr>
      <w:tr>
        <w:trPr>
          <w:trHeight w:val="260"/>
        </w:trPr>
        <w:tc>
          <w:tcPr>
            <w:tcW w:w="484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7,449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8,240</w:t>
            </w:r>
          </w:p>
        </w:tc>
        <w:tc>
          <w:tcPr>
            <w:tcW w:w="0" w:type="dxa"/>
            <w:vAlign w:val="bottom"/>
          </w:tcPr>
          <w:p>
            <w:pPr>
              <w:spacing w:after="0"/>
              <w:rPr>
                <w:sz w:val="1"/>
                <w:szCs w:val="1"/>
                <w:color w:val="auto"/>
              </w:rPr>
            </w:pPr>
          </w:p>
        </w:tc>
      </w:tr>
      <w:tr>
        <w:trPr>
          <w:trHeight w:val="260"/>
        </w:trPr>
        <w:tc>
          <w:tcPr>
            <w:tcW w:w="4840" w:type="dxa"/>
            <w:vAlign w:val="bottom"/>
          </w:tcPr>
          <w:p>
            <w:pPr>
              <w:ind w:left="280"/>
              <w:spacing w:after="0"/>
              <w:rPr>
                <w:sz w:val="20"/>
                <w:szCs w:val="20"/>
                <w:color w:val="auto"/>
              </w:rPr>
            </w:pPr>
            <w:r>
              <w:rPr>
                <w:rFonts w:ascii="Arial" w:cs="Arial" w:eastAsia="Arial" w:hAnsi="Arial"/>
                <w:sz w:val="16"/>
                <w:szCs w:val="16"/>
                <w:color w:val="auto"/>
              </w:rPr>
              <w:t>Warrants (issued in conjunction with Notes due 2024)</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2,641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2024</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3,353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840" w:type="dxa"/>
            <w:vAlign w:val="bottom"/>
          </w:tcPr>
          <w:p>
            <w:pPr>
              <w:ind w:left="280"/>
              <w:spacing w:after="0"/>
              <w:rPr>
                <w:sz w:val="20"/>
                <w:szCs w:val="20"/>
                <w:color w:val="auto"/>
              </w:rPr>
            </w:pPr>
            <w:r>
              <w:rPr>
                <w:rFonts w:ascii="Arial" w:cs="Arial" w:eastAsia="Arial" w:hAnsi="Arial"/>
                <w:sz w:val="16"/>
                <w:szCs w:val="16"/>
                <w:color w:val="auto"/>
              </w:rPr>
              <w:t>Notes due 2023</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8,734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10,209</w:t>
            </w:r>
          </w:p>
        </w:tc>
        <w:tc>
          <w:tcPr>
            <w:tcW w:w="0" w:type="dxa"/>
            <w:vAlign w:val="bottom"/>
          </w:tcPr>
          <w:p>
            <w:pPr>
              <w:spacing w:after="0"/>
              <w:rPr>
                <w:sz w:val="1"/>
                <w:szCs w:val="1"/>
                <w:color w:val="auto"/>
              </w:rPr>
            </w:pPr>
          </w:p>
        </w:tc>
      </w:tr>
      <w:tr>
        <w:trPr>
          <w:trHeight w:val="204"/>
        </w:trPr>
        <w:tc>
          <w:tcPr>
            <w:tcW w:w="48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common shares outstanding for diluted</w:t>
            </w: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125,603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130,737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138,910</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129,400</w:t>
            </w:r>
          </w:p>
        </w:tc>
        <w:tc>
          <w:tcPr>
            <w:tcW w:w="0" w:type="dxa"/>
            <w:vAlign w:val="bottom"/>
          </w:tcPr>
          <w:p>
            <w:pPr>
              <w:spacing w:after="0"/>
              <w:rPr>
                <w:sz w:val="1"/>
                <w:szCs w:val="1"/>
                <w:color w:val="auto"/>
              </w:rPr>
            </w:pPr>
          </w:p>
        </w:tc>
      </w:tr>
      <w:tr>
        <w:trPr>
          <w:trHeight w:val="198"/>
        </w:trPr>
        <w:tc>
          <w:tcPr>
            <w:tcW w:w="4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calculation</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net income (loss) per share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per share, 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 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27</w:t>
      </w:r>
    </w:p>
    <w:p>
      <w:pPr>
        <w:sectPr>
          <w:pgSz w:w="11900" w:h="16838" w:orient="portrait"/>
          <w:cols w:equalWidth="0" w:num="1">
            <w:col w:w="11240"/>
          </w:cols>
          <w:pgMar w:left="320" w:top="229" w:right="339" w:bottom="1440" w:gutter="0" w:footer="0" w:header="0"/>
          <w:type w:val="continuous"/>
        </w:sectPr>
      </w:pPr>
    </w:p>
    <w:bookmarkStart w:id="29" w:name="page30"/>
    <w:bookmarkEnd w:id="2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560" w:type="dxa"/>
            <w:vAlign w:val="bottom"/>
            <w:gridSpan w:val="4"/>
          </w:tcPr>
          <w:p>
            <w:pPr>
              <w:jc w:val="center"/>
              <w:ind w:left="3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2000" w:type="dxa"/>
            <w:vAlign w:val="bottom"/>
            <w:tcBorders>
              <w:bottom w:val="single" w:sz="8" w:color="auto"/>
            </w:tcBorders>
            <w:gridSpan w:val="3"/>
          </w:tcPr>
          <w:p>
            <w:pPr>
              <w:jc w:val="center"/>
              <w:ind w:left="982"/>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63"/>
        </w:trPr>
        <w:tc>
          <w:tcPr>
            <w:tcW w:w="5080" w:type="dxa"/>
            <w:vAlign w:val="bottom"/>
          </w:tcPr>
          <w:p>
            <w:pPr>
              <w:spacing w:after="0"/>
              <w:rPr>
                <w:sz w:val="22"/>
                <w:szCs w:val="22"/>
                <w:color w:val="auto"/>
              </w:rPr>
            </w:pPr>
          </w:p>
        </w:tc>
        <w:tc>
          <w:tcPr>
            <w:tcW w:w="14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6"/>
              </w:rPr>
              <w:t>2019</w:t>
            </w:r>
          </w:p>
        </w:tc>
      </w:tr>
      <w:tr>
        <w:trPr>
          <w:trHeight w:val="204"/>
        </w:trPr>
        <w:tc>
          <w:tcPr>
            <w:tcW w:w="5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stock-based awards</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6,459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Warrants (issued in conjunction with Notes due 2024)</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2024</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Warrants (issued in conjunction with Notes due 2025)</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3,430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2025</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5080" w:type="dxa"/>
            <w:vAlign w:val="bottom"/>
          </w:tcPr>
          <w:p>
            <w:pPr>
              <w:ind w:left="40"/>
              <w:spacing w:after="0"/>
              <w:rPr>
                <w:sz w:val="20"/>
                <w:szCs w:val="20"/>
                <w:color w:val="auto"/>
              </w:rPr>
            </w:pPr>
            <w:r>
              <w:rPr>
                <w:rFonts w:ascii="Arial" w:cs="Arial" w:eastAsia="Arial" w:hAnsi="Arial"/>
                <w:sz w:val="16"/>
                <w:szCs w:val="16"/>
                <w:color w:val="auto"/>
              </w:rPr>
              <w:t>Notes due 2023</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50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20,770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had a net loss for the three months ended June 30, 2020, hence all common stock issuable under stock options, RSUs, PSUs, and shares to be purchased under the ESPP, the Notes due 2023, the Notes due 2024 and, warrants issued in conjunction with the Notes due 2024, Notes due 2025 and warrants issued in conjunction with the Notes due 2025 were excluded because including such shares would have been antidilutive. Diluted earnings per share for the six months ended June 30, 2020 includes the dilutive effect of stock options, RSUs, PSUs, and shares to be purchased under the ESPP, the Notes due 2023, the Notes due 2024 and warrants issued in conjunction with the Notes due 2024. Certain common stock issuable under stock options, RSUs, PSUs, Notes due 2025 and warrants issued in conjunction with the Notes due 2025 have been omitted from the diluted net income per share calculation because including such shares would have been antidilutive.</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Diluted earnings per share for the three and six months ended June 30, 2019 includes the dilutive effect of stock options, RSUs, PSUs, and shares to be purchased under the ESPP and the Notes due 2023. Certain common stock issuable under stock options, RSUs and PSUs have been omitted from the diluted net income per share calculation because including such shares would have been antidilutive.</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Since the Company has the intent and ability to settle the aggregate principal amount of the Notes due 2024 and Notes due 2025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and Notes due 2025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 per share and $81.54 per share for the Notes due 2024 and Notes due 2025, respectively.</w:t>
      </w:r>
    </w:p>
    <w:p>
      <w:pPr>
        <w:spacing w:after="0" w:line="23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2018, a member of the Company’s board of directors and one of its principal stockholders, Thurman John Rodgers, purchased $5.0 million aggregate principal amount of the Notes due 2023 in a concurrent private placement. As of both June 30, 2020 and December 31, 2019, $5.0 million aggregate principal amount of the Notes due 2023 were outstanding. See Note 8.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28</w:t>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the impact of the COVID-19 pandemic,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impact of current litigation on our business, results of operation, financial position or cash flows,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fiscal year ended December 31,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global energy technology company. We deliver smart, easy-to-use solutions that manage solar generation, storage and communication on one intelligent platform. We revolutionized the solar industry with our microinverter technology and we produce a fully integrated solar-plus-storage solution. We have shipped more than 28 million microinverters, and over 1.2 million Enphase residential and commercial systems have been deployed in more than 130 countries.</w:t>
      </w:r>
    </w:p>
    <w:p>
      <w:pPr>
        <w:spacing w:after="0" w:line="9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sell our solutions primarily to distributors who resell them to solar installers. We also sell directly to large installers, OEMs, strategic partners and homeowners. Our revenue in the first quarter of 2020 was positively impacted by the scheduled phase-down of the investment tax credit for solar projects under Section 48(a) (the “ITC”) of the Internal Revenue Code of 1986, as amended (the “Code”). The historical ITC percentage has decreased from 30% to 26% of the basis of a solar energy system that began construction during 2020, 22% for 2021, and zero for residential and 10% for commercial if construction begins after 2021 or if the solar energy system is placed into service after 2023.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Safe harbor prepayments from customers in the fourth quarter of 2019 resulted in $44.5 million of revenue recognized in the first quarter of 2020 when we delivered the product.</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March 9, 2020, we issued $320.0 million aggregate principal amount of our Convertible Senior Notes due 2025 (the “Notes due 2025”) in a private placement. The Notes due 2025 are general unsecured obligations and bear interest at a rate of 0.25% per year, payable semi-annually on March 1 and September 1 of each year, beginning on September 1, 2020. The Notes due 2025 will mature on March 1, 2025, unless earlier repurchased by us or converted at the option of the holders. Further information relating to the Notes due 2025 may be found in Note 8, “Debt,” of the notes to condensed consolidated financial statements included in Part I, Item 1 of this Form 10-Q and below under “Liquidity and Capital Resources.”</w:t>
      </w:r>
    </w:p>
    <w:p>
      <w:pPr>
        <w:spacing w:after="0" w:line="10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Since late September 2018, we have paid tariffs imposed on the microinverters by the China Section 301 Tariff Actions (“Section 301 Tariffs”) taken by the Office of the United States Trade Representative (the “USTR”). We have sought refunds on tariffs previously paid on certain microinverter products that fit the dimensions and weight limits within a Section 301 Tariff exclusion under U.S. note 20(ss)(40) to subchapter III of chapter 99 of the Harmonized Tariff Schedule of the United States (the “Tariff Exclusion”). There is no material impact on our condensed consolidated statements of operations for the three and six months ended June 30, 2020. We expect there will be a positive material impact on our financial statements if all of the requested refunds are approved in the future, totaling approximately $39 million plus accrued interest. The Tariff Exclusion expires on August 7, 2020, and we have filed a comment with the USTR supporting an extension of the Tariff Exclusion. We continue to pay Section 301 Tariffs on our storage and communication products and other accessories imported from China which are not subject to the Tariff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220980</wp:posOffset>
            </wp:positionV>
            <wp:extent cx="6943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29</w:t>
      </w:r>
    </w:p>
    <w:p>
      <w:pPr>
        <w:sectPr>
          <w:pgSz w:w="11900" w:h="16838" w:orient="portrait"/>
          <w:cols w:equalWidth="0" w:num="1">
            <w:col w:w="11240"/>
          </w:cols>
          <w:pgMar w:left="320" w:top="283" w:right="339" w:bottom="1440" w:gutter="0" w:footer="0" w:header="0"/>
        </w:sectPr>
      </w:pPr>
    </w:p>
    <w:bookmarkStart w:id="31" w:name="page32"/>
    <w:bookmarkEnd w:id="3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ongoing worldwide COVID-19 pandemic (“COVID-19”) continues to spread globally and cause disruptions and uncertainties, including in the core markets in which we operate. The COVID-19 pandemic has significantly curtailed the movement of people, goods and services and had a notable impact on general economic conditions, including but not limited to the temporary closures of many businesses, “shelter in place” orders and other governmental regulations, and reduced consumer spending. The most significant near-term impacts of COVID-19 on our financial performance are a decline in sales orders as future residential and commercial system owners are canceling sales meetings with system installation professionals or postponing system installations. As the purchase of new solar energy management solutions declines as part of the impact of COVID-19 on consumer spending, many businesses through which we distribute our products are working at limited operational capacity. The extent of the impact of COVID-19 on our future operational and financial performance will depend on various future developments, including the duration and spread of the outbreak, impact on our employees, impact on our customers, effect on our sales cycles or costs, and effect on our supply chain and vendors, all of which are uncertain and cannot be predicted, but which could have a material adverse effect on our business, results of operations or financial condition. Further information relating to the risks and uncertainties related to the ongoing COVID-19 pandemic may be found in Part II, Item 1A “Risk Factors” of this Form 10-Q, as well as in the “Risk Factors” section in our 2019 Annual Report on Form 10-K that could be heightened due to duration and spread, among other impacts of the pandemic.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central inverter system using string modules, with or without an optimizer, approach that only converts energy of the entire array of solar modules from a single high voltage electrical unit and lacks intelligence about the energy producing capacity of the solar array.</w:t>
      </w:r>
    </w:p>
    <w:p>
      <w:pPr>
        <w:spacing w:after="0" w:line="20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Enphase Home Energy Solution with IQ™ platform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integrated approach to energy management helps to facilitate ease of installation and optimizing a home’s energy usage. Enphase’s Always-On connected system also provides advanced monitoring and remote maintenance capabilities. The Enphase Home Energy Solution with IQ uses a single technology platform for seamless management of the whole solution, enabling rapid commissioning with the Installer Toolkit™; consumption monitoring with our Enphase Combiner 3C™ that includes the Envoy™ Communications Gateway, Enphase Enlighten™, a cloud-based energy management platform, Enphase IQ Combiner 3C™, designed to provide an uninterrupted connectivity to Enphase Enlighten, and our Enphase AC Battery™. System owners can use Enphase Enlighten to monitor their home’s solar generation, energy storage and consumption from any web-enabled device. Unlike some of our competitors, who utilize a traditional inverter, or offer separate components of solutions, we have built-in system redundancy in both photovoltaic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2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Enphase IQ 7™ microinverter and Enphase IQ 7+™ microinverter, part of our seventh-generation IQ™ product family, support high-powered 60-cell and 72-cell solar modules and integrate with alternating current (“AC”) modules. Our IQ 7X™ product addresses 96-cell PV modules up to 400W direct current (“DC”) and with its 97.5 percent California Energy Commission (“CEC”) efficiency rating, is ideal for integration into high power modules. Our IQ 7A™ microinverters are for solar modules up to 450 W, targeting high-power residential and commercial applications. Our customers should be able to pair the IQ 7A microinverter with monofacial or bifacial solar modules, up to 450 W, from solar module manufacturers who are expected to introduce high-power variants of their products in the next three years.</w:t>
      </w:r>
    </w:p>
    <w:p>
      <w:pPr>
        <w:spacing w:after="0" w:line="2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AC Module (ACM) products are integrated systems which allow installers to be more competitive through improved logistics, reduced installation times, faster inspection and training. We continued to make steady progress during the second quarter of 2020 with our ACM partners, including SunPower, Panasonic Corporation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30</w:t>
      </w:r>
    </w:p>
    <w:p>
      <w:pPr>
        <w:sectPr>
          <w:pgSz w:w="11900" w:h="16838" w:orient="portrait"/>
          <w:cols w:equalWidth="0" w:num="1">
            <w:col w:w="11240"/>
          </w:cols>
          <w:pgMar w:left="320" w:top="283" w:right="339" w:bottom="1440" w:gutter="0" w:footer="0" w:header="0"/>
        </w:sectPr>
      </w:pPr>
    </w:p>
    <w:bookmarkStart w:id="32" w:name="page33"/>
    <w:bookmarkEnd w:id="3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LONGi Solar, and Solaria Corporation. We announced a strategic partnership with Hanwha Q CELLS in the second quarter of 2020 to develop Enphase Energized™ Q CELLS ACM products based on seventh-generation Enphase IQ microinverters. The first Enphase Energized Q CELLS ACM products are now available from major distributors in the U.S. We announced in July 2020 a strategic partnership with SunPower to produce the new Enphase Energized™ Maxeon ACM, based on our seventh-generation Enphase IQ microinverters. The ACM will be commercialized by Maxeon Solar Technologies, the planned spin-off from SunPower, and will be available to residential customers in key international markets through authorized installer networks and distributors starting in the fourth quarter of 2020.</w:t>
      </w:r>
    </w:p>
    <w:p>
      <w:pPr>
        <w:spacing w:after="0" w:line="20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next-generation battery in North America is Enphase Encharge 3™ or Encharge 10™ storage systems, with usable and scalable capacity of 3.4 kWh and 10.1 kWh, respectively. Enphase Encharge™ storage systems feature Enphase embedded grid-forming microinverters that enable the Always-On capability that keeps homes powered when the grid goes down, and the ability to save money when the grid is up. These systems are compatible with both new and existing Enphase IQ solar systems with IQ 6™ or IQ 7™ microinverters and provide a simple upgrade path for our existing solar customers. We started shipping Enphase Encharge products in the second quarter of 2020.</w:t>
      </w:r>
    </w:p>
    <w:p>
      <w:pPr>
        <w:spacing w:after="0" w:line="2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next-generation IQ 8™ system is based upon our Always On Enphase Ensemble™ energy management technology. This system has five components: 1) energy generation, which is accomplished with the grid-agnostic microinverter IQ 8; 2) energy storage, which is achieved by the Encharge™ battery with capacities of 3.4 kWh and 10.1 kWh; 3) Enpower™ smart switch, which includes a microgrid interconnect device (MID); 4) communication and control via the combiner box with the Envoy gateway; and 5) Enlighten, which is the internet of things, or IoT, cloud software.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 in</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3"/>
        </w:trPr>
        <w:tc>
          <w:tcPr>
            <w:tcW w:w="1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r>
      <w:tr>
        <w:trPr>
          <w:trHeight w:val="173"/>
        </w:trPr>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gridSpan w:val="5"/>
          </w:tcPr>
          <w:p>
            <w:pPr>
              <w:jc w:val="right"/>
              <w:ind w:right="186"/>
              <w:spacing w:after="0"/>
              <w:rPr>
                <w:sz w:val="20"/>
                <w:szCs w:val="20"/>
                <w:color w:val="auto"/>
              </w:rPr>
            </w:pPr>
            <w:r>
              <w:rPr>
                <w:rFonts w:ascii="Arial" w:cs="Arial" w:eastAsia="Arial" w:hAnsi="Arial"/>
                <w:sz w:val="13"/>
                <w:szCs w:val="13"/>
                <w:i w:val="1"/>
                <w:iCs w:val="1"/>
                <w:color w:val="auto"/>
              </w:rPr>
              <w:t>(In thousands, except percentages)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84"/>
        </w:trPr>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125,538</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134,094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(8,556)</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331,083</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234,244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96,839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revenues decreased by 6% or $8.6 million for the three months ended June 30, 2020, as compared to the same period in 2019, primarily due to the 15% decrease in microinverter unit volume shipped as a result of a decline in sales orders during the COVID-19 pandemic. We sold approximately 1,088 thousand microinverter units in the three months ended June 30, 2020, as compared to approximately 1,284 thousand units in the same period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Net revenues increased by 41% or $96.8 million for the six months ended June 30, 2020, as compared to the same period in 2019, primarily due to the 37% increase in microinverter unit volume shipped primarily as a result of business growth in the U.S. as well as higher units shipped in the first quarter of 2020 as our customers took advantage of safe harbor guidance from the IRS. We sold approximately 3,100 thousand microinverter units in the six months ended June 30, 2020, as compared to approximately 2,260 thousand units in the same period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31</w:t>
      </w:r>
    </w:p>
    <w:p>
      <w:pPr>
        <w:sectPr>
          <w:pgSz w:w="11900" w:h="16838" w:orient="portrait"/>
          <w:cols w:equalWidth="0" w:num="1">
            <w:col w:w="11240"/>
          </w:cols>
          <w:pgMar w:left="320" w:top="283" w:right="339" w:bottom="1440" w:gutter="0" w:footer="0" w:header="0"/>
        </w:sectPr>
      </w:pPr>
    </w:p>
    <w:bookmarkStart w:id="33" w:name="page34"/>
    <w:bookmarkEnd w:id="3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1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20" w:type="dxa"/>
            <w:vAlign w:val="bottom"/>
            <w:tcBorders>
              <w:bottom w:val="single" w:sz="8" w:color="auto"/>
            </w:tcBorders>
          </w:tcPr>
          <w:p>
            <w:pPr>
              <w:spacing w:after="0"/>
              <w:rPr>
                <w:sz w:val="17"/>
                <w:szCs w:val="17"/>
                <w:color w:val="auto"/>
              </w:rPr>
            </w:pPr>
          </w:p>
        </w:tc>
      </w:tr>
      <w:tr>
        <w:trPr>
          <w:trHeight w:val="264"/>
        </w:trPr>
        <w:tc>
          <w:tcPr>
            <w:tcW w:w="1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6"/>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w:t>
            </w:r>
          </w:p>
        </w:tc>
      </w:tr>
      <w:tr>
        <w:trPr>
          <w:trHeight w:val="173"/>
        </w:trPr>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spacing w:after="0"/>
              <w:rPr>
                <w:sz w:val="20"/>
                <w:szCs w:val="20"/>
                <w:color w:val="auto"/>
              </w:rPr>
            </w:pPr>
            <w:r>
              <w:rPr>
                <w:rFonts w:ascii="Arial" w:cs="Arial" w:eastAsia="Arial" w:hAnsi="Arial"/>
                <w:sz w:val="13"/>
                <w:szCs w:val="13"/>
                <w:i w:val="1"/>
                <w:iCs w:val="1"/>
                <w:color w:val="auto"/>
              </w:rPr>
              <w:t>(In thousands, except percentages)</w:t>
            </w: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83"/>
        </w:trPr>
        <w:tc>
          <w:tcPr>
            <w:tcW w:w="1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70"/>
        </w:trPr>
        <w:tc>
          <w:tcPr>
            <w:tcW w:w="1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revenues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77,151</w:t>
            </w:r>
          </w:p>
        </w:tc>
        <w:tc>
          <w:tcPr>
            <w:tcW w:w="66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88,775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rPr>
              <w:t>(11,624)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202,021</w:t>
            </w:r>
          </w:p>
        </w:tc>
        <w:tc>
          <w:tcPr>
            <w:tcW w:w="6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155,586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46,435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0"/>
        </w:trPr>
        <w:tc>
          <w:tcPr>
            <w:tcW w:w="168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700" w:type="dxa"/>
            <w:vAlign w:val="bottom"/>
          </w:tcPr>
          <w:p>
            <w:pPr>
              <w:jc w:val="right"/>
              <w:spacing w:after="0"/>
              <w:rPr>
                <w:sz w:val="20"/>
                <w:szCs w:val="20"/>
                <w:color w:val="auto"/>
              </w:rPr>
            </w:pPr>
            <w:r>
              <w:rPr>
                <w:rFonts w:ascii="Arial" w:cs="Arial" w:eastAsia="Arial" w:hAnsi="Arial"/>
                <w:sz w:val="16"/>
                <w:szCs w:val="16"/>
                <w:color w:val="auto"/>
              </w:rPr>
              <w:t>48,387</w:t>
            </w:r>
          </w:p>
        </w:tc>
        <w:tc>
          <w:tcPr>
            <w:tcW w:w="660" w:type="dxa"/>
            <w:vAlign w:val="bottom"/>
          </w:tcPr>
          <w:p>
            <w:pPr>
              <w:spacing w:after="0"/>
              <w:rPr>
                <w:sz w:val="22"/>
                <w:szCs w:val="22"/>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45,319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46"/>
              <w:spacing w:after="0"/>
              <w:rPr>
                <w:sz w:val="20"/>
                <w:szCs w:val="20"/>
                <w:color w:val="auto"/>
              </w:rPr>
            </w:pPr>
            <w:r>
              <w:rPr>
                <w:rFonts w:ascii="Arial" w:cs="Arial" w:eastAsia="Arial" w:hAnsi="Arial"/>
                <w:sz w:val="16"/>
                <w:szCs w:val="16"/>
                <w:color w:val="auto"/>
              </w:rPr>
              <w:t>3,068</w:t>
            </w:r>
          </w:p>
        </w:tc>
        <w:tc>
          <w:tcPr>
            <w:tcW w:w="68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129,062</w:t>
            </w:r>
          </w:p>
        </w:tc>
        <w:tc>
          <w:tcPr>
            <w:tcW w:w="680" w:type="dxa"/>
            <w:vAlign w:val="bottom"/>
          </w:tcPr>
          <w:p>
            <w:pPr>
              <w:spacing w:after="0"/>
              <w:rPr>
                <w:sz w:val="22"/>
                <w:szCs w:val="22"/>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color w:val="auto"/>
              </w:rPr>
              <w:t>78,658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44"/>
              <w:spacing w:after="0"/>
              <w:rPr>
                <w:sz w:val="20"/>
                <w:szCs w:val="20"/>
                <w:color w:val="auto"/>
              </w:rPr>
            </w:pPr>
            <w:r>
              <w:rPr>
                <w:rFonts w:ascii="Arial" w:cs="Arial" w:eastAsia="Arial" w:hAnsi="Arial"/>
                <w:sz w:val="16"/>
                <w:szCs w:val="16"/>
                <w:color w:val="auto"/>
              </w:rPr>
              <w:t>50,404</w:t>
            </w:r>
          </w:p>
        </w:tc>
        <w:tc>
          <w:tcPr>
            <w:tcW w:w="6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80"/>
        </w:trPr>
        <w:tc>
          <w:tcPr>
            <w:tcW w:w="1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360" w:type="dxa"/>
            <w:vAlign w:val="bottom"/>
            <w:gridSpan w:val="2"/>
            <w:shd w:val="clear" w:color="auto" w:fill="CCEEFF"/>
          </w:tcPr>
          <w:p>
            <w:pPr>
              <w:jc w:val="right"/>
              <w:ind w:right="444"/>
              <w:spacing w:after="0"/>
              <w:rPr>
                <w:sz w:val="20"/>
                <w:szCs w:val="20"/>
                <w:color w:val="auto"/>
              </w:rPr>
            </w:pPr>
            <w:r>
              <w:rPr>
                <w:rFonts w:ascii="Arial" w:cs="Arial" w:eastAsia="Arial" w:hAnsi="Arial"/>
                <w:sz w:val="16"/>
                <w:szCs w:val="16"/>
                <w:color w:val="auto"/>
              </w:rPr>
              <w:t>38.5%</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39.0%</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decreased by 13% or $11.6 million for the three months ended June 30, 2020, as compared to the same period in 2019, primarily due to lower volume of microinverter units sold as a result of a decline in sales orders during the COVID-19 pandemic, as well as a decrease in the unit cost of our products as a result of our cost reduction efforts. Gross margin increased by 4.7 percentage points for the three months ended June 30, 2020, as compared to the same period in 2019. The increase in gross margin was primarily attributable to our overall pricing and cost management efforts, including the transition of our contract manufacturing to Mexico to mitigate tariffs, partially offset by a higher fixed costs per unit due to lower volume. IQ 7 sales represented almost 100% of our total microinverter sales for the three months ended June 30, 2020, as compared to 98% of our total microinverter sales in in the same period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increased by 30% or $46.4 million for the six months ended June 30, 2020, as compared to the same period in 2019, primarily due to higher volume of microinverter units sold primarily as a result of business growth in the U.S., as well as higher units shipped in the first quarter of 2020 as our customers took advantage of safe harbor guidance from the IRS, partially offset by a decrease in the unit cost of our products as a result of our cost reduction efforts. Gross margin increased by 5.4 percentage points for the six months ended June 30, 2020, as compared to the same period in 2019. The increase in gross margin was primarily attributable to our overall pricing and cost management efforts, including the transition of our contract manufacturing to Mexico to mitigate tariffs. IQ 7 sales represented almost 100% of our total microinverter sales for the six months ended June 30, 2020, as compared to 96% of our total microinverter sales in in the same period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r>
      <w:tr>
        <w:trPr>
          <w:trHeight w:val="263"/>
        </w:trPr>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173"/>
        </w:trPr>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gridSpan w:val="5"/>
          </w:tcPr>
          <w:p>
            <w:pPr>
              <w:jc w:val="right"/>
              <w:ind w:right="224"/>
              <w:spacing w:after="0"/>
              <w:rPr>
                <w:sz w:val="20"/>
                <w:szCs w:val="20"/>
                <w:color w:val="auto"/>
              </w:rPr>
            </w:pPr>
            <w:r>
              <w:rPr>
                <w:rFonts w:ascii="Arial" w:cs="Arial" w:eastAsia="Arial" w:hAnsi="Arial"/>
                <w:sz w:val="13"/>
                <w:szCs w:val="13"/>
                <w:i w:val="1"/>
                <w:iCs w:val="1"/>
                <w:color w:val="auto"/>
              </w:rPr>
              <w:t>(In thousands, except percentages)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84"/>
        </w:trPr>
        <w:tc>
          <w:tcPr>
            <w:tcW w:w="1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8"/>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4"/>
        </w:trPr>
        <w:tc>
          <w:tcPr>
            <w:tcW w:w="1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development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13,192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3,588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  $</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25,068</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18,128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6,940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8"/>
        </w:trPr>
        <w:tc>
          <w:tcPr>
            <w:tcW w:w="1520" w:type="dxa"/>
            <w:vAlign w:val="bottom"/>
          </w:tcPr>
          <w:p>
            <w:pPr>
              <w:ind w:left="40"/>
              <w:spacing w:after="0"/>
              <w:rPr>
                <w:sz w:val="20"/>
                <w:szCs w:val="20"/>
                <w:color w:val="auto"/>
              </w:rPr>
            </w:pPr>
            <w:r>
              <w:rPr>
                <w:rFonts w:ascii="Arial" w:cs="Arial" w:eastAsia="Arial" w:hAnsi="Arial"/>
                <w:sz w:val="16"/>
                <w:szCs w:val="16"/>
                <w:color w:val="auto"/>
              </w:rPr>
              <w:t>Percentage of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15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8%</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Research and development expense increased by 37% or $3.6 million for the three months ended June 30, 2020, as compared to the same period in 2019. The increase was primarily due to $ 2.6 million higher personnel-related expenses and $ 0.9 million of outside consulting and engineering services associated with the innovation and development, introduction and qualification of new products. The increase in personnel-related expenses was primarily due to hiring employees in New Zealand, India and U.S., increasing total compensation costs. The amount of research and development expenses may fluctuate from period to period due to differing levels and stages of development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276860</wp:posOffset>
            </wp:positionV>
            <wp:extent cx="6943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32</w:t>
      </w:r>
    </w:p>
    <w:p>
      <w:pPr>
        <w:sectPr>
          <w:pgSz w:w="11900" w:h="16838" w:orient="portrait"/>
          <w:cols w:equalWidth="0" w:num="1">
            <w:col w:w="11240"/>
          </w:cols>
          <w:pgMar w:left="320" w:top="283" w:right="339" w:bottom="1440" w:gutter="0" w:footer="0" w:header="0"/>
        </w:sectPr>
      </w:pPr>
    </w:p>
    <w:bookmarkStart w:id="34" w:name="page35"/>
    <w:bookmarkEnd w:id="3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Research and development expense increased by 38% or $6.9 million for the six months ended June 30, 2020, as compared to the same period in 2019. The increase was primarily due to $ 5.5 million higher personnel-related expenses and $ 1.5 million of outside consulting and engineering services associated with the innovation and development, introduction and qualification of new products. The increase in personnel-related expenses was primarily due to hiring employees in New Zealand, India and US, increasing total compensation costs. The amount of research and development expenses may fluctuate from period to period due to differing levels and stages of development activity.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r>
      <w:tr>
        <w:trPr>
          <w:trHeight w:val="264"/>
        </w:trPr>
        <w:tc>
          <w:tcPr>
            <w:tcW w:w="1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173"/>
        </w:trPr>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gridSpan w:val="5"/>
          </w:tcPr>
          <w:p>
            <w:pPr>
              <w:jc w:val="right"/>
              <w:ind w:right="224"/>
              <w:spacing w:after="0"/>
              <w:rPr>
                <w:sz w:val="20"/>
                <w:szCs w:val="20"/>
                <w:color w:val="auto"/>
              </w:rPr>
            </w:pPr>
            <w:r>
              <w:rPr>
                <w:rFonts w:ascii="Arial" w:cs="Arial" w:eastAsia="Arial" w:hAnsi="Arial"/>
                <w:sz w:val="13"/>
                <w:szCs w:val="13"/>
                <w:i w:val="1"/>
                <w:iCs w:val="1"/>
                <w:color w:val="auto"/>
              </w:rPr>
              <w:t>(In thousands, except percentages)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83"/>
        </w:trPr>
        <w:tc>
          <w:tcPr>
            <w:tcW w:w="1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8"/>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4"/>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12,371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3,317</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  $</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24,143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16,487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7,656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8"/>
        </w:trPr>
        <w:tc>
          <w:tcPr>
            <w:tcW w:w="1500" w:type="dxa"/>
            <w:vAlign w:val="bottom"/>
          </w:tcPr>
          <w:p>
            <w:pPr>
              <w:ind w:left="40"/>
              <w:spacing w:after="0"/>
              <w:rPr>
                <w:sz w:val="20"/>
                <w:szCs w:val="20"/>
                <w:color w:val="auto"/>
              </w:rPr>
            </w:pPr>
            <w:r>
              <w:rPr>
                <w:rFonts w:ascii="Arial" w:cs="Arial" w:eastAsia="Arial" w:hAnsi="Arial"/>
                <w:sz w:val="16"/>
                <w:szCs w:val="16"/>
                <w:color w:val="auto"/>
              </w:rPr>
              <w:t>Percentage of net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15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and marketing expense increased by 37% or $3.3 million for the three months ended June 30, 2020 as compared to the same period in 2019. The increase was primarily due to $ 3.3 million of higher personnel-related expenses as a result of our efforts to improve customer experience by hiring additional employees to reduce the average call wait time for customers, as well as support our business growth in the U.S. and international expansion in Europe, and $0.3 million for a combination of higher professional services, advertising and marketing expenditures to enable business growth, partially offset by $0.4 million reduction in travel expenditure as we implemented travel restrictions prohibiting all non-essential business travel and converting where possible our in-person sales, trainings and marketing events to virtual-only due to COVID-19.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and marketing expense increased by 46% or $7.7 million for the six months ended June 30, 2020 as compared to the same period in 2019. The increase was primarily due to $6.3 million of higher personnel-related expenses as result of our efforts to improve customer experience by hiring additional employees to reduce the average call wait time for customers, as well as support our business growth in the U.S. and international expansion in Europe, and $1.3 million for a combination of higher professional services, advertising and marketing expenditures to enable business growth, partially offset by $0.2 million reduction in travel expenditure as we implemented travel restrictions prohibiting all non-essential business travel and converting where possible our in-person sales, trainings and marketing events to virtual-only due to COVID-19.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r>
      <w:tr>
        <w:trPr>
          <w:trHeight w:val="263"/>
        </w:trPr>
        <w:tc>
          <w:tcPr>
            <w:tcW w:w="1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173"/>
        </w:trPr>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5"/>
          </w:tcPr>
          <w:p>
            <w:pPr>
              <w:jc w:val="right"/>
              <w:ind w:right="224"/>
              <w:spacing w:after="0"/>
              <w:rPr>
                <w:sz w:val="20"/>
                <w:szCs w:val="20"/>
                <w:color w:val="auto"/>
              </w:rPr>
            </w:pPr>
            <w:r>
              <w:rPr>
                <w:rFonts w:ascii="Arial" w:cs="Arial" w:eastAsia="Arial" w:hAnsi="Arial"/>
                <w:sz w:val="13"/>
                <w:szCs w:val="13"/>
                <w:i w:val="1"/>
                <w:iCs w:val="1"/>
                <w:color w:val="auto"/>
              </w:rPr>
              <w:t>(In thousands, except percentages)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84"/>
        </w:trPr>
        <w:tc>
          <w:tcPr>
            <w:tcW w:w="1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8"/>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4"/>
        </w:trPr>
        <w:tc>
          <w:tcPr>
            <w:tcW w:w="1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administrative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11,970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8,583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3,387</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  $</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24,285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18,463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5,822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8"/>
        </w:trPr>
        <w:tc>
          <w:tcPr>
            <w:tcW w:w="1540" w:type="dxa"/>
            <w:vAlign w:val="bottom"/>
          </w:tcPr>
          <w:p>
            <w:pPr>
              <w:ind w:left="40"/>
              <w:spacing w:after="0"/>
              <w:rPr>
                <w:sz w:val="20"/>
                <w:szCs w:val="20"/>
                <w:color w:val="auto"/>
              </w:rPr>
            </w:pPr>
            <w:r>
              <w:rPr>
                <w:rFonts w:ascii="Arial" w:cs="Arial" w:eastAsia="Arial" w:hAnsi="Arial"/>
                <w:sz w:val="16"/>
                <w:szCs w:val="16"/>
                <w:color w:val="auto"/>
              </w:rPr>
              <w:t>Percentage of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154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and administrative expense increased 39% or $3.4 million for the three months ended June 30, 2020, as compared to the same period in 2019. The increase was primarily due to $2.6 million of higher personnel-related expenses, $0.6 million higher professional services and $0.3 million of higher facilities costs to support our business growth, partially offset by $0.2 million reduction in travel expenditures as we implemented travel restrictions prohibiting all non-essential business travel in response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33</w:t>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and administrative expense increased 32% or $5.8 million for the six months ended June 30, 2020, as compared to the same period in 2019. The increase was primarily due to $5.5 million of higher personnel-related expenses and $0.6 million of higher facilities costs to support our business growth, partially offset by $ 0.2 million reduction in travel expenditures as we implemented travel restrictions prohibiting all non-essential business travel in response to COVID-19.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92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 in</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50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15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r>
      <w:tr>
        <w:trPr>
          <w:trHeight w:val="173"/>
        </w:trPr>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gridSpan w:val="5"/>
          </w:tcPr>
          <w:p>
            <w:pPr>
              <w:jc w:val="right"/>
              <w:ind w:right="546"/>
              <w:spacing w:after="0"/>
              <w:rPr>
                <w:sz w:val="20"/>
                <w:szCs w:val="20"/>
                <w:color w:val="auto"/>
              </w:rPr>
            </w:pPr>
            <w:r>
              <w:rPr>
                <w:rFonts w:ascii="Arial" w:cs="Arial" w:eastAsia="Arial" w:hAnsi="Arial"/>
                <w:sz w:val="13"/>
                <w:szCs w:val="13"/>
                <w:i w:val="1"/>
                <w:iCs w:val="1"/>
                <w:color w:val="auto"/>
              </w:rPr>
              <w:t>(In thousands, except percentages)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3"/>
        </w:trPr>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18"/>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1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charges</w:t>
            </w:r>
          </w:p>
        </w:tc>
        <w:tc>
          <w:tcPr>
            <w:tcW w:w="78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   $</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(631)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  $</w:t>
            </w: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(999)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completed our 2018 restructuring plan in 2019, hence we incurred no restructuring expenses during the three months ended June 30, 2020. Restructuring charges for three months ended June 30, 2019 primarily included $0.6 million of one-time termination benefits and other employee-related expenses under our 2018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completed our 2018 restructuring plan in 2019, hence we incurred no restructuring expenses during the six months ended June 30, 2020. Restructuring expense for the six months ended June 30, 2019 primarily include $1.1 million of one-time termination benefits and other employee-related expenses under our 2018 Plan, partially offset by a $0.1 million reduction in lease loss reserve.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gridSpan w:val="6"/>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569</w:t>
            </w: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6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(4,601)</w:t>
            </w:r>
          </w:p>
        </w:tc>
        <w:tc>
          <w:tcPr>
            <w:tcW w:w="5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(4,005)</w:t>
            </w:r>
          </w:p>
        </w:tc>
        <w:tc>
          <w:tcPr>
            <w:tcW w:w="5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28"/>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6,133</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5,690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8"/>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Change in fair value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ind w:left="200"/>
              <w:spacing w:after="0"/>
              <w:rPr>
                <w:sz w:val="20"/>
                <w:szCs w:val="20"/>
                <w:color w:val="auto"/>
              </w:rPr>
            </w:pPr>
            <w:r>
              <w:rPr>
                <w:rFonts w:ascii="Arial" w:cs="Arial" w:eastAsia="Arial" w:hAnsi="Arial"/>
                <w:sz w:val="16"/>
                <w:szCs w:val="16"/>
                <w:color w:val="auto"/>
              </w:rPr>
              <w:t>of derivatives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(59,692)</w:t>
            </w:r>
          </w:p>
        </w:tc>
        <w:tc>
          <w:tcPr>
            <w:tcW w:w="520" w:type="dxa"/>
            <w:vAlign w:val="bottom"/>
          </w:tcPr>
          <w:p>
            <w:pPr>
              <w:spacing w:after="0"/>
              <w:rPr>
                <w:sz w:val="18"/>
                <w:szCs w:val="18"/>
                <w:color w:val="auto"/>
              </w:rPr>
            </w:pPr>
          </w:p>
        </w:tc>
        <w:tc>
          <w:tcPr>
            <w:tcW w:w="7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(44,348)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(44,348)</w:t>
            </w:r>
          </w:p>
        </w:tc>
        <w:tc>
          <w:tcPr>
            <w:tcW w:w="520" w:type="dxa"/>
            <w:vAlign w:val="bottom"/>
          </w:tcPr>
          <w:p>
            <w:pPr>
              <w:spacing w:after="0"/>
              <w:rPr>
                <w:sz w:val="18"/>
                <w:szCs w:val="18"/>
                <w:color w:val="auto"/>
              </w:rPr>
            </w:pPr>
          </w:p>
        </w:tc>
        <w:tc>
          <w:tcPr>
            <w:tcW w:w="7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26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(64,709)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(58,471)</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(52,353)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(10,259)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(42,094)</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Interest income of $0.3 million for the three months ended June 30, 2020 decreased, as compared to $0.6 million in the same period in 2019, primarily due to significant decline in interest rates earned on cash balances, partially offset by higher average cash balance earning interest in the three months ended June 30, 2020 compared to the same period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34</w:t>
      </w:r>
    </w:p>
    <w:p>
      <w:pPr>
        <w:sectPr>
          <w:pgSz w:w="11900" w:h="16838" w:orient="portrait"/>
          <w:cols w:equalWidth="0" w:num="1">
            <w:col w:w="11240"/>
          </w:cols>
          <w:pgMar w:left="320" w:top="283" w:right="339" w:bottom="1440" w:gutter="0" w:footer="0" w:header="0"/>
        </w:sectPr>
      </w:pPr>
    </w:p>
    <w:bookmarkStart w:id="36" w:name="page37"/>
    <w:bookmarkEnd w:id="3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Interest expense of $6.0 million for the three months ended June 30, 2020 primarily includes $5.8 million related to the accretion of the debt discount, amortization of debt issuance cost and coupon interest incurred associated with our Notes due 2024 and Notes due 2025, interest expense of $0.1 million related to coupon interest incurred and amortization of debt issuance costs associated with our Notes due 2023 and $0.1 million of interest expense related to long-term financing receivable recorded as debt and. Interest expense of $1.4 million for the three months ended June 30, 2019 primarily includes $0.6 million related to the accretion of the debt discount, amortization of debt issuance cost and coupon interest incurred associated with our Notes due 2024, interest expense of $0.6 million related to coupon interest incurred and amortization of debt issuance costs associated with our Notes due 2023 and $0.1 million interest expense related to long-term financing receivable recorded as debt.</w:t>
      </w:r>
    </w:p>
    <w:p>
      <w:pPr>
        <w:spacing w:after="0" w:line="2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Other (expense) income, net of $0.7 million for the three months ended June 30, 2020, relates to a net gain related to foreign currency exchange and remeasurement. Other (expense) income, net of $5.5 million for the three months ended June 30, 2019, primarily relates to the $6.0 million fees paid for the repurchase and exchange of our Notes due 2023, partially offset by a net gain related to foreign currency exchange and remeasurement of $0.5 million.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 in fair value of derivatives of $59.7 million in the three months ended June 30, 2020 primarily includes the charge recognized for the change in fair value of our convertible notes embedded derivative and warrants of $71.2 million and $57.7 million, respectively. This charge is partially offset by a gain recognized for the change in fair value of our convertible notes hedge of $69.2 million. See Note 8, “Debt,” of the notes to condensed consolidated financial statements included in Part I, Item 1 of this Form 10-Q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Interest income of $1.4 million the six months ended June 30, 2020 increased, as compared to $ 0.8 million in the same period in 2019, primarily due to interest earned on a higher average cash balance, partially offset by significant decline in interest rates.</w:t>
      </w:r>
    </w:p>
    <w:p>
      <w:pPr>
        <w:spacing w:after="0" w:line="19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Interest expense of $ 9.1 million for the six months ended June 30, 2020 primarily includes $8.7 million related to the accretion of the debt discount, amortization of debt issuance cost and coupon interest incurred associated with our Notes due 2024 and Notes due 2025, $0.3 million of interest expense related to long-term financing receivable recorded as debt and interest expense of $0.1 million related to coupon interest incurred and amortization of debt issuance costs associated with our Notes due 2023.. Interest expense of $5.1 million for the six months ended June 30, 2019 primarily includes $3.2 million related to the repayment of our term loans, interest expense of $1.4 million related to coupon interest incurred and amortization of debt issuance costs associated with our Notes due 2023, and $0.6 million related to the accretion of the debt discount, amortization of debt issuance cost and coupon interest incurred associated with our Notes due 2024.</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Other (expense) income, net of $0.3 million for the six months ended June 30, 2020 primarily relates to the net loss related to foreign currency exchange and remeasurement. Other (expense) income, net of $6.0 million for the six months ended June 30, 2019 primarily relates to the $6.0 million fees paid for the repurchase and exchange of our Notes due 2023.</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 in fair value of derivatives of $44.3 million for the six months ended June 30, 2020 primarily includes the charge recognized for the change in fair value of our convertible notes embedded derivative and warrants of $ 47.6 million and $24.7 million, respectively. This charge is partially offset by a gain recognized for the change in fair value of our convertible notes hedge of $28.0 million. See Note 8, “Debt,” of the notes to condensed consolidated financial statements included in Part I, Item 1 of this Form 10-Q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35</w:t>
      </w:r>
    </w:p>
    <w:p>
      <w:pPr>
        <w:sectPr>
          <w:pgSz w:w="11900" w:h="16838" w:orient="portrait"/>
          <w:cols w:equalWidth="0" w:num="1">
            <w:col w:w="11240"/>
          </w:cols>
          <w:pgMar w:left="320" w:top="283" w:right="339" w:bottom="1440" w:gutter="0" w:footer="0" w:header="0"/>
        </w:sectPr>
      </w:pPr>
    </w:p>
    <w:bookmarkStart w:id="37" w:name="page38"/>
    <w:bookmarkEnd w:id="3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left="506"/>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 in</w:t>
            </w:r>
          </w:p>
        </w:tc>
        <w:tc>
          <w:tcPr>
            <w:tcW w:w="260" w:type="dxa"/>
            <w:vAlign w:val="bottom"/>
          </w:tcPr>
          <w:p>
            <w:pPr>
              <w:spacing w:after="0"/>
              <w:rPr>
                <w:sz w:val="17"/>
                <w:szCs w:val="17"/>
                <w:color w:val="auto"/>
              </w:rPr>
            </w:pPr>
          </w:p>
        </w:tc>
        <w:tc>
          <w:tcPr>
            <w:tcW w:w="1280" w:type="dxa"/>
            <w:vAlign w:val="bottom"/>
            <w:gridSpan w:val="2"/>
          </w:tcPr>
          <w:p>
            <w:pPr>
              <w:jc w:val="center"/>
              <w:ind w:left="486"/>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ind w:left="54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7"/>
                <w:szCs w:val="17"/>
                <w:color w:val="auto"/>
              </w:rPr>
            </w:pPr>
          </w:p>
        </w:tc>
      </w:tr>
      <w:tr>
        <w:trPr>
          <w:trHeight w:val="264"/>
        </w:trPr>
        <w:tc>
          <w:tcPr>
            <w:tcW w:w="14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250"/>
        </w:trPr>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4"/>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4"/>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6,561</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7,152</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18,429</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19,368</w:t>
            </w:r>
          </w:p>
        </w:tc>
        <w:tc>
          <w:tcPr>
            <w:tcW w:w="72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00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6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income tax benefit of $6.6 million for the three months ended June 30, 2020, calculated using the annualized effective tax rate method, increased compared to the income tax provision of $0.6 million in 2019, calculated using the discrete tax approach, which is due to increased tax deduction of stock based compensation partially offset by higher projected tax expense in the U.S. and foreign jurisdictions that are profitable in 2020 compared to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income tax benefit of $18.4 million for the six months ended June 30, 2020, calculated using the annualized effective tax rate method, increased compared to the income tax provision of $0.9 million in 2019, calculated using the discrete tax approach, which is due to tax deduction from employee stock compensation as a discrete event in the six months ended June 30, 2020, partially offset by higher projected tax expense in the U.S. and foreign jurisdictions that are profitable in 2020 compared to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of June 30, 2020, we had $607.3 million in cash and cash equivalents and $533.7 million in working capital. Cash and cash equivalents held in the U.S. were $600.5 million and consisted primarily of U.S. government money market mutual funds and both interest-bearing and non-interest-bearing deposits, with the remainder held in various foreign subsidiaries. We consider amounts held outside the U.S. to be accessible and have provided for the estimated U.S. income tax liability associated with our foreign earnings. However, our liquidity may be negatively impacted if sales decline significantly for an extended period due to the impact of the COVID-19 pandemic. Further, the extent to which the COVID-19 pandemic and our precautionary measures in response thereto impact our business and liquidity will depend on future developments, which are highly uncertain and cannot be precisely predicted at this time.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2023</w:t>
      </w:r>
      <w:r>
        <w:rPr>
          <w:rFonts w:ascii="Arial" w:cs="Arial" w:eastAsia="Arial" w:hAnsi="Arial"/>
          <w:sz w:val="18"/>
          <w:szCs w:val="18"/>
          <w:color w:val="auto"/>
        </w:rPr>
        <w:t>. As of June 30, 2020, we had $ 5.0 million aggregate principal amount of our Notes due 2023 outstanding.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2023 are general unsecured obligations and bear interest at a rate of 4.00% per year, payable semi-annually on February 1 and August 1 of each year. The Notes due 2023 will mature on August 1, 2023, unless earlier repurchased by us or converted at the option of the holders.</w:t>
      </w:r>
    </w:p>
    <w:p>
      <w:pPr>
        <w:spacing w:after="0" w:line="18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2024</w:t>
      </w:r>
      <w:r>
        <w:rPr>
          <w:rFonts w:ascii="Arial" w:cs="Arial" w:eastAsia="Arial" w:hAnsi="Arial"/>
          <w:sz w:val="18"/>
          <w:szCs w:val="18"/>
          <w:color w:val="auto"/>
        </w:rPr>
        <w:t>. As of June 30, 2020, we had $132.0 million aggregate principal amount of our Notes due 2024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due 2024 are general unsecured obligations and bear interest at a rate of 1.0% per year, payable semi-annually on June 1 and December 1 of each year. The Notes due 2024 will mature on June 1, 2024, unless earlier repurchased by us or converted at the option of the holders at a conversion price of $20.50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280035</wp:posOffset>
            </wp:positionV>
            <wp:extent cx="6943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36</w:t>
      </w:r>
    </w:p>
    <w:p>
      <w:pPr>
        <w:sectPr>
          <w:pgSz w:w="11900" w:h="16838" w:orient="portrait"/>
          <w:cols w:equalWidth="0" w:num="1">
            <w:col w:w="11240"/>
          </w:cols>
          <w:pgMar w:left="320" w:top="283" w:right="339" w:bottom="1440" w:gutter="0" w:footer="0" w:header="0"/>
        </w:sectPr>
      </w:pPr>
    </w:p>
    <w:bookmarkStart w:id="38" w:name="page39"/>
    <w:bookmarkEnd w:id="3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2023,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April 1, 2020 through September 30, 2020, the Notes due 2024 may be converted because the last reported sale price of our common stock for at least 20 trading days during a period of 30 consecutive trading days ending on March 31, 2020 and June 30, 2020 was greater than or equal to $26.6513 on each applicable trading day. Upon conversion of any of the notes, we will pay or deliver, as the case may be, cash, shares of common stock or a combination of cash and common stock, at our election.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connection with the offering of the Notes due 2024, we entered into privately-negotiated convertible note hedge transactions in order to reduce the potential dilution to our common stock upon any conversion of the Notes due 2024. Also, concurrently with the offering of the Notes due 2024, we entered into privately-negotiated warrant transactions whereby we issued warrants to effectively increase the overall conversion price of Notes due 2024 from $20.5010 to $25.2320.</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August 4, 2020, the Notes due 2024 were not converted into equity, therefore, we had not purchased any shares under the convertible note hedge and the warrants had not been exercised and remain outstanding. If holders of the Notes due 2024 exercise their right to convert the debt to equity we have asserted our intent and ability to settle the $132.0 million aggregate principal amount of the Notes due 2024 in cash.</w:t>
      </w:r>
    </w:p>
    <w:p>
      <w:pPr>
        <w:spacing w:after="0" w:line="18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2025</w:t>
      </w:r>
      <w:r>
        <w:rPr>
          <w:rFonts w:ascii="Arial" w:cs="Arial" w:eastAsia="Arial" w:hAnsi="Arial"/>
          <w:sz w:val="18"/>
          <w:szCs w:val="18"/>
          <w:color w:val="auto"/>
        </w:rPr>
        <w:t>. As of June 30, 2020, we had $320.0 million aggregate principal amount of our Notes due 2025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2025 are general unsecured obligations and bear interest at a rate of 0.25% per year, payable semi-annually on March 1 and September 1 of each year, beginning on September 1, 2020. The Notes due 2025 will mature on March 1, 2025, unless earlier repurchased by us or converted at the option of the holders at a conversion price of $81.54 per share.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2025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2024,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2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2020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$81.5400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connection with the offering of the Notes due 2025, we entered into privately-negotiated convertible note hedge transactions in order to reduce the potential dilution to our common stock upon any conversion of the Notes due 2025. The total cost of the convertible note hedge transactions was approximately $ 89.1 million. Also, concurrently with the offering of the Notes due 2025, we entered into privately-negotiated warrant transactions whereby we issued warrants to acquire shares of our common stock at a strike price of $106.9400 rather than the Notes due 2025 conversion price of $81.5400. We received approximately $71.6 million from the sale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37</w:t>
      </w:r>
    </w:p>
    <w:p>
      <w:pPr>
        <w:sectPr>
          <w:pgSz w:w="11900" w:h="16838" w:orient="portrait"/>
          <w:cols w:equalWidth="0" w:num="1">
            <w:col w:w="11240"/>
          </w:cols>
          <w:pgMar w:left="320" w:top="283" w:right="339" w:bottom="1440" w:gutter="0" w:footer="0" w:header="0"/>
        </w:sectPr>
      </w:pPr>
    </w:p>
    <w:bookmarkStart w:id="39" w:name="page40"/>
    <w:bookmarkEnd w:id="3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August 4, 2020, the Notes due 2025 were not convertible, therefore, we had not purchased any shares under the convertible note hedge and the warrants had not been exercised and remain outstanding. If holders of the Notes due 2025 are able to convert the debt to equity, and exercise that right, we have asserted our intent and ability to settle the $320.0 million aggregate principal amount of the Notes due 2025 in cash. See Note 8, “Debt,” of the notes to condensed consolidated financial statements included in Part I, Item 1 of this Form 10-Q for more information relating to the convertible note hedge transactions and warrants.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COVID-19 and other risks detailed in Part II, Item 1A “Risk Factors” of this Quarterly Report on Form 10-Q, as well as in the “Risk Factors” section in our 2019 Annual Report on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the costs to acquire or invest in complementary businesses and technologies, the costs to ensure access to adequate manufacturing capacity, the continuing market acceptance of our products and macroeconomic events such as COVID-19. 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The following table summarizes our cash flows for the periods presented:</w:t>
      </w:r>
    </w:p>
    <w:p>
      <w:pPr>
        <w:spacing w:after="0" w:line="393"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3"/>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53"/>
        </w:trPr>
        <w:tc>
          <w:tcPr>
            <w:tcW w:w="7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64,653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31,835</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(3,176)</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254,477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70,956</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107</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311,145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99,722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six months ended June 30, 2020, net cash provided by operating activities was $64.7 million compared to net cash provided by operating activities of $31.8 million in the same period 2019, an increase of $32.8 million year-over-year. This $ 32.8 million increase in net cash provided by operating activities is primarily driven by an increase in our net revenues of $96.8 million and an increase of $50.4 million in gross profit, resulting in $8.3 million of higher net income generated during the six months ended June 30, 2020 as compared to the same period in 2019, adjusted for a $34.3 million higher net non-cash charges, partially offset by $9.8 million increase in cash used in changes in working capital. Non-cash charges include change in the fair value of derivatives, deferred income tax, stock-based compensation, amortization of debt discount, and depreciation and amortization.</w:t>
      </w:r>
    </w:p>
    <w:p>
      <w:pPr>
        <w:spacing w:after="0" w:line="26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$9.8 million increase in the cash used in changes in the working capital for the six months ended June 30, 2020, compared to the same period in 2019, was primarily due to $36.7 million decrease in deferred revenue as we delivered safe harbor orders that were prepaid in the fourth quarter of 2019 and $ 52.2 million decrease in accounts payable due to pay off of liabilities, partially offset by collections of $75.3 million of accounts receivable and $4.7 million decrease in inventory.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six months ended June 30, 2020, net cash used in investing activities was $7.8 million, primarily from purchases of test and assembly equipment to expand our supply capacity, related facility improvements and information technology enhancements, and capitalized costs related to internal-use software.</w:t>
      </w:r>
    </w:p>
    <w:p>
      <w:pPr>
        <w:spacing w:after="0" w:line="20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For the six months ended June 30, 2019, net cash used in investing activities of $3.2 million primarily resulted from purchases of test and assembly equipment and capitalized costs related to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280670</wp:posOffset>
            </wp:positionV>
            <wp:extent cx="6943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38</w:t>
      </w:r>
    </w:p>
    <w:p>
      <w:pPr>
        <w:sectPr>
          <w:pgSz w:w="11900" w:h="16838" w:orient="portrait"/>
          <w:cols w:equalWidth="0" w:num="1">
            <w:col w:w="11240"/>
          </w:cols>
          <w:pgMar w:left="320" w:top="283" w:right="339" w:bottom="1440" w:gutter="0" w:footer="0" w:header="0"/>
          <w:type w:val="continuous"/>
        </w:sectPr>
      </w:pPr>
    </w:p>
    <w:bookmarkStart w:id="40" w:name="page41"/>
    <w:bookmarkEnd w:id="4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six months ended June 30, 2020, net cash provided by financing activities of $254.5 million was primarily from $312.4 million net proceeds from the issuance of our Notes due 2025, $71.6 million from sale of warrants related to our Notes due 2025, $ 4.8 million net proceeds from employee stock option exercises and issuance of common stock under our employee stock incentive program, partially offset by $89.1 million purchase of convertible note bond hedge related to our Notes due 2025, $43.7 million payment of employee withholding taxes related to net share settlement of equity awards and $1.6 million of repayment on sale of long-term financing receivables.</w:t>
      </w:r>
    </w:p>
    <w:p>
      <w:pPr>
        <w:spacing w:after="0" w:line="2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six months ended June 30, 2019, net cash provided by financing activities of $71.0 million was primarily from net proceeds of $128.0 million received from the issuance of our Notes due 2024, $29.8 million from sale of warrants, as well as $0.5 million net proceeds from issuance of common stock under our employee stock incentive program. These proceeds were partially offset by $45.1 million for principal payments on debts and financing fees associated with repayment of our term loan, $36.3 million for purchase of bond hedges related to our Notes due 2024 and $6.0 million attributable to inducement costs incurred for repurchase of our Notes due 2023.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contractual obligations as of June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1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 (remaining six</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Beyond 2024</w:t>
            </w:r>
          </w:p>
        </w:tc>
      </w:tr>
      <w:tr>
        <w:trPr>
          <w:trHeight w:val="244"/>
        </w:trPr>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2"/>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16,393</w:t>
            </w:r>
          </w:p>
        </w:tc>
        <w:tc>
          <w:tcPr>
            <w:tcW w:w="120" w:type="dxa"/>
            <w:vAlign w:val="bottom"/>
          </w:tcPr>
          <w:p>
            <w:pPr>
              <w:spacing w:after="0"/>
              <w:rPr>
                <w:sz w:val="23"/>
                <w:szCs w:val="23"/>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2,307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8,044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4,093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1,949</w:t>
            </w:r>
          </w:p>
        </w:tc>
      </w:tr>
      <w:tr>
        <w:trPr>
          <w:trHeight w:val="28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2023 principal and interest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Notes due 2024 principal and interest</w:t>
            </w:r>
          </w:p>
        </w:tc>
        <w:tc>
          <w:tcPr>
            <w:tcW w:w="34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137,298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133,998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2025 principal and interest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323,984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320,402</w:t>
            </w:r>
          </w:p>
        </w:tc>
      </w:tr>
      <w:tr>
        <w:trPr>
          <w:trHeight w:val="270"/>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75,230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75,230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4"/>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558,705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78,779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12,684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144,891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322,351</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121" w:lineRule="exact"/>
        <w:rPr>
          <w:sz w:val="20"/>
          <w:szCs w:val="20"/>
          <w:color w:val="auto"/>
        </w:rPr>
      </w:pPr>
    </w:p>
    <w:p>
      <w:pPr>
        <w:jc w:val="both"/>
        <w:ind w:left="340" w:hanging="332"/>
        <w:spacing w:after="0" w:line="25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we did not have any off-balance sheet arrangements, as defined in Item 303(a)(4)(ii) of SEC Regulation 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worldwide spread of the COVID-19 virus has resulted in a global slowdown of economic activity which decreased demand for a broad variety of goods and services, including from our customers, while also disrupting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280670</wp:posOffset>
            </wp:positionV>
            <wp:extent cx="6943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39</w:t>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channels and marketing activities for an unknown period of time until the disease is contained. This had a negative impact on our sales and our results of operations for the second quarter of 2020 and we expect this to continue to have a negative impact on our sales and our results of operations in the third quarter of 2020. In preparing our condensed consolidated financial statements in accordance with GAAP, we are required to make estimates, assumptions and judgments that affect the amounts reported in our financial statements and the accompanying disclosures.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judgments or revise the carrying value of our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our financial statements.</w:t>
      </w:r>
    </w:p>
    <w:p>
      <w:pPr>
        <w:spacing w:after="0" w:line="200" w:lineRule="exact"/>
        <w:rPr>
          <w:sz w:val="20"/>
          <w:szCs w:val="20"/>
          <w:color w:val="auto"/>
        </w:rPr>
      </w:pPr>
    </w:p>
    <w:p>
      <w:pPr>
        <w:spacing w:after="0" w:line="22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Recently Issued Accounting Pronouncements</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Refer to Note 1. “Summary of Significant Accounting Policies” of the notes to condensed consolidated financial statements included in Part I, Item 1 of this Form 10-Q for a discussion of adoption of new and recently issued accounting pronouncements.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Our exposures to market risk have not changed materially since December 31, 2019, except as described below.</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 Risk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we issued $320 million aggregate principal amount of our Notes due 2025, and entered into privately-negotiated convertible note hedge and warrant transactions, which in combination are intended to reduce the potential dilution from the conversion of the Notes due 2025 and to effectively increase the overall conversion price from $81.54 to $106.94 per share. For the period from March 9, 2020 through May 19, 2020, the Notes due 2025, convertible note hedge and warrant transactions could only be settled in cash because the number of authorized and unissued shares of our common stock that was not reserved for other purposes was less than the maximum number of underlying shares that would be required to settle the Notes due 2025, convertible note hedge and warrants transactions. As such, the embedded conversion option associated with the Notes due 2025, convertible notes hedge and warrants liability met the criteria for derivative accounting, and as a result, derivative financial instruments were marked-to-market at each reporting period. The volatile market conditions arising from the COVID-19 pandemic resulted in significant changes in the price of our common stock in the first half of 2020, causing variability in the fair value of these derivative financial instruments, and materially affecting our condensed consolidated statement of operations three and six months ended June 30, 2020. Change in fair value of derivatives of $59.7 million in the three months ended June 30, 2020 includes the charge recognized for the change in fair value of our convertible notes embedded derivative and warrants of $71.2 million and $57.7 million, respectively. This charge is partially offset by a gain recognized for the change in fair value of our convertible notes hedge of $69.2 million. Change in fair value of derivatives of $44.3 million for the six months ended June 30, 2020 includes the charge recognized for the change in fair value of our convertible notes embedded derivative and warrants of $47.6 million and $24.7 million, respectively. This charge is partially offset by a gain recognized for the change in fair value of our convertible notes hedge of $28.0 million.</w:t>
      </w:r>
    </w:p>
    <w:p>
      <w:pPr>
        <w:spacing w:after="0" w:line="20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May 20, 2020, we received approval at our annual meeting of stockholders to increase the authorized shares of our common stock, par value $0.00001 per share, from 150,000,000 shares to 200,000,000 shares. As discussed further in Note 8, “Debt,” of the notes to condensed consolidated financial statements included in Part I, Item 1 of this Form 10-Q, we reclassified the remeasured fair value of embedded derivative, warrants and convertible notes hedge to additional paid-in-capital in the condensed consolidated balance in the second quarter of 2020. As a result of this classification, embedded derivative, warrants and convertible notes hedge are no longer marked to fair value at each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287020</wp:posOffset>
            </wp:positionV>
            <wp:extent cx="6943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40</w:t>
      </w:r>
    </w:p>
    <w:p>
      <w:pPr>
        <w:sectPr>
          <w:pgSz w:w="11900" w:h="16838" w:orient="portrait"/>
          <w:cols w:equalWidth="0" w:num="1">
            <w:col w:w="11240"/>
          </w:cols>
          <w:pgMar w:left="320" w:top="283" w:right="339" w:bottom="1440" w:gutter="0" w:footer="0" w:header="0"/>
        </w:sectPr>
      </w:pPr>
    </w:p>
    <w:bookmarkStart w:id="42" w:name="page43"/>
    <w:bookmarkEnd w:id="4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Risk</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accounts receivable, and derivative financial instruments. We maintain a substantial portion of our cash balances in non-interest-bearing and interest-bearing deposits and money market accounts. The derivative financial instruments expose us to credit risk to the extent that the counterparties may be unable to meet the terms of the arrangement.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doubtful accounts for estimated potential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41</w:t>
      </w:r>
    </w:p>
    <w:p>
      <w:pPr>
        <w:sectPr>
          <w:pgSz w:w="11900" w:h="16838" w:orient="portrait"/>
          <w:cols w:equalWidth="0" w:num="1">
            <w:col w:w="11240"/>
          </w:cols>
          <w:pgMar w:left="320" w:top="283" w:right="339" w:bottom="1440" w:gutter="0" w:footer="0" w:header="0"/>
        </w:sectPr>
      </w:pPr>
    </w:p>
    <w:bookmarkStart w:id="43" w:name="page44"/>
    <w:bookmarkEnd w:id="4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2020.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impact of COVID-19 pandemic on our internal controls to minimize the impact on their design and operating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561340</wp:posOffset>
            </wp:positionV>
            <wp:extent cx="6943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42</w:t>
      </w:r>
    </w:p>
    <w:p>
      <w:pPr>
        <w:sectPr>
          <w:pgSz w:w="11900" w:h="16838" w:orient="portrait"/>
          <w:cols w:equalWidth="0" w:num="1">
            <w:col w:w="11240"/>
          </w:cols>
          <w:pgMar w:left="320" w:top="283" w:right="339" w:bottom="1440" w:gutter="0" w:footer="0" w:header="0"/>
        </w:sectPr>
      </w:pPr>
    </w:p>
    <w:bookmarkStart w:id="44" w:name="page45"/>
    <w:bookmarkEnd w:id="4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Class Action Suit</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or about June 17, 2020, Gregory A. Hurst (“Plaintiff”) filed a securities class action lawsuit against our company, our chief executive officer and our chief financial officer (collectively, the "Defendants") in the United States District Court for the Northern District of California on behalf of a class consisting of those individuals who purchased or otherwise acquired our common stock between February 26, 2019 and June 17, 2020. The complaint alleges that defendants made false and/or misleading statements in violation of Sections 10(b) and 20(a) of the Exchange Act of 1934 and Rule 10b-5 promulgated thereunder. Plaintiff does not quantify any alleged damages in his complaint but, in addition to attorneys' fees and costs, he seeks to recover damages on behalf of himself and other persons who purchased or otherwise acquired our stock during the putative class period at allegedly inflated prices and purportedly suffered financial harm as a result. We dispute all allegations, intend to defend the matter vigorously and believe the claims are without merit.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Derivative Action Suit</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or about July 10, 2020, Yan Shen filed a shareholder derivative action lawsuit against Badrinarayanan Kothandaraman, Eric Branderiz, Mandy Yang, Steven J. Gomo, Benjamin Kortlang, Richard Mora, Thurman J. Rodgers, and Enphase Energy, Inc. (nominal defendant) alleging breaches of fiduciary duties, unjust enrichment, abuse of control, gross mismanagement, waste, and violations of Section 14(a) under the Exchange Act of 1934. Plaintiff does not quantify any alleged damages in the complaint, but in addition to attorneys’ fees and costs, seeks a proposal to strengthen the Board’s supervision of operations and shareholder input into the policies and guidelines of the Board; to permit our shareholders to nominate at least three candidates for election to the Board; and to ensure the establishment of effective oversight of compliance with applicable laws, rules, and regulations; and restitution from the individual defendants. We dispute all allegations, intend to defend the matter vigorously and believe the claims are without merit.</w:t>
      </w:r>
    </w:p>
    <w:p>
      <w:pPr>
        <w:spacing w:after="0" w:line="2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pending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in the defense of the pending lawsuits and any additional lawsuits, and we may not prevail. In addition, we may incur substantial legal fees and costs in connection with such lawsuits.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486"/>
        <w:spacing w:after="0" w:line="216" w:lineRule="exact"/>
        <w:rPr>
          <w:sz w:val="20"/>
          <w:szCs w:val="20"/>
          <w:color w:val="auto"/>
        </w:rPr>
      </w:pPr>
      <w:r>
        <w:rPr>
          <w:rFonts w:ascii="Arial" w:cs="Arial" w:eastAsia="Arial" w:hAnsi="Arial"/>
          <w:sz w:val="18"/>
          <w:szCs w:val="18"/>
          <w:color w:val="auto"/>
        </w:rPr>
        <w:t>Other than risk factors described below, there has been no material changes in our risk factors from those disclosed in Part I, Item 1A,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w:t>
      </w:r>
    </w:p>
    <w:p>
      <w:pPr>
        <w:spacing w:after="0" w:line="24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current COVID-19 pandemic, as well as other actual or threatened epidemics, pandemics, outbreaks, or public health crises, may adversely affect our customers’ financial condition and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worldwide spread of the COVID-19 pandemic has resulted in a global slowdown of economic activity which has decreased demand for a broad variety of goods and services, including from our customers, while also disrupting sales channels and marketing activities for an unknown period of time until the disease is contained. This has had a negative impact on our sales and our results of operations. We are currently unable to predict the size and duration of the pandemic’s impact on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43</w:t>
      </w:r>
    </w:p>
    <w:p>
      <w:pPr>
        <w:sectPr>
          <w:pgSz w:w="11900" w:h="16838" w:orient="portrait"/>
          <w:cols w:equalWidth="0" w:num="1">
            <w:col w:w="11240"/>
          </w:cols>
          <w:pgMar w:left="320" w:top="283" w:right="339" w:bottom="1440" w:gutter="0" w:footer="0" w:header="0"/>
        </w:sectPr>
      </w:pPr>
    </w:p>
    <w:bookmarkStart w:id="45" w:name="page46"/>
    <w:bookmarkEnd w:id="4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Among other impacts, the COVID-19 pandemic and associated governmental orders have slowed, and could continue to slow the rate of solar installations, reduce demand for our products and cause temporary or long-term disruptions in our supply chains and/or delays in the delivery of our inventory. Further, such risks could also adversely affect our customers' financial condition, resulting in reduced spending for the solar products we sell. Moreover, COVID-19 and associated governmental orders could require or cause employees to avoid our properties, which could adversely affect our ability to adequately staff and manage our businesses. “Shelter-in-place” or other such orders by governmental entities could also disrupt our operations, if employees who cannot perform their responsibilities from home, are not able to report to work. Risks related to COVID -19 has also led to the complete or partial closure of one or more of our facilities or operations of our customers, suppliers, vendors or other partners.</w:t>
      </w:r>
    </w:p>
    <w:p>
      <w:pPr>
        <w:spacing w:after="0" w:line="2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ultimate extent of the impact of COVID-19 on our business, financial condition and results of operations will depend on future developments, including those that are highly uncertain and cannot be predicted with confidence at this time, including ultimate duration of the pandemic, travel restrictions, quarantines, social distancing and business closure requirements in the U.S. and other countries, and the effectiveness of actions taken globally to contain and treat the disease. These and other potential impacts of COVID-19 could therefore materially and adversely affect our business, financial condition and results of operations.</w:t>
      </w:r>
    </w:p>
    <w:p>
      <w:pPr>
        <w:spacing w:after="0" w:line="205"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as well as our risk factors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such as reduced spending for solar energy systems, fluctuations in customer demand, and manufacturing and supply constraints.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foregoing risks will also likely apply to any other future epidemic, pandemic, outbreak or other public health crisis.</w:t>
      </w: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affected by worldwide economic and market conditions; an unstable economy, a decline in consumer -spending levels and other adverse developments, including inflation, could lead to reduced revenues and gross margins and adversely affect our business, results of operations and liquidity.</w:t>
      </w:r>
    </w:p>
    <w:p>
      <w:pPr>
        <w:spacing w:after="0" w:line="1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Many economic and other factors are outside of our control, including general economic and market conditions, consumer and commercial credit availability, inflation, unemployment, consumer debt levels and other challenges affecting the global economy including the COVID-19 pandemic. Increases in the rates of unemployment, decreases in home values, decrease in new home construction, reduced access to credit and issues related to the domestic and international political situations may adversely affect consumer confidence and disposable income levels. Societal responses to the COVID-19 pandemic have involved business closures and limited social interaction as well as work reductions. Low consumer confidence and disposable incomes could lead to reduced consumer spending and lower demand for our products, which are discretionary items, the purchase of which can be reduced before customers adjust their budgets for necessities. These factors could have a negative impact on our sales and cause us to increase inventory markdowns and promotional expenses, thereby reducing our gross margins and operating results.</w:t>
      </w: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demand for solar energy solutions decreases as a result of the consequences of the COVID-19 pandemic, our business will suffer.</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success depends on continued demand for solar energy solutions and the ability of solar equipment vendors to meet this demand. As a consequence of the COVID-19 pandemic, the demand for solar energy solutions decreased in the second quarter of 2020 and may continue to decrease, or at least not continue its growth from recent years, as a result of government orders associated with COVID-19, due to adverse worldwide economic and market conditions, or other factors.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24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worldwide operations could be subject to natural disasters, public health events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 fires. We rely on third-party manufacturing facilities including for all product assembly and final testing of our products, which are performed at third-party manufacturing facilities, in China and Mexico. There may be conflict or uncertainty in the countries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287020</wp:posOffset>
            </wp:positionV>
            <wp:extent cx="6943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44</w:t>
      </w:r>
    </w:p>
    <w:p>
      <w:pPr>
        <w:sectPr>
          <w:pgSz w:w="11900" w:h="16838" w:orient="portrait"/>
          <w:cols w:equalWidth="0" w:num="1">
            <w:col w:w="11240"/>
          </w:cols>
          <w:pgMar w:left="320" w:top="283" w:right="339" w:bottom="1440" w:gutter="0" w:footer="0" w:header="0"/>
          <w:type w:val="continuous"/>
        </w:sectPr>
      </w:pPr>
    </w:p>
    <w:bookmarkStart w:id="46" w:name="page47"/>
    <w:bookmarkEnd w:id="4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including public health issues (for example, the ongoing COVID-19 pandemic or an outbreak of other contagious diseases or health epidemics), safety issues, natural disasters, fire, disruptions of service from utilities, nuclear power plant accidents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20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Further, any terrorist attacks, material disruption to our information technology systems or any data security breaches, including due to cyber-attacks, especially any aimed at energy or communications infrastructure suppliers or our cloud-based monitoring service, could hinder or delay the development and sale or performance of our products or otherwise adverse affect us. Such significant disruptions of our, our third party vendors’ and/or business partners’ information technology systems or data security breaches, including in our remote work environment as a result of COVID-19,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customers,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10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the event that natural disasters,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stockholders or may otherwise depress the price of our common stock.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2020, we issued and sold a total of $320.0 million aggregate principal amount of our Notes due 2025.</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2019, we issued and sold a total of $132.0 million aggregate principal amount of our Notes due 2024.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w:t>
      </w:r>
    </w:p>
    <w:p>
      <w:pPr>
        <w:spacing w:after="0" w:line="22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 million aggregate principal amount of the Notes due 2023 were outstanding;</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$132.0 million aggregate principal amount of the Notes due 2024 were outstanding; and</w:t>
      </w:r>
    </w:p>
    <w:p>
      <w:pPr>
        <w:spacing w:after="0" w:line="225"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$320.0 million aggregate principal amount of the Notes due 2025 were outstanding (the foregoing, collectively, the “Convertible Notes”)</w:t>
      </w:r>
    </w:p>
    <w:p>
      <w:pPr>
        <w:spacing w:after="0" w:line="19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45</w:t>
      </w:r>
    </w:p>
    <w:p>
      <w:pPr>
        <w:sectPr>
          <w:pgSz w:w="11900" w:h="16838" w:orient="portrait"/>
          <w:cols w:equalWidth="0" w:num="1">
            <w:col w:w="11240"/>
          </w:cols>
          <w:pgMar w:left="320" w:top="283" w:right="339" w:bottom="1440" w:gutter="0" w:footer="0" w:header="0"/>
        </w:sectPr>
      </w:pPr>
    </w:p>
    <w:bookmarkStart w:id="47" w:name="page48"/>
    <w:bookmarkEnd w:id="4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Servicing our debts requires a significant amount of cash, and we may not have sufficient cash flow from our business to pay our debts.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Convertible Notes upon a fundamental change or to repay the Notes due 2025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Notes due 2024 and the Notes due 2023 at maturity.</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Holders of our Convertible Notes will have the right to require us to repurchase all or a portion of their convertible notes upon the occurrence of a fundamental change at 100% of the principal amount of the Notes due 2025, Notes due 2024 and Notes due 2023, plus accrued and unpaid interest. Fundamental change is defined in each of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We may not have enough available cash or be able to obtain financing at the time we are required to make such repurchase of the Convertible Notes.</w:t>
      </w:r>
    </w:p>
    <w:p>
      <w:pPr>
        <w:spacing w:after="0" w:line="2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ability to raise additional capital may also be adversely impacted by potential worsening global economic conditions and potential future disruptions to, and volatility in, the credit and financial markets in the U.S. and worldwide resulting from the ongoing COVID-19 pandemic. If we do not have enough available cash at the time we are required to make the required repurchases of the Convertible Notes, we may be required to undertake one or more actions, such as selling assets, attempting to restructure the Convertible Notes or other debt, or obtaining additional capital on terms that may be onerous or highly dilutive. Any such actions could have a material adverse effect on our business, financial condition or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and/or their early termination may affect the value of our common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connection with the offering of the Notes due 2025 and Notes due 2024, we entered into privately negotiated convertible note hedge transactions pursuant to which we have the option to purchase approximately the same number of shares of our common stock initially issuable upon conversion of the Notes due 2025 and Notes due 2024, at a price approximately the same as the initial conversion price of the Notes due 2025 and Notes due 2024. These transactions are expected to reduce the potential dilution with respect to our common stock upon conversion of the Notes due 2025 and Notes due 2024. Separately, we also entered into privately negotiated warrant transactions to acquire the same number of shares of our common stock initially issuable upon conversion of the Notes due 2025 and Notes due 2024 (subject to customary anti-dilution adjustments) at an initial strike price of approximately $ 106.94 per share and $25.23 per share for Notes due 2025 and Notes due 2024,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2025 and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46</w:t>
      </w:r>
    </w:p>
    <w:p>
      <w:pPr>
        <w:sectPr>
          <w:pgSz w:w="11900" w:h="16838" w:orient="portrait"/>
          <w:cols w:equalWidth="0" w:num="1">
            <w:col w:w="11240"/>
          </w:cols>
          <w:pgMar w:left="320" w:top="283" w:right="339" w:bottom="1440" w:gutter="0" w:footer="0" w:header="0"/>
        </w:sectPr>
      </w:pPr>
    </w:p>
    <w:bookmarkStart w:id="48" w:name="page49"/>
    <w:bookmarkEnd w:id="4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current accounting methods, standards, or regulations applicable to the Convertible Notes due 2024 and Notes due 2025 could have a material impact on our reported financial results, future financial results, future cash flows, and/or our stock price.</w:t>
      </w:r>
    </w:p>
    <w:p>
      <w:pPr>
        <w:spacing w:after="0" w:line="1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Under Accounting Standards Codification (“ASC”) 470-20, “Debt with Conversion and Other Options,” an entity must separately account for the host contract and conversion option associated with convertible debt instruments, such as the Notes due 2025 and Notes due 2024, that may be settled entirely or partially in cash upon conversion, in a manner that reflects the issuer’s economic interest cost. For Notes due 2024, conversion option meets the classification of an equity component, hence we have included the equity component in the additional paid-in capital section of stockholders’ equity on our condensed consolidated balance sheet at the issuance date. For Notes due 2025, conversion option met the classification of an embedded derivative liability, from March 9, 2020 to May 19, 2020, and hence we had included embedded derivative liability in the Debt, non-current on our condensed consolidated balance sheet at the issuance date. Effective upon the filing of an amendment to our certificate of incorporation on May 20, 2020, the conversion option of the Notes due 2025 met the classification of an equity component, hence we reclassified the embedded derivative liability in the Debt, non-current to additional paid-in capital section of stockholders’ equity on our condensed consolidated balance sheet on May 20, 2020. This change in fair value of derivatives has resulted in a charge recognized of $59.7 million and $44.3 million for the three and six months ended June 30, 2020. We have treated the value of the equity component and embedded derivative liability as debt discount for the host contract at the issuance date. We are required to amortize the debt discount as non-cash interest expense over the term of the Notes due 2025 and Notes due 2024, which could adversely affect our reported or future financial results or the trading price of our common stock.</w:t>
      </w:r>
    </w:p>
    <w:p>
      <w:pPr>
        <w:spacing w:after="0" w:line="1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addition, we use the treasury stock method for convertible debt instruments (such as the Notes due 2024 since the date of issuance and Notes due 2025 since May 20, 2020)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conversion value, if we elected to settle such excess in shares, are issued. We cannot be sure that the accounting standards in the future will continue to permit use of the treasury stock method. If we are unable to use the treasury stock method in accounting for the shares issuable upon conversion of the Notes due 2024 and Notes due 2025, then our diluted earnings per share will be adversely affected.</w:t>
      </w:r>
    </w:p>
    <w:p>
      <w:pPr>
        <w:spacing w:after="0" w:line="9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Accounting Standards Update (“ASU”) 2016-15, “Statement of Cash Flows (Topic 230): Classification of Certain Cash Receipts and Cash Payments,” clarifies how certain cash receipts and payments should be classified in the statement of cash flows, including the cash settlement for our Notes due 2024 and Notes due 2025.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$36.4 million for Notes due 2024 and $68.7 million for Notes due 2025 of accreted interest as cash used in operating activities in our consolidated statement of cash flows upon cash settlement, which could adversely affect our future cash flow from operations.</w:t>
      </w:r>
    </w:p>
    <w:p>
      <w:pPr>
        <w:spacing w:after="0" w:line="18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b w:val="1"/>
          <w:bCs w:val="1"/>
          <w:i w:val="1"/>
          <w:iCs w:val="1"/>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8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are, or may become, involved in legal proceedings, government and agency investigations, and consumer, employment, tort and other litigation (see discussion of Legal Proceedings in Item 1 Part II of this Quarterly Report on Form 10-Q). We cannot predict with certainty the outcomes of these legal proceedings. The outcome of some of these legal proceeding could require us to take, or refrain from taking, actions which could negatively affect our operations or could require us to pay substantial amounts of money adversely affecting our financial condition and results of operations. Additionally, defending against lawsuits and legal proceedings may involve significant expense and diversion of management's attention and resources. Negative publicity surrounding such legal proceedings may also harm our reputation and adversely impact our business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47</w:t>
      </w:r>
    </w:p>
    <w:p>
      <w:pPr>
        <w:sectPr>
          <w:pgSz w:w="11900" w:h="16838" w:orient="portrait"/>
          <w:cols w:equalWidth="0" w:num="1">
            <w:col w:w="11240"/>
          </w:cols>
          <w:pgMar w:left="320" w:top="283" w:right="339" w:bottom="1440" w:gutter="0" w:footer="0" w:header="0"/>
        </w:sectPr>
      </w:pPr>
    </w:p>
    <w:bookmarkStart w:id="49" w:name="page50"/>
    <w:bookmarkEnd w:id="4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572135</wp:posOffset>
            </wp:positionV>
            <wp:extent cx="6943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3459"/>
        <w:spacing w:after="0"/>
        <w:rPr>
          <w:sz w:val="20"/>
          <w:szCs w:val="20"/>
          <w:color w:val="auto"/>
        </w:rPr>
      </w:pPr>
      <w:r>
        <w:rPr>
          <w:rFonts w:ascii="Arial" w:cs="Arial" w:eastAsia="Arial" w:hAnsi="Arial"/>
          <w:sz w:val="11"/>
          <w:szCs w:val="11"/>
          <w:color w:val="828282"/>
        </w:rPr>
        <w:t>Enphase Energy, Inc. | 2020 Form 10-Q | 48</w:t>
      </w:r>
    </w:p>
    <w:p>
      <w:pPr>
        <w:sectPr>
          <w:pgSz w:w="11900" w:h="16838" w:orient="portrait"/>
          <w:cols w:equalWidth="0" w:num="1">
            <w:col w:w="10139"/>
          </w:cols>
          <w:pgMar w:left="320" w:top="283" w:right="1440" w:bottom="1440" w:gutter="0" w:footer="0" w:header="0"/>
        </w:sectPr>
      </w:pPr>
    </w:p>
    <w:bookmarkStart w:id="50" w:name="page51"/>
    <w:bookmarkEnd w:id="5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list of exhibits filed with this report or incorporated herein by reference is found in the Exhibit Index below.</w:t>
      </w:r>
    </w:p>
    <w:p>
      <w:pPr>
        <w:spacing w:after="0" w:line="213" w:lineRule="exact"/>
        <w:rPr>
          <w:sz w:val="20"/>
          <w:szCs w:val="20"/>
          <w:color w:val="auto"/>
        </w:rPr>
      </w:pPr>
    </w:p>
    <w:p>
      <w:pPr>
        <w:jc w:val="right"/>
        <w:ind w:right="15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26035</wp:posOffset>
            </wp:positionV>
            <wp:extent cx="3111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ectPr>
          <w:pgSz w:w="11900" w:h="16838" w:orient="portrait"/>
          <w:cols w:equalWidth="0" w:num="1">
            <w:col w:w="11240"/>
          </w:cols>
          <w:pgMar w:left="320" w:top="283" w:right="339" w:bottom="92"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800" w:type="dxa"/>
            <w:vAlign w:val="bottom"/>
            <w:tcBorders>
              <w:top w:val="single" w:sz="8" w:color="auto"/>
            </w:tcBorders>
            <w:vMerge w:val="restart"/>
          </w:tcPr>
          <w:p>
            <w:pPr>
              <w:jc w:val="center"/>
              <w:spacing w:after="0"/>
              <w:rPr>
                <w:rFonts w:ascii="Arial" w:cs="Arial" w:eastAsia="Arial" w:hAnsi="Arial"/>
                <w:sz w:val="14"/>
                <w:szCs w:val="14"/>
                <w:color w:val="0000FF"/>
              </w:rPr>
            </w:pPr>
            <w:hyperlink r:id="rId72">
              <w:r>
                <w:rPr>
                  <w:rFonts w:ascii="Arial" w:cs="Arial" w:eastAsia="Arial" w:hAnsi="Arial"/>
                  <w:sz w:val="14"/>
                  <w:szCs w:val="14"/>
                  <w:color w:val="0000FF"/>
                </w:rPr>
                <w:t>3.1</w:t>
              </w:r>
            </w:hyperlink>
          </w:p>
        </w:tc>
        <w:tc>
          <w:tcPr>
            <w:tcW w:w="120" w:type="dxa"/>
            <w:vAlign w:val="bottom"/>
          </w:tcPr>
          <w:p>
            <w:pPr>
              <w:spacing w:after="0"/>
              <w:rPr>
                <w:sz w:val="24"/>
                <w:szCs w:val="24"/>
                <w:color w:val="auto"/>
              </w:rPr>
            </w:pPr>
          </w:p>
        </w:tc>
        <w:tc>
          <w:tcPr>
            <w:tcW w:w="4160" w:type="dxa"/>
            <w:vAlign w:val="bottom"/>
            <w:tcBorders>
              <w:top w:val="single" w:sz="8" w:color="auto"/>
            </w:tcBorders>
          </w:tcPr>
          <w:p>
            <w:pPr>
              <w:ind w:left="40"/>
              <w:spacing w:after="0"/>
              <w:rPr>
                <w:rFonts w:ascii="Arial" w:cs="Arial" w:eastAsia="Arial" w:hAnsi="Arial"/>
                <w:sz w:val="14"/>
                <w:szCs w:val="14"/>
                <w:color w:val="0000FF"/>
              </w:rPr>
            </w:pPr>
            <w:hyperlink r:id="rId72">
              <w:r>
                <w:rPr>
                  <w:rFonts w:ascii="Arial" w:cs="Arial" w:eastAsia="Arial" w:hAnsi="Arial"/>
                  <w:sz w:val="14"/>
                  <w:szCs w:val="14"/>
                  <w:color w:val="0000FF"/>
                </w:rPr>
                <w:t>Amended and Restated Certificate of Incorporation of Enphase</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72">
              <w:r>
                <w:rPr>
                  <w:rFonts w:ascii="Arial" w:cs="Arial" w:eastAsia="Arial" w:hAnsi="Arial"/>
                  <w:sz w:val="14"/>
                  <w:szCs w:val="14"/>
                  <w:color w:val="0000FF"/>
                </w:rPr>
                <w:t>Energy, Inc.</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3">
              <w:r>
                <w:rPr>
                  <w:rFonts w:ascii="Arial" w:cs="Arial" w:eastAsia="Arial" w:hAnsi="Arial"/>
                  <w:sz w:val="16"/>
                  <w:szCs w:val="16"/>
                  <w:color w:val="0000FF"/>
                  <w:w w:val="98"/>
                </w:rPr>
                <w:t>3.2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3">
              <w:r>
                <w:rPr>
                  <w:rFonts w:ascii="Arial" w:cs="Arial" w:eastAsia="Arial" w:hAnsi="Arial"/>
                  <w:sz w:val="14"/>
                  <w:szCs w:val="14"/>
                  <w:color w:val="0000FF"/>
                </w:rPr>
                <w:t>Certificate of Amendment of the Amended and Restated</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3">
              <w:r>
                <w:rPr>
                  <w:rFonts w:ascii="Arial" w:cs="Arial" w:eastAsia="Arial" w:hAnsi="Arial"/>
                  <w:sz w:val="14"/>
                  <w:szCs w:val="14"/>
                  <w:color w:val="0000FF"/>
                </w:rPr>
                <w:t>Certificate of Incorporation of Enphase Energy, Inc.</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4">
              <w:r>
                <w:rPr>
                  <w:rFonts w:ascii="Arial" w:cs="Arial" w:eastAsia="Arial" w:hAnsi="Arial"/>
                  <w:sz w:val="16"/>
                  <w:szCs w:val="16"/>
                  <w:color w:val="0000FF"/>
                  <w:w w:val="98"/>
                </w:rPr>
                <w:t>3.3</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4">
              <w:r>
                <w:rPr>
                  <w:rFonts w:ascii="Arial" w:cs="Arial" w:eastAsia="Arial" w:hAnsi="Arial"/>
                  <w:sz w:val="14"/>
                  <w:szCs w:val="14"/>
                  <w:color w:val="0000FF"/>
                </w:rPr>
                <w:t>Certificate of Amendment of the Amended and Restated</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4">
              <w:r>
                <w:rPr>
                  <w:rFonts w:ascii="Arial" w:cs="Arial" w:eastAsia="Arial" w:hAnsi="Arial"/>
                  <w:sz w:val="14"/>
                  <w:szCs w:val="14"/>
                  <w:color w:val="0000FF"/>
                </w:rPr>
                <w:t>Certificate of Incorporation of Enphase Energy, Inc.</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5">
              <w:r>
                <w:rPr>
                  <w:rFonts w:ascii="Arial" w:cs="Arial" w:eastAsia="Arial" w:hAnsi="Arial"/>
                  <w:sz w:val="16"/>
                  <w:szCs w:val="16"/>
                  <w:color w:val="0000FF"/>
                  <w:w w:val="98"/>
                </w:rPr>
                <w:t>3.4</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5">
              <w:r>
                <w:rPr>
                  <w:rFonts w:ascii="Arial" w:cs="Arial" w:eastAsia="Arial" w:hAnsi="Arial"/>
                  <w:sz w:val="14"/>
                  <w:szCs w:val="14"/>
                  <w:color w:val="0000FF"/>
                </w:rPr>
                <w:t>Certificate of Amendment of the Amended and Restated</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5">
              <w:r>
                <w:rPr>
                  <w:rFonts w:ascii="Arial" w:cs="Arial" w:eastAsia="Arial" w:hAnsi="Arial"/>
                  <w:sz w:val="14"/>
                  <w:szCs w:val="14"/>
                  <w:color w:val="0000FF"/>
                </w:rPr>
                <w:t>Certificate of Incorporation of Enphase Energy, Inc.</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spacing w:after="0"/>
              <w:rPr>
                <w:rFonts w:ascii="Arial" w:cs="Arial" w:eastAsia="Arial" w:hAnsi="Arial"/>
                <w:sz w:val="16"/>
                <w:szCs w:val="16"/>
                <w:color w:val="0000FF"/>
                <w:w w:val="98"/>
              </w:rPr>
            </w:pPr>
            <w:hyperlink r:id="rId76">
              <w:r>
                <w:rPr>
                  <w:rFonts w:ascii="Arial" w:cs="Arial" w:eastAsia="Arial" w:hAnsi="Arial"/>
                  <w:sz w:val="16"/>
                  <w:szCs w:val="16"/>
                  <w:color w:val="0000FF"/>
                  <w:w w:val="98"/>
                </w:rPr>
                <w:t>3.5</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6">
              <w:r>
                <w:rPr>
                  <w:rFonts w:ascii="Arial" w:cs="Arial" w:eastAsia="Arial" w:hAnsi="Arial"/>
                  <w:sz w:val="14"/>
                  <w:szCs w:val="14"/>
                  <w:color w:val="0000FF"/>
                </w:rPr>
                <w:t>Amended and Restated Bylaws of Enphase Energy, Inc.</w:t>
              </w:r>
            </w:hyperlink>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rPr>
                <w:rFonts w:ascii="Arial" w:cs="Arial" w:eastAsia="Arial" w:hAnsi="Arial"/>
                <w:sz w:val="16"/>
                <w:szCs w:val="16"/>
                <w:color w:val="0000FF"/>
                <w:w w:val="98"/>
              </w:rPr>
            </w:pPr>
            <w:hyperlink r:id="rId77">
              <w:r>
                <w:rPr>
                  <w:rFonts w:ascii="Arial" w:cs="Arial" w:eastAsia="Arial" w:hAnsi="Arial"/>
                  <w:sz w:val="16"/>
                  <w:szCs w:val="16"/>
                  <w:color w:val="0000FF"/>
                  <w:w w:val="98"/>
                </w:rPr>
                <w:t>4.1</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7">
              <w:r>
                <w:rPr>
                  <w:rFonts w:ascii="Arial" w:cs="Arial" w:eastAsia="Arial" w:hAnsi="Arial"/>
                  <w:sz w:val="14"/>
                  <w:szCs w:val="14"/>
                  <w:color w:val="0000FF"/>
                </w:rPr>
                <w:t>Specimen Common Stock Certificate of Enphase Energy, Inc.</w:t>
              </w:r>
            </w:hyperlink>
          </w:p>
        </w:tc>
        <w:tc>
          <w:tcPr>
            <w:tcW w:w="0" w:type="dxa"/>
            <w:vAlign w:val="bottom"/>
          </w:tcPr>
          <w:p>
            <w:pPr>
              <w:spacing w:after="0"/>
              <w:rPr>
                <w:sz w:val="1"/>
                <w:szCs w:val="1"/>
                <w:color w:val="auto"/>
              </w:rPr>
            </w:pPr>
          </w:p>
        </w:tc>
      </w:tr>
      <w:tr>
        <w:trPr>
          <w:trHeight w:val="429"/>
        </w:trPr>
        <w:tc>
          <w:tcPr>
            <w:tcW w:w="800" w:type="dxa"/>
            <w:vAlign w:val="bottom"/>
            <w:vMerge w:val="restart"/>
          </w:tcPr>
          <w:p>
            <w:pPr>
              <w:jc w:val="center"/>
              <w:spacing w:after="0"/>
              <w:rPr>
                <w:rFonts w:ascii="Arial" w:cs="Arial" w:eastAsia="Arial" w:hAnsi="Arial"/>
                <w:sz w:val="16"/>
                <w:szCs w:val="16"/>
                <w:color w:val="0000FF"/>
                <w:w w:val="98"/>
              </w:rPr>
            </w:pPr>
            <w:hyperlink r:id="rId78">
              <w:r>
                <w:rPr>
                  <w:rFonts w:ascii="Arial" w:cs="Arial" w:eastAsia="Arial" w:hAnsi="Arial"/>
                  <w:sz w:val="16"/>
                  <w:szCs w:val="16"/>
                  <w:color w:val="0000FF"/>
                  <w:w w:val="98"/>
                </w:rPr>
                <w:t>4.2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8">
              <w:r>
                <w:rPr>
                  <w:rFonts w:ascii="Arial" w:cs="Arial" w:eastAsia="Arial" w:hAnsi="Arial"/>
                  <w:sz w:val="14"/>
                  <w:szCs w:val="14"/>
                  <w:color w:val="0000FF"/>
                </w:rPr>
                <w:t>Indenture, dated August 17, 2018, between Enphase Energy,</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8">
              <w:r>
                <w:rPr>
                  <w:rFonts w:ascii="Arial" w:cs="Arial" w:eastAsia="Arial" w:hAnsi="Arial"/>
                  <w:sz w:val="14"/>
                  <w:szCs w:val="14"/>
                  <w:color w:val="0000FF"/>
                </w:rPr>
                <w:t>Inc. and U.S. Bank National Association.</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8">
              <w:r>
                <w:rPr>
                  <w:rFonts w:ascii="Arial" w:cs="Arial" w:eastAsia="Arial" w:hAnsi="Arial"/>
                  <w:sz w:val="16"/>
                  <w:szCs w:val="16"/>
                  <w:color w:val="0000FF"/>
                  <w:w w:val="98"/>
                </w:rPr>
                <w:t>4.3</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8">
              <w:r>
                <w:rPr>
                  <w:rFonts w:ascii="Arial" w:cs="Arial" w:eastAsia="Arial" w:hAnsi="Arial"/>
                  <w:sz w:val="14"/>
                  <w:szCs w:val="14"/>
                  <w:color w:val="0000FF"/>
                </w:rPr>
                <w:t>Form of 4.00% Convertible Senior Note due 2023 (included in</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8">
              <w:r>
                <w:rPr>
                  <w:rFonts w:ascii="Arial" w:cs="Arial" w:eastAsia="Arial" w:hAnsi="Arial"/>
                  <w:sz w:val="14"/>
                  <w:szCs w:val="14"/>
                  <w:color w:val="0000FF"/>
                </w:rPr>
                <w:t>Exhibit 4.2).</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9">
              <w:r>
                <w:rPr>
                  <w:rFonts w:ascii="Arial" w:cs="Arial" w:eastAsia="Arial" w:hAnsi="Arial"/>
                  <w:sz w:val="16"/>
                  <w:szCs w:val="16"/>
                  <w:color w:val="0000FF"/>
                  <w:w w:val="98"/>
                </w:rPr>
                <w:t>4.4</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9">
              <w:r>
                <w:rPr>
                  <w:rFonts w:ascii="Arial" w:cs="Arial" w:eastAsia="Arial" w:hAnsi="Arial"/>
                  <w:sz w:val="14"/>
                  <w:szCs w:val="14"/>
                  <w:color w:val="0000FF"/>
                </w:rPr>
                <w:t>Indenture, dated June 5, 2019, between Enphase Energy, Inc.</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9">
              <w:r>
                <w:rPr>
                  <w:rFonts w:ascii="Arial" w:cs="Arial" w:eastAsia="Arial" w:hAnsi="Arial"/>
                  <w:sz w:val="14"/>
                  <w:szCs w:val="14"/>
                  <w:color w:val="0000FF"/>
                </w:rPr>
                <w:t>and U.S. Bank National Association.</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79">
              <w:r>
                <w:rPr>
                  <w:rFonts w:ascii="Arial" w:cs="Arial" w:eastAsia="Arial" w:hAnsi="Arial"/>
                  <w:sz w:val="16"/>
                  <w:szCs w:val="16"/>
                  <w:color w:val="0000FF"/>
                  <w:w w:val="98"/>
                </w:rPr>
                <w:t>4.5</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79">
              <w:r>
                <w:rPr>
                  <w:rFonts w:ascii="Arial" w:cs="Arial" w:eastAsia="Arial" w:hAnsi="Arial"/>
                  <w:sz w:val="14"/>
                  <w:szCs w:val="14"/>
                  <w:color w:val="0000FF"/>
                </w:rPr>
                <w:t>Form of 1.00% Convertible Senior Note due 2024 (included in</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79">
              <w:r>
                <w:rPr>
                  <w:rFonts w:ascii="Arial" w:cs="Arial" w:eastAsia="Arial" w:hAnsi="Arial"/>
                  <w:sz w:val="14"/>
                  <w:szCs w:val="14"/>
                  <w:color w:val="0000FF"/>
                </w:rPr>
                <w:t>Exhibit 4.4).</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r:id="rId80">
              <w:r>
                <w:rPr>
                  <w:rFonts w:ascii="Arial" w:cs="Arial" w:eastAsia="Arial" w:hAnsi="Arial"/>
                  <w:sz w:val="14"/>
                  <w:szCs w:val="14"/>
                  <w:color w:val="0000FF"/>
                </w:rPr>
                <w:t>4.6</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81">
              <w:r>
                <w:rPr>
                  <w:rFonts w:ascii="Arial" w:cs="Arial" w:eastAsia="Arial" w:hAnsi="Arial"/>
                  <w:sz w:val="14"/>
                  <w:szCs w:val="14"/>
                  <w:color w:val="0000FF"/>
                </w:rPr>
                <w:t>Indenture, dated March 9, 2020, between Enphase Energy, Inc.</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81">
              <w:r>
                <w:rPr>
                  <w:rFonts w:ascii="Arial" w:cs="Arial" w:eastAsia="Arial" w:hAnsi="Arial"/>
                  <w:sz w:val="14"/>
                  <w:szCs w:val="14"/>
                  <w:color w:val="0000FF"/>
                </w:rPr>
                <w:t>and U.S. Bank National Association.</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r:id="rId81">
              <w:r>
                <w:rPr>
                  <w:rFonts w:ascii="Arial" w:cs="Arial" w:eastAsia="Arial" w:hAnsi="Arial"/>
                  <w:sz w:val="14"/>
                  <w:szCs w:val="14"/>
                  <w:color w:val="0000FF"/>
                </w:rPr>
                <w:t>4.7</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81">
              <w:r>
                <w:rPr>
                  <w:rFonts w:ascii="Arial" w:cs="Arial" w:eastAsia="Arial" w:hAnsi="Arial"/>
                  <w:sz w:val="14"/>
                  <w:szCs w:val="14"/>
                  <w:color w:val="0000FF"/>
                </w:rPr>
                <w:t>Form of 0.25% Convertible Senior Note due 2025 (included in</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81">
              <w:r>
                <w:rPr>
                  <w:rFonts w:ascii="Arial" w:cs="Arial" w:eastAsia="Arial" w:hAnsi="Arial"/>
                  <w:sz w:val="14"/>
                  <w:szCs w:val="14"/>
                  <w:color w:val="0000FF"/>
                </w:rPr>
                <w:t>Exhibit 4.1).</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w:anchor="page53">
              <w:r>
                <w:rPr>
                  <w:rFonts w:ascii="Arial" w:cs="Arial" w:eastAsia="Arial" w:hAnsi="Arial"/>
                  <w:sz w:val="14"/>
                  <w:szCs w:val="14"/>
                  <w:color w:val="0000FF"/>
                </w:rPr>
                <w:t>31.1</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3">
              <w:r>
                <w:rPr>
                  <w:rFonts w:ascii="Arial" w:cs="Arial" w:eastAsia="Arial" w:hAnsi="Arial"/>
                  <w:sz w:val="14"/>
                  <w:szCs w:val="14"/>
                  <w:color w:val="0000FF"/>
                </w:rPr>
                <w:t>Certification of Chief Executive Officer pursuant to Rule 13a-</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w:anchor="page53">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w:anchor="page54">
              <w:r>
                <w:rPr>
                  <w:rFonts w:ascii="Arial" w:cs="Arial" w:eastAsia="Arial" w:hAnsi="Arial"/>
                  <w:sz w:val="14"/>
                  <w:szCs w:val="14"/>
                  <w:color w:val="0000FF"/>
                </w:rPr>
                <w:t>31.2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4">
              <w:r>
                <w:rPr>
                  <w:rFonts w:ascii="Arial" w:cs="Arial" w:eastAsia="Arial" w:hAnsi="Arial"/>
                  <w:sz w:val="14"/>
                  <w:szCs w:val="14"/>
                  <w:color w:val="0000FF"/>
                </w:rPr>
                <w:t>Certification of Chief Financial Officer pursuant to Rule 13a-</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w:anchor="page54">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5">
              <w:r>
                <w:rPr>
                  <w:rFonts w:ascii="Arial" w:cs="Arial" w:eastAsia="Arial" w:hAnsi="Arial"/>
                  <w:sz w:val="14"/>
                  <w:szCs w:val="14"/>
                  <w:color w:val="0000FF"/>
                </w:rPr>
                <w:t>Certification of Chief Executive Officer and Chief Financial</w:t>
              </w:r>
            </w:hyperlink>
          </w:p>
        </w:tc>
        <w:tc>
          <w:tcPr>
            <w:tcW w:w="0" w:type="dxa"/>
            <w:vAlign w:val="bottom"/>
          </w:tcPr>
          <w:p>
            <w:pPr>
              <w:spacing w:after="0"/>
              <w:rPr>
                <w:sz w:val="1"/>
                <w:szCs w:val="1"/>
                <w:color w:val="auto"/>
              </w:rPr>
            </w:pPr>
          </w:p>
        </w:tc>
      </w:tr>
      <w:tr>
        <w:trPr>
          <w:trHeight w:val="162"/>
        </w:trPr>
        <w:tc>
          <w:tcPr>
            <w:tcW w:w="800" w:type="dxa"/>
            <w:vAlign w:val="bottom"/>
          </w:tcPr>
          <w:p>
            <w:pPr>
              <w:jc w:val="center"/>
              <w:spacing w:after="0"/>
              <w:rPr>
                <w:rFonts w:ascii="Arial" w:cs="Arial" w:eastAsia="Arial" w:hAnsi="Arial"/>
                <w:sz w:val="14"/>
                <w:szCs w:val="14"/>
                <w:color w:val="0000FF"/>
              </w:rPr>
            </w:pPr>
            <w:hyperlink w:anchor="page55">
              <w:r>
                <w:rPr>
                  <w:rFonts w:ascii="Arial" w:cs="Arial" w:eastAsia="Arial" w:hAnsi="Arial"/>
                  <w:sz w:val="14"/>
                  <w:szCs w:val="14"/>
                  <w:color w:val="0000FF"/>
                </w:rPr>
                <w:t>32.1</w:t>
              </w:r>
            </w:hyperlink>
            <w:r>
              <w:rPr>
                <w:rFonts w:ascii="Arial" w:cs="Arial" w:eastAsia="Arial" w:hAnsi="Arial"/>
                <w:sz w:val="14"/>
                <w:szCs w:val="14"/>
                <w:color w:val="000000"/>
              </w:rPr>
              <w:t>*</w:t>
            </w: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w:anchor="page55">
              <w:r>
                <w:rPr>
                  <w:rFonts w:ascii="Arial" w:cs="Arial" w:eastAsia="Arial" w:hAnsi="Arial"/>
                  <w:sz w:val="14"/>
                  <w:szCs w:val="14"/>
                  <w:color w:val="0000FF"/>
                </w:rPr>
                <w:t>Officer pursuant to 18 U.S.C. Section 1350 as Adopted</w:t>
              </w:r>
            </w:hyperlink>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w:anchor="page55">
              <w:r>
                <w:rPr>
                  <w:rFonts w:ascii="Arial" w:cs="Arial" w:eastAsia="Arial" w:hAnsi="Arial"/>
                  <w:sz w:val="14"/>
                  <w:szCs w:val="14"/>
                  <w:color w:val="0000FF"/>
                </w:rPr>
                <w:t>Pursuant to Section 906 of the Sarbanes-Oxley Act of 2002.</w:t>
              </w:r>
            </w:hyperlink>
          </w:p>
        </w:tc>
        <w:tc>
          <w:tcPr>
            <w:tcW w:w="0" w:type="dxa"/>
            <w:vAlign w:val="bottom"/>
          </w:tcPr>
          <w:p>
            <w:pPr>
              <w:spacing w:after="0"/>
              <w:rPr>
                <w:sz w:val="1"/>
                <w:szCs w:val="1"/>
                <w:color w:val="auto"/>
              </w:rPr>
            </w:pPr>
          </w:p>
        </w:tc>
      </w:tr>
      <w:tr>
        <w:trPr>
          <w:trHeight w:val="31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XBRL Instance Document - the instance document does not</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101.INS</w:t>
            </w:r>
          </w:p>
        </w:tc>
        <w:tc>
          <w:tcPr>
            <w:tcW w:w="4160" w:type="dxa"/>
            <w:vAlign w:val="bottom"/>
          </w:tcPr>
          <w:p>
            <w:pPr>
              <w:ind w:left="40"/>
              <w:spacing w:after="0"/>
              <w:rPr>
                <w:sz w:val="20"/>
                <w:szCs w:val="20"/>
                <w:color w:val="auto"/>
              </w:rPr>
            </w:pPr>
            <w:r>
              <w:rPr>
                <w:rFonts w:ascii="Arial" w:cs="Arial" w:eastAsia="Arial" w:hAnsi="Arial"/>
                <w:sz w:val="14"/>
                <w:szCs w:val="14"/>
                <w:color w:val="auto"/>
              </w:rPr>
              <w:t>appear in the Interactive Data File because its XBRL tags are</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embedded within the Inline XBRL document.</w:t>
            </w:r>
          </w:p>
        </w:tc>
        <w:tc>
          <w:tcPr>
            <w:tcW w:w="0" w:type="dxa"/>
            <w:vAlign w:val="bottom"/>
          </w:tcPr>
          <w:p>
            <w:pPr>
              <w:spacing w:after="0"/>
              <w:rPr>
                <w:sz w:val="1"/>
                <w:szCs w:val="1"/>
                <w:color w:val="auto"/>
              </w:rPr>
            </w:pPr>
          </w:p>
        </w:tc>
      </w:tr>
      <w:tr>
        <w:trPr>
          <w:trHeight w:val="324"/>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101.SCH</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101.CAL</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101.DEF</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101.PRE</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Presentation Document.</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960" w:right="120" w:hanging="674"/>
        <w:spacing w:after="0" w:line="183" w:lineRule="auto"/>
        <w:tabs>
          <w:tab w:leader="none" w:pos="960" w:val="left"/>
        </w:tabs>
        <w:numPr>
          <w:ilvl w:val="0"/>
          <w:numId w:val="29"/>
        </w:numPr>
        <w:rPr>
          <w:rFonts w:ascii="Arial" w:cs="Arial" w:eastAsia="Arial" w:hAnsi="Arial"/>
          <w:sz w:val="25"/>
          <w:szCs w:val="25"/>
          <w:color w:val="auto"/>
          <w:vertAlign w:val="subscript"/>
        </w:rPr>
      </w:pPr>
      <w:r>
        <w:rPr>
          <w:rFonts w:ascii="Arial" w:cs="Arial" w:eastAsia="Arial" w:hAnsi="Arial"/>
          <w:sz w:val="13"/>
          <w:szCs w:val="13"/>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565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96"/>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SEC File No.</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93"/>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8/9/2017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5/27/2020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7"/>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580" w:type="dxa"/>
            <w:vAlign w:val="bottom"/>
          </w:tcPr>
          <w:p>
            <w:pPr>
              <w:jc w:val="center"/>
              <w:spacing w:after="0"/>
              <w:rPr>
                <w:sz w:val="20"/>
                <w:szCs w:val="20"/>
                <w:color w:val="auto"/>
              </w:rPr>
            </w:pPr>
            <w:r>
              <w:rPr>
                <w:rFonts w:ascii="Arial" w:cs="Arial" w:eastAsia="Arial" w:hAnsi="Arial"/>
                <w:sz w:val="14"/>
                <w:szCs w:val="14"/>
                <w:color w:val="auto"/>
              </w:rPr>
              <w:t>333-174925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580" w:type="dxa"/>
            <w:vAlign w:val="bottom"/>
          </w:tcPr>
          <w:p>
            <w:pPr>
              <w:jc w:val="center"/>
              <w:spacing w:after="0"/>
              <w:rPr>
                <w:sz w:val="20"/>
                <w:szCs w:val="20"/>
                <w:color w:val="auto"/>
              </w:rPr>
            </w:pPr>
            <w:r>
              <w:rPr>
                <w:rFonts w:ascii="Arial" w:cs="Arial" w:eastAsia="Arial" w:hAnsi="Arial"/>
                <w:sz w:val="14"/>
                <w:szCs w:val="14"/>
                <w:color w:val="auto"/>
              </w:rPr>
              <w:t>333-174925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6"/>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8/17/2018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8/17/2018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6/5/2019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6/5/2019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58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-4234815</wp:posOffset>
            </wp:positionV>
            <wp:extent cx="713232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-3472180</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-2717800</wp:posOffset>
            </wp:positionV>
            <wp:extent cx="71323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-2134870</wp:posOffset>
            </wp:positionV>
            <wp:extent cx="7132320"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-1380490</wp:posOffset>
            </wp:positionV>
            <wp:extent cx="713232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-626110</wp:posOffset>
            </wp:positionV>
            <wp:extent cx="7132320" cy="377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127635</wp:posOffset>
            </wp:positionV>
            <wp:extent cx="713232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134620</wp:posOffset>
            </wp:positionV>
            <wp:extent cx="7132320" cy="480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528955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83185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83185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91" w:lineRule="exact"/>
        <w:rPr>
          <w:sz w:val="20"/>
          <w:szCs w:val="20"/>
          <w:color w:val="auto"/>
        </w:rPr>
      </w:pPr>
    </w:p>
    <w:p>
      <w:pPr>
        <w:sectPr>
          <w:pgSz w:w="11900" w:h="16838" w:orient="portrait"/>
          <w:cols w:equalWidth="0" w:num="2">
            <w:col w:w="5080" w:space="120"/>
            <w:col w:w="6040"/>
          </w:cols>
          <w:pgMar w:left="320" w:top="283" w:right="339" w:bottom="92" w:gutter="0" w:footer="0" w:header="0"/>
          <w:type w:val="continuous"/>
        </w:sectPr>
      </w:pPr>
    </w:p>
    <w:p>
      <w:pPr>
        <w:spacing w:after="0" w:line="190" w:lineRule="exact"/>
        <w:rPr>
          <w:sz w:val="20"/>
          <w:szCs w:val="20"/>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92"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49</w:t>
      </w:r>
    </w:p>
    <w:p>
      <w:pPr>
        <w:sectPr>
          <w:pgSz w:w="11900" w:h="16838" w:orient="portrait"/>
          <w:cols w:equalWidth="0" w:num="1">
            <w:col w:w="11240"/>
          </w:cols>
          <w:pgMar w:left="320" w:top="283" w:right="339" w:bottom="92" w:gutter="0" w:footer="0" w:header="0"/>
          <w:type w:val="continuous"/>
        </w:sectPr>
      </w:pPr>
    </w:p>
    <w:bookmarkStart w:id="51" w:name="page52"/>
    <w:bookmarkEnd w:id="5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2020</w:t>
      </w:r>
    </w:p>
    <w:p>
      <w:pPr>
        <w:spacing w:after="0" w:line="36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486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2922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Eric Branderiz</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306070</wp:posOffset>
            </wp:positionV>
            <wp:extent cx="6943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828282"/>
        </w:rPr>
        <w:t>Enphase Energy, Inc. | 2020 Form 10-Q | 50</w:t>
      </w:r>
    </w:p>
    <w:p>
      <w:pPr>
        <w:sectPr>
          <w:pgSz w:w="11900" w:h="16838" w:orient="portrait"/>
          <w:cols w:equalWidth="0" w:num="1">
            <w:col w:w="11200"/>
          </w:cols>
          <w:pgMar w:left="320" w:top="283"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5"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20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18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1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2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8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hanging="322"/>
        <w:spacing w:after="0" w:line="261"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Badrinarayanan Kothandaraman</w:t>
      </w:r>
    </w:p>
    <w:p>
      <w:pPr>
        <w:spacing w:after="0" w:line="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ind w:left="5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0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5"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20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18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12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22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8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hanging="322"/>
        <w:spacing w:after="0" w:line="261"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Eric Branderiz</w:t>
      </w:r>
    </w:p>
    <w:p>
      <w:pPr>
        <w:spacing w:after="0" w:line="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ind w:left="5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Executive Vice President and Chief Financial Officer of the Company, each hereby certifies that, to the best of his or her knowledge:</w:t>
      </w:r>
    </w:p>
    <w:p>
      <w:pPr>
        <w:spacing w:after="0" w:line="177" w:lineRule="exact"/>
        <w:rPr>
          <w:sz w:val="20"/>
          <w:szCs w:val="20"/>
          <w:color w:val="auto"/>
        </w:rPr>
      </w:pPr>
    </w:p>
    <w:p>
      <w:pPr>
        <w:ind w:right="140" w:firstLine="8"/>
        <w:spacing w:after="0" w:line="261"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60" w:firstLine="8"/>
        <w:spacing w:after="0" w:line="261"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4th day of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00" w:type="dxa"/>
            <w:vAlign w:val="bottom"/>
          </w:tcPr>
          <w:p>
            <w:pPr>
              <w:ind w:left="40"/>
              <w:spacing w:after="0"/>
              <w:rPr>
                <w:sz w:val="20"/>
                <w:szCs w:val="20"/>
                <w:color w:val="auto"/>
              </w:rPr>
            </w:pPr>
            <w:r>
              <w:rPr>
                <w:rFonts w:ascii="Arial" w:cs="Arial" w:eastAsia="Arial" w:hAnsi="Arial"/>
                <w:sz w:val="18"/>
                <w:szCs w:val="18"/>
                <w:color w:val="auto"/>
              </w:rPr>
              <w:t>/s/ ERIC BRANDERIZ</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00" w:type="dxa"/>
            <w:vAlign w:val="bottom"/>
          </w:tcPr>
          <w:p>
            <w:pPr>
              <w:ind w:left="40"/>
              <w:spacing w:after="0"/>
              <w:rPr>
                <w:sz w:val="20"/>
                <w:szCs w:val="20"/>
                <w:color w:val="auto"/>
              </w:rPr>
            </w:pPr>
            <w:r>
              <w:rPr>
                <w:rFonts w:ascii="Arial" w:cs="Arial" w:eastAsia="Arial" w:hAnsi="Arial"/>
                <w:sz w:val="18"/>
                <w:szCs w:val="18"/>
                <w:color w:val="auto"/>
              </w:rPr>
              <w:t>Eric Branderiz</w:t>
            </w: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9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2"/>
    </w:lvl>
  </w:abstractNum>
  <w:abstractNum w:abstractNumId="21">
    <w:nsid w:val="71F32454"/>
    <w:multiLevelType w:val="hybridMultilevel"/>
    <w:lvl w:ilvl="0">
      <w:lvlJc w:val="left"/>
      <w:lvlText w:val="%1."/>
      <w:numFmt w:val="decimal"/>
      <w:start w:val="13"/>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72" Type="http://schemas.openxmlformats.org/officeDocument/2006/relationships/hyperlink" Target="http://www.sec.gov/Archives/edgar/data/1463101/000119312512153425/d330683dex31.htm" TargetMode="External"/><Relationship Id="rId73" Type="http://schemas.openxmlformats.org/officeDocument/2006/relationships/hyperlink" Target="http://www.sec.gov/Archives/edgar/data/1463101/000146310117000091/a2017q210-qexx31certificat.htm" TargetMode="External"/><Relationship Id="rId74" Type="http://schemas.openxmlformats.org/officeDocument/2006/relationships/hyperlink" Target="http://www.sec.gov/Archives/edgar/data/1463101/000146310118000075/a2018q210-qexx33.htm" TargetMode="External"/><Relationship Id="rId75" Type="http://schemas.openxmlformats.org/officeDocument/2006/relationships/hyperlink" Target="http://www.sec.gov/Archives/edgar/data/1463101/000146310120000075/a20208-kexx31.htm" TargetMode="External"/><Relationship Id="rId76" Type="http://schemas.openxmlformats.org/officeDocument/2006/relationships/hyperlink" Target="http://www.sec.gov/Archives/edgar/data/1463101/000119312512110086/d195596dex35.htm" TargetMode="External"/><Relationship Id="rId77" Type="http://schemas.openxmlformats.org/officeDocument/2006/relationships/hyperlink" Target="http://www.sec.gov/Archives/edgar/data/1463101/000119312512110086/d195596dex41.htm" TargetMode="External"/><Relationship Id="rId78" Type="http://schemas.openxmlformats.org/officeDocument/2006/relationships/hyperlink" Target="http://www.sec.gov/Archives/edgar/data/1463101/000110465918052638/a18-18308_2ex4d1.htm" TargetMode="External"/><Relationship Id="rId79" Type="http://schemas.openxmlformats.org/officeDocument/2006/relationships/hyperlink" Target="http://www.sec.gov/Archives/edgar/data/1463101/000110465919034028/a19-11111_1ex4d1.htm" TargetMode="External"/><Relationship Id="rId80" Type="http://schemas.openxmlformats.org/officeDocument/2006/relationships/hyperlink" Target="https://www.sec.gov/Archives/edgar/data/1463101/000110465920030834/tm2011387d2_ex4-1.htm" TargetMode="External"/><Relationship Id="rId81" Type="http://schemas.openxmlformats.org/officeDocument/2006/relationships/hyperlink" Target="http://www.sec.gov/Archives/edgar/data/1463101/000110465920030834/tm2011387d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2020-08-04T15:30:03Z</dcterms:created>
  <dcterms:modified xsi:type="dcterms:W3CDTF">2020-08-04T15:30:03Z</dcterms:modified>
</cp:coreProperties>
</file>