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337820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252095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277495</wp:posOffset>
            </wp:positionV>
            <wp:extent cx="291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328295</wp:posOffset>
            </wp:positionV>
            <wp:extent cx="2915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ind w:left="200"/>
        <w:spacing w:after="0"/>
        <w:rPr>
          <w:sz w:val="20"/>
          <w:szCs w:val="20"/>
          <w:color w:val="auto"/>
        </w:rPr>
      </w:pPr>
      <w:r>
        <w:rPr>
          <w:rFonts w:ascii="Arial" w:cs="Arial" w:eastAsia="Arial" w:hAnsi="Arial"/>
          <w:sz w:val="11"/>
          <w:szCs w:val="11"/>
          <w:color w:val="auto"/>
        </w:rPr>
        <w:t>(Mark One)</w:t>
      </w:r>
    </w:p>
    <w:p>
      <w:pPr>
        <w:spacing w:after="0" w:line="39" w:lineRule="exact"/>
        <w:rPr>
          <w:sz w:val="24"/>
          <w:szCs w:val="24"/>
          <w:color w:val="auto"/>
        </w:rPr>
      </w:pPr>
    </w:p>
    <w:p>
      <w:pPr>
        <w:ind w:left="3980" w:right="3080" w:hanging="3574"/>
        <w:spacing w:after="0" w:line="382" w:lineRule="auto"/>
        <w:tabs>
          <w:tab w:leader="none" w:pos="955"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960" w:hanging="554"/>
        <w:spacing w:after="0"/>
        <w:tabs>
          <w:tab w:leader="none" w:pos="9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1" w:lineRule="exact"/>
        <w:rPr>
          <w:sz w:val="24"/>
          <w:szCs w:val="24"/>
          <w:color w:val="auto"/>
        </w:rPr>
      </w:pPr>
    </w:p>
    <w:p>
      <w:pPr>
        <w:ind w:left="4100"/>
        <w:spacing w:after="0"/>
        <w:tabs>
          <w:tab w:leader="none" w:pos="66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83185</wp:posOffset>
            </wp:positionV>
            <wp:extent cx="2915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168910</wp:posOffset>
            </wp:positionV>
            <wp:extent cx="193802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802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tbl>
      <w:tblPr>
        <w:tblLayout w:type="fixed"/>
        <w:tblInd w:w="1360" w:type="dxa"/>
        <w:tblCellMar>
          <w:top w:w="0" w:type="dxa"/>
          <w:left w:w="0" w:type="dxa"/>
          <w:bottom w:w="0" w:type="dxa"/>
          <w:right w:w="0" w:type="dxa"/>
        </w:tblCellMar>
      </w:tblPr>
      <w:tr>
        <w:trPr>
          <w:trHeight w:val="324"/>
        </w:trPr>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20" w:type="dxa"/>
            <w:vAlign w:val="bottom"/>
            <w:gridSpan w:val="2"/>
          </w:tcPr>
          <w:p>
            <w:pPr>
              <w:jc w:val="center"/>
              <w:ind w:right="2280"/>
              <w:spacing w:after="0"/>
              <w:rPr>
                <w:sz w:val="20"/>
                <w:szCs w:val="20"/>
                <w:color w:val="auto"/>
              </w:rPr>
            </w:pPr>
            <w:r>
              <w:rPr>
                <w:rFonts w:ascii="Arial" w:cs="Arial" w:eastAsia="Arial" w:hAnsi="Arial"/>
                <w:sz w:val="25"/>
                <w:szCs w:val="25"/>
                <w:b w:val="1"/>
                <w:bCs w:val="1"/>
                <w:color w:val="auto"/>
              </w:rPr>
              <w:t>Enphase Energy, Inc.</w:t>
            </w:r>
          </w:p>
        </w:tc>
      </w:tr>
      <w:tr>
        <w:trPr>
          <w:trHeight w:val="130"/>
        </w:trPr>
        <w:tc>
          <w:tcPr>
            <w:tcW w:w="2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20" w:type="dxa"/>
            <w:vAlign w:val="bottom"/>
            <w:gridSpan w:val="2"/>
          </w:tcPr>
          <w:p>
            <w:pPr>
              <w:jc w:val="center"/>
              <w:ind w:right="2280"/>
              <w:spacing w:after="0"/>
              <w:rPr>
                <w:sz w:val="20"/>
                <w:szCs w:val="20"/>
                <w:color w:val="auto"/>
              </w:rPr>
            </w:pPr>
            <w:r>
              <w:rPr>
                <w:rFonts w:ascii="Arial" w:cs="Arial" w:eastAsia="Arial" w:hAnsi="Arial"/>
                <w:sz w:val="11"/>
                <w:szCs w:val="11"/>
                <w:color w:val="auto"/>
                <w:w w:val="98"/>
              </w:rPr>
              <w:t>(Exact name of registrant as specified in its charter)</w:t>
            </w:r>
          </w:p>
        </w:tc>
      </w:tr>
      <w:tr>
        <w:trPr>
          <w:trHeight w:val="252"/>
        </w:trPr>
        <w:tc>
          <w:tcPr>
            <w:tcW w:w="20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c>
          <w:tcPr>
            <w:tcW w:w="1480" w:type="dxa"/>
            <w:vAlign w:val="bottom"/>
          </w:tcPr>
          <w:p>
            <w:pPr>
              <w:spacing w:after="0"/>
              <w:rPr>
                <w:sz w:val="21"/>
                <w:szCs w:val="21"/>
                <w:color w:val="auto"/>
              </w:rPr>
            </w:pPr>
          </w:p>
        </w:tc>
      </w:tr>
      <w:tr>
        <w:trPr>
          <w:trHeight w:val="387"/>
        </w:trPr>
        <w:tc>
          <w:tcPr>
            <w:tcW w:w="2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Delaware</w:t>
            </w:r>
          </w:p>
        </w:tc>
        <w:tc>
          <w:tcPr>
            <w:tcW w:w="5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20-4645388</w:t>
            </w:r>
          </w:p>
        </w:tc>
      </w:tr>
      <w:tr>
        <w:trPr>
          <w:trHeight w:val="166"/>
        </w:trPr>
        <w:tc>
          <w:tcPr>
            <w:tcW w:w="288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(State or other jurisdiction of incorporation or organization)</w:t>
            </w:r>
          </w:p>
        </w:tc>
        <w:tc>
          <w:tcPr>
            <w:tcW w:w="5220" w:type="dxa"/>
            <w:vAlign w:val="bottom"/>
            <w:gridSpan w:val="2"/>
          </w:tcPr>
          <w:p>
            <w:pPr>
              <w:jc w:val="center"/>
              <w:ind w:left="3489"/>
              <w:spacing w:after="0"/>
              <w:rPr>
                <w:sz w:val="20"/>
                <w:szCs w:val="20"/>
                <w:color w:val="auto"/>
              </w:rPr>
            </w:pPr>
            <w:r>
              <w:rPr>
                <w:rFonts w:ascii="Arial" w:cs="Arial" w:eastAsia="Arial" w:hAnsi="Arial"/>
                <w:sz w:val="11"/>
                <w:szCs w:val="11"/>
                <w:color w:val="auto"/>
                <w:w w:val="98"/>
              </w:rPr>
              <w:t>(I.R.S. Employer Identification No.)</w:t>
            </w:r>
          </w:p>
        </w:tc>
      </w:tr>
      <w:tr>
        <w:trPr>
          <w:trHeight w:val="265"/>
        </w:trPr>
        <w:tc>
          <w:tcPr>
            <w:tcW w:w="20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20" w:type="dxa"/>
            <w:vAlign w:val="bottom"/>
            <w:gridSpan w:val="2"/>
          </w:tcPr>
          <w:p>
            <w:pPr>
              <w:jc w:val="center"/>
              <w:ind w:right="2280"/>
              <w:spacing w:after="0"/>
              <w:rPr>
                <w:sz w:val="20"/>
                <w:szCs w:val="20"/>
                <w:color w:val="auto"/>
              </w:rPr>
            </w:pPr>
            <w:r>
              <w:rPr>
                <w:rFonts w:ascii="Arial" w:cs="Arial" w:eastAsia="Arial" w:hAnsi="Arial"/>
                <w:sz w:val="14"/>
                <w:szCs w:val="14"/>
                <w:b w:val="1"/>
                <w:bCs w:val="1"/>
                <w:color w:val="auto"/>
              </w:rPr>
              <w:t>47281 Bayside Parkway</w:t>
            </w:r>
          </w:p>
        </w:tc>
      </w:tr>
      <w:tr>
        <w:trPr>
          <w:trHeight w:val="172"/>
        </w:trPr>
        <w:tc>
          <w:tcPr>
            <w:tcW w:w="2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20" w:type="dxa"/>
            <w:vAlign w:val="bottom"/>
            <w:gridSpan w:val="2"/>
          </w:tcPr>
          <w:p>
            <w:pPr>
              <w:jc w:val="center"/>
              <w:ind w:right="2280"/>
              <w:spacing w:after="0"/>
              <w:rPr>
                <w:sz w:val="20"/>
                <w:szCs w:val="20"/>
                <w:color w:val="auto"/>
              </w:rPr>
            </w:pPr>
            <w:r>
              <w:rPr>
                <w:rFonts w:ascii="Arial" w:cs="Arial" w:eastAsia="Arial" w:hAnsi="Arial"/>
                <w:sz w:val="14"/>
                <w:szCs w:val="14"/>
                <w:b w:val="1"/>
                <w:bCs w:val="1"/>
                <w:color w:val="auto"/>
              </w:rPr>
              <w:t>Fremont, CA 94538</w:t>
            </w:r>
          </w:p>
        </w:tc>
      </w:tr>
      <w:tr>
        <w:trPr>
          <w:trHeight w:val="130"/>
        </w:trPr>
        <w:tc>
          <w:tcPr>
            <w:tcW w:w="2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20" w:type="dxa"/>
            <w:vAlign w:val="bottom"/>
            <w:gridSpan w:val="2"/>
          </w:tcPr>
          <w:p>
            <w:pPr>
              <w:jc w:val="center"/>
              <w:ind w:right="2260"/>
              <w:spacing w:after="0"/>
              <w:rPr>
                <w:sz w:val="20"/>
                <w:szCs w:val="20"/>
                <w:color w:val="auto"/>
              </w:rPr>
            </w:pPr>
            <w:r>
              <w:rPr>
                <w:rFonts w:ascii="Arial" w:cs="Arial" w:eastAsia="Arial" w:hAnsi="Arial"/>
                <w:sz w:val="11"/>
                <w:szCs w:val="11"/>
                <w:color w:val="auto"/>
                <w:w w:val="97"/>
              </w:rPr>
              <w:t>(Address of principal executive offices, including zip code)</w:t>
            </w:r>
          </w:p>
        </w:tc>
      </w:tr>
      <w:tr>
        <w:trPr>
          <w:trHeight w:val="289"/>
        </w:trPr>
        <w:tc>
          <w:tcPr>
            <w:tcW w:w="2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jc w:val="center"/>
              <w:ind w:right="729"/>
              <w:spacing w:after="0"/>
              <w:rPr>
                <w:sz w:val="20"/>
                <w:szCs w:val="20"/>
                <w:color w:val="auto"/>
              </w:rPr>
            </w:pPr>
            <w:r>
              <w:rPr>
                <w:rFonts w:ascii="Arial" w:cs="Arial" w:eastAsia="Arial" w:hAnsi="Arial"/>
                <w:sz w:val="16"/>
                <w:szCs w:val="16"/>
                <w:b w:val="1"/>
                <w:bCs w:val="1"/>
                <w:color w:val="auto"/>
              </w:rPr>
              <w:t>(707) 774-7000</w:t>
            </w:r>
          </w:p>
        </w:tc>
        <w:tc>
          <w:tcPr>
            <w:tcW w:w="1480" w:type="dxa"/>
            <w:vAlign w:val="bottom"/>
          </w:tcPr>
          <w:p>
            <w:pPr>
              <w:spacing w:after="0"/>
              <w:rPr>
                <w:sz w:val="24"/>
                <w:szCs w:val="24"/>
                <w:color w:val="auto"/>
              </w:rPr>
            </w:pPr>
          </w:p>
        </w:tc>
      </w:tr>
      <w:tr>
        <w:trPr>
          <w:trHeight w:val="130"/>
        </w:trPr>
        <w:tc>
          <w:tcPr>
            <w:tcW w:w="2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20" w:type="dxa"/>
            <w:vAlign w:val="bottom"/>
            <w:gridSpan w:val="2"/>
          </w:tcPr>
          <w:p>
            <w:pPr>
              <w:jc w:val="center"/>
              <w:ind w:right="2280"/>
              <w:spacing w:after="0"/>
              <w:rPr>
                <w:sz w:val="20"/>
                <w:szCs w:val="20"/>
                <w:color w:val="auto"/>
              </w:rPr>
            </w:pPr>
            <w:r>
              <w:rPr>
                <w:rFonts w:ascii="Arial" w:cs="Arial" w:eastAsia="Arial" w:hAnsi="Arial"/>
                <w:sz w:val="11"/>
                <w:szCs w:val="11"/>
                <w:color w:val="auto"/>
                <w:w w:val="98"/>
              </w:rPr>
              <w:t>(Registrant’s telephone number, including area code)</w:t>
            </w:r>
          </w:p>
        </w:tc>
      </w:tr>
    </w:tbl>
    <w:p>
      <w:pPr>
        <w:spacing w:after="0" w:line="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84455</wp:posOffset>
            </wp:positionV>
            <wp:extent cx="29159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53"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Title of each class</w:t>
            </w:r>
          </w:p>
        </w:tc>
        <w:tc>
          <w:tcPr>
            <w:tcW w:w="120" w:type="dxa"/>
            <w:vAlign w:val="bottom"/>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Trading Symbol(s)</w:t>
            </w:r>
          </w:p>
        </w:tc>
        <w:tc>
          <w:tcPr>
            <w:tcW w:w="120" w:type="dxa"/>
            <w:vAlign w:val="bottom"/>
          </w:tcPr>
          <w:p>
            <w:pPr>
              <w:spacing w:after="0"/>
              <w:rPr>
                <w:sz w:val="14"/>
                <w:szCs w:val="14"/>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Name of each exchange on which registered</w:t>
            </w:r>
          </w:p>
        </w:tc>
      </w:tr>
      <w:tr>
        <w:trPr>
          <w:trHeight w:val="243"/>
        </w:trPr>
        <w:tc>
          <w:tcPr>
            <w:tcW w:w="4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Common Stock, $0.00001 par value per share</w:t>
            </w: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ENPH</w:t>
            </w: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6"/>
              </w:rPr>
              <w:t>NASDAQ Global Market</w:t>
            </w:r>
          </w:p>
        </w:tc>
      </w:tr>
    </w:tbl>
    <w:p>
      <w:pPr>
        <w:spacing w:after="0" w:line="127" w:lineRule="exact"/>
        <w:rPr>
          <w:sz w:val="24"/>
          <w:szCs w:val="24"/>
          <w:color w:val="auto"/>
        </w:rPr>
      </w:pPr>
    </w:p>
    <w:p>
      <w:pPr>
        <w:ind w:right="200"/>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100" w:lineRule="exact"/>
        <w:rPr>
          <w:sz w:val="24"/>
          <w:szCs w:val="24"/>
          <w:color w:val="auto"/>
        </w:rPr>
      </w:pPr>
    </w:p>
    <w:p>
      <w:pPr>
        <w:ind w:right="20"/>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100" w:lineRule="exact"/>
        <w:rPr>
          <w:sz w:val="24"/>
          <w:szCs w:val="24"/>
          <w:color w:val="auto"/>
        </w:rPr>
      </w:pPr>
    </w:p>
    <w:p>
      <w:pPr>
        <w:ind w:right="36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 “smaller reporting company,” and “emerging growth company” in Rule 12b-2 of the Exchange Act:</w:t>
      </w:r>
    </w:p>
    <w:p>
      <w:pPr>
        <w:spacing w:after="0" w:line="100" w:lineRule="exact"/>
        <w:rPr>
          <w:sz w:val="24"/>
          <w:szCs w:val="24"/>
          <w:color w:val="auto"/>
        </w:rPr>
      </w:pPr>
    </w:p>
    <w:tbl>
      <w:tblPr>
        <w:tblLayout w:type="fixed"/>
        <w:tblInd w:w="40" w:type="dxa"/>
        <w:tblCellMar>
          <w:top w:w="0" w:type="dxa"/>
          <w:left w:w="0" w:type="dxa"/>
          <w:bottom w:w="0" w:type="dxa"/>
          <w:right w:w="0" w:type="dxa"/>
        </w:tblCellMar>
      </w:tblPr>
      <w:tr>
        <w:trPr>
          <w:trHeight w:val="211"/>
        </w:trPr>
        <w:tc>
          <w:tcPr>
            <w:tcW w:w="2220" w:type="dxa"/>
            <w:vAlign w:val="bottom"/>
            <w:vMerge w:val="restart"/>
          </w:tcPr>
          <w:p>
            <w:pPr>
              <w:spacing w:after="0"/>
              <w:rPr>
                <w:sz w:val="20"/>
                <w:szCs w:val="20"/>
                <w:color w:val="auto"/>
              </w:rPr>
            </w:pPr>
            <w:r>
              <w:rPr>
                <w:rFonts w:ascii="Arial" w:cs="Arial" w:eastAsia="Arial" w:hAnsi="Arial"/>
                <w:sz w:val="14"/>
                <w:szCs w:val="14"/>
                <w:color w:val="auto"/>
              </w:rPr>
              <w:t>Large accelerated filer</w:t>
            </w:r>
          </w:p>
        </w:tc>
        <w:tc>
          <w:tcPr>
            <w:tcW w:w="34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rPr>
              <w:t>☐</w:t>
            </w:r>
          </w:p>
        </w:tc>
        <w:tc>
          <w:tcPr>
            <w:tcW w:w="4740" w:type="dxa"/>
            <w:vAlign w:val="bottom"/>
            <w:vMerge w:val="restart"/>
          </w:tcPr>
          <w:p>
            <w:pPr>
              <w:ind w:left="238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54"/>
        </w:trPr>
        <w:tc>
          <w:tcPr>
            <w:tcW w:w="2220" w:type="dxa"/>
            <w:vAlign w:val="bottom"/>
            <w:vMerge w:val="continue"/>
          </w:tcPr>
          <w:p>
            <w:pPr>
              <w:spacing w:after="0"/>
              <w:rPr>
                <w:sz w:val="4"/>
                <w:szCs w:val="4"/>
                <w:color w:val="auto"/>
              </w:rPr>
            </w:pPr>
          </w:p>
        </w:tc>
        <w:tc>
          <w:tcPr>
            <w:tcW w:w="3400" w:type="dxa"/>
            <w:vAlign w:val="bottom"/>
          </w:tcPr>
          <w:p>
            <w:pPr>
              <w:spacing w:after="0"/>
              <w:rPr>
                <w:sz w:val="4"/>
                <w:szCs w:val="4"/>
                <w:color w:val="auto"/>
              </w:rPr>
            </w:pPr>
          </w:p>
        </w:tc>
        <w:tc>
          <w:tcPr>
            <w:tcW w:w="474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220" w:type="dxa"/>
            <w:vAlign w:val="bottom"/>
            <w:vMerge w:val="restart"/>
          </w:tcPr>
          <w:p>
            <w:pPr>
              <w:spacing w:after="0"/>
              <w:rPr>
                <w:sz w:val="20"/>
                <w:szCs w:val="20"/>
                <w:color w:val="auto"/>
              </w:rPr>
            </w:pPr>
            <w:r>
              <w:rPr>
                <w:rFonts w:ascii="Arial" w:cs="Arial" w:eastAsia="Arial" w:hAnsi="Arial"/>
                <w:sz w:val="14"/>
                <w:szCs w:val="14"/>
                <w:color w:val="auto"/>
              </w:rPr>
              <w:t>Non-accelerated filer</w:t>
            </w:r>
          </w:p>
        </w:tc>
        <w:tc>
          <w:tcPr>
            <w:tcW w:w="34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rPr>
              <w:t>☐</w:t>
            </w:r>
          </w:p>
        </w:tc>
        <w:tc>
          <w:tcPr>
            <w:tcW w:w="4740" w:type="dxa"/>
            <w:vAlign w:val="bottom"/>
            <w:vMerge w:val="restart"/>
          </w:tcPr>
          <w:p>
            <w:pPr>
              <w:ind w:left="2380"/>
              <w:spacing w:after="0"/>
              <w:rPr>
                <w:sz w:val="20"/>
                <w:szCs w:val="20"/>
                <w:color w:val="auto"/>
              </w:rPr>
            </w:pPr>
            <w:r>
              <w:rPr>
                <w:rFonts w:ascii="Arial" w:cs="Arial" w:eastAsia="Arial" w:hAnsi="Arial"/>
                <w:sz w:val="14"/>
                <w:szCs w:val="14"/>
                <w:color w:val="auto"/>
              </w:rPr>
              <w:t>Smaller reporting company</w:t>
            </w:r>
          </w:p>
        </w:tc>
        <w:tc>
          <w:tcPr>
            <w:tcW w:w="860" w:type="dxa"/>
            <w:vAlign w:val="bottom"/>
            <w:vMerge w:val="restart"/>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54"/>
        </w:trPr>
        <w:tc>
          <w:tcPr>
            <w:tcW w:w="2220" w:type="dxa"/>
            <w:vAlign w:val="bottom"/>
            <w:vMerge w:val="continue"/>
          </w:tcPr>
          <w:p>
            <w:pPr>
              <w:spacing w:after="0"/>
              <w:rPr>
                <w:sz w:val="4"/>
                <w:szCs w:val="4"/>
                <w:color w:val="auto"/>
              </w:rPr>
            </w:pPr>
          </w:p>
        </w:tc>
        <w:tc>
          <w:tcPr>
            <w:tcW w:w="3400" w:type="dxa"/>
            <w:vAlign w:val="bottom"/>
          </w:tcPr>
          <w:p>
            <w:pPr>
              <w:spacing w:after="0"/>
              <w:rPr>
                <w:sz w:val="4"/>
                <w:szCs w:val="4"/>
                <w:color w:val="auto"/>
              </w:rPr>
            </w:pPr>
          </w:p>
        </w:tc>
        <w:tc>
          <w:tcPr>
            <w:tcW w:w="47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2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7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4740" w:type="dxa"/>
            <w:vAlign w:val="bottom"/>
          </w:tcPr>
          <w:p>
            <w:pPr>
              <w:ind w:left="2380"/>
              <w:spacing w:after="0"/>
              <w:rPr>
                <w:sz w:val="20"/>
                <w:szCs w:val="20"/>
                <w:color w:val="auto"/>
              </w:rPr>
            </w:pPr>
            <w:r>
              <w:rPr>
                <w:rFonts w:ascii="Arial" w:cs="Arial" w:eastAsia="Arial" w:hAnsi="Arial"/>
                <w:sz w:val="14"/>
                <w:szCs w:val="14"/>
                <w:color w:val="auto"/>
              </w:rPr>
              <w:t>Emerging growth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right="48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22, 2019, there were 122,385,775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168910</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83185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76"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 FOR THE QUARTERLY PERIOD ENDED SEPTEMBER 30, 2019</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Page</w:t>
            </w:r>
          </w:p>
        </w:tc>
      </w:tr>
      <w:tr>
        <w:trPr>
          <w:trHeight w:val="176"/>
        </w:trPr>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tcBorders>
              <w:bottom w:val="single" w:sz="8" w:color="0000EE"/>
            </w:tcBorders>
            <w:gridSpan w:val="10"/>
          </w:tcPr>
          <w:p>
            <w:pPr>
              <w:jc w:val="center"/>
              <w:spacing w:after="0" w:line="176" w:lineRule="exact"/>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 FINANCIAL INFORMATION</w:t>
              </w:r>
            </w:hyperlink>
          </w:p>
        </w:tc>
        <w:tc>
          <w:tcPr>
            <w:tcW w:w="322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61"/>
        </w:trPr>
        <w:tc>
          <w:tcPr>
            <w:tcW w:w="1040" w:type="dxa"/>
            <w:vAlign w:val="bottom"/>
            <w:gridSpan w:val="3"/>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Item 1.</w:t>
              </w:r>
            </w:hyperlink>
          </w:p>
        </w:tc>
        <w:tc>
          <w:tcPr>
            <w:tcW w:w="9080" w:type="dxa"/>
            <w:vAlign w:val="bottom"/>
            <w:gridSpan w:val="23"/>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1220" w:type="dxa"/>
            <w:vAlign w:val="bottom"/>
            <w:gridSpan w:val="3"/>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tc>
        <w:tc>
          <w:tcPr>
            <w:tcW w:w="2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0" w:type="dxa"/>
            <w:vAlign w:val="bottom"/>
            <w:tcBorders>
              <w:bottom w:val="single" w:sz="8" w:color="0000EE"/>
            </w:tcBorders>
            <w:gridSpan w:val="10"/>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Balance Sheets</w:t>
              </w:r>
            </w:hyperlink>
          </w:p>
        </w:tc>
        <w:tc>
          <w:tcPr>
            <w:tcW w:w="6080" w:type="dxa"/>
            <w:vAlign w:val="bottom"/>
            <w:gridSpan w:val="13"/>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1</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700" w:type="dxa"/>
            <w:vAlign w:val="bottom"/>
            <w:tcBorders>
              <w:bottom w:val="single" w:sz="8" w:color="0000EE"/>
            </w:tcBorders>
            <w:gridSpan w:val="1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Statements of Operations</w:t>
              </w:r>
            </w:hyperlink>
          </w:p>
        </w:tc>
        <w:tc>
          <w:tcPr>
            <w:tcW w:w="5380" w:type="dxa"/>
            <w:vAlign w:val="bottom"/>
            <w:gridSpan w:val="10"/>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120" w:type="dxa"/>
            <w:vAlign w:val="bottom"/>
            <w:tcBorders>
              <w:bottom w:val="single" w:sz="8" w:color="0000EE"/>
            </w:tcBorders>
            <w:gridSpan w:val="19"/>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Comprehensive Income (Loss)</w:t>
              </w:r>
            </w:hyperlink>
          </w:p>
        </w:tc>
        <w:tc>
          <w:tcPr>
            <w:tcW w:w="3960" w:type="dxa"/>
            <w:vAlign w:val="bottom"/>
            <w:gridSpan w:val="4"/>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980" w:type="dxa"/>
            <w:vAlign w:val="bottom"/>
            <w:tcBorders>
              <w:bottom w:val="single" w:sz="8" w:color="0000EE"/>
            </w:tcBorders>
            <w:gridSpan w:val="18"/>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Stockholders’ Equity (Deficit)</w:t>
              </w:r>
            </w:hyperlink>
          </w:p>
        </w:tc>
        <w:tc>
          <w:tcPr>
            <w:tcW w:w="4100" w:type="dxa"/>
            <w:vAlign w:val="bottom"/>
            <w:gridSpan w:val="5"/>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760" w:type="dxa"/>
            <w:vAlign w:val="bottom"/>
            <w:tcBorders>
              <w:bottom w:val="single" w:sz="8" w:color="0000EE"/>
            </w:tcBorders>
            <w:gridSpan w:val="14"/>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Condensed Consolidated Statements of Cash Flows</w:t>
              </w:r>
            </w:hyperlink>
          </w:p>
        </w:tc>
        <w:tc>
          <w:tcPr>
            <w:tcW w:w="5320" w:type="dxa"/>
            <w:vAlign w:val="bottom"/>
            <w:gridSpan w:val="9"/>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80" w:type="dxa"/>
            <w:vAlign w:val="bottom"/>
            <w:gridSpan w:val="23"/>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Notes to Condensed Consolidated Financial Statements</w:t>
              </w:r>
            </w:hyperlink>
          </w:p>
        </w:tc>
        <w:tc>
          <w:tcPr>
            <w:tcW w:w="1220" w:type="dxa"/>
            <w:vAlign w:val="bottom"/>
            <w:gridSpan w:val="3"/>
          </w:tcPr>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6</w:t>
              </w:r>
            </w:hyperlink>
          </w:p>
        </w:tc>
        <w:tc>
          <w:tcPr>
            <w:tcW w:w="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40" w:type="dxa"/>
            <w:vAlign w:val="bottom"/>
            <w:gridSpan w:val="3"/>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Item 2.</w:t>
              </w:r>
            </w:hyperlink>
          </w:p>
        </w:tc>
        <w:tc>
          <w:tcPr>
            <w:tcW w:w="9080" w:type="dxa"/>
            <w:vAlign w:val="bottom"/>
            <w:gridSpan w:val="23"/>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Management’s Discussion and Analysis of Financial Condition and Results of Operations</w:t>
              </w:r>
            </w:hyperlink>
          </w:p>
        </w:tc>
        <w:tc>
          <w:tcPr>
            <w:tcW w:w="1220" w:type="dxa"/>
            <w:vAlign w:val="bottom"/>
            <w:gridSpan w:val="3"/>
          </w:tcPr>
          <w:p>
            <w:pPr>
              <w:jc w:val="right"/>
              <w:spacing w:after="0"/>
              <w:rPr>
                <w:rFonts w:ascii="Arial" w:cs="Arial" w:eastAsia="Arial" w:hAnsi="Arial"/>
                <w:sz w:val="16"/>
                <w:szCs w:val="16"/>
                <w:color w:val="0000EE"/>
              </w:rPr>
            </w:pPr>
            <w:hyperlink w:anchor="page27">
              <w:r>
                <w:rPr>
                  <w:rFonts w:ascii="Arial" w:cs="Arial" w:eastAsia="Arial" w:hAnsi="Arial"/>
                  <w:sz w:val="16"/>
                  <w:szCs w:val="16"/>
                  <w:color w:val="0000EE"/>
                </w:rPr>
                <w:t>25</w:t>
              </w:r>
            </w:hyperlink>
          </w:p>
        </w:tc>
        <w:tc>
          <w:tcPr>
            <w:tcW w:w="20" w:type="dxa"/>
            <w:vAlign w:val="bottom"/>
          </w:tcPr>
          <w:p>
            <w:pPr>
              <w:spacing w:after="0"/>
              <w:rPr>
                <w:sz w:val="19"/>
                <w:szCs w:val="19"/>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40" w:type="dxa"/>
            <w:vAlign w:val="bottom"/>
            <w:gridSpan w:val="3"/>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Item 3.</w:t>
              </w:r>
            </w:hyperlink>
          </w:p>
        </w:tc>
        <w:tc>
          <w:tcPr>
            <w:tcW w:w="9080" w:type="dxa"/>
            <w:vAlign w:val="bottom"/>
            <w:gridSpan w:val="23"/>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Quantitative and Qualitative Disclosures About Market Risk</w:t>
              </w:r>
            </w:hyperlink>
          </w:p>
        </w:tc>
        <w:tc>
          <w:tcPr>
            <w:tcW w:w="1220" w:type="dxa"/>
            <w:vAlign w:val="bottom"/>
            <w:gridSpan w:val="3"/>
          </w:tcPr>
          <w:p>
            <w:pPr>
              <w:jc w:val="right"/>
              <w:spacing w:after="0"/>
              <w:rPr>
                <w:rFonts w:ascii="Arial" w:cs="Arial" w:eastAsia="Arial" w:hAnsi="Arial"/>
                <w:sz w:val="16"/>
                <w:szCs w:val="16"/>
                <w:color w:val="0000EE"/>
              </w:rPr>
            </w:pPr>
            <w:hyperlink w:anchor="page35">
              <w:r>
                <w:rPr>
                  <w:rFonts w:ascii="Arial" w:cs="Arial" w:eastAsia="Arial" w:hAnsi="Arial"/>
                  <w:sz w:val="16"/>
                  <w:szCs w:val="16"/>
                  <w:color w:val="0000EE"/>
                </w:rPr>
                <w:t>33</w:t>
              </w:r>
            </w:hyperlink>
          </w:p>
        </w:tc>
        <w:tc>
          <w:tcPr>
            <w:tcW w:w="20" w:type="dxa"/>
            <w:vAlign w:val="bottom"/>
          </w:tcPr>
          <w:p>
            <w:pPr>
              <w:spacing w:after="0"/>
              <w:rPr>
                <w:sz w:val="19"/>
                <w:szCs w:val="19"/>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40" w:type="dxa"/>
            <w:vAlign w:val="bottom"/>
            <w:gridSpan w:val="3"/>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Item 4.</w:t>
              </w:r>
            </w:hyperlink>
          </w:p>
        </w:tc>
        <w:tc>
          <w:tcPr>
            <w:tcW w:w="9080" w:type="dxa"/>
            <w:vAlign w:val="bottom"/>
            <w:gridSpan w:val="23"/>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Controls and Procedures</w:t>
              </w:r>
            </w:hyperlink>
          </w:p>
        </w:tc>
        <w:tc>
          <w:tcPr>
            <w:tcW w:w="1220" w:type="dxa"/>
            <w:vAlign w:val="bottom"/>
            <w:gridSpan w:val="3"/>
          </w:tcPr>
          <w:p>
            <w:pPr>
              <w:jc w:val="right"/>
              <w:spacing w:after="0"/>
              <w:rPr>
                <w:rFonts w:ascii="Arial" w:cs="Arial" w:eastAsia="Arial" w:hAnsi="Arial"/>
                <w:sz w:val="16"/>
                <w:szCs w:val="16"/>
                <w:color w:val="0000EE"/>
              </w:rPr>
            </w:pPr>
            <w:hyperlink w:anchor="page36">
              <w:r>
                <w:rPr>
                  <w:rFonts w:ascii="Arial" w:cs="Arial" w:eastAsia="Arial" w:hAnsi="Arial"/>
                  <w:sz w:val="16"/>
                  <w:szCs w:val="16"/>
                  <w:color w:val="0000EE"/>
                </w:rPr>
                <w:t>34</w:t>
              </w:r>
            </w:hyperlink>
          </w:p>
        </w:tc>
        <w:tc>
          <w:tcPr>
            <w:tcW w:w="20" w:type="dxa"/>
            <w:vAlign w:val="bottom"/>
          </w:tcPr>
          <w:p>
            <w:pPr>
              <w:spacing w:after="0"/>
              <w:rPr>
                <w:sz w:val="19"/>
                <w:szCs w:val="19"/>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60" w:type="dxa"/>
            <w:vAlign w:val="bottom"/>
            <w:gridSpan w:val="11"/>
          </w:tcPr>
          <w:p>
            <w:pPr>
              <w:jc w:val="center"/>
              <w:ind w:right="3360"/>
              <w:spacing w:after="0"/>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PART II. OTHER INFORMATION</w:t>
              </w:r>
            </w:hyperlink>
          </w:p>
        </w:tc>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620" w:type="dxa"/>
            <w:vAlign w:val="bottom"/>
            <w:tcBorders>
              <w:bottom w:val="single" w:sz="8" w:color="0000EE"/>
            </w:tcBorders>
            <w:gridSpan w:val="2"/>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Item 1.</w:t>
              </w:r>
            </w:hyperlink>
          </w:p>
        </w:tc>
        <w:tc>
          <w:tcPr>
            <w:tcW w:w="420" w:type="dxa"/>
            <w:vAlign w:val="bottom"/>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6"/>
                <w:szCs w:val="16"/>
                <w:color w:val="0000EE"/>
                <w:w w:val="99"/>
              </w:rPr>
            </w:pPr>
            <w:hyperlink w:anchor="page37">
              <w:r>
                <w:rPr>
                  <w:rFonts w:ascii="Arial" w:cs="Arial" w:eastAsia="Arial" w:hAnsi="Arial"/>
                  <w:sz w:val="16"/>
                  <w:szCs w:val="16"/>
                  <w:color w:val="0000EE"/>
                  <w:w w:val="99"/>
                </w:rPr>
                <w:t>Legal Proceedings</w:t>
              </w:r>
            </w:hyperlink>
          </w:p>
        </w:tc>
        <w:tc>
          <w:tcPr>
            <w:tcW w:w="1980" w:type="dxa"/>
            <w:vAlign w:val="bottom"/>
            <w:gridSpan w:val="7"/>
          </w:tcPr>
          <w:p>
            <w:pPr>
              <w:spacing w:after="0"/>
              <w:rPr>
                <w:sz w:val="24"/>
                <w:szCs w:val="24"/>
                <w:color w:val="auto"/>
              </w:rPr>
            </w:pPr>
          </w:p>
        </w:tc>
        <w:tc>
          <w:tcPr>
            <w:tcW w:w="2400" w:type="dxa"/>
            <w:vAlign w:val="bottom"/>
            <w:tcBorders>
              <w:top w:val="single" w:sz="8" w:color="0000EE"/>
            </w:tcBorders>
            <w:gridSpan w:val="8"/>
          </w:tcPr>
          <w:p>
            <w:pPr>
              <w:spacing w:after="0"/>
              <w:rPr>
                <w:sz w:val="24"/>
                <w:szCs w:val="24"/>
                <w:color w:val="auto"/>
              </w:rPr>
            </w:pPr>
          </w:p>
        </w:tc>
        <w:tc>
          <w:tcPr>
            <w:tcW w:w="3360" w:type="dxa"/>
            <w:vAlign w:val="bottom"/>
            <w:gridSpan w:val="3"/>
          </w:tcPr>
          <w:p>
            <w:pPr>
              <w:spacing w:after="0"/>
              <w:rPr>
                <w:sz w:val="24"/>
                <w:szCs w:val="24"/>
                <w:color w:val="auto"/>
              </w:rPr>
            </w:pPr>
          </w:p>
        </w:tc>
        <w:tc>
          <w:tcPr>
            <w:tcW w:w="1220" w:type="dxa"/>
            <w:vAlign w:val="bottom"/>
            <w:gridSpan w:val="3"/>
          </w:tcPr>
          <w:p>
            <w:pPr>
              <w:jc w:val="right"/>
              <w:spacing w:after="0"/>
              <w:rPr>
                <w:rFonts w:ascii="Arial" w:cs="Arial" w:eastAsia="Arial" w:hAnsi="Arial"/>
                <w:sz w:val="16"/>
                <w:szCs w:val="16"/>
                <w:color w:val="0000EE"/>
              </w:rPr>
            </w:pPr>
            <w:hyperlink w:anchor="page37">
              <w:r>
                <w:rPr>
                  <w:rFonts w:ascii="Arial" w:cs="Arial" w:eastAsia="Arial" w:hAnsi="Arial"/>
                  <w:sz w:val="16"/>
                  <w:szCs w:val="16"/>
                  <w:color w:val="0000EE"/>
                </w:rPr>
                <w:t>35</w:t>
              </w:r>
            </w:hyperlink>
          </w:p>
        </w:tc>
        <w:tc>
          <w:tcPr>
            <w:tcW w:w="20" w:type="dxa"/>
            <w:vAlign w:val="bottom"/>
          </w:tcPr>
          <w:p>
            <w:pPr>
              <w:spacing w:after="0"/>
              <w:rPr>
                <w:sz w:val="24"/>
                <w:szCs w:val="24"/>
                <w:color w:val="auto"/>
              </w:rPr>
            </w:pPr>
          </w:p>
        </w:tc>
      </w:tr>
      <w:tr>
        <w:trPr>
          <w:trHeight w:val="223"/>
        </w:trPr>
        <w:tc>
          <w:tcPr>
            <w:tcW w:w="620" w:type="dxa"/>
            <w:vAlign w:val="bottom"/>
            <w:gridSpan w:val="2"/>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Item 1A.</w:t>
              </w:r>
            </w:hyperlink>
          </w:p>
        </w:tc>
        <w:tc>
          <w:tcPr>
            <w:tcW w:w="420" w:type="dxa"/>
            <w:vAlign w:val="bottom"/>
          </w:tcPr>
          <w:p>
            <w:pPr>
              <w:spacing w:after="0"/>
              <w:rPr>
                <w:sz w:val="19"/>
                <w:szCs w:val="19"/>
                <w:color w:val="auto"/>
              </w:rPr>
            </w:pPr>
          </w:p>
        </w:tc>
        <w:tc>
          <w:tcPr>
            <w:tcW w:w="900" w:type="dxa"/>
            <w:vAlign w:val="bottom"/>
            <w:gridSpan w:val="3"/>
          </w:tcPr>
          <w:p>
            <w:pPr>
              <w:spacing w:after="0"/>
              <w:rPr>
                <w:rFonts w:ascii="Arial" w:cs="Arial" w:eastAsia="Arial" w:hAnsi="Arial"/>
                <w:sz w:val="16"/>
                <w:szCs w:val="16"/>
                <w:color w:val="0000EE"/>
                <w:w w:val="98"/>
              </w:rPr>
            </w:pPr>
            <w:hyperlink w:anchor="page37">
              <w:r>
                <w:rPr>
                  <w:rFonts w:ascii="Arial" w:cs="Arial" w:eastAsia="Arial" w:hAnsi="Arial"/>
                  <w:sz w:val="16"/>
                  <w:szCs w:val="16"/>
                  <w:color w:val="0000EE"/>
                  <w:w w:val="98"/>
                </w:rPr>
                <w:t>Risk Factors</w:t>
              </w:r>
            </w:hyperlink>
          </w:p>
        </w:tc>
        <w:tc>
          <w:tcPr>
            <w:tcW w:w="8180" w:type="dxa"/>
            <w:vAlign w:val="bottom"/>
            <w:gridSpan w:val="20"/>
          </w:tcPr>
          <w:p>
            <w:pPr>
              <w:spacing w:after="0"/>
              <w:rPr>
                <w:sz w:val="19"/>
                <w:szCs w:val="19"/>
                <w:color w:val="auto"/>
              </w:rPr>
            </w:pPr>
          </w:p>
        </w:tc>
        <w:tc>
          <w:tcPr>
            <w:tcW w:w="1220" w:type="dxa"/>
            <w:vAlign w:val="bottom"/>
            <w:gridSpan w:val="3"/>
          </w:tcPr>
          <w:p>
            <w:pPr>
              <w:jc w:val="right"/>
              <w:spacing w:after="0"/>
              <w:rPr>
                <w:rFonts w:ascii="Arial" w:cs="Arial" w:eastAsia="Arial" w:hAnsi="Arial"/>
                <w:sz w:val="16"/>
                <w:szCs w:val="16"/>
                <w:color w:val="0000EE"/>
              </w:rPr>
            </w:pPr>
            <w:hyperlink w:anchor="page37">
              <w:r>
                <w:rPr>
                  <w:rFonts w:ascii="Arial" w:cs="Arial" w:eastAsia="Arial" w:hAnsi="Arial"/>
                  <w:sz w:val="16"/>
                  <w:szCs w:val="16"/>
                  <w:color w:val="0000EE"/>
                </w:rPr>
                <w:t>35</w:t>
              </w:r>
            </w:hyperlink>
          </w:p>
        </w:tc>
        <w:tc>
          <w:tcPr>
            <w:tcW w:w="20" w:type="dxa"/>
            <w:vAlign w:val="bottom"/>
          </w:tcPr>
          <w:p>
            <w:pPr>
              <w:spacing w:after="0"/>
              <w:rPr>
                <w:sz w:val="19"/>
                <w:szCs w:val="19"/>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620" w:type="dxa"/>
            <w:vAlign w:val="bottom"/>
            <w:gridSpan w:val="2"/>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Item 2.</w:t>
              </w:r>
            </w:hyperlink>
          </w:p>
        </w:tc>
        <w:tc>
          <w:tcPr>
            <w:tcW w:w="420" w:type="dxa"/>
            <w:vAlign w:val="bottom"/>
          </w:tcPr>
          <w:p>
            <w:pPr>
              <w:spacing w:after="0"/>
              <w:rPr>
                <w:sz w:val="19"/>
                <w:szCs w:val="19"/>
                <w:color w:val="auto"/>
              </w:rPr>
            </w:pPr>
          </w:p>
        </w:tc>
        <w:tc>
          <w:tcPr>
            <w:tcW w:w="9080" w:type="dxa"/>
            <w:vAlign w:val="bottom"/>
            <w:gridSpan w:val="23"/>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Unregistered Sales of Equity Securities and Use of Proceeds</w:t>
              </w:r>
            </w:hyperlink>
          </w:p>
        </w:tc>
        <w:tc>
          <w:tcPr>
            <w:tcW w:w="1220" w:type="dxa"/>
            <w:vAlign w:val="bottom"/>
            <w:gridSpan w:val="3"/>
          </w:tcPr>
          <w:p>
            <w:pPr>
              <w:jc w:val="right"/>
              <w:spacing w:after="0"/>
              <w:rPr>
                <w:rFonts w:ascii="Arial" w:cs="Arial" w:eastAsia="Arial" w:hAnsi="Arial"/>
                <w:sz w:val="16"/>
                <w:szCs w:val="16"/>
                <w:color w:val="0000EE"/>
              </w:rPr>
            </w:pPr>
            <w:hyperlink w:anchor="page39">
              <w:r>
                <w:rPr>
                  <w:rFonts w:ascii="Arial" w:cs="Arial" w:eastAsia="Arial" w:hAnsi="Arial"/>
                  <w:sz w:val="16"/>
                  <w:szCs w:val="16"/>
                  <w:color w:val="0000EE"/>
                </w:rPr>
                <w:t>37</w:t>
              </w:r>
            </w:hyperlink>
          </w:p>
        </w:tc>
        <w:tc>
          <w:tcPr>
            <w:tcW w:w="20" w:type="dxa"/>
            <w:vAlign w:val="bottom"/>
          </w:tcPr>
          <w:p>
            <w:pPr>
              <w:spacing w:after="0"/>
              <w:rPr>
                <w:sz w:val="19"/>
                <w:szCs w:val="19"/>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60" w:type="dxa"/>
            <w:vAlign w:val="bottom"/>
            <w:gridSpan w:val="9"/>
            <w:shd w:val="clear" w:color="auto" w:fill="0000EE"/>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40" w:type="dxa"/>
            <w:vAlign w:val="bottom"/>
            <w:tcBorders>
              <w:bottom w:val="single" w:sz="8" w:color="0000EE"/>
            </w:tcBorders>
            <w:gridSpan w:val="3"/>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Item 3.</w:t>
              </w:r>
            </w:hyperlink>
          </w:p>
        </w:tc>
        <w:tc>
          <w:tcPr>
            <w:tcW w:w="2300" w:type="dxa"/>
            <w:vAlign w:val="bottom"/>
            <w:tcBorders>
              <w:bottom w:val="single" w:sz="8" w:color="0000EE"/>
            </w:tcBorders>
            <w:gridSpan w:val="8"/>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Defaults Upon Senior Securities</w:t>
              </w:r>
            </w:hyperlink>
          </w:p>
        </w:tc>
        <w:tc>
          <w:tcPr>
            <w:tcW w:w="6780" w:type="dxa"/>
            <w:vAlign w:val="bottom"/>
            <w:gridSpan w:val="15"/>
          </w:tcPr>
          <w:p>
            <w:pPr>
              <w:spacing w:after="0"/>
              <w:rPr>
                <w:sz w:val="19"/>
                <w:szCs w:val="19"/>
                <w:color w:val="auto"/>
              </w:rPr>
            </w:pPr>
          </w:p>
        </w:tc>
        <w:tc>
          <w:tcPr>
            <w:tcW w:w="1220" w:type="dxa"/>
            <w:vAlign w:val="bottom"/>
            <w:gridSpan w:val="3"/>
          </w:tcPr>
          <w:p>
            <w:pPr>
              <w:jc w:val="right"/>
              <w:spacing w:after="0"/>
              <w:rPr>
                <w:rFonts w:ascii="Arial" w:cs="Arial" w:eastAsia="Arial" w:hAnsi="Arial"/>
                <w:sz w:val="16"/>
                <w:szCs w:val="16"/>
                <w:color w:val="0000EE"/>
              </w:rPr>
            </w:pPr>
            <w:hyperlink w:anchor="page39">
              <w:r>
                <w:rPr>
                  <w:rFonts w:ascii="Arial" w:cs="Arial" w:eastAsia="Arial" w:hAnsi="Arial"/>
                  <w:sz w:val="16"/>
                  <w:szCs w:val="16"/>
                  <w:color w:val="0000EE"/>
                </w:rPr>
                <w:t>37</w:t>
              </w:r>
            </w:hyperlink>
          </w:p>
        </w:tc>
        <w:tc>
          <w:tcPr>
            <w:tcW w:w="20" w:type="dxa"/>
            <w:vAlign w:val="bottom"/>
          </w:tcPr>
          <w:p>
            <w:pPr>
              <w:spacing w:after="0"/>
              <w:rPr>
                <w:sz w:val="19"/>
                <w:szCs w:val="19"/>
                <w:color w:val="auto"/>
              </w:rPr>
            </w:pPr>
          </w:p>
        </w:tc>
      </w:tr>
      <w:tr>
        <w:trPr>
          <w:trHeight w:val="223"/>
        </w:trPr>
        <w:tc>
          <w:tcPr>
            <w:tcW w:w="1040" w:type="dxa"/>
            <w:vAlign w:val="bottom"/>
            <w:gridSpan w:val="3"/>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Item 4.</w:t>
              </w:r>
            </w:hyperlink>
          </w:p>
        </w:tc>
        <w:tc>
          <w:tcPr>
            <w:tcW w:w="9080" w:type="dxa"/>
            <w:vAlign w:val="bottom"/>
            <w:gridSpan w:val="23"/>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Mine Safety Disclosures</w:t>
              </w:r>
            </w:hyperlink>
          </w:p>
        </w:tc>
        <w:tc>
          <w:tcPr>
            <w:tcW w:w="1220" w:type="dxa"/>
            <w:vAlign w:val="bottom"/>
            <w:gridSpan w:val="3"/>
          </w:tcPr>
          <w:p>
            <w:pPr>
              <w:jc w:val="right"/>
              <w:spacing w:after="0"/>
              <w:rPr>
                <w:rFonts w:ascii="Arial" w:cs="Arial" w:eastAsia="Arial" w:hAnsi="Arial"/>
                <w:sz w:val="16"/>
                <w:szCs w:val="16"/>
                <w:color w:val="0000EE"/>
              </w:rPr>
            </w:pPr>
            <w:hyperlink w:anchor="page39">
              <w:r>
                <w:rPr>
                  <w:rFonts w:ascii="Arial" w:cs="Arial" w:eastAsia="Arial" w:hAnsi="Arial"/>
                  <w:sz w:val="16"/>
                  <w:szCs w:val="16"/>
                  <w:color w:val="0000EE"/>
                </w:rPr>
                <w:t>37</w:t>
              </w:r>
            </w:hyperlink>
          </w:p>
        </w:tc>
        <w:tc>
          <w:tcPr>
            <w:tcW w:w="20" w:type="dxa"/>
            <w:vAlign w:val="bottom"/>
          </w:tcPr>
          <w:p>
            <w:pPr>
              <w:spacing w:after="0"/>
              <w:rPr>
                <w:sz w:val="19"/>
                <w:szCs w:val="19"/>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340" w:type="dxa"/>
            <w:vAlign w:val="bottom"/>
            <w:gridSpan w:val="1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40" w:type="dxa"/>
            <w:vAlign w:val="bottom"/>
            <w:gridSpan w:val="3"/>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Item 5.</w:t>
              </w:r>
            </w:hyperlink>
          </w:p>
        </w:tc>
        <w:tc>
          <w:tcPr>
            <w:tcW w:w="9080" w:type="dxa"/>
            <w:vAlign w:val="bottom"/>
            <w:gridSpan w:val="23"/>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Other Information</w:t>
              </w:r>
            </w:hyperlink>
          </w:p>
        </w:tc>
        <w:tc>
          <w:tcPr>
            <w:tcW w:w="1220" w:type="dxa"/>
            <w:vAlign w:val="bottom"/>
            <w:gridSpan w:val="3"/>
          </w:tcPr>
          <w:p>
            <w:pPr>
              <w:jc w:val="right"/>
              <w:spacing w:after="0"/>
              <w:rPr>
                <w:rFonts w:ascii="Arial" w:cs="Arial" w:eastAsia="Arial" w:hAnsi="Arial"/>
                <w:sz w:val="16"/>
                <w:szCs w:val="16"/>
                <w:color w:val="0000EE"/>
              </w:rPr>
            </w:pPr>
            <w:hyperlink w:anchor="page39">
              <w:r>
                <w:rPr>
                  <w:rFonts w:ascii="Arial" w:cs="Arial" w:eastAsia="Arial" w:hAnsi="Arial"/>
                  <w:sz w:val="16"/>
                  <w:szCs w:val="16"/>
                  <w:color w:val="0000EE"/>
                </w:rPr>
                <w:t>37</w:t>
              </w:r>
            </w:hyperlink>
          </w:p>
        </w:tc>
        <w:tc>
          <w:tcPr>
            <w:tcW w:w="20" w:type="dxa"/>
            <w:vAlign w:val="bottom"/>
          </w:tcPr>
          <w:p>
            <w:pPr>
              <w:spacing w:after="0"/>
              <w:rPr>
                <w:sz w:val="19"/>
                <w:szCs w:val="19"/>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820" w:type="dxa"/>
            <w:vAlign w:val="bottom"/>
            <w:gridSpan w:val="1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40" w:type="dxa"/>
            <w:vAlign w:val="bottom"/>
            <w:gridSpan w:val="3"/>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Item 6.</w:t>
              </w:r>
            </w:hyperlink>
          </w:p>
        </w:tc>
        <w:tc>
          <w:tcPr>
            <w:tcW w:w="9080" w:type="dxa"/>
            <w:vAlign w:val="bottom"/>
            <w:gridSpan w:val="23"/>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Exhibits</w:t>
              </w:r>
            </w:hyperlink>
          </w:p>
        </w:tc>
        <w:tc>
          <w:tcPr>
            <w:tcW w:w="1220" w:type="dxa"/>
            <w:vAlign w:val="bottom"/>
            <w:gridSpan w:val="3"/>
          </w:tcPr>
          <w:p>
            <w:pPr>
              <w:jc w:val="right"/>
              <w:spacing w:after="0"/>
              <w:rPr>
                <w:rFonts w:ascii="Arial" w:cs="Arial" w:eastAsia="Arial" w:hAnsi="Arial"/>
                <w:sz w:val="16"/>
                <w:szCs w:val="16"/>
                <w:color w:val="0000EE"/>
              </w:rPr>
            </w:pPr>
            <w:hyperlink w:anchor="page40">
              <w:r>
                <w:rPr>
                  <w:rFonts w:ascii="Arial" w:cs="Arial" w:eastAsia="Arial" w:hAnsi="Arial"/>
                  <w:sz w:val="16"/>
                  <w:szCs w:val="16"/>
                  <w:color w:val="0000EE"/>
                </w:rPr>
                <w:t>38</w:t>
              </w:r>
            </w:hyperlink>
          </w:p>
        </w:tc>
        <w:tc>
          <w:tcPr>
            <w:tcW w:w="20" w:type="dxa"/>
            <w:vAlign w:val="bottom"/>
          </w:tcPr>
          <w:p>
            <w:pPr>
              <w:spacing w:after="0"/>
              <w:rPr>
                <w:sz w:val="19"/>
                <w:szCs w:val="19"/>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0" w:type="dxa"/>
            <w:vAlign w:val="bottom"/>
            <w:gridSpan w:val="21"/>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80" w:type="dxa"/>
            <w:vAlign w:val="bottom"/>
            <w:gridSpan w:val="23"/>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Signature</w:t>
              </w:r>
            </w:hyperlink>
          </w:p>
        </w:tc>
        <w:tc>
          <w:tcPr>
            <w:tcW w:w="1220" w:type="dxa"/>
            <w:vAlign w:val="bottom"/>
            <w:gridSpan w:val="3"/>
          </w:tcPr>
          <w:p>
            <w:pPr>
              <w:jc w:val="right"/>
              <w:spacing w:after="0"/>
              <w:rPr>
                <w:rFonts w:ascii="Arial" w:cs="Arial" w:eastAsia="Arial" w:hAnsi="Arial"/>
                <w:sz w:val="16"/>
                <w:szCs w:val="16"/>
                <w:color w:val="0000EE"/>
              </w:rPr>
            </w:pPr>
            <w:hyperlink w:anchor="page41">
              <w:r>
                <w:rPr>
                  <w:rFonts w:ascii="Arial" w:cs="Arial" w:eastAsia="Arial" w:hAnsi="Arial"/>
                  <w:sz w:val="16"/>
                  <w:szCs w:val="16"/>
                  <w:color w:val="0000EE"/>
                </w:rPr>
                <w:t>39</w:t>
              </w:r>
            </w:hyperlink>
          </w:p>
        </w:tc>
        <w:tc>
          <w:tcPr>
            <w:tcW w:w="2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60"/>
          </w:cols>
          <w:pgMar w:left="280" w:top="522" w:right="259" w:bottom="1440" w:gutter="0" w:footer="0" w:header="0"/>
        </w:sectPr>
      </w:pPr>
    </w:p>
    <w:bookmarkStart w:id="2" w:name="page3"/>
    <w:bookmarkEnd w:id="2"/>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par value)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834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b w:val="1"/>
                <w:bCs w:val="1"/>
                <w:color w:val="auto"/>
              </w:rPr>
              <w:t>As of</w:t>
            </w:r>
          </w:p>
        </w:tc>
      </w:tr>
      <w:tr>
        <w:trPr>
          <w:trHeight w:val="39"/>
        </w:trPr>
        <w:tc>
          <w:tcPr>
            <w:tcW w:w="1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69"/>
        </w:trPr>
        <w:tc>
          <w:tcPr>
            <w:tcW w:w="1300" w:type="dxa"/>
            <w:vAlign w:val="bottom"/>
          </w:tcPr>
          <w:p>
            <w:pPr>
              <w:jc w:val="center"/>
              <w:ind w:left="88"/>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13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-8255</wp:posOffset>
            </wp:positionV>
            <wp:extent cx="722947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auto"/>
        </w:rPr>
        <w:t>ASSETS</w:t>
      </w:r>
    </w:p>
    <w:p>
      <w:pPr>
        <w:sectPr>
          <w:pgSz w:w="11900" w:h="16838" w:orient="portrait"/>
          <w:cols w:equalWidth="0" w:num="1">
            <w:col w:w="11400"/>
          </w:cols>
          <w:pgMar w:left="240" w:top="283" w:right="259" w:bottom="1440" w:gutter="0" w:footer="0" w:header="0"/>
        </w:sectPr>
      </w:pPr>
    </w:p>
    <w:p>
      <w:pPr>
        <w:spacing w:after="0" w:line="1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tabs>
          <w:tab w:leader="none" w:pos="834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Inventory</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lease, right of use asset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720"/>
        <w:spacing w:after="0"/>
        <w:tabs>
          <w:tab w:leader="none" w:pos="834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6"/>
          <w:szCs w:val="16"/>
          <w:color w:val="auto"/>
        </w:rPr>
        <w:t>$</w:t>
      </w:r>
    </w:p>
    <w:p>
      <w:pPr>
        <w:spacing w:after="0" w:line="80"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48895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400"/>
        <w:spacing w:after="0"/>
        <w:tabs>
          <w:tab w:leader="none" w:pos="834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Accrued liabilities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Deferred revenues,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Warranty obligations, current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Debt,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Deferred revenues, noncurrent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Warranty obligations,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Debt,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contingent liabilities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73" w:lineRule="exact"/>
        <w:rPr>
          <w:sz w:val="20"/>
          <w:szCs w:val="20"/>
          <w:color w:val="auto"/>
        </w:rPr>
      </w:pPr>
    </w:p>
    <w:p>
      <w:pPr>
        <w:ind w:left="480" w:right="180" w:hanging="80"/>
        <w:spacing w:after="0" w:line="260" w:lineRule="auto"/>
        <w:rPr>
          <w:sz w:val="20"/>
          <w:szCs w:val="20"/>
          <w:color w:val="auto"/>
        </w:rPr>
      </w:pPr>
      <w:r>
        <w:rPr>
          <w:rFonts w:ascii="Arial" w:cs="Arial" w:eastAsia="Arial" w:hAnsi="Arial"/>
          <w:sz w:val="16"/>
          <w:szCs w:val="16"/>
          <w:color w:val="auto"/>
        </w:rPr>
        <w:t>Common stock, $0.00001 par value, 150,000 shares and 150,000 shares authorized; and 122,306 shares and 107,035 shares issued and outstanding at September 30, 2019 and December 31,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Accumulated other comprehensive income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8340" w:val="left"/>
        </w:tabs>
        <w:rPr>
          <w:sz w:val="20"/>
          <w:szCs w:val="20"/>
          <w:color w:val="auto"/>
        </w:rPr>
      </w:pPr>
      <w:r>
        <w:rPr>
          <w:rFonts w:ascii="Arial" w:cs="Arial" w:eastAsia="Arial" w:hAnsi="Arial"/>
          <w:sz w:val="16"/>
          <w:szCs w:val="16"/>
          <w:color w:val="auto"/>
        </w:rPr>
        <w:t>Total liabilities and stockholders’ equity</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95"/>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203,046</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106,237</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133,689</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78,938</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30,231</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16,267</w:t>
            </w:r>
          </w:p>
        </w:tc>
      </w:tr>
      <w:tr>
        <w:trPr>
          <w:trHeight w:val="283"/>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24,551</w:t>
            </w: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20,860</w:t>
            </w:r>
          </w:p>
        </w:tc>
      </w:tr>
      <w:tr>
        <w:trPr>
          <w:trHeight w:val="237"/>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391,517</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222,302</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23,532</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20,998</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11,407</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31,761</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35,306</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24,783</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24,783</w:t>
            </w:r>
          </w:p>
        </w:tc>
      </w:tr>
      <w:tr>
        <w:trPr>
          <w:trHeight w:val="283"/>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40,669</w:t>
            </w: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36,548</w:t>
            </w:r>
          </w:p>
        </w:tc>
      </w:tr>
      <w:tr>
        <w:trPr>
          <w:trHeight w:val="237"/>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523,669</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339,937</w:t>
            </w:r>
          </w:p>
        </w:tc>
      </w:tr>
      <w:tr>
        <w:trPr>
          <w:trHeight w:val="20"/>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78"/>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60,692</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48,794</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39,991</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29,010</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34,295</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33,119</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8,757</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8,083</w:t>
            </w:r>
          </w:p>
        </w:tc>
      </w:tr>
      <w:tr>
        <w:trPr>
          <w:trHeight w:val="283"/>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3,084</w:t>
            </w: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28,155</w:t>
            </w:r>
          </w:p>
        </w:tc>
      </w:tr>
      <w:tr>
        <w:trPr>
          <w:trHeight w:val="237"/>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146,819</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147,161</w:t>
            </w:r>
          </w:p>
        </w:tc>
      </w:tr>
      <w:tr>
        <w:trPr>
          <w:trHeight w:val="54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85,746</w:t>
            </w:r>
          </w:p>
        </w:tc>
        <w:tc>
          <w:tcPr>
            <w:tcW w:w="44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76,911</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25,867</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23,211</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11,970</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3,250</w:t>
            </w:r>
          </w:p>
        </w:tc>
      </w:tr>
      <w:tr>
        <w:trPr>
          <w:trHeight w:val="283"/>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100,978</w:t>
            </w: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81,628</w:t>
            </w:r>
          </w:p>
        </w:tc>
      </w:tr>
      <w:tr>
        <w:trPr>
          <w:trHeight w:val="250"/>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371,380</w:t>
            </w: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-8255</wp:posOffset>
            </wp:positionV>
            <wp:extent cx="9436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-468630</wp:posOffset>
            </wp:positionH>
            <wp:positionV relativeFrom="paragraph">
              <wp:posOffset>-2417445</wp:posOffset>
            </wp:positionV>
            <wp:extent cx="9436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jc w:val="right"/>
              <w:ind w:right="419"/>
              <w:spacing w:after="0"/>
              <w:rPr>
                <w:sz w:val="20"/>
                <w:szCs w:val="20"/>
                <w:color w:val="auto"/>
              </w:rPr>
            </w:pPr>
            <w:r>
              <w:rPr>
                <w:rFonts w:ascii="Arial" w:cs="Arial" w:eastAsia="Arial" w:hAnsi="Arial"/>
                <w:sz w:val="16"/>
                <w:szCs w:val="16"/>
                <w:color w:val="auto"/>
              </w:rPr>
              <w:t>1</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1140" w:type="dxa"/>
            <w:vAlign w:val="bottom"/>
          </w:tcPr>
          <w:p>
            <w:pPr>
              <w:jc w:val="right"/>
              <w:ind w:right="419"/>
              <w:spacing w:after="0"/>
              <w:rPr>
                <w:sz w:val="20"/>
                <w:szCs w:val="20"/>
                <w:color w:val="auto"/>
              </w:rPr>
            </w:pPr>
            <w:r>
              <w:rPr>
                <w:rFonts w:ascii="Arial" w:cs="Arial" w:eastAsia="Arial" w:hAnsi="Arial"/>
                <w:sz w:val="16"/>
                <w:szCs w:val="16"/>
                <w:color w:val="auto"/>
              </w:rPr>
              <w:t>453,566</w:t>
            </w:r>
          </w:p>
        </w:tc>
        <w:tc>
          <w:tcPr>
            <w:tcW w:w="1140" w:type="dxa"/>
            <w:vAlign w:val="bottom"/>
          </w:tcPr>
          <w:p>
            <w:pPr>
              <w:jc w:val="right"/>
              <w:spacing w:after="0"/>
              <w:rPr>
                <w:sz w:val="20"/>
                <w:szCs w:val="20"/>
                <w:color w:val="auto"/>
              </w:rPr>
            </w:pPr>
            <w:r>
              <w:rPr>
                <w:rFonts w:ascii="Arial" w:cs="Arial" w:eastAsia="Arial" w:hAnsi="Arial"/>
                <w:sz w:val="16"/>
                <w:szCs w:val="16"/>
                <w:color w:val="auto"/>
              </w:rPr>
              <w:t>353,335</w:t>
            </w:r>
          </w:p>
        </w:tc>
      </w:tr>
      <w:tr>
        <w:trPr>
          <w:trHeight w:val="270"/>
        </w:trPr>
        <w:tc>
          <w:tcPr>
            <w:tcW w:w="1140" w:type="dxa"/>
            <w:vAlign w:val="bottom"/>
          </w:tcPr>
          <w:p>
            <w:pPr>
              <w:jc w:val="right"/>
              <w:ind w:right="359"/>
              <w:spacing w:after="0"/>
              <w:rPr>
                <w:sz w:val="20"/>
                <w:szCs w:val="20"/>
                <w:color w:val="auto"/>
              </w:rPr>
            </w:pPr>
            <w:r>
              <w:rPr>
                <w:rFonts w:ascii="Arial" w:cs="Arial" w:eastAsia="Arial" w:hAnsi="Arial"/>
                <w:sz w:val="16"/>
                <w:szCs w:val="16"/>
                <w:color w:val="auto"/>
                <w:w w:val="99"/>
              </w:rPr>
              <w:t>(301,847)</w:t>
            </w:r>
          </w:p>
        </w:tc>
        <w:tc>
          <w:tcPr>
            <w:tcW w:w="1140" w:type="dxa"/>
            <w:vAlign w:val="bottom"/>
          </w:tcPr>
          <w:p>
            <w:pPr>
              <w:jc w:val="right"/>
              <w:spacing w:after="0"/>
              <w:rPr>
                <w:sz w:val="20"/>
                <w:szCs w:val="20"/>
                <w:color w:val="auto"/>
              </w:rPr>
            </w:pPr>
            <w:r>
              <w:rPr>
                <w:rFonts w:ascii="Arial" w:cs="Arial" w:eastAsia="Arial" w:hAnsi="Arial"/>
                <w:sz w:val="16"/>
                <w:szCs w:val="16"/>
                <w:color w:val="auto"/>
              </w:rPr>
              <w:t>(346,302)</w:t>
            </w:r>
          </w:p>
        </w:tc>
      </w:tr>
    </w:tbl>
    <w:p>
      <w:pPr>
        <w:spacing w:after="0" w:line="75" w:lineRule="exact"/>
        <w:rPr>
          <w:sz w:val="20"/>
          <w:szCs w:val="20"/>
          <w:color w:val="auto"/>
        </w:rPr>
      </w:pPr>
    </w:p>
    <w:p>
      <w:pPr>
        <w:ind w:left="1940" w:hanging="1572"/>
        <w:spacing w:after="0"/>
        <w:tabs>
          <w:tab w:leader="none" w:pos="1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742</w:t>
      </w:r>
    </w:p>
    <w:p>
      <w:pPr>
        <w:spacing w:after="0" w:line="86" w:lineRule="exact"/>
        <w:rPr>
          <w:rFonts w:ascii="Arial" w:cs="Arial" w:eastAsia="Arial" w:hAnsi="Arial"/>
          <w:sz w:val="16"/>
          <w:szCs w:val="16"/>
          <w:color w:val="auto"/>
        </w:rPr>
      </w:pPr>
    </w:p>
    <w:p>
      <w:pPr>
        <w:ind w:left="60"/>
        <w:spacing w:after="0"/>
        <w:rPr>
          <w:rFonts w:ascii="Arial" w:cs="Arial" w:eastAsia="Arial" w:hAnsi="Arial"/>
          <w:sz w:val="16"/>
          <w:szCs w:val="16"/>
          <w:color w:val="auto"/>
        </w:rPr>
      </w:pPr>
      <w:r>
        <w:rPr>
          <w:rFonts w:ascii="Arial" w:cs="Arial" w:eastAsia="Arial" w:hAnsi="Arial"/>
          <w:sz w:val="16"/>
          <w:szCs w:val="16"/>
          <w:color w:val="auto"/>
        </w:rPr>
        <w:t>152,289</w:t>
      </w:r>
      <w:r>
        <w:rPr>
          <w:rFonts w:ascii="Arial" w:cs="Arial" w:eastAsia="Arial" w:hAnsi="Arial"/>
          <w:sz w:val="15"/>
          <w:szCs w:val="15"/>
          <w:color w:val="auto"/>
        </w:rPr>
        <w:t>7,776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-151765</wp:posOffset>
            </wp:positionV>
            <wp:extent cx="19469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3" w:lineRule="exact"/>
        <w:rPr>
          <w:sz w:val="20"/>
          <w:szCs w:val="20"/>
          <w:color w:val="auto"/>
        </w:rPr>
      </w:pPr>
    </w:p>
    <w:p>
      <w:pPr>
        <w:ind w:left="60"/>
        <w:spacing w:after="0"/>
        <w:tabs>
          <w:tab w:leader="none" w:pos="860" w:val="left"/>
          <w:tab w:leader="none" w:pos="1620" w:val="left"/>
        </w:tabs>
        <w:rPr>
          <w:sz w:val="20"/>
          <w:szCs w:val="20"/>
          <w:color w:val="auto"/>
        </w:rPr>
      </w:pPr>
      <w:r>
        <w:rPr>
          <w:rFonts w:ascii="Arial" w:cs="Arial" w:eastAsia="Arial" w:hAnsi="Arial"/>
          <w:sz w:val="16"/>
          <w:szCs w:val="16"/>
          <w:color w:val="auto"/>
        </w:rPr>
        <w:t>523,669</w:t>
        <w:tab/>
        <w:t>$</w:t>
      </w:r>
      <w:r>
        <w:rPr>
          <w:sz w:val="20"/>
          <w:szCs w:val="20"/>
          <w:color w:val="auto"/>
        </w:rPr>
        <w:tab/>
      </w:r>
      <w:r>
        <w:rPr>
          <w:rFonts w:ascii="Arial" w:cs="Arial" w:eastAsia="Arial" w:hAnsi="Arial"/>
          <w:sz w:val="16"/>
          <w:szCs w:val="16"/>
          <w:color w:val="auto"/>
        </w:rPr>
        <w:t>339,937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36195</wp:posOffset>
            </wp:positionV>
            <wp:extent cx="19469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60" w:space="620"/>
            <w:col w:w="2320"/>
          </w:cols>
          <w:pgMar w:left="240" w:top="283" w:right="259" w:bottom="1440" w:gutter="0" w:footer="0" w:header="0"/>
          <w:type w:val="continuous"/>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314960</wp:posOffset>
            </wp:positionV>
            <wp:extent cx="70580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 xml:space="preserve">Enphase Energy, Inc. | Q3 2019 Form 10-Q | </w:t>
      </w:r>
      <w:r>
        <w:rPr>
          <w:rFonts w:ascii="Arial" w:cs="Arial" w:eastAsia="Arial" w:hAnsi="Arial"/>
          <w:sz w:val="10"/>
          <w:szCs w:val="10"/>
          <w:b w:val="1"/>
          <w:bCs w:val="1"/>
          <w:color w:val="828282"/>
        </w:rPr>
        <w:t>1</w:t>
      </w:r>
    </w:p>
    <w:p>
      <w:pPr>
        <w:sectPr>
          <w:pgSz w:w="11900" w:h="16838" w:orient="portrait"/>
          <w:cols w:equalWidth="0" w:num="1">
            <w:col w:w="11400"/>
          </w:cols>
          <w:pgMar w:left="240" w:top="283" w:right="259" w:bottom="1440" w:gutter="0" w:footer="0" w:header="0"/>
          <w:type w:val="continuous"/>
        </w:sectPr>
      </w:pPr>
    </w:p>
    <w:bookmarkStart w:id="3" w:name="page4"/>
    <w:bookmarkEnd w:id="3"/>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35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700" w:type="dxa"/>
            <w:vAlign w:val="bottom"/>
            <w:gridSpan w:val="4"/>
          </w:tcPr>
          <w:p>
            <w:pPr>
              <w:jc w:val="right"/>
              <w:ind w:right="77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180,057</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78,002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414,301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223,870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115,351</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52,738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270,937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157,589</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64,706</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25,264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143,364</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66,281</w:t>
            </w:r>
          </w:p>
        </w:tc>
        <w:tc>
          <w:tcPr>
            <w:tcW w:w="0" w:type="dxa"/>
            <w:vAlign w:val="bottom"/>
          </w:tcPr>
          <w:p>
            <w:pPr>
              <w:spacing w:after="0"/>
              <w:rPr>
                <w:sz w:val="1"/>
                <w:szCs w:val="1"/>
                <w:color w:val="auto"/>
              </w:rPr>
            </w:pPr>
          </w:p>
        </w:tc>
      </w:tr>
      <w:tr>
        <w:trPr>
          <w:trHeight w:val="254"/>
        </w:trPr>
        <w:tc>
          <w:tcPr>
            <w:tcW w:w="51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11,085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8,165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29,213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25,247</w:t>
            </w:r>
          </w:p>
        </w:tc>
        <w:tc>
          <w:tcPr>
            <w:tcW w:w="0" w:type="dxa"/>
            <w:vAlign w:val="bottom"/>
          </w:tcPr>
          <w:p>
            <w:pPr>
              <w:spacing w:after="0"/>
              <w:rPr>
                <w:sz w:val="1"/>
                <w:szCs w:val="1"/>
                <w:color w:val="auto"/>
              </w:rPr>
            </w:pPr>
          </w:p>
        </w:tc>
      </w:tr>
      <w:tr>
        <w:trPr>
          <w:trHeight w:val="260"/>
        </w:trPr>
        <w:tc>
          <w:tcPr>
            <w:tcW w:w="516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36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9,551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7,375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26,038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20,430</w:t>
            </w: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9,895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7,510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28,358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21,423</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Restructuring charges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1,468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2,588</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31,000</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25,638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85,077</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69,688</w:t>
            </w:r>
          </w:p>
        </w:tc>
        <w:tc>
          <w:tcPr>
            <w:tcW w:w="0" w:type="dxa"/>
            <w:vAlign w:val="bottom"/>
          </w:tcPr>
          <w:p>
            <w:pPr>
              <w:spacing w:after="0"/>
              <w:rPr>
                <w:sz w:val="1"/>
                <w:szCs w:val="1"/>
                <w:color w:val="auto"/>
              </w:rPr>
            </w:pPr>
          </w:p>
        </w:tc>
      </w:tr>
      <w:tr>
        <w:trPr>
          <w:trHeight w:val="247"/>
        </w:trPr>
        <w:tc>
          <w:tcPr>
            <w:tcW w:w="5160" w:type="dxa"/>
            <w:vAlign w:val="bottom"/>
          </w:tcPr>
          <w:p>
            <w:pPr>
              <w:ind w:left="40"/>
              <w:spacing w:after="0"/>
              <w:rPr>
                <w:sz w:val="20"/>
                <w:szCs w:val="20"/>
                <w:color w:val="auto"/>
              </w:rPr>
            </w:pPr>
            <w:r>
              <w:rPr>
                <w:rFonts w:ascii="Arial" w:cs="Arial" w:eastAsia="Arial" w:hAnsi="Arial"/>
                <w:sz w:val="16"/>
                <w:szCs w:val="16"/>
                <w:color w:val="auto"/>
              </w:rPr>
              <w:t>Income (loss) from operations</w:t>
            </w:r>
          </w:p>
        </w:tc>
        <w:tc>
          <w:tcPr>
            <w:tcW w:w="36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33,706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58,287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(3,407)</w:t>
            </w: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16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1,698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(7,599)</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expense, net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other expense, net</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(2,335)</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(12,594)</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(8,108)</w:t>
            </w:r>
          </w:p>
        </w:tc>
        <w:tc>
          <w:tcPr>
            <w:tcW w:w="0" w:type="dxa"/>
            <w:vAlign w:val="bottom"/>
          </w:tcPr>
          <w:p>
            <w:pPr>
              <w:spacing w:after="0"/>
              <w:rPr>
                <w:sz w:val="1"/>
                <w:szCs w:val="1"/>
                <w:color w:val="auto"/>
              </w:rPr>
            </w:pPr>
          </w:p>
        </w:tc>
      </w:tr>
      <w:tr>
        <w:trPr>
          <w:trHeight w:val="247"/>
        </w:trPr>
        <w:tc>
          <w:tcPr>
            <w:tcW w:w="516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31,371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45,693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(11,515)</w:t>
            </w:r>
          </w:p>
        </w:tc>
        <w:tc>
          <w:tcPr>
            <w:tcW w:w="0" w:type="dxa"/>
            <w:vAlign w:val="bottom"/>
          </w:tcPr>
          <w:p>
            <w:pPr>
              <w:spacing w:after="0"/>
              <w:rPr>
                <w:sz w:val="1"/>
                <w:szCs w:val="1"/>
                <w:color w:val="auto"/>
              </w:rPr>
            </w:pP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28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31,099</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44,482</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(12,336)</w:t>
            </w:r>
          </w:p>
        </w:tc>
        <w:tc>
          <w:tcPr>
            <w:tcW w:w="0" w:type="dxa"/>
            <w:vAlign w:val="bottom"/>
          </w:tcPr>
          <w:p>
            <w:pPr>
              <w:spacing w:after="0"/>
              <w:rPr>
                <w:sz w:val="1"/>
                <w:szCs w:val="1"/>
                <w:color w:val="auto"/>
              </w:rPr>
            </w:pPr>
          </w:p>
        </w:tc>
      </w:tr>
      <w:tr>
        <w:trPr>
          <w:trHeight w:val="25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per share: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color w:val="auto"/>
              </w:rPr>
              <w:t>Shares used in per share calculation:</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122,123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102,798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114,720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97,257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tcPr>
          <w:p>
            <w:pPr>
              <w:ind w:left="3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133,611</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102,798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131,114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97,257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314960</wp:posOffset>
            </wp:positionV>
            <wp:extent cx="70580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2</w:t>
      </w:r>
    </w:p>
    <w:p>
      <w:pPr>
        <w:sectPr>
          <w:pgSz w:w="11900" w:h="16838" w:orient="portrait"/>
          <w:cols w:equalWidth="0" w:num="1">
            <w:col w:w="11420"/>
          </w:cols>
          <w:pgMar w:left="240" w:top="283" w:right="239" w:bottom="1440" w:gutter="0" w:footer="0" w:header="0"/>
        </w:sectPr>
      </w:pPr>
    </w:p>
    <w:bookmarkStart w:id="4" w:name="page5"/>
    <w:bookmarkEnd w:id="4"/>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35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700" w:type="dxa"/>
            <w:vAlign w:val="bottom"/>
            <w:gridSpan w:val="4"/>
          </w:tcPr>
          <w:p>
            <w:pPr>
              <w:jc w:val="right"/>
              <w:ind w:right="78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31,099</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44,482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(12,336)</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649</w:t>
            </w:r>
          </w:p>
        </w:tc>
      </w:tr>
      <w:tr>
        <w:trPr>
          <w:trHeight w:val="230"/>
        </w:trPr>
        <w:tc>
          <w:tcPr>
            <w:tcW w:w="516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31,254</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(3,124)</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44,309</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(11,687)</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314960</wp:posOffset>
            </wp:positionV>
            <wp:extent cx="70580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3</w:t>
      </w:r>
    </w:p>
    <w:p>
      <w:pPr>
        <w:sectPr>
          <w:pgSz w:w="11900" w:h="16838" w:orient="portrait"/>
          <w:cols w:equalWidth="0" w:num="1">
            <w:col w:w="11420"/>
          </w:cols>
          <w:pgMar w:left="240" w:top="283" w:right="239" w:bottom="1440" w:gutter="0" w:footer="0" w:header="0"/>
        </w:sectPr>
      </w:pPr>
    </w:p>
    <w:bookmarkStart w:id="5" w:name="page6"/>
    <w:bookmarkEnd w:id="5"/>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35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700" w:type="dxa"/>
            <w:vAlign w:val="bottom"/>
            <w:gridSpan w:val="4"/>
          </w:tcPr>
          <w:p>
            <w:pPr>
              <w:jc w:val="right"/>
              <w:ind w:right="77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11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1160" w:type="dxa"/>
            <w:vAlign w:val="bottom"/>
            <w:tcBorders>
              <w:bottom w:val="single" w:sz="8" w:color="CCEEFF"/>
            </w:tcBorders>
          </w:tcPr>
          <w:p>
            <w:pPr>
              <w:spacing w:after="0"/>
              <w:rPr>
                <w:sz w:val="22"/>
                <w:szCs w:val="22"/>
                <w:color w:val="auto"/>
              </w:rPr>
            </w:pPr>
          </w:p>
        </w:tc>
        <w:tc>
          <w:tcPr>
            <w:tcW w:w="40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Common stock and paid-in capital</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Balance, beginning of period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449,803</w:t>
            </w:r>
          </w:p>
        </w:tc>
        <w:tc>
          <w:tcPr>
            <w:tcW w:w="12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313,779</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353,336</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287,257</w:t>
            </w:r>
          </w:p>
        </w:tc>
      </w:tr>
      <w:tr>
        <w:trPr>
          <w:trHeight w:val="280"/>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Cumulative-effect adjustment to additional paid in capital</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Issuance of common stock from exercise of equity awards, net</w:t>
            </w:r>
          </w:p>
        </w:tc>
        <w:tc>
          <w:tcPr>
            <w:tcW w:w="36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2,925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2,156</w:t>
            </w:r>
          </w:p>
        </w:tc>
      </w:tr>
      <w:tr>
        <w:trPr>
          <w:trHeight w:val="228"/>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Payment of withholding taxes related to net share settlement of</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4"/>
        </w:trPr>
        <w:tc>
          <w:tcPr>
            <w:tcW w:w="51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equity awards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Conversion of convertible notes due 2023, net</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58,857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Equity component of convertible notes due 2024,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35,114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8"/>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Cost of convertible notes hedge related to the convertible notes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4"/>
        </w:trPr>
        <w:tc>
          <w:tcPr>
            <w:tcW w:w="5160" w:type="dxa"/>
            <w:vAlign w:val="bottom"/>
            <w:gridSpan w:val="2"/>
          </w:tcPr>
          <w:p>
            <w:pPr>
              <w:ind w:left="440"/>
              <w:spacing w:after="0"/>
              <w:rPr>
                <w:sz w:val="20"/>
                <w:szCs w:val="20"/>
                <w:color w:val="auto"/>
              </w:rPr>
            </w:pPr>
            <w:r>
              <w:rPr>
                <w:rFonts w:ascii="Arial" w:cs="Arial" w:eastAsia="Arial" w:hAnsi="Arial"/>
                <w:sz w:val="16"/>
                <w:szCs w:val="16"/>
                <w:color w:val="auto"/>
              </w:rPr>
              <w:t>due 2024</w:t>
            </w:r>
          </w:p>
        </w:tc>
        <w:tc>
          <w:tcPr>
            <w:tcW w:w="3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(36,313)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Sale of warrants related to the convertible notes due 2024</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29,818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Issuance of common stock, net</w:t>
            </w: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19,771</w:t>
            </w:r>
          </w:p>
        </w:tc>
      </w:tr>
      <w:tr>
        <w:trPr>
          <w:trHeight w:val="280"/>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Issuance of common stock related to acquisition</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32,319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32,319</w:t>
            </w:r>
          </w:p>
        </w:tc>
      </w:tr>
      <w:tr>
        <w:trPr>
          <w:trHeight w:val="264"/>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Stock-based compensation expense and 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5,784</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4,443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14,241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9,671</w:t>
            </w:r>
          </w:p>
        </w:tc>
      </w:tr>
      <w:tr>
        <w:trPr>
          <w:trHeight w:val="25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Balance, end of period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453,567</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351,174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453,567</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351,174</w:t>
            </w:r>
          </w:p>
        </w:tc>
      </w:tr>
      <w:tr>
        <w:trPr>
          <w:trHeight w:val="324"/>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Retained earnings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Balance, beginning of period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(332,946)</w:t>
            </w:r>
          </w:p>
        </w:tc>
        <w:tc>
          <w:tcPr>
            <w:tcW w:w="12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(343,541)</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(346,302)</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(295,727)</w:t>
            </w:r>
          </w:p>
        </w:tc>
      </w:tr>
      <w:tr>
        <w:trPr>
          <w:trHeight w:val="280"/>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Cumulative-effect adjustment to accumulated deficit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other</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(38,948)</w:t>
            </w:r>
          </w:p>
        </w:tc>
      </w:tr>
      <w:tr>
        <w:trPr>
          <w:trHeight w:val="264"/>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31,099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44,482</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(12,336)</w:t>
            </w:r>
          </w:p>
        </w:tc>
      </w:tr>
      <w:tr>
        <w:trPr>
          <w:trHeight w:val="25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Balance, end of period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(301,847)</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(347,011)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(301,847)</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(347,011)</w:t>
            </w:r>
          </w:p>
        </w:tc>
      </w:tr>
      <w:tr>
        <w:trPr>
          <w:trHeight w:val="324"/>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Accumulated other comprehensive income (loss)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Balance, beginning of period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(656)</w:t>
            </w:r>
          </w:p>
        </w:tc>
      </w:tr>
      <w:tr>
        <w:trPr>
          <w:trHeight w:val="273"/>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649</w:t>
            </w:r>
          </w:p>
        </w:tc>
      </w:tr>
      <w:tr>
        <w:trPr>
          <w:trHeight w:val="250"/>
        </w:trPr>
        <w:tc>
          <w:tcPr>
            <w:tcW w:w="5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Balance, end of period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569</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569</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4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stockholders' equity, ending balance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152,289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152,289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4,156</w:t>
            </w: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19"/>
        </w:trPr>
        <w:tc>
          <w:tcPr>
            <w:tcW w:w="1160" w:type="dxa"/>
            <w:vAlign w:val="bottom"/>
            <w:tcBorders>
              <w:bottom w:val="single" w:sz="8" w:color="auto"/>
            </w:tcBorders>
          </w:tcPr>
          <w:p>
            <w:pPr>
              <w:spacing w:after="0"/>
              <w:rPr>
                <w:sz w:val="10"/>
                <w:szCs w:val="10"/>
                <w:color w:val="auto"/>
              </w:rPr>
            </w:pPr>
          </w:p>
        </w:tc>
        <w:tc>
          <w:tcPr>
            <w:tcW w:w="4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r>
    </w:tbl>
    <w:p>
      <w:pPr>
        <w:spacing w:after="0" w:line="123" w:lineRule="exact"/>
        <w:rPr>
          <w:sz w:val="20"/>
          <w:szCs w:val="20"/>
          <w:color w:val="auto"/>
        </w:rPr>
      </w:pPr>
    </w:p>
    <w:p>
      <w:pPr>
        <w:jc w:val="both"/>
        <w:ind w:left="500" w:hanging="492"/>
        <w:spacing w:after="0" w:line="253"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the adoption of Accounting Standards Update (“ASU”) 2018-07, “Compensation - Stock Compensation: Improvements to Non-employee Share-Based Payment Accounting” on January 1, 2019 and the adoption of Accounting Standards Codification (“ASC”) No. 606, “Revenue Recognition” on January 1, 2018.</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314960</wp:posOffset>
            </wp:positionV>
            <wp:extent cx="70580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4</w:t>
      </w:r>
    </w:p>
    <w:p>
      <w:pPr>
        <w:sectPr>
          <w:pgSz w:w="11900" w:h="16838" w:orient="portrait"/>
          <w:cols w:equalWidth="0" w:num="1">
            <w:col w:w="11420"/>
          </w:cols>
          <w:pgMar w:left="240" w:top="283" w:right="239" w:bottom="1440" w:gutter="0" w:footer="0" w:header="0"/>
        </w:sectPr>
      </w:pPr>
    </w:p>
    <w:bookmarkStart w:id="6" w:name="page7"/>
    <w:bookmarkEnd w:id="6"/>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35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44,482</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(12,336)</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11,551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6,950</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Provision for doubtful accounts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668</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Asset impairment</w:t>
            </w:r>
          </w:p>
        </w:tc>
        <w:tc>
          <w:tcPr>
            <w:tcW w:w="36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1,636</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Non-cash interest expense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4,173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1,880</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Financing fees on extinguishment of debt</w:t>
            </w:r>
          </w:p>
        </w:tc>
        <w:tc>
          <w:tcPr>
            <w:tcW w:w="3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2,152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Fees paid for repurchase and exchange of convertible notes due 2023</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14,000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9,911</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(56,139)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10,671</w:t>
            </w: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Inventory</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8,112</w:t>
            </w: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(3,995)</w:t>
            </w: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Intangible assets</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60"/>
        </w:trPr>
        <w:tc>
          <w:tcPr>
            <w:tcW w:w="8340" w:type="dxa"/>
            <w:vAlign w:val="bottom"/>
          </w:tcPr>
          <w:p>
            <w:pPr>
              <w:ind w:left="380"/>
              <w:spacing w:after="0"/>
              <w:rPr>
                <w:sz w:val="20"/>
                <w:szCs w:val="20"/>
                <w:color w:val="auto"/>
              </w:rPr>
            </w:pPr>
            <w:r>
              <w:rPr>
                <w:rFonts w:ascii="Arial" w:cs="Arial" w:eastAsia="Arial" w:hAnsi="Arial"/>
                <w:sz w:val="16"/>
                <w:szCs w:val="16"/>
                <w:color w:val="auto"/>
              </w:rPr>
              <w:t>Accounts payable, accrued and other liabilities</w:t>
            </w:r>
          </w:p>
        </w:tc>
        <w:tc>
          <w:tcPr>
            <w:tcW w:w="3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18,656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4,672</w:t>
            </w:r>
          </w:p>
        </w:tc>
      </w:tr>
      <w:tr>
        <w:trPr>
          <w:trHeight w:val="28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Warranty obligations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2,368</w:t>
            </w:r>
          </w:p>
        </w:tc>
      </w:tr>
      <w:tr>
        <w:trPr>
          <w:trHeight w:val="26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Deferred revenues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10,781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(10,280)</w:t>
            </w:r>
          </w:p>
        </w:tc>
      </w:tr>
      <w:tr>
        <w:trPr>
          <w:trHeight w:val="257"/>
        </w:trPr>
        <w:tc>
          <w:tcPr>
            <w:tcW w:w="83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36,796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14,257</w:t>
            </w:r>
          </w:p>
        </w:tc>
      </w:tr>
      <w:tr>
        <w:trPr>
          <w:trHeight w:val="25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w:t>
            </w:r>
          </w:p>
        </w:tc>
      </w:tr>
      <w:tr>
        <w:trPr>
          <w:trHeight w:val="264"/>
        </w:trPr>
        <w:tc>
          <w:tcPr>
            <w:tcW w:w="8340" w:type="dxa"/>
            <w:vAlign w:val="bottom"/>
          </w:tcPr>
          <w:p>
            <w:pPr>
              <w:ind w:left="180"/>
              <w:spacing w:after="0"/>
              <w:rPr>
                <w:sz w:val="20"/>
                <w:szCs w:val="20"/>
                <w:color w:val="auto"/>
              </w:rPr>
            </w:pPr>
            <w:r>
              <w:rPr>
                <w:rFonts w:ascii="Arial" w:cs="Arial" w:eastAsia="Arial" w:hAnsi="Arial"/>
                <w:sz w:val="16"/>
                <w:szCs w:val="16"/>
                <w:color w:val="auto"/>
              </w:rPr>
              <w:t>Acquisition</w:t>
            </w:r>
          </w:p>
        </w:tc>
        <w:tc>
          <w:tcPr>
            <w:tcW w:w="36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(9,000)</w:t>
            </w:r>
          </w:p>
        </w:tc>
      </w:tr>
      <w:tr>
        <w:trPr>
          <w:trHeight w:val="257"/>
        </w:trPr>
        <w:tc>
          <w:tcPr>
            <w:tcW w:w="834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(11,384)</w:t>
            </w:r>
          </w:p>
        </w:tc>
      </w:tr>
      <w:tr>
        <w:trPr>
          <w:trHeight w:val="25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 of convertible notes due 2024, net of issuance costs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127,481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Purchase of convertible note hedges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(36,313)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Sale of warrants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29,819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Fees paid for repurchase and exchange of convertible notes due 2023</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Principal payments and financing fees on debt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(45,658)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(5,664)</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issuance of common stock, net of issuance costs</w:t>
            </w:r>
          </w:p>
        </w:tc>
        <w:tc>
          <w:tcPr>
            <w:tcW w:w="36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19,771</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debt, net of issuance costs</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68,352</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exercise of equity awards</w:t>
            </w:r>
          </w:p>
        </w:tc>
        <w:tc>
          <w:tcPr>
            <w:tcW w:w="3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2,151</w:t>
            </w:r>
          </w:p>
        </w:tc>
      </w:tr>
      <w:tr>
        <w:trPr>
          <w:trHeight w:val="273"/>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 of withholding taxes related to net share settlement of equity awards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67,816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84,610</w:t>
            </w:r>
          </w:p>
        </w:tc>
      </w:tr>
      <w:tr>
        <w:trPr>
          <w:trHeight w:val="250"/>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247"/>
        </w:trPr>
        <w:tc>
          <w:tcPr>
            <w:tcW w:w="834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6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96,809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87,020</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106,237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29,144</w:t>
            </w:r>
          </w:p>
        </w:tc>
      </w:tr>
      <w:tr>
        <w:trPr>
          <w:trHeight w:val="28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equivalents—End of period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203,046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116,164</w:t>
            </w:r>
          </w:p>
        </w:tc>
      </w:tr>
      <w:tr>
        <w:trPr>
          <w:trHeight w:val="25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Acquisition funded by issuance of common stock</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19,219</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funded by accrued liabilities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fixed assets included in accounts payable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125</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interest payable unpaid upon exchange of convertible notes due 2023</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244475</wp:posOffset>
            </wp:positionV>
            <wp:extent cx="70580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935"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 xml:space="preserve">Enphase Energy, Inc. | Q3 2019 Form 10-Q | </w:t>
      </w:r>
      <w:r>
        <w:rPr>
          <w:rFonts w:ascii="Arial" w:cs="Arial" w:eastAsia="Arial" w:hAnsi="Arial"/>
          <w:sz w:val="10"/>
          <w:szCs w:val="10"/>
          <w:b w:val="1"/>
          <w:bCs w:val="1"/>
          <w:color w:val="828282"/>
        </w:rPr>
        <w:t>5</w:t>
      </w:r>
    </w:p>
    <w:p>
      <w:pPr>
        <w:sectPr>
          <w:pgSz w:w="11900" w:h="16838" w:orient="portrait"/>
          <w:cols w:equalWidth="0" w:num="1">
            <w:col w:w="11420"/>
          </w:cols>
          <w:pgMar w:left="240" w:top="283" w:right="239" w:bottom="935" w:gutter="0" w:footer="0" w:header="0"/>
          <w:type w:val="continuous"/>
        </w:sectPr>
      </w:pPr>
    </w:p>
    <w:bookmarkStart w:id="7" w:name="page8"/>
    <w:bookmarkEnd w:id="7"/>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Enphase Energy, Inc. (the “Company”) is a global energy technology company. The Company delivers smart, easy-to-use solutions that connect solar generation, storage and management on one intelligent platform. The Company revolutionized the solar industry with its microinverter technology, and produces a fully-integrated solar plus storage solution.</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47" w:lineRule="exact"/>
        <w:rPr>
          <w:sz w:val="20"/>
          <w:szCs w:val="20"/>
          <w:color w:val="auto"/>
        </w:rPr>
      </w:pPr>
    </w:p>
    <w:p>
      <w:pPr>
        <w:jc w:val="both"/>
        <w:ind w:firstLine="486"/>
        <w:spacing w:after="0" w:line="216" w:lineRule="exact"/>
        <w:rPr>
          <w:sz w:val="20"/>
          <w:szCs w:val="20"/>
          <w:color w:val="auto"/>
        </w:rPr>
      </w:pPr>
      <w:r>
        <w:rPr>
          <w:rFonts w:ascii="Arial" w:cs="Arial" w:eastAsia="Arial" w:hAnsi="Arial"/>
          <w:sz w:val="18"/>
          <w:szCs w:val="18"/>
          <w:color w:val="auto"/>
        </w:rPr>
        <w:t>The accompanying condensed consolidated financial statements are presented in accordance with accounting principles generally accepted in the United States (“U.S.”), or GAAP. The condensed consolidated financial statements include the accounts of the Company and its wholly-owned subsidiaries. All intercompany balances and transactions have been eliminated in consolidation. The year-end condensed consolidated balance sheet data was derived from audited financial statements but does not include all disclosures required by accounting principles generally accepted in the U.S. The Company filed audited consolidated financial statements, which included all information and notes necessary for such a complete presentation in conjunction with its Annual Report on Form 10-K filed with the Securities and Exchange Commission (the “SEC”) on March 15, 2019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These accompanying unaudited condensed consolidated financial statements have been prepared pursuant to the rules and regulations of the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income (loss), stockholders’ equity (deficit) and cash flows for the interim periods indicated. The results of operations for the three and nine months ended September 30, 2019 are not necessarily indicative of the operating results for the full year.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inventory valuation, accrued warranty obligations, and incremental borrowing rate for right-of-use assets and lease liability. These estimates are based on information available as of the date of the financial statements; therefore, actual results could differ materially from management’s estimates using different assumptions or under different conditions.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Except for the accounting policies for leases, updated as a result of adopting new accounting standard related to leases, there have been no significant changes to the Company’s significant accounting policies in Note 2. “Summary of Significant Accounting Policies,” of the notes to consolidated financial statements included in Item 8 of the Company’s 2018 Annual Report on Form 10-K.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determines if an arrangement is or contains a lease at inception. Operating lease assets represent the Company’s right to use an underlying asset for the lease term and lease liabilities represent the Company’s obligation to make lease payments over the lease term.</w:t>
      </w:r>
    </w:p>
    <w:p>
      <w:pPr>
        <w:spacing w:after="0" w:line="2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Operating lease assets and liabilities are recognized based on the present value of the remaining lease payments discounted using the Company’s incremental borrowing rate. Operating lease assets also include initial direct costs incurred and prepaid lease payments, minus any lease incentives. The Company’s lease terms include options to extend or terminate the lease when it is reasonably certain that the Company will exercise that option. Lease expense is recognized on a straight-line basis over the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301625</wp:posOffset>
            </wp:positionV>
            <wp:extent cx="70580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 xml:space="preserve">Enphase Energy, Inc. | Q3 2019 Form 10-Q | </w:t>
      </w:r>
      <w:r>
        <w:rPr>
          <w:rFonts w:ascii="Arial" w:cs="Arial" w:eastAsia="Arial" w:hAnsi="Arial"/>
          <w:sz w:val="10"/>
          <w:szCs w:val="10"/>
          <w:b w:val="1"/>
          <w:bCs w:val="1"/>
          <w:color w:val="828282"/>
        </w:rPr>
        <w:t>6</w:t>
      </w:r>
    </w:p>
    <w:p>
      <w:pPr>
        <w:sectPr>
          <w:pgSz w:w="11900" w:h="16838" w:orient="portrait"/>
          <w:cols w:equalWidth="0" w:num="1">
            <w:col w:w="11420"/>
          </w:cols>
          <w:pgMar w:left="240" w:top="283"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i w:val="1"/>
          <w:iCs w:val="1"/>
          <w:color w:val="0000EE"/>
        </w:rPr>
        <w:t>Table of Contents</w:t>
      </w:r>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combines the lease and non-lease components in determining the operating lease assets and liabilities.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2016-02, “Leases (Topic 842).” ASU 2016-02 requires an entity to recognize a right-of-use asset and lease liability for all leases with terms of more than 12 months. The guidance requires lessees to recognize all leases, with certain exceptions, on their balance sheets, whether operating or financing, while continuing to recognize the expenses on their income statements in a manner similar to current practice. The guidance states that a lessee must recognize a lease liability for the obligation to make lease payments and a right-to-use asset for the right to use the underlying asset for the lease term. On January 1, 2019, the Company adopted ASU 2016-02 using the modified retrospective transition option of applying the new standard at the adoption date for all leases with terms greater than 12 months. The Company elected certain practical expedients upon adoption and as such did not reassess the following: 1) whether any expired or existing contracts are or contain leases; 2) lease classification for any expired or existing leases; 3) initial direct costs for any expired or existing leases; 4) whether existing or expired land easements are or contain leases; and 5) regarding the lease term, from a hindsight perspective, whether or not the Company is reasonably certain to exercise the lease options. However, the Company will evaluate new or modified land easements under the new guidance after the commencement date. The Company also elected the practical expedient to not separate lease and non-lease components. The adoption of ASU 2016-02 on January 1, 2019 resulted in an increase in operating leases, right of use asset of $ 8.4 million, an increase in other liabilities of $6.8 million, an increase in accrued liabilities and other of $ 1.5 million and a decrease in other assets of $0.1 million on the Company’s consolidated balance sheets with no impact on the Company’s consolidated statements of operations.</w:t>
      </w:r>
    </w:p>
    <w:p>
      <w:pPr>
        <w:spacing w:after="0" w:line="210"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June 2018, the FASB issued ASU 2018-07, “Compensation - Stock Compensation: Improvements to Non-employee Share-Based Payment Accounting.” ASU 2018-07 was issued to provide guidance on share-based payments granted to non-employees in exchange for goods or services used or consumed in an entity’s own operations and supersedes the guidance in ASC 505-50, “Equity-Based Payments to Non-Employees.” ASU 2018-07 aligns much of the guidance on measuring and classifying non-employee awards with that of awards to employees. The Company adopted ASU 2018-07 on January 1, 2019 using the modified retrospective basis. The adopted standard did not have a material impact on the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In August 2018, the FASB issued ASU 2018-15, “Customer’s Accounting for Implementation Costs Incurred in a Cloud Computing Arrangement That Is a Service Contract,” to reduce diversity in practice in accounting for the costs of implementing cloud computing arrangements that are service contracts. ASU 2018-15 allows entities to apply the guidance in the ASC 350-40, “Intangibles–Goodwill and Other–Internal-Use Software,” to determine which implementation costs are eligible to be capitalized as assets in a cloud computing arrangement that is considered a service contract. ASU 2018-15 is effective for fiscal years beginning after December 15, 2019, and interim periods within those fiscal years. Early adoption is permitted, including adoption in any interim period. Entities have the option to apply the guidance prospectively to all implementation costs incurred after the date of adoption or retrospectively and are required to make certain disclosures in the interim and annual period of adoption. The Company is currently evaluating the impact this update will have on its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307340</wp:posOffset>
            </wp:positionV>
            <wp:extent cx="70580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7</w:t>
      </w:r>
    </w:p>
    <w:p>
      <w:pPr>
        <w:sectPr>
          <w:pgSz w:w="11900" w:h="16838" w:orient="portrait"/>
          <w:cols w:equalWidth="0" w:num="1">
            <w:col w:w="11420"/>
          </w:cols>
          <w:pgMar w:left="240" w:top="22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0000EE"/>
        </w:rPr>
        <w:t>Table of Contents</w:t>
      </w:r>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Disaggregated Revenue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one business activity, which is the design, manufacture and sale of solutions for the solar photovoltaic (“PV”) industry.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Disaggregated revenue by primary geographical market and timing of revenue recognition for the Company’s single product line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5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04"/>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3"/>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Primary geographical markets: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150,686</w:t>
            </w:r>
          </w:p>
        </w:tc>
        <w:tc>
          <w:tcPr>
            <w:tcW w:w="12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54,880</w:t>
            </w:r>
          </w:p>
        </w:tc>
        <w:tc>
          <w:tcPr>
            <w:tcW w:w="10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328,281</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148,268</w:t>
            </w:r>
          </w:p>
        </w:tc>
      </w:tr>
      <w:tr>
        <w:trPr>
          <w:trHeight w:val="273"/>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29,371</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23,122</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86,020</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75,602</w:t>
            </w:r>
          </w:p>
        </w:tc>
      </w:tr>
      <w:tr>
        <w:trPr>
          <w:trHeight w:val="280"/>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180,057</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78,002</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414,301</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223,870</w:t>
            </w:r>
          </w:p>
        </w:tc>
      </w:tr>
      <w:tr>
        <w:trPr>
          <w:trHeight w:val="200"/>
        </w:trPr>
        <w:tc>
          <w:tcPr>
            <w:tcW w:w="5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Timing of revenue recognition:</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Products delivered at a point in time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170,152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68,256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384,888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193,564</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Products and services delivered over time</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9,905</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9,746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29,413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30,306</w:t>
            </w:r>
          </w:p>
        </w:tc>
      </w:tr>
      <w:tr>
        <w:trPr>
          <w:trHeight w:val="24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180,057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78,002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414,301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223,870</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Receivables, and contract assets and contract liabilities from contracts with customers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222"/>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280" w:type="dxa"/>
            <w:vAlign w:val="bottom"/>
          </w:tcPr>
          <w:p>
            <w:pPr>
              <w:jc w:val="right"/>
              <w:ind w:right="20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204"/>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gridSpan w:val="3"/>
          </w:tcPr>
          <w:p>
            <w:pPr>
              <w:jc w:val="right"/>
              <w:ind w:right="982"/>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8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Receivables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133,689</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78,938</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Short-term contract assets (Prepaid expenses and other assets)</w:t>
            </w:r>
          </w:p>
        </w:tc>
        <w:tc>
          <w:tcPr>
            <w:tcW w:w="180" w:type="dxa"/>
            <w:vAlign w:val="bottom"/>
          </w:tcPr>
          <w:p>
            <w:pPr>
              <w:spacing w:after="0"/>
              <w:rPr>
                <w:sz w:val="22"/>
                <w:szCs w:val="22"/>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14,170</w:t>
            </w:r>
          </w:p>
        </w:tc>
        <w:tc>
          <w:tcPr>
            <w:tcW w:w="28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13,516</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contract assets (Other assets)</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37,211</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34,148</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Short-term contract liabilities (Deferred revenues)</w:t>
            </w:r>
          </w:p>
        </w:tc>
        <w:tc>
          <w:tcPr>
            <w:tcW w:w="180" w:type="dxa"/>
            <w:vAlign w:val="bottom"/>
          </w:tcPr>
          <w:p>
            <w:pPr>
              <w:spacing w:after="0"/>
              <w:rPr>
                <w:sz w:val="22"/>
                <w:szCs w:val="22"/>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34,295</w:t>
            </w:r>
          </w:p>
        </w:tc>
        <w:tc>
          <w:tcPr>
            <w:tcW w:w="28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33,119</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contract liabilities (Deferred revenues)</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85,746</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76,911</w:t>
            </w: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include deferred product costs and commissions associated with the deferred revenue and will be amortized along with the associated revenue. The Company had no asset impairment charges related to contract assets in the three and nine months ended September 30, 2019. Contract liabilities are recorded as deferred revenue on the accompanying condensed consolidated balance sheets and include payments received in advance of performance obligations under the contract and are realized when the associated revenue is recognized under the contract.</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changes in the balances of contract assets (prepaid expenses and other assets) and contract liabilities (deferred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are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920" w:type="dxa"/>
            <w:vAlign w:val="bottom"/>
          </w:tcPr>
          <w:p>
            <w:pPr>
              <w:ind w:left="40"/>
              <w:spacing w:after="0"/>
              <w:rPr>
                <w:sz w:val="20"/>
                <w:szCs w:val="20"/>
                <w:color w:val="auto"/>
              </w:rPr>
            </w:pPr>
            <w:r>
              <w:rPr>
                <w:rFonts w:ascii="Arial" w:cs="Arial" w:eastAsia="Arial" w:hAnsi="Arial"/>
                <w:sz w:val="16"/>
                <w:szCs w:val="16"/>
                <w:b w:val="1"/>
                <w:bCs w:val="1"/>
                <w:color w:val="auto"/>
              </w:rPr>
              <w:t>Contract Assets</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3"/>
        </w:trPr>
        <w:tc>
          <w:tcPr>
            <w:tcW w:w="9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Balance on December 31, 2018</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47,664</w:t>
            </w:r>
          </w:p>
        </w:tc>
      </w:tr>
      <w:tr>
        <w:trPr>
          <w:trHeight w:val="233"/>
        </w:trPr>
        <w:tc>
          <w:tcPr>
            <w:tcW w:w="9920" w:type="dxa"/>
            <w:vAlign w:val="bottom"/>
          </w:tcPr>
          <w:p>
            <w:pPr>
              <w:ind w:left="380"/>
              <w:spacing w:after="0"/>
              <w:rPr>
                <w:sz w:val="20"/>
                <w:szCs w:val="20"/>
                <w:color w:val="auto"/>
              </w:rPr>
            </w:pPr>
            <w:r>
              <w:rPr>
                <w:rFonts w:ascii="Arial" w:cs="Arial" w:eastAsia="Arial" w:hAnsi="Arial"/>
                <w:sz w:val="16"/>
                <w:szCs w:val="16"/>
                <w:color w:val="auto"/>
              </w:rPr>
              <w:t>Amount recognized</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(10,988)</w:t>
            </w:r>
          </w:p>
        </w:tc>
      </w:tr>
      <w:tr>
        <w:trPr>
          <w:trHeight w:val="253"/>
        </w:trPr>
        <w:tc>
          <w:tcPr>
            <w:tcW w:w="99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Increase</w:t>
            </w: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14,705</w:t>
            </w:r>
          </w:p>
        </w:tc>
      </w:tr>
      <w:tr>
        <w:trPr>
          <w:trHeight w:val="230"/>
        </w:trPr>
        <w:tc>
          <w:tcPr>
            <w:tcW w:w="9920" w:type="dxa"/>
            <w:vAlign w:val="bottom"/>
          </w:tcPr>
          <w:p>
            <w:pPr>
              <w:ind w:left="280"/>
              <w:spacing w:after="0"/>
              <w:rPr>
                <w:sz w:val="20"/>
                <w:szCs w:val="20"/>
                <w:color w:val="auto"/>
              </w:rPr>
            </w:pPr>
            <w:r>
              <w:rPr>
                <w:rFonts w:ascii="Arial" w:cs="Arial" w:eastAsia="Arial" w:hAnsi="Arial"/>
                <w:sz w:val="16"/>
                <w:szCs w:val="16"/>
                <w:color w:val="auto"/>
              </w:rPr>
              <w:t>Balance as of September 30, 2019</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51,381</w:t>
            </w:r>
          </w:p>
        </w:tc>
      </w:tr>
      <w:tr>
        <w:trPr>
          <w:trHeight w:val="20"/>
        </w:trPr>
        <w:tc>
          <w:tcPr>
            <w:tcW w:w="9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308610</wp:posOffset>
            </wp:positionV>
            <wp:extent cx="70580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 xml:space="preserve">Enphase Energy, Inc. | Q3 2019 Form 10-Q | </w:t>
      </w:r>
      <w:r>
        <w:rPr>
          <w:rFonts w:ascii="Arial" w:cs="Arial" w:eastAsia="Arial" w:hAnsi="Arial"/>
          <w:sz w:val="10"/>
          <w:szCs w:val="10"/>
          <w:b w:val="1"/>
          <w:bCs w:val="1"/>
          <w:color w:val="828282"/>
        </w:rPr>
        <w:t>8</w:t>
      </w:r>
    </w:p>
    <w:p>
      <w:pPr>
        <w:sectPr>
          <w:pgSz w:w="11900" w:h="16838" w:orient="portrait"/>
          <w:cols w:equalWidth="0" w:num="1">
            <w:col w:w="11420"/>
          </w:cols>
          <w:pgMar w:left="240" w:top="229"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i w:val="1"/>
          <w:iCs w:val="1"/>
          <w:color w:val="0000EE"/>
        </w:rPr>
        <w:t>Table of Contents</w:t>
      </w:r>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940" w:type="dxa"/>
            <w:vAlign w:val="bottom"/>
          </w:tcPr>
          <w:p>
            <w:pPr>
              <w:ind w:left="40"/>
              <w:spacing w:after="0"/>
              <w:rPr>
                <w:sz w:val="20"/>
                <w:szCs w:val="20"/>
                <w:color w:val="auto"/>
              </w:rPr>
            </w:pPr>
            <w:r>
              <w:rPr>
                <w:rFonts w:ascii="Arial" w:cs="Arial" w:eastAsia="Arial" w:hAnsi="Arial"/>
                <w:sz w:val="16"/>
                <w:szCs w:val="16"/>
                <w:b w:val="1"/>
                <w:bCs w:val="1"/>
                <w:color w:val="auto"/>
              </w:rPr>
              <w:t>Contract Liabilities</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3"/>
        </w:trPr>
        <w:tc>
          <w:tcPr>
            <w:tcW w:w="9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Balance on December 31, 2018</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110,030</w:t>
            </w:r>
          </w:p>
        </w:tc>
      </w:tr>
      <w:tr>
        <w:trPr>
          <w:trHeight w:val="233"/>
        </w:trPr>
        <w:tc>
          <w:tcPr>
            <w:tcW w:w="9940" w:type="dxa"/>
            <w:vAlign w:val="bottom"/>
          </w:tcPr>
          <w:p>
            <w:pPr>
              <w:ind w:left="380"/>
              <w:spacing w:after="0"/>
              <w:rPr>
                <w:sz w:val="20"/>
                <w:szCs w:val="20"/>
                <w:color w:val="auto"/>
              </w:rPr>
            </w:pPr>
            <w:r>
              <w:rPr>
                <w:rFonts w:ascii="Arial" w:cs="Arial" w:eastAsia="Arial" w:hAnsi="Arial"/>
                <w:sz w:val="16"/>
                <w:szCs w:val="16"/>
                <w:color w:val="auto"/>
              </w:rPr>
              <w:t>Revenue recognized</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(29,413)</w:t>
            </w:r>
          </w:p>
        </w:tc>
      </w:tr>
      <w:tr>
        <w:trPr>
          <w:trHeight w:val="253"/>
        </w:trPr>
        <w:tc>
          <w:tcPr>
            <w:tcW w:w="9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Increase due to billings</w:t>
            </w: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39,424</w:t>
            </w:r>
          </w:p>
        </w:tc>
      </w:tr>
      <w:tr>
        <w:trPr>
          <w:trHeight w:val="230"/>
        </w:trPr>
        <w:tc>
          <w:tcPr>
            <w:tcW w:w="9940" w:type="dxa"/>
            <w:vAlign w:val="bottom"/>
          </w:tcPr>
          <w:p>
            <w:pPr>
              <w:ind w:left="280"/>
              <w:spacing w:after="0"/>
              <w:rPr>
                <w:sz w:val="20"/>
                <w:szCs w:val="20"/>
                <w:color w:val="auto"/>
              </w:rPr>
            </w:pPr>
            <w:r>
              <w:rPr>
                <w:rFonts w:ascii="Arial" w:cs="Arial" w:eastAsia="Arial" w:hAnsi="Arial"/>
                <w:sz w:val="16"/>
                <w:szCs w:val="16"/>
                <w:color w:val="auto"/>
              </w:rPr>
              <w:t>Balance as of September 30, 2019</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120,041</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47"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Estimated revenue expected to be recognized in future periods related to performance obligations that are unsatisfied or partially unsatisfied at the end of the reporting period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22"/>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9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2019</w:t>
            </w:r>
          </w:p>
        </w:tc>
      </w:tr>
      <w:tr>
        <w:trPr>
          <w:trHeight w:val="204"/>
        </w:trPr>
        <w:tc>
          <w:tcPr>
            <w:tcW w:w="9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102"/>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9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year:</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3"/>
        </w:trPr>
        <w:tc>
          <w:tcPr>
            <w:tcW w:w="9940" w:type="dxa"/>
            <w:vAlign w:val="bottom"/>
          </w:tcPr>
          <w:p>
            <w:pPr>
              <w:ind w:left="180"/>
              <w:spacing w:after="0"/>
              <w:rPr>
                <w:sz w:val="20"/>
                <w:szCs w:val="20"/>
                <w:color w:val="auto"/>
              </w:rPr>
            </w:pPr>
            <w:r>
              <w:rPr>
                <w:rFonts w:ascii="Arial" w:cs="Arial" w:eastAsia="Arial" w:hAnsi="Arial"/>
                <w:sz w:val="16"/>
                <w:szCs w:val="16"/>
                <w:color w:val="auto"/>
              </w:rPr>
              <w:t>2019 (remaining three months)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10,045</w:t>
            </w:r>
          </w:p>
        </w:tc>
      </w:tr>
      <w:tr>
        <w:trPr>
          <w:trHeight w:val="253"/>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2020</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32,100</w:t>
            </w:r>
          </w:p>
        </w:tc>
      </w:tr>
      <w:tr>
        <w:trPr>
          <w:trHeight w:val="233"/>
        </w:trPr>
        <w:tc>
          <w:tcPr>
            <w:tcW w:w="9940" w:type="dxa"/>
            <w:vAlign w:val="bottom"/>
          </w:tcPr>
          <w:p>
            <w:pPr>
              <w:ind w:left="18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20"/>
                <w:szCs w:val="20"/>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25,903</w:t>
            </w:r>
          </w:p>
        </w:tc>
      </w:tr>
      <w:tr>
        <w:trPr>
          <w:trHeight w:val="253"/>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2022</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20,881</w:t>
            </w:r>
          </w:p>
        </w:tc>
      </w:tr>
      <w:tr>
        <w:trPr>
          <w:trHeight w:val="233"/>
        </w:trPr>
        <w:tc>
          <w:tcPr>
            <w:tcW w:w="9940" w:type="dxa"/>
            <w:vAlign w:val="bottom"/>
          </w:tcPr>
          <w:p>
            <w:pPr>
              <w:ind w:left="18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20"/>
                <w:szCs w:val="20"/>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15,102</w:t>
            </w:r>
          </w:p>
        </w:tc>
      </w:tr>
      <w:tr>
        <w:trPr>
          <w:trHeight w:val="246"/>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16,010</w:t>
            </w:r>
          </w:p>
        </w:tc>
      </w:tr>
      <w:tr>
        <w:trPr>
          <w:trHeight w:val="240"/>
        </w:trPr>
        <w:tc>
          <w:tcPr>
            <w:tcW w:w="9940" w:type="dxa"/>
            <w:vAlign w:val="bottom"/>
          </w:tcPr>
          <w:p>
            <w:pPr>
              <w:ind w:left="2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120,041</w:t>
            </w:r>
          </w:p>
        </w:tc>
      </w:tr>
      <w:tr>
        <w:trPr>
          <w:trHeight w:val="20"/>
        </w:trPr>
        <w:tc>
          <w:tcPr>
            <w:tcW w:w="9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440" w:gutter="0" w:footer="0" w:header="0"/>
        </w:sectPr>
      </w:pPr>
    </w:p>
    <w:p>
      <w:pPr>
        <w:spacing w:after="0" w:line="371"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39" w:lineRule="exact"/>
        <w:rPr>
          <w:sz w:val="20"/>
          <w:szCs w:val="20"/>
          <w:color w:val="auto"/>
        </w:rPr>
      </w:pPr>
    </w:p>
    <w:p>
      <w:pPr>
        <w:jc w:val="right"/>
        <w:ind w:right="3240"/>
        <w:spacing w:after="0"/>
        <w:rPr>
          <w:sz w:val="20"/>
          <w:szCs w:val="20"/>
          <w:color w:val="auto"/>
        </w:rPr>
      </w:pPr>
      <w:r>
        <w:rPr>
          <w:rFonts w:ascii="Arial" w:cs="Arial" w:eastAsia="Arial" w:hAnsi="Arial"/>
          <w:sz w:val="18"/>
          <w:szCs w:val="18"/>
          <w:color w:val="auto"/>
        </w:rPr>
        <w:t>Accounts receivable, net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294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receivable, net</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Inventory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2294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Raw materials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294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499110</wp:posOffset>
            </wp:positionV>
            <wp:extent cx="70580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300" w:type="dxa"/>
            <w:vAlign w:val="bottom"/>
          </w:tcPr>
          <w:p>
            <w:pPr>
              <w:jc w:val="right"/>
              <w:ind w:right="22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r>
      <w:tr>
        <w:trPr>
          <w:trHeight w:val="204"/>
        </w:trPr>
        <w:tc>
          <w:tcPr>
            <w:tcW w:w="180" w:type="dxa"/>
            <w:vAlign w:val="bottom"/>
          </w:tcPr>
          <w:p>
            <w:pPr>
              <w:spacing w:after="0"/>
              <w:rPr>
                <w:sz w:val="17"/>
                <w:szCs w:val="17"/>
                <w:color w:val="auto"/>
              </w:rPr>
            </w:pPr>
          </w:p>
        </w:tc>
        <w:tc>
          <w:tcPr>
            <w:tcW w:w="2900" w:type="dxa"/>
            <w:vAlign w:val="bottom"/>
            <w:gridSpan w:val="4"/>
          </w:tcPr>
          <w:p>
            <w:pPr>
              <w:jc w:val="right"/>
              <w:ind w:right="983"/>
              <w:spacing w:after="0"/>
              <w:rPr>
                <w:sz w:val="20"/>
                <w:szCs w:val="20"/>
                <w:color w:val="auto"/>
              </w:rPr>
            </w:pPr>
            <w:r>
              <w:rPr>
                <w:rFonts w:ascii="Arial" w:cs="Arial" w:eastAsia="Arial" w:hAnsi="Arial"/>
                <w:sz w:val="14"/>
                <w:szCs w:val="14"/>
                <w:i w:val="1"/>
                <w:iCs w:val="1"/>
                <w:color w:val="auto"/>
              </w:rPr>
              <w:t>(In thousands)</w:t>
            </w:r>
          </w:p>
        </w:tc>
      </w:tr>
      <w:tr>
        <w:trPr>
          <w:trHeight w:val="303"/>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136,002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81,076</w:t>
            </w:r>
          </w:p>
        </w:tc>
      </w:tr>
      <w:tr>
        <w:trPr>
          <w:trHeight w:val="283"/>
        </w:trPr>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(2,138)</w:t>
            </w:r>
          </w:p>
        </w:tc>
      </w:tr>
      <w:tr>
        <w:trPr>
          <w:trHeight w:val="237"/>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133,689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78,938</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300" w:type="dxa"/>
            <w:vAlign w:val="bottom"/>
          </w:tcPr>
          <w:p>
            <w:pPr>
              <w:jc w:val="right"/>
              <w:ind w:right="22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r>
      <w:tr>
        <w:trPr>
          <w:trHeight w:val="204"/>
        </w:trPr>
        <w:tc>
          <w:tcPr>
            <w:tcW w:w="180" w:type="dxa"/>
            <w:vAlign w:val="bottom"/>
          </w:tcPr>
          <w:p>
            <w:pPr>
              <w:spacing w:after="0"/>
              <w:rPr>
                <w:sz w:val="17"/>
                <w:szCs w:val="17"/>
                <w:color w:val="auto"/>
              </w:rPr>
            </w:pPr>
          </w:p>
        </w:tc>
        <w:tc>
          <w:tcPr>
            <w:tcW w:w="2900" w:type="dxa"/>
            <w:vAlign w:val="bottom"/>
            <w:gridSpan w:val="4"/>
          </w:tcPr>
          <w:p>
            <w:pPr>
              <w:jc w:val="right"/>
              <w:ind w:right="983"/>
              <w:spacing w:after="0"/>
              <w:rPr>
                <w:sz w:val="20"/>
                <w:szCs w:val="20"/>
                <w:color w:val="auto"/>
              </w:rPr>
            </w:pPr>
            <w:r>
              <w:rPr>
                <w:rFonts w:ascii="Arial" w:cs="Arial" w:eastAsia="Arial" w:hAnsi="Arial"/>
                <w:sz w:val="14"/>
                <w:szCs w:val="14"/>
                <w:i w:val="1"/>
                <w:iCs w:val="1"/>
                <w:color w:val="auto"/>
              </w:rPr>
              <w:t>(In thousands)</w:t>
            </w:r>
          </w:p>
        </w:tc>
      </w:tr>
      <w:tr>
        <w:trPr>
          <w:trHeight w:val="303"/>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2,140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970</w:t>
            </w:r>
          </w:p>
        </w:tc>
      </w:tr>
      <w:tr>
        <w:trPr>
          <w:trHeight w:val="283"/>
        </w:trPr>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28,091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15,297</w:t>
            </w:r>
          </w:p>
        </w:tc>
      </w:tr>
      <w:tr>
        <w:trPr>
          <w:trHeight w:val="237"/>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30,231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16,267</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00" w:space="720"/>
            <w:col w:w="3100"/>
          </w:cols>
          <w:pgMar w:left="240" w:top="22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 xml:space="preserve">Enphase Energy, Inc. | Q3 2019 Form 10-Q | </w:t>
      </w:r>
      <w:r>
        <w:rPr>
          <w:rFonts w:ascii="Arial" w:cs="Arial" w:eastAsia="Arial" w:hAnsi="Arial"/>
          <w:sz w:val="10"/>
          <w:szCs w:val="10"/>
          <w:b w:val="1"/>
          <w:bCs w:val="1"/>
          <w:color w:val="828282"/>
        </w:rPr>
        <w:t>9</w:t>
      </w:r>
    </w:p>
    <w:p>
      <w:pPr>
        <w:sectPr>
          <w:pgSz w:w="11900" w:h="16838" w:orient="portrait"/>
          <w:cols w:equalWidth="0" w:num="1">
            <w:col w:w="11420"/>
          </w:cols>
          <w:pgMar w:left="240" w:top="229"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i w:val="1"/>
          <w:iCs w:val="1"/>
          <w:color w:val="0000EE"/>
        </w:rPr>
        <w:t>Table of Contents</w:t>
      </w:r>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liabilities consist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30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04"/>
        </w:trPr>
        <w:tc>
          <w:tcPr>
            <w:tcW w:w="8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gridSpan w:val="4"/>
          </w:tcPr>
          <w:p>
            <w:pPr>
              <w:jc w:val="right"/>
              <w:ind w:right="981"/>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8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Salaries, commissions, incentive compensation and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5,582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4,107</w:t>
            </w:r>
          </w:p>
        </w:tc>
      </w:tr>
      <w:tr>
        <w:trPr>
          <w:trHeight w:val="260"/>
        </w:trPr>
        <w:tc>
          <w:tcPr>
            <w:tcW w:w="8320" w:type="dxa"/>
            <w:vAlign w:val="bottom"/>
          </w:tcPr>
          <w:p>
            <w:pPr>
              <w:ind w:left="40"/>
              <w:spacing w:after="0"/>
              <w:rPr>
                <w:sz w:val="20"/>
                <w:szCs w:val="20"/>
                <w:color w:val="auto"/>
              </w:rPr>
            </w:pPr>
            <w:r>
              <w:rPr>
                <w:rFonts w:ascii="Arial" w:cs="Arial" w:eastAsia="Arial" w:hAnsi="Arial"/>
                <w:sz w:val="16"/>
                <w:szCs w:val="16"/>
                <w:color w:val="auto"/>
              </w:rPr>
              <w:t>Customer rebates and sales incentives</w:t>
            </w:r>
          </w:p>
        </w:tc>
        <w:tc>
          <w:tcPr>
            <w:tcW w:w="180" w:type="dxa"/>
            <w:vAlign w:val="bottom"/>
          </w:tcPr>
          <w:p>
            <w:pPr>
              <w:spacing w:after="0"/>
              <w:rPr>
                <w:sz w:val="22"/>
                <w:szCs w:val="22"/>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16,848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8,527</w:t>
            </w:r>
          </w:p>
        </w:tc>
      </w:tr>
      <w:tr>
        <w:trPr>
          <w:trHeight w:val="28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Freight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4,887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7,286</w:t>
            </w:r>
          </w:p>
        </w:tc>
      </w:tr>
      <w:tr>
        <w:trPr>
          <w:trHeight w:val="260"/>
        </w:trPr>
        <w:tc>
          <w:tcPr>
            <w:tcW w:w="8320" w:type="dxa"/>
            <w:vAlign w:val="bottom"/>
          </w:tcPr>
          <w:p>
            <w:pPr>
              <w:ind w:left="40"/>
              <w:spacing w:after="0"/>
              <w:rPr>
                <w:sz w:val="20"/>
                <w:szCs w:val="20"/>
                <w:color w:val="auto"/>
              </w:rPr>
            </w:pPr>
            <w:r>
              <w:rPr>
                <w:rFonts w:ascii="Arial" w:cs="Arial" w:eastAsia="Arial" w:hAnsi="Arial"/>
                <w:sz w:val="16"/>
                <w:szCs w:val="16"/>
                <w:color w:val="auto"/>
              </w:rPr>
              <w:t>Operating lease liabilities, current</w:t>
            </w:r>
          </w:p>
        </w:tc>
        <w:tc>
          <w:tcPr>
            <w:tcW w:w="180" w:type="dxa"/>
            <w:vAlign w:val="bottom"/>
          </w:tcPr>
          <w:p>
            <w:pPr>
              <w:spacing w:after="0"/>
              <w:rPr>
                <w:sz w:val="22"/>
                <w:szCs w:val="22"/>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3,067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73"/>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9,607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9,090</w:t>
            </w:r>
          </w:p>
        </w:tc>
      </w:tr>
      <w:tr>
        <w:trPr>
          <w:trHeight w:val="240"/>
        </w:trPr>
        <w:tc>
          <w:tcPr>
            <w:tcW w:w="8320" w:type="dxa"/>
            <w:vAlign w:val="bottom"/>
          </w:tcPr>
          <w:p>
            <w:pPr>
              <w:ind w:left="180"/>
              <w:spacing w:after="0"/>
              <w:rPr>
                <w:sz w:val="20"/>
                <w:szCs w:val="20"/>
                <w:color w:val="auto"/>
              </w:rPr>
            </w:pPr>
            <w:r>
              <w:rPr>
                <w:rFonts w:ascii="Arial" w:cs="Arial" w:eastAsia="Arial" w:hAnsi="Arial"/>
                <w:sz w:val="16"/>
                <w:szCs w:val="16"/>
                <w:color w:val="auto"/>
              </w:rPr>
              <w:t>Total accrued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39,991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29,010</w:t>
            </w: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goodwill and purchased intangible assets as of September 30, 2019 and December 31, 2018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September 30, 2019</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 2018</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0" w:lineRule="exact"/>
              <w:rPr>
                <w:sz w:val="20"/>
                <w:szCs w:val="20"/>
                <w:color w:val="auto"/>
              </w:rPr>
            </w:pPr>
            <w:r>
              <w:rPr>
                <w:rFonts w:ascii="Arial" w:cs="Arial" w:eastAsia="Arial" w:hAnsi="Arial"/>
                <w:sz w:val="13"/>
                <w:szCs w:val="13"/>
                <w:b w:val="1"/>
                <w:bCs w:val="1"/>
                <w:color w:val="auto"/>
                <w:w w:val="97"/>
              </w:rPr>
              <w:t>Accumulated</w:t>
            </w: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340"/>
              <w:spacing w:after="0" w:line="140" w:lineRule="exact"/>
              <w:rPr>
                <w:sz w:val="20"/>
                <w:szCs w:val="20"/>
                <w:color w:val="auto"/>
              </w:rPr>
            </w:pPr>
            <w:r>
              <w:rPr>
                <w:rFonts w:ascii="Arial" w:cs="Arial" w:eastAsia="Arial" w:hAnsi="Arial"/>
                <w:sz w:val="13"/>
                <w:szCs w:val="13"/>
                <w:b w:val="1"/>
                <w:bCs w:val="1"/>
                <w:color w:val="auto"/>
                <w:w w:val="97"/>
              </w:rPr>
              <w:t>Accumulated</w:t>
            </w: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Gross</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5"/>
              </w:rPr>
              <w:t>Amortization</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Net</w:t>
            </w: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Gross</w:t>
            </w: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5"/>
              </w:rPr>
              <w:t>Amortization</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204"/>
        </w:trPr>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1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24,783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24,783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24,783</w:t>
            </w:r>
          </w:p>
        </w:tc>
        <w:tc>
          <w:tcPr>
            <w:tcW w:w="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24,783</w:t>
            </w: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960" w:type="dxa"/>
            <w:vAlign w:val="bottom"/>
          </w:tcPr>
          <w:p>
            <w:pPr>
              <w:ind w:left="180"/>
              <w:spacing w:after="0"/>
              <w:rPr>
                <w:sz w:val="20"/>
                <w:szCs w:val="20"/>
                <w:color w:val="auto"/>
              </w:rPr>
            </w:pPr>
            <w:r>
              <w:rPr>
                <w:rFonts w:ascii="Arial" w:cs="Arial" w:eastAsia="Arial" w:hAnsi="Arial"/>
                <w:sz w:val="16"/>
                <w:szCs w:val="16"/>
                <w:color w:val="auto"/>
              </w:rPr>
              <w:t>Other indefinite-lived</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960" w:type="dxa"/>
            <w:vAlign w:val="bottom"/>
          </w:tcPr>
          <w:p>
            <w:pPr>
              <w:ind w:left="260"/>
              <w:spacing w:after="0"/>
              <w:rPr>
                <w:sz w:val="20"/>
                <w:szCs w:val="20"/>
                <w:color w:val="auto"/>
              </w:rPr>
            </w:pPr>
            <w:r>
              <w:rPr>
                <w:rFonts w:ascii="Arial" w:cs="Arial" w:eastAsia="Arial" w:hAnsi="Arial"/>
                <w:sz w:val="16"/>
                <w:szCs w:val="16"/>
                <w:color w:val="auto"/>
              </w:rPr>
              <w:t>intangibles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7"/>
                <w:szCs w:val="17"/>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7"/>
                <w:szCs w:val="17"/>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286</w:t>
            </w:r>
          </w:p>
        </w:tc>
        <w:tc>
          <w:tcPr>
            <w:tcW w:w="3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28"/>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Intangible assets with</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finite lives: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960" w:type="dxa"/>
            <w:vAlign w:val="bottom"/>
          </w:tcPr>
          <w:p>
            <w:pPr>
              <w:ind w:left="280"/>
              <w:spacing w:after="0"/>
              <w:rPr>
                <w:sz w:val="20"/>
                <w:szCs w:val="20"/>
                <w:color w:val="auto"/>
              </w:rPr>
            </w:pPr>
            <w:r>
              <w:rPr>
                <w:rFonts w:ascii="Arial" w:cs="Arial" w:eastAsia="Arial" w:hAnsi="Arial"/>
                <w:sz w:val="16"/>
                <w:szCs w:val="16"/>
                <w:color w:val="auto"/>
              </w:rPr>
              <w:t>Patents and licensed</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960" w:type="dxa"/>
            <w:vAlign w:val="bottom"/>
          </w:tcPr>
          <w:p>
            <w:pPr>
              <w:ind w:left="360"/>
              <w:spacing w:after="0"/>
              <w:rPr>
                <w:sz w:val="20"/>
                <w:szCs w:val="20"/>
                <w:color w:val="auto"/>
              </w:rPr>
            </w:pPr>
            <w:r>
              <w:rPr>
                <w:rFonts w:ascii="Arial" w:cs="Arial" w:eastAsia="Arial" w:hAnsi="Arial"/>
                <w:sz w:val="16"/>
                <w:szCs w:val="16"/>
                <w:color w:val="auto"/>
              </w:rPr>
              <w:t>technology</w:t>
            </w:r>
          </w:p>
        </w:tc>
        <w:tc>
          <w:tcPr>
            <w:tcW w:w="34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1,665</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1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Developed technology</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13,100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10,553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13,100</w:t>
            </w: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12,191</w:t>
            </w:r>
          </w:p>
        </w:tc>
        <w:tc>
          <w:tcPr>
            <w:tcW w:w="0" w:type="dxa"/>
            <w:vAlign w:val="bottom"/>
          </w:tcPr>
          <w:p>
            <w:pPr>
              <w:spacing w:after="0"/>
              <w:rPr>
                <w:sz w:val="1"/>
                <w:szCs w:val="1"/>
                <w:color w:val="auto"/>
              </w:rPr>
            </w:pPr>
          </w:p>
        </w:tc>
      </w:tr>
      <w:tr>
        <w:trPr>
          <w:trHeight w:val="218"/>
        </w:trPr>
        <w:tc>
          <w:tcPr>
            <w:tcW w:w="1960" w:type="dxa"/>
            <w:vAlign w:val="bottom"/>
          </w:tcPr>
          <w:p>
            <w:pPr>
              <w:ind w:left="280"/>
              <w:spacing w:after="0"/>
              <w:rPr>
                <w:sz w:val="20"/>
                <w:szCs w:val="20"/>
                <w:color w:val="auto"/>
              </w:rPr>
            </w:pPr>
            <w:r>
              <w:rPr>
                <w:rFonts w:ascii="Arial" w:cs="Arial" w:eastAsia="Arial" w:hAnsi="Arial"/>
                <w:sz w:val="16"/>
                <w:szCs w:val="16"/>
                <w:color w:val="auto"/>
              </w:rPr>
              <w:t>Customer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9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relationships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23,100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20,922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23,100</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22,829</w:t>
            </w:r>
          </w:p>
        </w:tc>
        <w:tc>
          <w:tcPr>
            <w:tcW w:w="0" w:type="dxa"/>
            <w:vAlign w:val="bottom"/>
          </w:tcPr>
          <w:p>
            <w:pPr>
              <w:spacing w:after="0"/>
              <w:rPr>
                <w:sz w:val="1"/>
                <w:szCs w:val="1"/>
                <w:color w:val="auto"/>
              </w:rPr>
            </w:pPr>
          </w:p>
        </w:tc>
      </w:tr>
      <w:tr>
        <w:trPr>
          <w:trHeight w:val="204"/>
        </w:trPr>
        <w:tc>
          <w:tcPr>
            <w:tcW w:w="19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purchased</w:t>
            </w: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36,486</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(4,725)</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31,761</w:t>
            </w:r>
          </w:p>
        </w:tc>
        <w:tc>
          <w:tcPr>
            <w:tcW w:w="10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38,151</w:t>
            </w:r>
          </w:p>
        </w:tc>
        <w:tc>
          <w:tcPr>
            <w:tcW w:w="3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(2,845)</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35,306</w:t>
            </w:r>
          </w:p>
        </w:tc>
        <w:tc>
          <w:tcPr>
            <w:tcW w:w="0" w:type="dxa"/>
            <w:vAlign w:val="bottom"/>
          </w:tcPr>
          <w:p>
            <w:pPr>
              <w:spacing w:after="0"/>
              <w:rPr>
                <w:sz w:val="1"/>
                <w:szCs w:val="1"/>
                <w:color w:val="auto"/>
              </w:rPr>
            </w:pPr>
          </w:p>
        </w:tc>
      </w:tr>
      <w:tr>
        <w:trPr>
          <w:trHeight w:val="198"/>
        </w:trPr>
        <w:tc>
          <w:tcPr>
            <w:tcW w:w="1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intangible assets</w:t>
            </w: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August 2018, the Company acquired certain finite-lived intangible assets in its acquisition of SunPower Corporation’s (“SunPower”) microinverter business, primarily developed technology and customer relationships, pursuant to an Asset Purchase Agreement (“APA”). See Note 20. “Acquisition,” of the notes to consolidated financial statements included in Item 8 of the Company’s 2018 Annual Report on Form 10-K for additional information related to this acquisition.</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finite-lived intangible assets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00" w:type="dxa"/>
            <w:vAlign w:val="bottom"/>
            <w:gridSpan w:val="4"/>
          </w:tcPr>
          <w:p>
            <w:pPr>
              <w:jc w:val="right"/>
              <w:ind w:right="26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60" w:type="dxa"/>
            <w:vAlign w:val="bottom"/>
            <w:gridSpan w:val="4"/>
          </w:tcPr>
          <w:p>
            <w:pPr>
              <w:jc w:val="right"/>
              <w:ind w:right="78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04"/>
        </w:trPr>
        <w:tc>
          <w:tcPr>
            <w:tcW w:w="5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3"/>
        </w:trPr>
        <w:tc>
          <w:tcPr>
            <w:tcW w:w="5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Developed technology, and patents and licensed technology</w:t>
            </w:r>
          </w:p>
        </w:tc>
        <w:tc>
          <w:tcPr>
            <w:tcW w:w="94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546</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1,638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637</w:t>
            </w: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940" w:type="dxa"/>
            <w:vAlign w:val="bottom"/>
          </w:tcPr>
          <w:p>
            <w:pPr>
              <w:spacing w:after="0"/>
              <w:rPr>
                <w:sz w:val="22"/>
                <w:szCs w:val="22"/>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636</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1,907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amortization expense</w:t>
            </w:r>
          </w:p>
        </w:tc>
        <w:tc>
          <w:tcPr>
            <w:tcW w:w="940" w:type="dxa"/>
            <w:vAlign w:val="bottom"/>
            <w:tcBorders>
              <w:top w:val="single" w:sz="8" w:color="auto"/>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3,545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637</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377190</wp:posOffset>
            </wp:positionV>
            <wp:extent cx="70580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29" w:right="239" w:bottom="9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 xml:space="preserve">Enphase Energy, Inc. | Q3 2019 Form 10-Q | </w:t>
      </w:r>
      <w:r>
        <w:rPr>
          <w:rFonts w:ascii="Arial" w:cs="Arial" w:eastAsia="Arial" w:hAnsi="Arial"/>
          <w:sz w:val="10"/>
          <w:szCs w:val="10"/>
          <w:b w:val="1"/>
          <w:bCs w:val="1"/>
          <w:color w:val="828282"/>
        </w:rPr>
        <w:t>10</w:t>
      </w:r>
    </w:p>
    <w:p>
      <w:pPr>
        <w:sectPr>
          <w:pgSz w:w="11900" w:h="16838" w:orient="portrait"/>
          <w:cols w:equalWidth="0" w:num="1">
            <w:col w:w="11420"/>
          </w:cols>
          <w:pgMar w:left="240" w:top="229" w:right="239" w:bottom="908"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i w:val="1"/>
          <w:iCs w:val="1"/>
          <w:color w:val="0000EE"/>
        </w:rPr>
        <w:t>Table of Contents</w:t>
      </w:r>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Amortization of developed technology, patents and licensed technology is primarily recorded to sales and marketing expense. The developed technology acquired from the Company’s acquisition of SunPower’s microinverter business is embedded in the microinverters that SunPower sells to its customers. The Company does not actively use the developed technology acquired from SunPower and holds the developed technology to prevent others from using it. Accordingly, the Company accounts for the developed technology as a defensive intangible asset and amortizes the associated value over a period of six years from the date of acquisition.</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master supply agreement (“MSA”) negotiated with SunPower in August 2018 provides the Company with the exclusive right to supply SunPower with module level power electronics for a period of five years, with options for renewals. The exclusivity arrangement extends throughout the term of the MSA, which comprises all of the expected cash flows from the customer relationship intangible asset, and was a condition to, and was an essential part of the acquisition of SunPower’s microinverter business by the Company. As the fair value ascribed to the customer relationship intangible asset represents payments to a customer, the Company amortizes the value of the customer relationship intangible asset as a reduction to revenue using a pattern of economic benefit method over a useful life of nine years.</w:t>
      </w:r>
    </w:p>
    <w:p>
      <w:pPr>
        <w:spacing w:after="0" w:line="24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WARRANTY OBLIGATIONS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warranty activities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5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04"/>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3"/>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Warranty obligations, beginning of period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32,994</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31,642</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31,294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29,816</w:t>
            </w: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Accruals for warranties issued during period</w:t>
            </w:r>
          </w:p>
        </w:tc>
        <w:tc>
          <w:tcPr>
            <w:tcW w:w="36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1,571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3,741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2,222</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Changes in estimates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3,884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1,997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5,387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4,825</w:t>
            </w: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Settlements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(3,780)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(2,467)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(8,282)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(6,242)</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due to accretion expense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1,663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1,453</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821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110</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Warranty obligations, end of period</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34,624</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32,184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34,624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32,184</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(9,117)</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25,867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23,067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25,867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23,067</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202" w:lineRule="exact"/>
        <w:rPr>
          <w:sz w:val="20"/>
          <w:szCs w:val="20"/>
          <w:color w:val="auto"/>
        </w:rPr>
      </w:pPr>
    </w:p>
    <w:p>
      <w:pPr>
        <w:jc w:val="both"/>
        <w:ind w:left="820" w:hanging="326"/>
        <w:spacing w:after="0" w:line="256"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201" w:lineRule="exact"/>
        <w:rPr>
          <w:rFonts w:ascii="Arial" w:cs="Arial" w:eastAsia="Arial" w:hAnsi="Arial"/>
          <w:sz w:val="18"/>
          <w:szCs w:val="18"/>
          <w:color w:val="auto"/>
        </w:rPr>
      </w:pPr>
    </w:p>
    <w:p>
      <w:pPr>
        <w:ind w:left="820" w:right="20" w:hanging="326"/>
        <w:spacing w:after="0" w:line="262"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296545</wp:posOffset>
            </wp:positionV>
            <wp:extent cx="70580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 xml:space="preserve">Enphase Energy, Inc. | Q3 2019 Form 10-Q | </w:t>
      </w:r>
      <w:r>
        <w:rPr>
          <w:rFonts w:ascii="Arial" w:cs="Arial" w:eastAsia="Arial" w:hAnsi="Arial"/>
          <w:sz w:val="10"/>
          <w:szCs w:val="10"/>
          <w:b w:val="1"/>
          <w:bCs w:val="1"/>
          <w:color w:val="828282"/>
        </w:rPr>
        <w:t>11</w:t>
      </w:r>
    </w:p>
    <w:p>
      <w:pPr>
        <w:sectPr>
          <w:pgSz w:w="11900" w:h="16838" w:orient="portrait"/>
          <w:cols w:equalWidth="0" w:num="1">
            <w:col w:w="11420"/>
          </w:cols>
          <w:pgMar w:left="240" w:top="229"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i w:val="1"/>
          <w:iCs w:val="1"/>
          <w:color w:val="0000EE"/>
        </w:rPr>
        <w:t>Table of Contents</w:t>
      </w:r>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following table presents the Company’s liabilities that were measured at fair value on a recurring basis and its categorization within the fair value hierarchy.</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900" w:type="dxa"/>
            <w:vAlign w:val="bottom"/>
          </w:tcPr>
          <w:p>
            <w:pPr>
              <w:jc w:val="center"/>
              <w:ind w:left="1105"/>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20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5460" w:type="dxa"/>
            <w:vAlign w:val="bottom"/>
          </w:tcPr>
          <w:p>
            <w:pPr>
              <w:spacing w:after="0"/>
              <w:rPr>
                <w:sz w:val="17"/>
                <w:szCs w:val="17"/>
                <w:color w:val="auto"/>
              </w:rPr>
            </w:pPr>
          </w:p>
        </w:tc>
        <w:tc>
          <w:tcPr>
            <w:tcW w:w="2900" w:type="dxa"/>
            <w:vAlign w:val="bottom"/>
          </w:tcPr>
          <w:p>
            <w:pPr>
              <w:jc w:val="center"/>
              <w:ind w:left="1085"/>
              <w:spacing w:after="0"/>
              <w:rPr>
                <w:sz w:val="20"/>
                <w:szCs w:val="20"/>
                <w:color w:val="auto"/>
              </w:rPr>
            </w:pPr>
            <w:r>
              <w:rPr>
                <w:rFonts w:ascii="Arial" w:cs="Arial" w:eastAsia="Arial" w:hAnsi="Arial"/>
                <w:sz w:val="14"/>
                <w:szCs w:val="14"/>
                <w:b w:val="1"/>
                <w:bCs w:val="1"/>
                <w:color w:val="auto"/>
              </w:rPr>
              <w:t>Hierarchy</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r>
      <w:tr>
        <w:trPr>
          <w:trHeight w:val="204"/>
        </w:trPr>
        <w:tc>
          <w:tcPr>
            <w:tcW w:w="54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4"/>
          </w:tcPr>
          <w:p>
            <w:pPr>
              <w:jc w:val="right"/>
              <w:ind w:right="983"/>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54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Warranty obligations</w:t>
            </w:r>
          </w:p>
        </w:tc>
        <w:tc>
          <w:tcPr>
            <w:tcW w:w="29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5460" w:type="dxa"/>
            <w:vAlign w:val="bottom"/>
          </w:tcPr>
          <w:p>
            <w:pPr>
              <w:ind w:left="180"/>
              <w:spacing w:after="0"/>
              <w:rPr>
                <w:sz w:val="20"/>
                <w:szCs w:val="20"/>
                <w:color w:val="auto"/>
              </w:rPr>
            </w:pPr>
            <w:r>
              <w:rPr>
                <w:rFonts w:ascii="Arial" w:cs="Arial" w:eastAsia="Arial" w:hAnsi="Arial"/>
                <w:sz w:val="16"/>
                <w:szCs w:val="16"/>
                <w:color w:val="auto"/>
              </w:rPr>
              <w:t>Current</w:t>
            </w:r>
          </w:p>
        </w:tc>
        <w:tc>
          <w:tcPr>
            <w:tcW w:w="29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5,647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4,288</w:t>
            </w:r>
          </w:p>
        </w:tc>
      </w:tr>
      <w:tr>
        <w:trPr>
          <w:trHeight w:val="273"/>
        </w:trPr>
        <w:tc>
          <w:tcPr>
            <w:tcW w:w="5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Non-current</w:t>
            </w:r>
          </w:p>
        </w:tc>
        <w:tc>
          <w:tcPr>
            <w:tcW w:w="29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11,337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7,469</w:t>
            </w:r>
          </w:p>
        </w:tc>
      </w:tr>
      <w:tr>
        <w:trPr>
          <w:trHeight w:val="240"/>
        </w:trPr>
        <w:tc>
          <w:tcPr>
            <w:tcW w:w="5460" w:type="dxa"/>
            <w:vAlign w:val="bottom"/>
          </w:tcPr>
          <w:p>
            <w:pPr>
              <w:ind w:left="280"/>
              <w:spacing w:after="0"/>
              <w:rPr>
                <w:sz w:val="20"/>
                <w:szCs w:val="20"/>
                <w:color w:val="auto"/>
              </w:rPr>
            </w:pPr>
            <w:r>
              <w:rPr>
                <w:rFonts w:ascii="Arial" w:cs="Arial" w:eastAsia="Arial" w:hAnsi="Arial"/>
                <w:sz w:val="16"/>
                <w:szCs w:val="16"/>
                <w:color w:val="auto"/>
              </w:rPr>
              <w:t>Total warranty obligations measured at fair value</w:t>
            </w:r>
          </w:p>
        </w:tc>
        <w:tc>
          <w:tcPr>
            <w:tcW w:w="2900" w:type="dxa"/>
            <w:vAlign w:val="bottom"/>
          </w:tcPr>
          <w:p>
            <w:pPr>
              <w:jc w:val="center"/>
              <w:ind w:left="1085"/>
              <w:spacing w:after="0"/>
              <w:rPr>
                <w:sz w:val="20"/>
                <w:szCs w:val="20"/>
                <w:color w:val="auto"/>
              </w:rPr>
            </w:pPr>
            <w:r>
              <w:rPr>
                <w:rFonts w:ascii="Arial" w:cs="Arial" w:eastAsia="Arial" w:hAnsi="Arial"/>
                <w:sz w:val="16"/>
                <w:szCs w:val="16"/>
                <w:color w:val="auto"/>
              </w:rPr>
              <w:t>Level 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16,984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11,757</w:t>
            </w:r>
          </w:p>
        </w:tc>
      </w:tr>
      <w:tr>
        <w:trPr>
          <w:trHeight w:val="20"/>
        </w:trPr>
        <w:tc>
          <w:tcPr>
            <w:tcW w:w="5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Warranty Obligations Related to Microinverters Sold Since January 1, 2014</w:t>
      </w:r>
    </w:p>
    <w:p>
      <w:pPr>
        <w:spacing w:after="0" w:line="30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 Such additional assumptions included a discount rate based on the Company’s credit-adjusted risk-free rate and compensation comprised of a profit element and risk premium required of a market participant to assume the obligation.</w:t>
      </w:r>
    </w:p>
    <w:p>
      <w:pPr>
        <w:spacing w:after="0" w:line="20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following table provides information regarding changes in nonfinancial liabilities related to the Company’s warranty obligations measured at fair value on a recurring basis using significant unobservable inputs (Level 3) for the periods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5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04"/>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3"/>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14,856</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12,837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11,757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9,791</w:t>
            </w: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Accruals for warranties issued during period</w:t>
            </w:r>
          </w:p>
        </w:tc>
        <w:tc>
          <w:tcPr>
            <w:tcW w:w="360" w:type="dxa"/>
            <w:vAlign w:val="bottom"/>
          </w:tcPr>
          <w:p>
            <w:pPr>
              <w:spacing w:after="0"/>
              <w:rPr>
                <w:sz w:val="22"/>
                <w:szCs w:val="22"/>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1,571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3,741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2,222</w:t>
            </w: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estimates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2,676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853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3,536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2,848</w:t>
            </w: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Settlements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(2,074)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(1,135)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(4,534)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(2,857)</w:t>
            </w: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 due to accretion expense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562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1,663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1,453</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821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110</w:t>
            </w: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16,984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13,567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16,984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13,567</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Information about Level 3 Fair Value Measurements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2019 and December 31, 2018, the significant unobservable inputs used in the fair value measurement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liabilities designated as Level 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3"/>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Description of Significant Unobservable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Item Measured at Fair Value</w:t>
            </w:r>
          </w:p>
        </w:tc>
        <w:tc>
          <w:tcPr>
            <w:tcW w:w="12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Pr>
          <w:p>
            <w:pPr>
              <w:spacing w:after="0"/>
              <w:rPr>
                <w:sz w:val="17"/>
                <w:szCs w:val="17"/>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Input</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1"/>
        </w:trPr>
        <w:tc>
          <w:tcPr>
            <w:tcW w:w="3220" w:type="dxa"/>
            <w:vAlign w:val="bottom"/>
            <w:gridSpan w:val="2"/>
          </w:tcPr>
          <w:p>
            <w:pPr>
              <w:ind w:left="120"/>
              <w:spacing w:after="0"/>
              <w:rPr>
                <w:sz w:val="20"/>
                <w:szCs w:val="20"/>
                <w:color w:val="auto"/>
              </w:rPr>
            </w:pPr>
            <w:r>
              <w:rPr>
                <w:rFonts w:ascii="Arial" w:cs="Arial" w:eastAsia="Arial" w:hAnsi="Arial"/>
                <w:sz w:val="16"/>
                <w:szCs w:val="16"/>
                <w:color w:val="auto"/>
              </w:rPr>
              <w:t>Warranty obligations for microinverters</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Discounted cash flows</w:t>
            </w:r>
          </w:p>
        </w:tc>
        <w:tc>
          <w:tcPr>
            <w:tcW w:w="3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Profit element and risk premium</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16%</w:t>
            </w:r>
          </w:p>
        </w:tc>
        <w:tc>
          <w:tcPr>
            <w:tcW w:w="0" w:type="dxa"/>
            <w:vAlign w:val="bottom"/>
          </w:tcPr>
          <w:p>
            <w:pPr>
              <w:spacing w:after="0"/>
              <w:rPr>
                <w:sz w:val="1"/>
                <w:szCs w:val="1"/>
                <w:color w:val="auto"/>
              </w:rPr>
            </w:pPr>
          </w:p>
        </w:tc>
      </w:tr>
      <w:tr>
        <w:trPr>
          <w:trHeight w:val="96"/>
        </w:trPr>
        <w:tc>
          <w:tcPr>
            <w:tcW w:w="3220" w:type="dxa"/>
            <w:vAlign w:val="bottom"/>
            <w:gridSpan w:val="2"/>
            <w:vMerge w:val="restart"/>
          </w:tcPr>
          <w:p>
            <w:pPr>
              <w:ind w:left="200"/>
              <w:spacing w:after="0"/>
              <w:rPr>
                <w:sz w:val="20"/>
                <w:szCs w:val="20"/>
                <w:color w:val="auto"/>
              </w:rPr>
            </w:pPr>
            <w:r>
              <w:rPr>
                <w:rFonts w:ascii="Arial" w:cs="Arial" w:eastAsia="Arial" w:hAnsi="Arial"/>
                <w:sz w:val="16"/>
                <w:szCs w:val="16"/>
                <w:color w:val="auto"/>
              </w:rPr>
              <w:t>sold since January 1, 2014</w:t>
            </w:r>
          </w:p>
        </w:tc>
        <w:tc>
          <w:tcPr>
            <w:tcW w:w="1960" w:type="dxa"/>
            <w:vAlign w:val="bottom"/>
            <w:gridSpan w:val="2"/>
            <w:vMerge w:val="continue"/>
          </w:tcPr>
          <w:p>
            <w:pPr>
              <w:spacing w:after="0"/>
              <w:rPr>
                <w:sz w:val="8"/>
                <w:szCs w:val="8"/>
                <w:color w:val="auto"/>
              </w:rPr>
            </w:pPr>
          </w:p>
        </w:tc>
        <w:tc>
          <w:tcPr>
            <w:tcW w:w="3180" w:type="dxa"/>
            <w:vAlign w:val="bottom"/>
            <w:tcBorders>
              <w:top w:val="single" w:sz="8" w:color="ACACAC"/>
            </w:tcBorders>
            <w:gridSpan w:val="2"/>
            <w:vMerge w:val="restart"/>
          </w:tcPr>
          <w:p>
            <w:pPr>
              <w:jc w:val="center"/>
              <w:ind w:right="100"/>
              <w:spacing w:after="0"/>
              <w:rPr>
                <w:sz w:val="20"/>
                <w:szCs w:val="20"/>
                <w:color w:val="auto"/>
              </w:rPr>
            </w:pPr>
            <w:r>
              <w:rPr>
                <w:rFonts w:ascii="Arial" w:cs="Arial" w:eastAsia="Arial" w:hAnsi="Arial"/>
                <w:sz w:val="16"/>
                <w:szCs w:val="16"/>
                <w:color w:val="auto"/>
              </w:rPr>
              <w:t>Credit-adjusted risk-free rate</w:t>
            </w:r>
          </w:p>
        </w:tc>
        <w:tc>
          <w:tcPr>
            <w:tcW w:w="1480" w:type="dxa"/>
            <w:vAlign w:val="bottom"/>
            <w:tcBorders>
              <w:top w:val="single" w:sz="8" w:color="ACACAC"/>
            </w:tcBorders>
            <w:vMerge w:val="restart"/>
          </w:tcPr>
          <w:p>
            <w:pPr>
              <w:jc w:val="center"/>
              <w:spacing w:after="0"/>
              <w:rPr>
                <w:sz w:val="20"/>
                <w:szCs w:val="20"/>
                <w:color w:val="auto"/>
              </w:rPr>
            </w:pPr>
            <w:r>
              <w:rPr>
                <w:rFonts w:ascii="Arial" w:cs="Arial" w:eastAsia="Arial" w:hAnsi="Arial"/>
                <w:sz w:val="16"/>
                <w:szCs w:val="16"/>
                <w:color w:val="auto"/>
                <w:w w:val="99"/>
              </w:rPr>
              <w:t>16%</w:t>
            </w:r>
          </w:p>
        </w:tc>
        <w:tc>
          <w:tcPr>
            <w:tcW w:w="100" w:type="dxa"/>
            <w:vAlign w:val="bottom"/>
            <w:tcBorders>
              <w:top w:val="single" w:sz="8" w:color="ACACAC"/>
            </w:tcBorders>
          </w:tcPr>
          <w:p>
            <w:pPr>
              <w:spacing w:after="0"/>
              <w:rPr>
                <w:sz w:val="8"/>
                <w:szCs w:val="8"/>
                <w:color w:val="auto"/>
              </w:rPr>
            </w:pPr>
          </w:p>
        </w:tc>
        <w:tc>
          <w:tcPr>
            <w:tcW w:w="1480" w:type="dxa"/>
            <w:vAlign w:val="bottom"/>
            <w:tcBorders>
              <w:top w:val="single" w:sz="8" w:color="ACACAC"/>
            </w:tcBorders>
            <w:vMerge w:val="restart"/>
          </w:tcPr>
          <w:p>
            <w:pPr>
              <w:jc w:val="center"/>
              <w:spacing w:after="0"/>
              <w:rPr>
                <w:sz w:val="20"/>
                <w:szCs w:val="20"/>
                <w:color w:val="auto"/>
              </w:rPr>
            </w:pPr>
            <w:r>
              <w:rPr>
                <w:rFonts w:ascii="Arial" w:cs="Arial" w:eastAsia="Arial" w:hAnsi="Arial"/>
                <w:sz w:val="16"/>
                <w:szCs w:val="16"/>
                <w:color w:val="auto"/>
                <w:w w:val="99"/>
              </w:rPr>
              <w:t>16%</w:t>
            </w:r>
          </w:p>
        </w:tc>
        <w:tc>
          <w:tcPr>
            <w:tcW w:w="0" w:type="dxa"/>
            <w:vAlign w:val="bottom"/>
          </w:tcPr>
          <w:p>
            <w:pPr>
              <w:spacing w:after="0"/>
              <w:rPr>
                <w:sz w:val="1"/>
                <w:szCs w:val="1"/>
                <w:color w:val="auto"/>
              </w:rPr>
            </w:pPr>
          </w:p>
        </w:tc>
      </w:tr>
      <w:tr>
        <w:trPr>
          <w:trHeight w:val="135"/>
        </w:trPr>
        <w:tc>
          <w:tcPr>
            <w:tcW w:w="3220" w:type="dxa"/>
            <w:vAlign w:val="bottom"/>
            <w:gridSpan w:val="2"/>
            <w:vMerge w:val="continue"/>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80" w:type="dxa"/>
            <w:vAlign w:val="bottom"/>
            <w:gridSpan w:val="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329565</wp:posOffset>
            </wp:positionV>
            <wp:extent cx="70580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 xml:space="preserve">Enphase Energy, Inc. | Q3 2019 Form 10-Q | </w:t>
      </w:r>
      <w:r>
        <w:rPr>
          <w:rFonts w:ascii="Arial" w:cs="Arial" w:eastAsia="Arial" w:hAnsi="Arial"/>
          <w:sz w:val="10"/>
          <w:szCs w:val="10"/>
          <w:b w:val="1"/>
          <w:bCs w:val="1"/>
          <w:color w:val="828282"/>
        </w:rPr>
        <w:t>12</w:t>
      </w:r>
    </w:p>
    <w:p>
      <w:pPr>
        <w:sectPr>
          <w:pgSz w:w="11900" w:h="16838" w:orient="portrait"/>
          <w:cols w:equalWidth="0" w:num="1">
            <w:col w:w="11420"/>
          </w:cols>
          <w:pgMar w:left="240" w:top="229"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i w:val="1"/>
          <w:iCs w:val="1"/>
          <w:color w:val="0000EE"/>
        </w:rPr>
        <w:t>Table of Contents</w:t>
      </w:r>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of Level 3 Inputs - Warranty Obligations</w:t>
      </w:r>
    </w:p>
    <w:p>
      <w:pPr>
        <w:spacing w:after="0" w:line="247" w:lineRule="exact"/>
        <w:rPr>
          <w:sz w:val="20"/>
          <w:szCs w:val="20"/>
          <w:color w:val="auto"/>
        </w:rPr>
      </w:pPr>
    </w:p>
    <w:p>
      <w:pPr>
        <w:jc w:val="both"/>
        <w:ind w:firstLine="486"/>
        <w:spacing w:after="0" w:line="216" w:lineRule="exact"/>
        <w:rPr>
          <w:sz w:val="20"/>
          <w:szCs w:val="20"/>
          <w:color w:val="auto"/>
        </w:rPr>
      </w:pPr>
      <w:r>
        <w:rPr>
          <w:rFonts w:ascii="Arial" w:cs="Arial" w:eastAsia="Arial" w:hAnsi="Arial"/>
          <w:sz w:val="18"/>
          <w:szCs w:val="18"/>
          <w:color w:val="auto"/>
        </w:rPr>
        <w:t>Each of the significant unobservable inputs is independent of the other. The profit element and risk premium are estimated based on requirements of a third-party participant willing to assume the Company’s warranty obligations. The credit</w:t>
      </w:r>
      <w:r>
        <w:rPr>
          <w:rFonts w:ascii="MS PGothic" w:cs="MS PGothic" w:eastAsia="MS PGothic" w:hAnsi="MS PGothic"/>
          <w:sz w:val="18"/>
          <w:szCs w:val="18"/>
          <w:color w:val="auto"/>
        </w:rPr>
        <w:t>‑</w:t>
      </w:r>
      <w:r>
        <w:rPr>
          <w:rFonts w:ascii="Arial" w:cs="Arial" w:eastAsia="Arial" w:hAnsi="Arial"/>
          <w:sz w:val="18"/>
          <w:szCs w:val="18"/>
          <w:color w:val="auto"/>
        </w:rPr>
        <w:t>adjusted risk</w:t>
      </w:r>
      <w:r>
        <w:rPr>
          <w:rFonts w:ascii="MS PGothic" w:cs="MS PGothic" w:eastAsia="MS PGothic" w:hAnsi="MS PGothic"/>
          <w:sz w:val="18"/>
          <w:szCs w:val="18"/>
          <w:color w:val="auto"/>
        </w:rPr>
        <w:t>‑</w:t>
      </w:r>
      <w:r>
        <w:rPr>
          <w:rFonts w:ascii="Arial" w:cs="Arial" w:eastAsia="Arial" w:hAnsi="Arial"/>
          <w:sz w:val="18"/>
          <w:szCs w:val="18"/>
          <w:color w:val="auto"/>
        </w:rPr>
        <w:t>free rate (“discount rate”) is determined by reference to the Company’s own credit standing at the fair value measurement date. Increasing the profit element and risk premium input by 100 basis points would result in a $0.1 million increase to the liability. Decreasing the profit element and risk premium by 100 basis points would result in a $0.1 million reduction of the liability. Increasing the discount rate by 100 basis points would result in a $0.7 million reduction of the liability. Decreasing the discount rate by 100 basis points would result in a $0.8 million increase to the liability.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2"/>
              </w:rPr>
              <w:t>7.</w:t>
            </w:r>
          </w:p>
        </w:tc>
        <w:tc>
          <w:tcPr>
            <w:tcW w:w="4940" w:type="dxa"/>
            <w:vAlign w:val="bottom"/>
          </w:tcPr>
          <w:p>
            <w:pPr>
              <w:ind w:left="280"/>
              <w:spacing w:after="0"/>
              <w:rPr>
                <w:sz w:val="20"/>
                <w:szCs w:val="20"/>
                <w:color w:val="auto"/>
              </w:rPr>
            </w:pPr>
            <w:r>
              <w:rPr>
                <w:rFonts w:ascii="Arial" w:cs="Arial" w:eastAsia="Arial" w:hAnsi="Arial"/>
                <w:sz w:val="18"/>
                <w:szCs w:val="18"/>
                <w:b w:val="1"/>
                <w:bCs w:val="1"/>
                <w:color w:val="auto"/>
              </w:rPr>
              <w:t>RESTRUCTURING</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220" w:type="dxa"/>
            <w:vAlign w:val="bottom"/>
          </w:tcPr>
          <w:p>
            <w:pPr>
              <w:spacing w:after="0"/>
              <w:rPr>
                <w:sz w:val="24"/>
                <w:szCs w:val="24"/>
                <w:color w:val="auto"/>
              </w:rPr>
            </w:pPr>
          </w:p>
        </w:tc>
        <w:tc>
          <w:tcPr>
            <w:tcW w:w="4940" w:type="dxa"/>
            <w:vAlign w:val="bottom"/>
          </w:tcPr>
          <w:p>
            <w:pPr>
              <w:ind w:left="280"/>
              <w:spacing w:after="0"/>
              <w:rPr>
                <w:sz w:val="20"/>
                <w:szCs w:val="20"/>
                <w:color w:val="auto"/>
              </w:rPr>
            </w:pPr>
            <w:r>
              <w:rPr>
                <w:rFonts w:ascii="Arial" w:cs="Arial" w:eastAsia="Arial" w:hAnsi="Arial"/>
                <w:sz w:val="18"/>
                <w:szCs w:val="18"/>
                <w:color w:val="auto"/>
              </w:rPr>
              <w:t>Restructuring expense consist of the following:</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11"/>
        </w:trPr>
        <w:tc>
          <w:tcPr>
            <w:tcW w:w="2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560" w:type="dxa"/>
            <w:vAlign w:val="bottom"/>
            <w:gridSpan w:val="4"/>
          </w:tcPr>
          <w:p>
            <w:pPr>
              <w:jc w:val="right"/>
              <w:ind w:right="222"/>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60" w:type="dxa"/>
            <w:vAlign w:val="bottom"/>
            <w:gridSpan w:val="4"/>
          </w:tcPr>
          <w:p>
            <w:pPr>
              <w:jc w:val="right"/>
              <w:ind w:right="78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2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22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04"/>
        </w:trPr>
        <w:tc>
          <w:tcPr>
            <w:tcW w:w="2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3"/>
        </w:trPr>
        <w:tc>
          <w:tcPr>
            <w:tcW w:w="5160" w:type="dxa"/>
            <w:vAlign w:val="bottom"/>
            <w:gridSpan w:val="2"/>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Redundancy and employee severance and benefit arrangements</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469</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1,568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613</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Asset impairments</w:t>
            </w:r>
          </w:p>
        </w:tc>
        <w:tc>
          <w:tcPr>
            <w:tcW w:w="9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2"/>
                <w:szCs w:val="22"/>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1,636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1,636</w:t>
            </w:r>
          </w:p>
        </w:tc>
      </w:tr>
      <w:tr>
        <w:trPr>
          <w:trHeight w:val="27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Lease loss reserves</w:t>
            </w:r>
          </w:p>
        </w:tc>
        <w:tc>
          <w:tcPr>
            <w:tcW w:w="9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339</w:t>
            </w:r>
          </w:p>
        </w:tc>
      </w:tr>
      <w:tr>
        <w:trPr>
          <w:trHeight w:val="240"/>
        </w:trPr>
        <w:tc>
          <w:tcPr>
            <w:tcW w:w="220" w:type="dxa"/>
            <w:vAlign w:val="bottom"/>
          </w:tcPr>
          <w:p>
            <w:pPr>
              <w:spacing w:after="0"/>
              <w:rPr>
                <w:sz w:val="20"/>
                <w:szCs w:val="20"/>
                <w:color w:val="auto"/>
              </w:rPr>
            </w:pPr>
          </w:p>
        </w:tc>
        <w:tc>
          <w:tcPr>
            <w:tcW w:w="4940" w:type="dxa"/>
            <w:vAlign w:val="bottom"/>
          </w:tcPr>
          <w:p>
            <w:pPr>
              <w:ind w:left="60"/>
              <w:spacing w:after="0"/>
              <w:rPr>
                <w:sz w:val="20"/>
                <w:szCs w:val="20"/>
                <w:color w:val="auto"/>
              </w:rPr>
            </w:pPr>
            <w:r>
              <w:rPr>
                <w:rFonts w:ascii="Arial" w:cs="Arial" w:eastAsia="Arial" w:hAnsi="Arial"/>
                <w:sz w:val="16"/>
                <w:szCs w:val="16"/>
                <w:color w:val="auto"/>
              </w:rPr>
              <w:t>Total restructuring charges</w:t>
            </w:r>
          </w:p>
        </w:tc>
        <w:tc>
          <w:tcPr>
            <w:tcW w:w="98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2,588</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1,468</w:t>
            </w:r>
          </w:p>
        </w:tc>
        <w:tc>
          <w:tcPr>
            <w:tcW w:w="10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2,588</w:t>
            </w:r>
          </w:p>
        </w:tc>
      </w:tr>
      <w:tr>
        <w:trPr>
          <w:trHeight w:val="20"/>
        </w:trPr>
        <w:tc>
          <w:tcPr>
            <w:tcW w:w="2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Plan</w:t>
      </w:r>
    </w:p>
    <w:p>
      <w:pPr>
        <w:spacing w:after="0" w:line="247"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In the third quarter of 2018, the Company began implementing restructuring actions (the “2018 Plan”) to lower its operating expenses. The restructuring actions include reorganization of the Company’s global workforce, elimination of certain non-core projects and consolidation of facilities. The Company expects to complete this restructuring in 2019.</w:t>
      </w:r>
    </w:p>
    <w:p>
      <w:pPr>
        <w:spacing w:after="0" w:line="202"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The following table provides information regarding changes in the Company’s 2018 Plan accrued restructuring balance for the periods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Lease Loss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Redundancy and</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Reserves and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Employee Severance</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Contractual</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6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and Benefits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Obligations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204"/>
        </w:trPr>
        <w:tc>
          <w:tcPr>
            <w:tcW w:w="6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53"/>
        </w:trPr>
        <w:tc>
          <w:tcPr>
            <w:tcW w:w="6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2018</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1,192</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Charges</w:t>
            </w:r>
          </w:p>
        </w:tc>
        <w:tc>
          <w:tcPr>
            <w:tcW w:w="140" w:type="dxa"/>
            <w:vAlign w:val="bottom"/>
          </w:tcPr>
          <w:p>
            <w:pPr>
              <w:spacing w:after="0"/>
              <w:rPr>
                <w:sz w:val="22"/>
                <w:szCs w:val="22"/>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1,568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1,568</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Non-cash settlement and other</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w:t>
            </w:r>
          </w:p>
        </w:tc>
      </w:tr>
      <w:tr>
        <w:trPr>
          <w:trHeight w:val="24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September 30, 2019</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Plan</w:t>
      </w:r>
    </w:p>
    <w:p>
      <w:pPr>
        <w:spacing w:after="0" w:line="24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In the third quarter of 2016, the Company began implementing restructuring actions (the “2016 Plan”) to lower its operating expenses. The restructuring actions have included reductions in the Company’s global workforce, the elimination of certain non-core projects, consolidation of office space at the Company’s corporate headquarters and the engagement of management consultants to assist the Company in making organizational and structural changes to improve operational efficiencies and reduce expenses. The Company completed its restructuring activities under the 2016 Plan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302260</wp:posOffset>
            </wp:positionV>
            <wp:extent cx="70580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 xml:space="preserve">Enphase Energy, Inc. | Q3 2019 Form 10-Q | </w:t>
      </w:r>
      <w:r>
        <w:rPr>
          <w:rFonts w:ascii="Arial" w:cs="Arial" w:eastAsia="Arial" w:hAnsi="Arial"/>
          <w:sz w:val="10"/>
          <w:szCs w:val="10"/>
          <w:b w:val="1"/>
          <w:bCs w:val="1"/>
          <w:color w:val="828282"/>
        </w:rPr>
        <w:t>13</w:t>
      </w:r>
    </w:p>
    <w:p>
      <w:pPr>
        <w:sectPr>
          <w:pgSz w:w="11900" w:h="16838" w:orient="portrait"/>
          <w:cols w:equalWidth="0" w:num="1">
            <w:col w:w="11420"/>
          </w:cols>
          <w:pgMar w:left="240" w:top="229"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i w:val="1"/>
          <w:iCs w:val="1"/>
          <w:color w:val="0000EE"/>
        </w:rPr>
        <w:t>Table of Contents</w:t>
      </w:r>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The following table provides information regarding changes in the Company’s 2016 Plan accrued restructuring balance for the periods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05"/>
              <w:spacing w:after="0"/>
              <w:rPr>
                <w:sz w:val="20"/>
                <w:szCs w:val="20"/>
                <w:color w:val="auto"/>
              </w:rPr>
            </w:pPr>
            <w:r>
              <w:rPr>
                <w:rFonts w:ascii="Arial" w:cs="Arial" w:eastAsia="Arial" w:hAnsi="Arial"/>
                <w:sz w:val="14"/>
                <w:szCs w:val="14"/>
                <w:b w:val="1"/>
                <w:bCs w:val="1"/>
                <w:color w:val="auto"/>
              </w:rPr>
              <w:t>Lease Loss</w:t>
            </w:r>
          </w:p>
        </w:tc>
      </w:tr>
      <w:tr>
        <w:trPr>
          <w:trHeight w:val="162"/>
        </w:trPr>
        <w:tc>
          <w:tcPr>
            <w:tcW w:w="116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05"/>
              <w:spacing w:after="0"/>
              <w:rPr>
                <w:sz w:val="20"/>
                <w:szCs w:val="20"/>
                <w:color w:val="auto"/>
              </w:rPr>
            </w:pPr>
            <w:r>
              <w:rPr>
                <w:rFonts w:ascii="Arial" w:cs="Arial" w:eastAsia="Arial" w:hAnsi="Arial"/>
                <w:sz w:val="14"/>
                <w:szCs w:val="14"/>
                <w:b w:val="1"/>
                <w:bCs w:val="1"/>
                <w:color w:val="auto"/>
              </w:rPr>
              <w:t>Reserves and</w:t>
            </w:r>
          </w:p>
        </w:tc>
      </w:tr>
      <w:tr>
        <w:trPr>
          <w:trHeight w:val="162"/>
        </w:trPr>
        <w:tc>
          <w:tcPr>
            <w:tcW w:w="116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25"/>
              <w:spacing w:after="0"/>
              <w:rPr>
                <w:sz w:val="20"/>
                <w:szCs w:val="20"/>
                <w:color w:val="auto"/>
              </w:rPr>
            </w:pPr>
            <w:r>
              <w:rPr>
                <w:rFonts w:ascii="Arial" w:cs="Arial" w:eastAsia="Arial" w:hAnsi="Arial"/>
                <w:sz w:val="14"/>
                <w:szCs w:val="14"/>
                <w:b w:val="1"/>
                <w:bCs w:val="1"/>
                <w:color w:val="auto"/>
              </w:rPr>
              <w:t>Contractual</w:t>
            </w:r>
          </w:p>
        </w:tc>
      </w:tr>
      <w:tr>
        <w:trPr>
          <w:trHeight w:val="196"/>
        </w:trPr>
        <w:tc>
          <w:tcPr>
            <w:tcW w:w="116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Obligations</w:t>
            </w:r>
          </w:p>
        </w:tc>
      </w:tr>
      <w:tr>
        <w:trPr>
          <w:trHeight w:val="250"/>
        </w:trPr>
        <w:tc>
          <w:tcPr>
            <w:tcW w:w="1160" w:type="dxa"/>
            <w:vAlign w:val="bottom"/>
          </w:tcPr>
          <w:p>
            <w:pPr>
              <w:spacing w:after="0"/>
              <w:rPr>
                <w:sz w:val="21"/>
                <w:szCs w:val="21"/>
                <w:color w:val="auto"/>
              </w:rPr>
            </w:pPr>
          </w:p>
        </w:tc>
        <w:tc>
          <w:tcPr>
            <w:tcW w:w="8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center"/>
              <w:ind w:right="125"/>
              <w:spacing w:after="0"/>
              <w:rPr>
                <w:sz w:val="20"/>
                <w:szCs w:val="20"/>
                <w:color w:val="auto"/>
              </w:rPr>
            </w:pPr>
            <w:r>
              <w:rPr>
                <w:rFonts w:ascii="Arial" w:cs="Arial" w:eastAsia="Arial" w:hAnsi="Arial"/>
                <w:sz w:val="14"/>
                <w:szCs w:val="14"/>
                <w:i w:val="1"/>
                <w:iCs w:val="1"/>
                <w:color w:val="auto"/>
              </w:rPr>
              <w:t>(In thousands)</w:t>
            </w:r>
          </w:p>
        </w:tc>
      </w:tr>
      <w:tr>
        <w:trPr>
          <w:trHeight w:val="249"/>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as of December 31, 2018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1,591</w:t>
            </w:r>
          </w:p>
        </w:tc>
      </w:tr>
      <w:tr>
        <w:trPr>
          <w:trHeight w:val="243"/>
        </w:trPr>
        <w:tc>
          <w:tcPr>
            <w:tcW w:w="99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w:t>
            </w:r>
          </w:p>
        </w:tc>
      </w:tr>
      <w:tr>
        <w:trPr>
          <w:trHeight w:val="234"/>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September 30,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w:t>
            </w:r>
          </w:p>
        </w:tc>
      </w:tr>
      <w:tr>
        <w:trPr>
          <w:trHeight w:val="20"/>
        </w:trPr>
        <w:tc>
          <w:tcPr>
            <w:tcW w:w="116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19"/>
        </w:trPr>
        <w:tc>
          <w:tcPr>
            <w:tcW w:w="1160" w:type="dxa"/>
            <w:vAlign w:val="bottom"/>
            <w:tcBorders>
              <w:bottom w:val="single" w:sz="8" w:color="auto"/>
            </w:tcBorders>
          </w:tcPr>
          <w:p>
            <w:pPr>
              <w:spacing w:after="0"/>
              <w:rPr>
                <w:sz w:val="10"/>
                <w:szCs w:val="10"/>
                <w:color w:val="auto"/>
              </w:rPr>
            </w:pPr>
          </w:p>
        </w:tc>
        <w:tc>
          <w:tcPr>
            <w:tcW w:w="8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r>
    </w:tbl>
    <w:p>
      <w:pPr>
        <w:spacing w:after="0" w:line="12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Adoption of ASU 2016-02.</w:t>
      </w:r>
    </w:p>
    <w:p>
      <w:pPr>
        <w:spacing w:after="0" w:line="257"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information regarding the Company’s long-term debt.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04"/>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gridSpan w:val="4"/>
          </w:tcPr>
          <w:p>
            <w:pPr>
              <w:jc w:val="right"/>
              <w:ind w:right="980"/>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8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 notes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Notes due 2024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132,000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3"/>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unamortized discount and issuance costs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(37,484)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Carrying amount of Notes due 2024</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94,516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Notes due 2023</w:t>
            </w:r>
          </w:p>
        </w:tc>
        <w:tc>
          <w:tcPr>
            <w:tcW w:w="1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65,000</w:t>
            </w:r>
          </w:p>
        </w:tc>
      </w:tr>
      <w:tr>
        <w:trPr>
          <w:trHeight w:val="273"/>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unamortized issuance costs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(2,361)</w:t>
            </w: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Carrying amount of Notes due 2023</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4,848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62,639</w:t>
            </w:r>
          </w:p>
        </w:tc>
      </w:tr>
      <w:tr>
        <w:trPr>
          <w:trHeight w:val="270"/>
        </w:trPr>
        <w:tc>
          <w:tcPr>
            <w:tcW w:w="8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Term loan</w:t>
            </w:r>
          </w:p>
        </w:tc>
        <w:tc>
          <w:tcPr>
            <w:tcW w:w="18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41,524</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unamortized discount and issuance costs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w:t>
            </w:r>
          </w:p>
        </w:tc>
      </w:tr>
      <w:tr>
        <w:trPr>
          <w:trHeight w:val="250"/>
        </w:trPr>
        <w:tc>
          <w:tcPr>
            <w:tcW w:w="8340" w:type="dxa"/>
            <w:vAlign w:val="bottom"/>
          </w:tcPr>
          <w:p>
            <w:pPr>
              <w:ind w:left="280"/>
              <w:spacing w:after="0"/>
              <w:rPr>
                <w:sz w:val="20"/>
                <w:szCs w:val="20"/>
                <w:color w:val="auto"/>
              </w:rPr>
            </w:pPr>
            <w:r>
              <w:rPr>
                <w:rFonts w:ascii="Arial" w:cs="Arial" w:eastAsia="Arial" w:hAnsi="Arial"/>
                <w:sz w:val="16"/>
                <w:szCs w:val="16"/>
                <w:color w:val="auto"/>
              </w:rPr>
              <w:t>Carrying amount of term loan</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40,465</w:t>
            </w:r>
          </w:p>
        </w:tc>
      </w:tr>
      <w:tr>
        <w:trPr>
          <w:trHeight w:val="270"/>
        </w:trPr>
        <w:tc>
          <w:tcPr>
            <w:tcW w:w="83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Sale of long-term financing receivable recorded as debt</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4,698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6,679</w:t>
            </w:r>
          </w:p>
        </w:tc>
      </w:tr>
      <w:tr>
        <w:trPr>
          <w:trHeight w:val="257"/>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carrying amount of debt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104,062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109,783</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Less: current portion term loan</w:t>
            </w:r>
          </w:p>
        </w:tc>
        <w:tc>
          <w:tcPr>
            <w:tcW w:w="18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(25,417)</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current portion of long-term financing receivable recorded as debt</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(2,738)</w:t>
            </w:r>
          </w:p>
        </w:tc>
      </w:tr>
      <w:tr>
        <w:trPr>
          <w:trHeight w:val="240"/>
        </w:trPr>
        <w:tc>
          <w:tcPr>
            <w:tcW w:w="8340" w:type="dxa"/>
            <w:vAlign w:val="bottom"/>
          </w:tcPr>
          <w:p>
            <w:pPr>
              <w:ind w:left="18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100,978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81,628</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445770</wp:posOffset>
            </wp:positionV>
            <wp:extent cx="70580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14</w:t>
      </w:r>
    </w:p>
    <w:p>
      <w:pPr>
        <w:sectPr>
          <w:pgSz w:w="11900" w:h="16838" w:orient="portrait"/>
          <w:cols w:equalWidth="0" w:num="1">
            <w:col w:w="11420"/>
          </w:cols>
          <w:pgMar w:left="240" w:top="22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0000EE"/>
        </w:rPr>
        <w:t>Table of Contents</w:t>
      </w:r>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 due 2024</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On June 5, 2019, the Company issued $132.0 million aggregate principal amount of 1.0% convertible senior notes due 2024 (the “Notes due 2024”). The Notes due 2024 are general unsecured obligations and bear interest at an annual rate of 1.0% per year, payable semi-annually on June 1 and December 1 of each year, beginning December 1, 2019. The Notes due 2024 are governed by an indenture between the Company and U.S. Bank National Association, as trustee. The Notes due 2024 will mature on June 1, 2024, unless earlier repurchased by the Company or converted at the option of the holders. The Company may not redeem the notes prior to the maturity date, and no sinking fund is provided for the notes. The Notes due 2024 may be converted, under certain circumstances as described below, based on an initial conversion rate of 48.7781 shares of common stock per $1,000 principal amount (which represents an initial conversion price of $20.5010 per share). The conversion rate for the Notes due 2024 will be subject to adjustment upon the occurrence of certain specified events but will not be adjusted for accrued and unpaid interest. In addition, upon the occurrence of a make-whole fundamental change (as defined in the relevant indenture), the Company will, in certain circumstances, increase the conversion rate by a number of additional shares for a holder that elects to convert its notes in connection with such make-whole fundamental change. The Company received approximately $128.0 million in net proceeds, after deducting the initial purchasers’ discount, from the issuance of the Notes due 2024.</w:t>
      </w:r>
    </w:p>
    <w:p>
      <w:pPr>
        <w:spacing w:after="0" w:line="211"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Notes due 2024 may be converted on any day prior to the close of business on the business day immediately preceding December 1, 2023, in multiples of $1,000 principal amount, at the option of the holder under any of the following circumstances: (1) during any calendar quarter commencing after the calendar quarter ending on September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$26.6513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and after December 1, 2023 until the close of business on the second scheduled trading day immediately preceding the maturity date of June 1, 2024, holders may convert their notes at any time, regardless of the foregoing circumstances. Upon the occurrence of a fundamental change (as defined in the relevant indenture), holders may require the Company to repurchase all or a portion of their Notes due 2024 for cash at a price equal to 100% of the principal amount of the notes to be repurchased plus any accrued and unpaid interest to, but excluding, the fundamental change repurchase date.</w:t>
      </w:r>
    </w:p>
    <w:p>
      <w:pPr>
        <w:spacing w:after="0" w:line="21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Upon conversion of any of the notes, the Company will pay or deliver, as the case may be, cash, shares of common stock or a combination of cash and common stock, at the Company’s election.</w:t>
      </w:r>
    </w:p>
    <w:p>
      <w:pPr>
        <w:spacing w:after="0" w:line="19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accounting for the issuance of the Notes due 2024, on June 5, 2019, the Company separated the Notes due 2024 into liability and equity components. The carrying amount of the liability component of approximately $95.6 million was calculated by using a discount rate of 7.75%, which was the Company’s borrowing rate on the date of the issuance of the notes for a similar debt instrument without the conversion feature. The carrying amount of the equity component of approximately $36.4 million, representing the conversion option, was determined by deducting the fair value of the liability component from the par value of the Notes due 2024. The equity component of the Notes due 2024 is included in additional paid-in capital in the condensed consolidated balance sheet and is not remeasured as long as it continues to meet the conditions for equity classification. The difference between the principal amount of the Notes due 2024 and the liability component (the “debt discount”) is amortized to interest expense using the effective interest method over the term of the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302895</wp:posOffset>
            </wp:positionV>
            <wp:extent cx="70580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15</w:t>
      </w:r>
    </w:p>
    <w:p>
      <w:pPr>
        <w:sectPr>
          <w:pgSz w:w="11900" w:h="16838" w:orient="portrait"/>
          <w:cols w:equalWidth="0" w:num="1">
            <w:col w:w="11420"/>
          </w:cols>
          <w:pgMar w:left="240" w:top="22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0000EE"/>
        </w:rPr>
        <w:t>Table of Contents</w:t>
      </w:r>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Debt issuance costs for the issuance of the Notes due 2024 were approximately $4.6 million, consisting of initial purchasers' discount and other issuance costs. In accounting for the transaction costs, the Company allocated the total amount incurred to the liability and equity components using the same proportions as the proceeds from the Notes due 2024. Transaction costs attributable to the liability component were approximately $3.3 million, were recorded as debt issuance cost (presented as contra debt in the condensed consolidated balance sheet) and are being amortized to interest expense over the term of the Notes due 2024. The transaction costs attributable to the equity component were approximately $1.3 million and were netted with the equity component in stockholders’ equity. As of September 30, 2019, the unamortized deferred issuance cost for the Notes due 2024 was $3.1 million on the condensed consolidated balance sheet.</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total amount of interest cost recognized relating to the Notes due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60" w:type="dxa"/>
            <w:vAlign w:val="bottom"/>
          </w:tcPr>
          <w:p>
            <w:pPr>
              <w:jc w:val="right"/>
              <w:ind w:right="18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September 30, 2019</w:t>
            </w:r>
          </w:p>
        </w:tc>
      </w:tr>
      <w:tr>
        <w:trPr>
          <w:trHeight w:val="250"/>
        </w:trPr>
        <w:tc>
          <w:tcPr>
            <w:tcW w:w="7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00" w:type="dxa"/>
            <w:vAlign w:val="bottom"/>
            <w:gridSpan w:val="4"/>
          </w:tcPr>
          <w:p>
            <w:pPr>
              <w:jc w:val="right"/>
              <w:ind w:right="1382"/>
              <w:spacing w:after="0"/>
              <w:rPr>
                <w:sz w:val="20"/>
                <w:szCs w:val="20"/>
                <w:color w:val="auto"/>
              </w:rPr>
            </w:pPr>
            <w:r>
              <w:rPr>
                <w:rFonts w:ascii="Arial" w:cs="Arial" w:eastAsia="Arial" w:hAnsi="Arial"/>
                <w:sz w:val="14"/>
                <w:szCs w:val="14"/>
                <w:i w:val="1"/>
                <w:iCs w:val="1"/>
                <w:color w:val="auto"/>
              </w:rPr>
              <w:t>(In thousands)</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422</w:t>
            </w:r>
          </w:p>
        </w:tc>
      </w:tr>
      <w:tr>
        <w:trPr>
          <w:trHeight w:val="260"/>
        </w:trPr>
        <w:tc>
          <w:tcPr>
            <w:tcW w:w="754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180" w:type="dxa"/>
            <w:vAlign w:val="bottom"/>
          </w:tcPr>
          <w:p>
            <w:pPr>
              <w:spacing w:after="0"/>
              <w:rPr>
                <w:sz w:val="22"/>
                <w:szCs w:val="22"/>
                <w:color w:val="auto"/>
              </w:rPr>
            </w:pPr>
          </w:p>
        </w:tc>
        <w:tc>
          <w:tcPr>
            <w:tcW w:w="1760" w:type="dxa"/>
            <w:vAlign w:val="bottom"/>
          </w:tcPr>
          <w:p>
            <w:pPr>
              <w:jc w:val="right"/>
              <w:ind w:right="23"/>
              <w:spacing w:after="0"/>
              <w:rPr>
                <w:sz w:val="20"/>
                <w:szCs w:val="20"/>
                <w:color w:val="auto"/>
              </w:rPr>
            </w:pPr>
            <w:r>
              <w:rPr>
                <w:rFonts w:ascii="Arial" w:cs="Arial" w:eastAsia="Arial" w:hAnsi="Arial"/>
                <w:sz w:val="16"/>
                <w:szCs w:val="16"/>
                <w:color w:val="auto"/>
              </w:rPr>
              <w:t>1,523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22"/>
              <w:spacing w:after="0"/>
              <w:rPr>
                <w:sz w:val="20"/>
                <w:szCs w:val="20"/>
                <w:color w:val="auto"/>
              </w:rPr>
            </w:pPr>
            <w:r>
              <w:rPr>
                <w:rFonts w:ascii="Arial" w:cs="Arial" w:eastAsia="Arial" w:hAnsi="Arial"/>
                <w:sz w:val="16"/>
                <w:szCs w:val="16"/>
                <w:color w:val="auto"/>
              </w:rPr>
              <w:t>1,939</w:t>
            </w:r>
          </w:p>
        </w:tc>
      </w:tr>
      <w:tr>
        <w:trPr>
          <w:trHeight w:val="273"/>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210</w:t>
            </w:r>
          </w:p>
        </w:tc>
      </w:tr>
      <w:tr>
        <w:trPr>
          <w:trHeight w:val="240"/>
        </w:trPr>
        <w:tc>
          <w:tcPr>
            <w:tcW w:w="7540" w:type="dxa"/>
            <w:vAlign w:val="bottom"/>
          </w:tcPr>
          <w:p>
            <w:pPr>
              <w:ind w:left="180"/>
              <w:spacing w:after="0"/>
              <w:rPr>
                <w:sz w:val="20"/>
                <w:szCs w:val="20"/>
                <w:color w:val="auto"/>
              </w:rPr>
            </w:pPr>
            <w:r>
              <w:rPr>
                <w:rFonts w:ascii="Arial" w:cs="Arial" w:eastAsia="Arial" w:hAnsi="Arial"/>
                <w:sz w:val="16"/>
                <w:szCs w:val="16"/>
                <w:color w:val="auto"/>
              </w:rPr>
              <w:t>Total interest cost recognized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2,571</w:t>
            </w: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effective interest rate on the liability component Notes due 2024 was 7.75% for each of the three and nine months ended September 30, 2019, which remain unchanged from the date of issuance. The remaining unamortized debt discount was $34.4 million as of September 30, 2019, will be amortized over approximately 4.7 years.</w:t>
      </w:r>
    </w:p>
    <w:p>
      <w:pPr>
        <w:spacing w:after="0" w:line="2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carries the Notes due 2024 at face value less unamortized discount and issuance costs on its condensed consolidated balance sheet. The fair value of the Notes due 2024 was determined to be $ 201.3 million based on the closing trading prices per $100 principal amount as of the last day of trading for the period. The Company considers the fair value of the Notes due 2024 to be a Level 2 measurement as they are not actively traded.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connection with the offering of the Notes due 2024, the Company entered into privately-negotiated convertible note hedge transactions pursuant to which the Company has the option to purchase a total of approximately 6.4 million shares of its common stock (subject to anti-dilution adjustments), which is the same number of shares initially issuable upon conversion of the notes, at a price of $20.5010 per share, which is the initial conversion price of the Notes due 2024. The total cost of the convertible note hedge transactions was approximately $36.3 million. The convertible note hedge transactions are expected generally to reduce potential dilution to the Company’s common stock upon any conversion of the Notes due 2024 and/or offset any cash payments the Company is required to make in excess of the principal amount of converted notes, as the case may be. As of September 30, 2019, the Company had not purchased any shares under the convertible note hedge transactions.</w:t>
      </w:r>
    </w:p>
    <w:p>
      <w:pPr>
        <w:spacing w:after="0" w:line="206"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Additionally, the Company separately entered into privately-negotiated warrant transactions (the “Warrants”) whereby the Company sold warrants to acquire approximately 6.4 million shares of the Company’s common stock (subject to anti-dilution adjustments) at an initial strike price of $25.2320 per share. The Company received aggregate proceeds of approximately $29.8 million from the sale of the Warrants. If the market value per share of the Company’s common stock, as measured under the Warrants, exceeds the strike price of the Warrants, the Warrants will have a dilutive effect on the Company’s earnings per share, unless the Company elects, subject to certain conditions, to settle the Warrants in cash. Taken together, the purchase of the convertible note hedges and the sale of the Warrants are intended to reduce potential dilution from the conversion of the Notes due 2024 and to effectively increase the overall conversion price from $20.5010 to $ 25.2320 per share. The Warrants are only exercisable on the applicable expiration dates in accordance with the Warrants. Subject to the other terms of the Warrants, the first expiration date applicable to the Warrants is September 1, 2024, and the final expiration date applicable to the Warrants is April 22, 2025. As of September 30, 2019, the Warrants had not been exercised and remained outstanding.</w:t>
      </w:r>
    </w:p>
    <w:p>
      <w:pPr>
        <w:spacing w:after="0" w:line="21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Given that the transactions meet certain accounting criteria, the convertible note hedge transactions and the warrants are recorded in stockholders’ equity, and they are not accounted for as derivatives and are not remeasured each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296545</wp:posOffset>
            </wp:positionV>
            <wp:extent cx="70580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 xml:space="preserve">Enphase Energy, Inc. | Q3 2019 Form 10-Q | </w:t>
      </w:r>
      <w:r>
        <w:rPr>
          <w:rFonts w:ascii="Arial" w:cs="Arial" w:eastAsia="Arial" w:hAnsi="Arial"/>
          <w:sz w:val="10"/>
          <w:szCs w:val="10"/>
          <w:b w:val="1"/>
          <w:bCs w:val="1"/>
          <w:color w:val="828282"/>
        </w:rPr>
        <w:t>16</w:t>
      </w:r>
    </w:p>
    <w:p>
      <w:pPr>
        <w:sectPr>
          <w:pgSz w:w="11900" w:h="16838" w:orient="portrait"/>
          <w:cols w:equalWidth="0" w:num="1">
            <w:col w:w="11420"/>
          </w:cols>
          <w:pgMar w:left="240" w:top="229"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i w:val="1"/>
          <w:iCs w:val="1"/>
          <w:color w:val="0000EE"/>
        </w:rPr>
        <w:t>Table of Contents</w:t>
      </w:r>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 due 2023</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August 2018, the Company sold $65.0 million aggregate principal amount of 4.0% convertible senior notes due 2023 (the “Notes due 2023”) in a private placement. On May 30, 2019, the Company entered into separately and privately negotiated transactions with certain holders of the Notes due 2023 resulting in the repurchase and exchange, as of June 5, 2019, of $60.0 million aggregate principal amount of the notes in consideration for the issuance of 10,801,080 shares of common stock and separate cash payments totaling $6.0 million. As of September 30, 2019, $5.0 million aggregate principal amount of the Notes due 2023 remain outstanding.</w:t>
      </w:r>
    </w:p>
    <w:p>
      <w:pPr>
        <w:spacing w:after="0" w:line="206"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remaining outstanding Notes due 2023 are general unsecured obligations and bear interest at a rate of 4.0% per year, payable semi-annually on February 1 and August 1 of each year. The Notes due 2023 are governed by an indenture between the Company and U.S. Bank National Association, as trustee. The remaining outstanding Notes due 2023 will mature on August 1, 2023, unless earlier repurchased by the Company or converted at the option of the holders. The Company may not redeem the remaining Notes due 2023 prior to the maturity date, and no sinking fund is provided for such notes. The remaining Notes due 2023 are convertible, at a holder’s election, in multiples of $1,000 principal amount, into shares of the Company’s common stock based on the applicable conversion rate. The initial conversion rate for such notes is 180.0180 shares of common stock per $1,000 principal amount of notes (which is equivalent to an initial conversion price of approximately $5.56 per share). The conversion rate and the corresponding conversion price are subject to adjustment upon the occurrence of certain events but will not be adjusted for any accrued and unpaid interest. Holders of the remaining Notes due 2023 who convert their notes in connection with a make-whole fundamental change (as defined in the applicable indenture) are, under certain circumstances, entitled to an increase in the conversion rate. Additionally, in the event of a fundamental change, holders of the remaining Notes due 2023 may require the Company to repurchase all or a portion of their notes at a price equal to 100% of the principal amount of notes, plus any accrued and unpaid interest, including any additional interest to, but excluding, the repurchase date. Holders may convert all or any portion of their Notes due 2023 at their option at any time prior to the close of business on the business day immediately preceding the maturity date, in multiples of $1,000 principal amount.</w:t>
      </w:r>
    </w:p>
    <w:p>
      <w:pPr>
        <w:spacing w:after="0" w:line="21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During the nine months ended September 30, 2019, the Company recognized $6.0 million inducement cost in other expense, net on the Company’s condensed consolidated statement of operations and reclassed $2.0 million of deferred issuance costs, offset by $0.8 million in accrued interest in additional paid in capital on the Company’s condensed consolidated balance sheet as of September 30, 2019 related to the exchange of $60.0 million aggregate principal amount of the Notes due 2023 consummated by the Company on June 5, 2019.</w:t>
      </w:r>
    </w:p>
    <w:p>
      <w:pPr>
        <w:spacing w:after="0" w:line="204"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The following table presents the amount of interest cost recognized relating to the contractual interest coupon and the amortization of debt issuance costs of the Notes due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00" w:type="dxa"/>
            <w:vAlign w:val="bottom"/>
            <w:gridSpan w:val="4"/>
          </w:tcPr>
          <w:p>
            <w:pPr>
              <w:jc w:val="right"/>
              <w:ind w:right="26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60" w:type="dxa"/>
            <w:vAlign w:val="bottom"/>
            <w:gridSpan w:val="4"/>
          </w:tcPr>
          <w:p>
            <w:pPr>
              <w:jc w:val="right"/>
              <w:ind w:right="78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1,176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325</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debt issuance costs</w:t>
            </w: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64</w:t>
            </w:r>
          </w:p>
        </w:tc>
      </w:tr>
      <w:tr>
        <w:trPr>
          <w:trHeight w:val="24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interest costs recognized</w:t>
            </w:r>
          </w:p>
        </w:tc>
        <w:tc>
          <w:tcPr>
            <w:tcW w:w="98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1,411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389</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July 2016, the Company entered into a Loan and Security Agreement (the “Original Term Loan Agreement”) with lenders that are affiliates of Tennenbaum Capital Partners, LLC. In February 2017, the Company entered into an Amended and Restated Loan and Security Agreement (the “Loan Agreement”) that amended and restated the Original Term Loan Agreement. The Loan Agreement provided for a $25.0 million secured term loan to the Company (the “New Term Loan”), which is in addition to the $25.0 million secured term loan borrowed by the Company under the Original Term Loan Agreement (together with the “New Term Loan” the “Term Loans”).</w:t>
      </w:r>
    </w:p>
    <w:p>
      <w:pPr>
        <w:spacing w:after="0" w:line="206"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On January 28, 2019, the Company repaid in full the remaining principal amount of the Term Loans of approximately $39.5 million plus accrued interest and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296545</wp:posOffset>
            </wp:positionV>
            <wp:extent cx="70580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 xml:space="preserve">Enphase Energy, Inc. | Q3 2019 Form 10-Q | </w:t>
      </w:r>
      <w:r>
        <w:rPr>
          <w:rFonts w:ascii="Arial" w:cs="Arial" w:eastAsia="Arial" w:hAnsi="Arial"/>
          <w:sz w:val="10"/>
          <w:szCs w:val="10"/>
          <w:b w:val="1"/>
          <w:bCs w:val="1"/>
          <w:color w:val="828282"/>
        </w:rPr>
        <w:t>17</w:t>
      </w:r>
    </w:p>
    <w:p>
      <w:pPr>
        <w:sectPr>
          <w:pgSz w:w="11900" w:h="16838" w:orient="portrait"/>
          <w:cols w:equalWidth="0" w:num="1">
            <w:col w:w="11420"/>
          </w:cols>
          <w:pgMar w:left="240" w:top="229"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i w:val="1"/>
          <w:iCs w:val="1"/>
          <w:color w:val="0000EE"/>
        </w:rPr>
        <w:t>Table of Contents</w:t>
      </w:r>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Company leases office facilities under noncancelable operating leases that expire on various dates through 2028, some of which may include options to extend the leases for up to 12 years.</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are presented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jc w:val="center"/>
              <w:ind w:right="166"/>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660" w:type="dxa"/>
            <w:vAlign w:val="bottom"/>
          </w:tcPr>
          <w:p>
            <w:pPr>
              <w:ind w:left="6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September 30, 2019</w:t>
            </w:r>
          </w:p>
        </w:tc>
      </w:tr>
      <w:tr>
        <w:trPr>
          <w:trHeight w:val="204"/>
        </w:trPr>
        <w:tc>
          <w:tcPr>
            <w:tcW w:w="7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00" w:type="dxa"/>
            <w:vAlign w:val="bottom"/>
            <w:gridSpan w:val="3"/>
          </w:tcPr>
          <w:p>
            <w:pPr>
              <w:jc w:val="right"/>
              <w:ind w:right="1385"/>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7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costs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1,161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2,909</w:t>
            </w:r>
          </w:p>
        </w:tc>
      </w:tr>
    </w:tbl>
    <w:p>
      <w:pPr>
        <w:spacing w:after="0" w:line="200" w:lineRule="exact"/>
        <w:rPr>
          <w:sz w:val="20"/>
          <w:szCs w:val="20"/>
          <w:color w:val="auto"/>
        </w:rPr>
      </w:pPr>
    </w:p>
    <w:p>
      <w:pPr>
        <w:sectPr>
          <w:pgSz w:w="11900" w:h="16838" w:orient="portrait"/>
          <w:cols w:equalWidth="0" w:num="1">
            <w:col w:w="11420"/>
          </w:cols>
          <w:pgMar w:left="240" w:top="229" w:right="239" w:bottom="652" w:gutter="0" w:footer="0" w:header="0"/>
        </w:sectPr>
      </w:pPr>
    </w:p>
    <w:p>
      <w:pPr>
        <w:spacing w:after="0" w:line="1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components of lease liabilities are presented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511175</wp:posOffset>
            </wp:positionV>
            <wp:extent cx="72466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lease liabilities, current (Accrued liabilities)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lease liabilities, noncurrent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lease information:</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 average discount rate</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205"/>
        <w:spacing w:after="0"/>
        <w:rPr>
          <w:sz w:val="20"/>
          <w:szCs w:val="20"/>
          <w:color w:val="auto"/>
        </w:rPr>
      </w:pPr>
      <w:r>
        <w:rPr>
          <w:rFonts w:ascii="Arial" w:cs="Arial" w:eastAsia="Arial" w:hAnsi="Arial"/>
          <w:sz w:val="14"/>
          <w:szCs w:val="14"/>
          <w:b w:val="1"/>
          <w:bCs w:val="1"/>
          <w:color w:val="auto"/>
        </w:rPr>
        <w:t>September 30,</w:t>
      </w:r>
    </w:p>
    <w:p>
      <w:pPr>
        <w:spacing w:after="0" w:line="19" w:lineRule="exact"/>
        <w:rPr>
          <w:sz w:val="20"/>
          <w:szCs w:val="20"/>
          <w:color w:val="auto"/>
        </w:rPr>
      </w:pPr>
    </w:p>
    <w:p>
      <w:pPr>
        <w:ind w:left="545"/>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9347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5" w:lineRule="exact"/>
        <w:rPr>
          <w:sz w:val="20"/>
          <w:szCs w:val="20"/>
          <w:color w:val="auto"/>
        </w:rPr>
      </w:pPr>
    </w:p>
    <w:p>
      <w:pPr>
        <w:ind w:left="245"/>
        <w:spacing w:after="0"/>
        <w:rPr>
          <w:sz w:val="20"/>
          <w:szCs w:val="20"/>
          <w:color w:val="auto"/>
        </w:rPr>
      </w:pPr>
      <w:r>
        <w:rPr>
          <w:rFonts w:ascii="Arial" w:cs="Arial" w:eastAsia="Arial" w:hAnsi="Arial"/>
          <w:sz w:val="14"/>
          <w:szCs w:val="14"/>
          <w:i w:val="1"/>
          <w:iCs w:val="1"/>
          <w:color w:val="auto"/>
        </w:rPr>
        <w:t>(In thousands)</w:t>
      </w:r>
    </w:p>
    <w:p>
      <w:pPr>
        <w:spacing w:after="0" w:line="107" w:lineRule="exact"/>
        <w:rPr>
          <w:sz w:val="20"/>
          <w:szCs w:val="20"/>
          <w:color w:val="auto"/>
        </w:rPr>
      </w:pPr>
    </w:p>
    <w:p>
      <w:pPr>
        <w:ind w:left="925" w:hanging="925"/>
        <w:spacing w:after="0"/>
        <w:tabs>
          <w:tab w:leader="none" w:pos="9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3,067</w:t>
      </w:r>
    </w:p>
    <w:p>
      <w:pPr>
        <w:spacing w:after="0" w:line="59" w:lineRule="exact"/>
        <w:rPr>
          <w:rFonts w:ascii="Arial" w:cs="Arial" w:eastAsia="Arial" w:hAnsi="Arial"/>
          <w:sz w:val="16"/>
          <w:szCs w:val="16"/>
          <w:color w:val="auto"/>
        </w:rPr>
      </w:pPr>
    </w:p>
    <w:p>
      <w:pPr>
        <w:ind w:left="845"/>
        <w:spacing w:after="0"/>
        <w:rPr>
          <w:rFonts w:ascii="Arial" w:cs="Arial" w:eastAsia="Arial" w:hAnsi="Arial"/>
          <w:sz w:val="16"/>
          <w:szCs w:val="16"/>
          <w:color w:val="auto"/>
        </w:rPr>
      </w:pPr>
      <w:r>
        <w:rPr>
          <w:rFonts w:ascii="Arial" w:cs="Arial" w:eastAsia="Arial" w:hAnsi="Arial"/>
          <w:sz w:val="16"/>
          <w:szCs w:val="16"/>
          <w:color w:val="auto"/>
        </w:rPr>
        <w:t>10,268</w:t>
      </w:r>
    </w:p>
    <w:p>
      <w:pPr>
        <w:spacing w:after="0" w:line="73" w:lineRule="exact"/>
        <w:rPr>
          <w:sz w:val="20"/>
          <w:szCs w:val="20"/>
          <w:color w:val="auto"/>
        </w:rPr>
      </w:pPr>
    </w:p>
    <w:p>
      <w:pPr>
        <w:ind w:left="845" w:hanging="845"/>
        <w:spacing w:after="0"/>
        <w:tabs>
          <w:tab w:leader="none" w:pos="845" w:val="left"/>
        </w:tabs>
        <w:numPr>
          <w:ilvl w:val="0"/>
          <w:numId w:val="17"/>
        </w:numPr>
        <w:rPr>
          <w:rFonts w:ascii="Arial" w:cs="Arial" w:eastAsia="Arial" w:hAnsi="Arial"/>
          <w:sz w:val="16"/>
          <w:szCs w:val="16"/>
          <w:color w:val="auto"/>
        </w:rPr>
      </w:pPr>
      <w:r>
        <w:rPr>
          <w:rFonts w:ascii="Arial" w:cs="Arial" w:eastAsia="Arial" w:hAnsi="Arial"/>
          <w:sz w:val="16"/>
          <w:szCs w:val="16"/>
          <w:color w:val="auto"/>
        </w:rPr>
        <w:t>13,335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36195</wp:posOffset>
            </wp:positionV>
            <wp:extent cx="9347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5"/>
        <w:spacing w:after="0"/>
        <w:rPr>
          <w:sz w:val="20"/>
          <w:szCs w:val="20"/>
          <w:color w:val="auto"/>
        </w:rPr>
      </w:pPr>
      <w:r>
        <w:rPr>
          <w:rFonts w:ascii="Arial" w:cs="Arial" w:eastAsia="Arial" w:hAnsi="Arial"/>
          <w:sz w:val="16"/>
          <w:szCs w:val="16"/>
          <w:color w:val="auto"/>
        </w:rPr>
        <w:t>5.7 years</w:t>
      </w:r>
    </w:p>
    <w:p>
      <w:pPr>
        <w:spacing w:after="0" w:line="59" w:lineRule="exact"/>
        <w:rPr>
          <w:sz w:val="20"/>
          <w:szCs w:val="20"/>
          <w:color w:val="auto"/>
        </w:rPr>
      </w:pPr>
    </w:p>
    <w:p>
      <w:pPr>
        <w:ind w:left="585"/>
        <w:spacing w:after="0"/>
        <w:rPr>
          <w:sz w:val="20"/>
          <w:szCs w:val="20"/>
          <w:color w:val="auto"/>
        </w:rPr>
      </w:pPr>
      <w:r>
        <w:rPr>
          <w:rFonts w:ascii="Arial" w:cs="Arial" w:eastAsia="Arial" w:hAnsi="Arial"/>
          <w:sz w:val="16"/>
          <w:szCs w:val="16"/>
          <w:color w:val="auto"/>
        </w:rPr>
        <w:t>8.6%</w:t>
      </w:r>
    </w:p>
    <w:p>
      <w:pPr>
        <w:spacing w:after="0" w:line="200" w:lineRule="exact"/>
        <w:rPr>
          <w:sz w:val="20"/>
          <w:szCs w:val="20"/>
          <w:color w:val="auto"/>
        </w:rPr>
      </w:pPr>
    </w:p>
    <w:p>
      <w:pPr>
        <w:sectPr>
          <w:pgSz w:w="11900" w:h="16838" w:orient="portrait"/>
          <w:cols w:equalWidth="0" w:num="2">
            <w:col w:w="9255" w:space="720"/>
            <w:col w:w="1445"/>
          </w:cols>
          <w:pgMar w:left="240" w:top="229" w:right="239" w:bottom="652" w:gutter="0" w:footer="0" w:header="0"/>
          <w:type w:val="continuous"/>
        </w:sectPr>
      </w:pP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and other information related to operating leases,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jc w:val="right"/>
              <w:ind w:right="224"/>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660" w:type="dxa"/>
            <w:vAlign w:val="bottom"/>
          </w:tcPr>
          <w:p>
            <w:pPr>
              <w:jc w:val="right"/>
              <w:ind w:right="18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7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September 30, 2019</w:t>
            </w:r>
          </w:p>
        </w:tc>
      </w:tr>
      <w:tr>
        <w:trPr>
          <w:trHeight w:val="204"/>
        </w:trPr>
        <w:tc>
          <w:tcPr>
            <w:tcW w:w="7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00" w:type="dxa"/>
            <w:vAlign w:val="bottom"/>
            <w:gridSpan w:val="3"/>
          </w:tcPr>
          <w:p>
            <w:pPr>
              <w:jc w:val="right"/>
              <w:ind w:right="1383"/>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7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24"/>
        </w:trPr>
        <w:tc>
          <w:tcPr>
            <w:tcW w:w="7540" w:type="dxa"/>
            <w:vAlign w:val="bottom"/>
          </w:tcPr>
          <w:p>
            <w:pPr>
              <w:ind w:left="180"/>
              <w:spacing w:after="0"/>
              <w:rPr>
                <w:sz w:val="20"/>
                <w:szCs w:val="20"/>
                <w:color w:val="auto"/>
              </w:rPr>
            </w:pPr>
            <w:r>
              <w:rPr>
                <w:rFonts w:ascii="Arial" w:cs="Arial" w:eastAsia="Arial" w:hAnsi="Arial"/>
                <w:sz w:val="16"/>
                <w:szCs w:val="16"/>
                <w:color w:val="auto"/>
              </w:rPr>
              <w:t>Operating cash flows from operating leases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44"/>
              <w:spacing w:after="0"/>
              <w:rPr>
                <w:sz w:val="20"/>
                <w:szCs w:val="20"/>
                <w:color w:val="auto"/>
              </w:rPr>
            </w:pPr>
            <w:r>
              <w:rPr>
                <w:rFonts w:ascii="Arial" w:cs="Arial" w:eastAsia="Arial" w:hAnsi="Arial"/>
                <w:sz w:val="16"/>
                <w:szCs w:val="16"/>
                <w:color w:val="auto"/>
              </w:rPr>
              <w:t>1,019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3"/>
              <w:spacing w:after="0"/>
              <w:rPr>
                <w:sz w:val="20"/>
                <w:szCs w:val="20"/>
                <w:color w:val="auto"/>
              </w:rPr>
            </w:pPr>
            <w:r>
              <w:rPr>
                <w:rFonts w:ascii="Arial" w:cs="Arial" w:eastAsia="Arial" w:hAnsi="Arial"/>
                <w:sz w:val="16"/>
                <w:szCs w:val="16"/>
                <w:color w:val="auto"/>
              </w:rPr>
              <w:t>2,613</w:t>
            </w:r>
          </w:p>
        </w:tc>
      </w:tr>
      <w:tr>
        <w:trPr>
          <w:trHeight w:val="47"/>
        </w:trPr>
        <w:tc>
          <w:tcPr>
            <w:tcW w:w="7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324"/>
        </w:trPr>
        <w:tc>
          <w:tcPr>
            <w:tcW w:w="7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24"/>
        </w:trPr>
        <w:tc>
          <w:tcPr>
            <w:tcW w:w="7540" w:type="dxa"/>
            <w:vAlign w:val="bottom"/>
          </w:tcPr>
          <w:p>
            <w:pPr>
              <w:ind w:left="40"/>
              <w:spacing w:after="0"/>
              <w:rPr>
                <w:sz w:val="20"/>
                <w:szCs w:val="20"/>
                <w:color w:val="auto"/>
              </w:rPr>
            </w:pPr>
            <w:r>
              <w:rPr>
                <w:rFonts w:ascii="Arial" w:cs="Arial" w:eastAsia="Arial" w:hAnsi="Arial"/>
                <w:sz w:val="16"/>
                <w:szCs w:val="16"/>
                <w:color w:val="auto"/>
              </w:rPr>
              <w:t>Non-cash investing activities: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7"/>
        </w:trPr>
        <w:tc>
          <w:tcPr>
            <w:tcW w:w="7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7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 liabilities arising from obtaining right-of-use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4,834</w:t>
            </w:r>
          </w:p>
        </w:tc>
      </w:tr>
    </w:tbl>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Undiscounted cash flows of operating lease liabilities as of September 30, 2019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Lease Amounts</w:t>
            </w:r>
          </w:p>
        </w:tc>
      </w:tr>
      <w:tr>
        <w:trPr>
          <w:trHeight w:val="204"/>
        </w:trPr>
        <w:tc>
          <w:tcPr>
            <w:tcW w:w="9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01"/>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9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3"/>
        </w:trPr>
        <w:tc>
          <w:tcPr>
            <w:tcW w:w="9940" w:type="dxa"/>
            <w:vAlign w:val="bottom"/>
          </w:tcPr>
          <w:p>
            <w:pPr>
              <w:ind w:left="180"/>
              <w:spacing w:after="0"/>
              <w:rPr>
                <w:sz w:val="20"/>
                <w:szCs w:val="20"/>
                <w:color w:val="auto"/>
              </w:rPr>
            </w:pPr>
            <w:r>
              <w:rPr>
                <w:rFonts w:ascii="Arial" w:cs="Arial" w:eastAsia="Arial" w:hAnsi="Arial"/>
                <w:sz w:val="16"/>
                <w:szCs w:val="16"/>
                <w:color w:val="auto"/>
              </w:rPr>
              <w:t>2019 (remaining three months)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1,019</w:t>
            </w:r>
          </w:p>
        </w:tc>
      </w:tr>
      <w:tr>
        <w:trPr>
          <w:trHeight w:val="253"/>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2020</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4,137</w:t>
            </w:r>
          </w:p>
        </w:tc>
      </w:tr>
      <w:tr>
        <w:trPr>
          <w:trHeight w:val="233"/>
        </w:trPr>
        <w:tc>
          <w:tcPr>
            <w:tcW w:w="9940" w:type="dxa"/>
            <w:vAlign w:val="bottom"/>
          </w:tcPr>
          <w:p>
            <w:pPr>
              <w:ind w:left="18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4,217</w:t>
            </w:r>
          </w:p>
        </w:tc>
      </w:tr>
      <w:tr>
        <w:trPr>
          <w:trHeight w:val="253"/>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2022</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2,906</w:t>
            </w:r>
          </w:p>
        </w:tc>
      </w:tr>
      <w:tr>
        <w:trPr>
          <w:trHeight w:val="233"/>
        </w:trPr>
        <w:tc>
          <w:tcPr>
            <w:tcW w:w="9940" w:type="dxa"/>
            <w:vAlign w:val="bottom"/>
          </w:tcPr>
          <w:p>
            <w:pPr>
              <w:ind w:left="180"/>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2,169</w:t>
            </w:r>
          </w:p>
        </w:tc>
      </w:tr>
      <w:tr>
        <w:trPr>
          <w:trHeight w:val="246"/>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2024 and thereafter</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1,586</w:t>
            </w:r>
          </w:p>
        </w:tc>
      </w:tr>
      <w:tr>
        <w:trPr>
          <w:trHeight w:val="233"/>
        </w:trPr>
        <w:tc>
          <w:tcPr>
            <w:tcW w:w="9940" w:type="dxa"/>
            <w:vAlign w:val="bottom"/>
          </w:tcPr>
          <w:p>
            <w:pPr>
              <w:ind w:left="280"/>
              <w:spacing w:after="0"/>
              <w:rPr>
                <w:sz w:val="20"/>
                <w:szCs w:val="20"/>
                <w:color w:val="auto"/>
              </w:rPr>
            </w:pPr>
            <w:r>
              <w:rPr>
                <w:rFonts w:ascii="Arial" w:cs="Arial" w:eastAsia="Arial" w:hAnsi="Arial"/>
                <w:sz w:val="16"/>
                <w:szCs w:val="16"/>
                <w:color w:val="auto"/>
              </w:rPr>
              <w:t>Total lease payments</w:t>
            </w:r>
          </w:p>
        </w:tc>
        <w:tc>
          <w:tcPr>
            <w:tcW w:w="1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16,034</w:t>
            </w:r>
          </w:p>
        </w:tc>
      </w:tr>
      <w:tr>
        <w:trPr>
          <w:trHeight w:val="246"/>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imputed lease interest</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(2,699)</w:t>
            </w:r>
          </w:p>
        </w:tc>
      </w:tr>
      <w:tr>
        <w:trPr>
          <w:trHeight w:val="240"/>
        </w:trPr>
        <w:tc>
          <w:tcPr>
            <w:tcW w:w="9940" w:type="dxa"/>
            <w:vAlign w:val="bottom"/>
          </w:tcPr>
          <w:p>
            <w:pPr>
              <w:ind w:left="280"/>
              <w:spacing w:after="0"/>
              <w:rPr>
                <w:sz w:val="20"/>
                <w:szCs w:val="20"/>
                <w:color w:val="auto"/>
              </w:rPr>
            </w:pPr>
            <w:r>
              <w:rPr>
                <w:rFonts w:ascii="Arial" w:cs="Arial" w:eastAsia="Arial" w:hAnsi="Arial"/>
                <w:sz w:val="16"/>
                <w:szCs w:val="16"/>
                <w:color w:val="auto"/>
              </w:rPr>
              <w:t>Total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13,335</w:t>
            </w:r>
          </w:p>
        </w:tc>
      </w:tr>
      <w:tr>
        <w:trPr>
          <w:trHeight w:val="20"/>
        </w:trPr>
        <w:tc>
          <w:tcPr>
            <w:tcW w:w="9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445770</wp:posOffset>
            </wp:positionV>
            <wp:extent cx="70580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29" w:right="239" w:bottom="6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 xml:space="preserve">Enphase Energy, Inc. | Q3 2019 Form 10-Q | </w:t>
      </w:r>
      <w:r>
        <w:rPr>
          <w:rFonts w:ascii="Arial" w:cs="Arial" w:eastAsia="Arial" w:hAnsi="Arial"/>
          <w:sz w:val="10"/>
          <w:szCs w:val="10"/>
          <w:b w:val="1"/>
          <w:bCs w:val="1"/>
          <w:color w:val="828282"/>
        </w:rPr>
        <w:t>18</w:t>
      </w:r>
    </w:p>
    <w:p>
      <w:pPr>
        <w:sectPr>
          <w:pgSz w:w="11900" w:h="16838" w:orient="portrait"/>
          <w:cols w:equalWidth="0" w:num="1">
            <w:col w:w="11420"/>
          </w:cols>
          <w:pgMar w:left="240" w:top="229" w:right="239" w:bottom="652"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i w:val="1"/>
          <w:iCs w:val="1"/>
          <w:color w:val="0000EE"/>
        </w:rPr>
        <w:t>Table of Contents</w:t>
      </w:r>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As previously disclosed in the Company’s Annual Report on Form 10-K and under the previous lease accounting standard ASC 840, “Leases,” the aggregate future minimum lease payments under the Company’s noncancelable operating leases, as of December 31, 2018,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Lease Amounts</w:t>
            </w:r>
          </w:p>
        </w:tc>
      </w:tr>
      <w:tr>
        <w:trPr>
          <w:trHeight w:val="204"/>
        </w:trPr>
        <w:tc>
          <w:tcPr>
            <w:tcW w:w="9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01"/>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9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3"/>
        </w:trPr>
        <w:tc>
          <w:tcPr>
            <w:tcW w:w="9940" w:type="dxa"/>
            <w:vAlign w:val="bottom"/>
          </w:tcPr>
          <w:p>
            <w:pPr>
              <w:ind w:left="180"/>
              <w:spacing w:after="0"/>
              <w:rPr>
                <w:sz w:val="20"/>
                <w:szCs w:val="20"/>
                <w:color w:val="auto"/>
              </w:rPr>
            </w:pPr>
            <w:r>
              <w:rPr>
                <w:rFonts w:ascii="Arial" w:cs="Arial" w:eastAsia="Arial" w:hAnsi="Arial"/>
                <w:sz w:val="16"/>
                <w:szCs w:val="16"/>
                <w:color w:val="auto"/>
              </w:rPr>
              <w:t>2019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3,738</w:t>
            </w:r>
          </w:p>
        </w:tc>
      </w:tr>
      <w:tr>
        <w:trPr>
          <w:trHeight w:val="253"/>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2020</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3,532</w:t>
            </w:r>
          </w:p>
        </w:tc>
      </w:tr>
      <w:tr>
        <w:trPr>
          <w:trHeight w:val="233"/>
        </w:trPr>
        <w:tc>
          <w:tcPr>
            <w:tcW w:w="9940" w:type="dxa"/>
            <w:vAlign w:val="bottom"/>
          </w:tcPr>
          <w:p>
            <w:pPr>
              <w:ind w:left="18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3,276</w:t>
            </w:r>
          </w:p>
        </w:tc>
      </w:tr>
      <w:tr>
        <w:trPr>
          <w:trHeight w:val="253"/>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2022</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1,810</w:t>
            </w:r>
          </w:p>
        </w:tc>
      </w:tr>
      <w:tr>
        <w:trPr>
          <w:trHeight w:val="233"/>
        </w:trPr>
        <w:tc>
          <w:tcPr>
            <w:tcW w:w="9940" w:type="dxa"/>
            <w:vAlign w:val="bottom"/>
          </w:tcPr>
          <w:p>
            <w:pPr>
              <w:ind w:left="180"/>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945</w:t>
            </w:r>
          </w:p>
        </w:tc>
      </w:tr>
      <w:tr>
        <w:trPr>
          <w:trHeight w:val="246"/>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1,252</w:t>
            </w:r>
          </w:p>
        </w:tc>
      </w:tr>
      <w:tr>
        <w:trPr>
          <w:trHeight w:val="233"/>
        </w:trPr>
        <w:tc>
          <w:tcPr>
            <w:tcW w:w="9940" w:type="dxa"/>
            <w:vAlign w:val="bottom"/>
          </w:tcPr>
          <w:p>
            <w:pPr>
              <w:ind w:left="28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14,553</w:t>
            </w:r>
          </w:p>
        </w:tc>
      </w:tr>
      <w:tr>
        <w:trPr>
          <w:trHeight w:val="246"/>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Sublease income to be recognized in the future under noncancelable subleases</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w:t>
            </w:r>
          </w:p>
        </w:tc>
      </w:tr>
      <w:tr>
        <w:trPr>
          <w:trHeight w:val="240"/>
        </w:trPr>
        <w:tc>
          <w:tcPr>
            <w:tcW w:w="9940" w:type="dxa"/>
            <w:vAlign w:val="bottom"/>
          </w:tcPr>
          <w:p>
            <w:pPr>
              <w:ind w:left="40"/>
              <w:spacing w:after="0"/>
              <w:rPr>
                <w:sz w:val="20"/>
                <w:szCs w:val="20"/>
                <w:color w:val="auto"/>
              </w:rPr>
            </w:pPr>
            <w:r>
              <w:rPr>
                <w:rFonts w:ascii="Arial" w:cs="Arial" w:eastAsia="Arial" w:hAnsi="Arial"/>
                <w:sz w:val="16"/>
                <w:szCs w:val="16"/>
                <w:color w:val="auto"/>
              </w:rPr>
              <w:t>Net operating lease minimum payments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13,631</w:t>
            </w:r>
          </w:p>
        </w:tc>
      </w:tr>
      <w:tr>
        <w:trPr>
          <w:trHeight w:val="20"/>
        </w:trPr>
        <w:tc>
          <w:tcPr>
            <w:tcW w:w="9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From time-to-time, the Company may be involved in litigation relating to claims arising out of its operations. The Company is not currently involved in any material legal proceedings; however, the Company may be involved in material legal proceedings in the future. Such matters are subject to uncertainty and there can be no assurance that such legal proceedings will not have a material effect on its business, results of operations, financial position or cash flows.</w:t>
      </w:r>
    </w:p>
    <w:p>
      <w:pPr>
        <w:spacing w:after="0" w:line="236"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Stock-based compensation expense for all stock-based awards expected to vest is measured at fair value on the date of grant and recognized ratably over the requisite service period. The following table summarizes the components of total stock-based compensation expense included in the condensed consolidated statements of operations for the periods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60" w:type="dxa"/>
            <w:vAlign w:val="bottom"/>
            <w:gridSpan w:val="4"/>
          </w:tcPr>
          <w:p>
            <w:pPr>
              <w:jc w:val="right"/>
              <w:ind w:right="222"/>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04"/>
        </w:trPr>
        <w:tc>
          <w:tcPr>
            <w:tcW w:w="5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3"/>
        </w:trPr>
        <w:tc>
          <w:tcPr>
            <w:tcW w:w="5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94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497</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1,114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945</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40" w:type="dxa"/>
            <w:vAlign w:val="bottom"/>
          </w:tcPr>
          <w:p>
            <w:pPr>
              <w:spacing w:after="0"/>
              <w:rPr>
                <w:sz w:val="22"/>
                <w:szCs w:val="22"/>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1,411</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3,255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2,645</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1,541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1,151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3,900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2,509</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940" w:type="dxa"/>
            <w:vAlign w:val="bottom"/>
          </w:tcPr>
          <w:p>
            <w:pPr>
              <w:spacing w:after="0"/>
              <w:rPr>
                <w:sz w:val="22"/>
                <w:szCs w:val="22"/>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1,996</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5,013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3,812</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0"/>
        </w:trPr>
        <w:tc>
          <w:tcPr>
            <w:tcW w:w="5160" w:type="dxa"/>
            <w:vAlign w:val="bottom"/>
          </w:tcPr>
          <w:p>
            <w:pPr>
              <w:ind w:left="380"/>
              <w:spacing w:after="0"/>
              <w:rPr>
                <w:sz w:val="20"/>
                <w:szCs w:val="20"/>
                <w:color w:val="auto"/>
              </w:rPr>
            </w:pPr>
            <w:r>
              <w:rPr>
                <w:rFonts w:ascii="Arial" w:cs="Arial" w:eastAsia="Arial" w:hAnsi="Arial"/>
                <w:sz w:val="16"/>
                <w:szCs w:val="16"/>
                <w:color w:val="auto"/>
              </w:rPr>
              <w:t>Total</w:t>
            </w:r>
          </w:p>
        </w:tc>
        <w:tc>
          <w:tcPr>
            <w:tcW w:w="94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5,776</w:t>
            </w:r>
          </w:p>
        </w:tc>
        <w:tc>
          <w:tcPr>
            <w:tcW w:w="1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4,051</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14,000</w:t>
            </w:r>
          </w:p>
        </w:tc>
        <w:tc>
          <w:tcPr>
            <w:tcW w:w="10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9,911</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445770</wp:posOffset>
            </wp:positionV>
            <wp:extent cx="70580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 xml:space="preserve">Enphase Energy, Inc. | Q3 2019 Form 10-Q | </w:t>
      </w:r>
      <w:r>
        <w:rPr>
          <w:rFonts w:ascii="Arial" w:cs="Arial" w:eastAsia="Arial" w:hAnsi="Arial"/>
          <w:sz w:val="10"/>
          <w:szCs w:val="10"/>
          <w:b w:val="1"/>
          <w:bCs w:val="1"/>
          <w:color w:val="828282"/>
        </w:rPr>
        <w:t>19</w:t>
      </w:r>
    </w:p>
    <w:p>
      <w:pPr>
        <w:sectPr>
          <w:pgSz w:w="11900" w:h="16838" w:orient="portrait"/>
          <w:cols w:equalWidth="0" w:num="1">
            <w:col w:w="11420"/>
          </w:cols>
          <w:pgMar w:left="240" w:top="229"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i w:val="1"/>
          <w:iCs w:val="1"/>
          <w:color w:val="0000EE"/>
        </w:rPr>
        <w:t>Table of Contents</w:t>
      </w:r>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various types of stock-based compensation expense for the periods presented.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60" w:type="dxa"/>
            <w:vAlign w:val="bottom"/>
            <w:gridSpan w:val="4"/>
          </w:tcPr>
          <w:p>
            <w:pPr>
              <w:jc w:val="right"/>
              <w:ind w:right="222"/>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60" w:type="dxa"/>
            <w:vAlign w:val="bottom"/>
            <w:gridSpan w:val="4"/>
          </w:tcPr>
          <w:p>
            <w:pPr>
              <w:jc w:val="right"/>
              <w:ind w:right="78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17"/>
        </w:trPr>
        <w:tc>
          <w:tcPr>
            <w:tcW w:w="5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9"/>
        </w:trPr>
        <w:tc>
          <w:tcPr>
            <w:tcW w:w="5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 RSUs, and PSUs</w:t>
            </w:r>
          </w:p>
        </w:tc>
        <w:tc>
          <w:tcPr>
            <w:tcW w:w="94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5,546</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3,708</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13,528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9,001</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Employee stock purchase plan</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910</w:t>
            </w:r>
          </w:p>
        </w:tc>
      </w:tr>
      <w:tr>
        <w:trPr>
          <w:trHeight w:val="23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5,776</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4,051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14,000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9,911</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As of September 30, 2019, there was approximately $33.6 million of total unrecognized stock-based compensation expense related to unvested equity awards, which are expected to be recognized over a weighted-average period of 2.3 years.</w:t>
      </w:r>
    </w:p>
    <w:p>
      <w:pPr>
        <w:spacing w:after="0" w:line="196"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No income tax benefit has been recognized relating to stock-based compensation expense and no tax benefits have been realized from exercised stock options for the three and nine months ended September 30, 2019.</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Equity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The fair value of each option granted was estimated on the date of grant using the Black-Scholes option-pricing model with the following assumptions:</w:t>
      </w:r>
    </w:p>
    <w:p>
      <w:pPr>
        <w:spacing w:after="0" w:line="178" w:lineRule="exact"/>
        <w:rPr>
          <w:sz w:val="20"/>
          <w:szCs w:val="20"/>
          <w:color w:val="auto"/>
        </w:rPr>
      </w:pPr>
    </w:p>
    <w:p>
      <w:pPr>
        <w:jc w:val="both"/>
        <w:ind w:left="820" w:hanging="326"/>
        <w:spacing w:after="0" w:line="261" w:lineRule="auto"/>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of the option awards represents the period of time between the grant date of the option awards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date the option awards are either exercised, converted or canceled, including an estimate for those option awards still outstanding. The Company used the simplified method, as permitted by the SEC for companies with a limited history of stock option exercise activity, to determine the expected term for its option grants.</w:t>
      </w:r>
    </w:p>
    <w:p>
      <w:pPr>
        <w:spacing w:after="0" w:line="180" w:lineRule="exact"/>
        <w:rPr>
          <w:rFonts w:ascii="Arial" w:cs="Arial" w:eastAsia="Arial" w:hAnsi="Arial"/>
          <w:sz w:val="18"/>
          <w:szCs w:val="18"/>
          <w:i w:val="1"/>
          <w:iCs w:val="1"/>
          <w:color w:val="auto"/>
        </w:rPr>
      </w:pPr>
    </w:p>
    <w:p>
      <w:pPr>
        <w:jc w:val="both"/>
        <w:ind w:left="820" w:hanging="326"/>
        <w:spacing w:after="0" w:line="266" w:lineRule="auto"/>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expected volatility was calculated based on the Company’s historical stock prices, supplemented as</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with historical volatility of the common stock of several peer companies with characteristics similar to those of the Company.</w:t>
      </w:r>
    </w:p>
    <w:p>
      <w:pPr>
        <w:spacing w:after="0" w:line="176" w:lineRule="exact"/>
        <w:rPr>
          <w:rFonts w:ascii="Arial" w:cs="Arial" w:eastAsia="Arial" w:hAnsi="Arial"/>
          <w:sz w:val="18"/>
          <w:szCs w:val="18"/>
          <w:i w:val="1"/>
          <w:iCs w:val="1"/>
          <w:color w:val="auto"/>
        </w:rPr>
      </w:pPr>
    </w:p>
    <w:p>
      <w:pPr>
        <w:ind w:left="820" w:right="20" w:hanging="326"/>
        <w:spacing w:after="0" w:line="282"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was based on the U.S. Treasury yield curve in effect at the time of grant and with a</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that approximated the Company’s expected term.</w:t>
      </w:r>
    </w:p>
    <w:p>
      <w:pPr>
        <w:spacing w:after="0" w:line="161" w:lineRule="exact"/>
        <w:rPr>
          <w:rFonts w:ascii="Arial" w:cs="Arial" w:eastAsia="Arial" w:hAnsi="Arial"/>
          <w:sz w:val="18"/>
          <w:szCs w:val="18"/>
          <w:color w:val="auto"/>
        </w:rPr>
      </w:pPr>
    </w:p>
    <w:p>
      <w:pPr>
        <w:ind w:left="820" w:hanging="326"/>
        <w:spacing w:after="0" w:line="282" w:lineRule="auto"/>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dividend yield was based on the Company’s dividend history and the anticipated dividend payout over its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w:t>
      </w:r>
    </w:p>
    <w:p>
      <w:pPr>
        <w:spacing w:after="0" w:line="180"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following table presents the weighted-average grant date fair value of options granted for the periods presented and the assumptions used to estimate those values using a Black-Scholes option pricing model.</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2540" w:type="dxa"/>
            <w:vAlign w:val="bottom"/>
            <w:gridSpan w:val="4"/>
          </w:tcPr>
          <w:p>
            <w:pPr>
              <w:jc w:val="center"/>
              <w:ind w:left="32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3"/>
          </w:tcPr>
          <w:p>
            <w:pPr>
              <w:jc w:val="center"/>
              <w:ind w:left="542"/>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r>
      <w:tr>
        <w:trPr>
          <w:trHeight w:val="196"/>
        </w:trPr>
        <w:tc>
          <w:tcPr>
            <w:tcW w:w="49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428"/>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center"/>
              <w:ind w:left="582"/>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7"/>
                <w:szCs w:val="17"/>
                <w:color w:val="auto"/>
              </w:rPr>
            </w:pPr>
          </w:p>
        </w:tc>
      </w:tr>
      <w:tr>
        <w:trPr>
          <w:trHeight w:val="264"/>
        </w:trPr>
        <w:tc>
          <w:tcPr>
            <w:tcW w:w="49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r>
      <w:tr>
        <w:trPr>
          <w:trHeight w:val="256"/>
        </w:trPr>
        <w:tc>
          <w:tcPr>
            <w:tcW w:w="5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w:t>
            </w: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9.16</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2.83</w:t>
            </w:r>
          </w:p>
        </w:tc>
      </w:tr>
      <w:tr>
        <w:trPr>
          <w:trHeight w:val="260"/>
        </w:trPr>
        <w:tc>
          <w:tcPr>
            <w:tcW w:w="5880" w:type="dxa"/>
            <w:vAlign w:val="bottom"/>
            <w:gridSpan w:val="2"/>
          </w:tcPr>
          <w:p>
            <w:pPr>
              <w:ind w:left="40"/>
              <w:spacing w:after="0"/>
              <w:rPr>
                <w:sz w:val="20"/>
                <w:szCs w:val="20"/>
                <w:color w:val="auto"/>
              </w:rPr>
            </w:pPr>
            <w:r>
              <w:rPr>
                <w:rFonts w:ascii="Arial" w:cs="Arial" w:eastAsia="Arial" w:hAnsi="Arial"/>
                <w:sz w:val="16"/>
                <w:szCs w:val="16"/>
                <w:color w:val="auto"/>
              </w:rPr>
              <w:t>Expected term (in years)</w:t>
            </w:r>
          </w:p>
        </w:tc>
        <w:tc>
          <w:tcPr>
            <w:tcW w:w="4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222"/>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ind w:right="240"/>
              <w:spacing w:after="0"/>
              <w:rPr>
                <w:sz w:val="20"/>
                <w:szCs w:val="20"/>
                <w:color w:val="auto"/>
              </w:rPr>
            </w:pPr>
            <w:r>
              <w:rPr>
                <w:rFonts w:ascii="Arial" w:cs="Arial" w:eastAsia="Arial" w:hAnsi="Arial"/>
                <w:sz w:val="16"/>
                <w:szCs w:val="16"/>
                <w:color w:val="auto"/>
              </w:rPr>
              <w:t>4.0</w:t>
            </w:r>
          </w:p>
        </w:tc>
      </w:tr>
      <w:tr>
        <w:trPr>
          <w:trHeight w:val="280"/>
        </w:trPr>
        <w:tc>
          <w:tcPr>
            <w:tcW w:w="5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89.1%</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88.5%</w:t>
            </w:r>
          </w:p>
        </w:tc>
      </w:tr>
      <w:tr>
        <w:trPr>
          <w:trHeight w:val="260"/>
        </w:trPr>
        <w:tc>
          <w:tcPr>
            <w:tcW w:w="5880" w:type="dxa"/>
            <w:vAlign w:val="bottom"/>
            <w:gridSpan w:val="2"/>
          </w:tcPr>
          <w:p>
            <w:pPr>
              <w:ind w:left="40"/>
              <w:spacing w:after="0"/>
              <w:rPr>
                <w:sz w:val="20"/>
                <w:szCs w:val="20"/>
                <w:color w:val="auto"/>
              </w:rPr>
            </w:pPr>
            <w:r>
              <w:rPr>
                <w:rFonts w:ascii="Arial" w:cs="Arial" w:eastAsia="Arial" w:hAnsi="Arial"/>
                <w:sz w:val="16"/>
                <w:szCs w:val="16"/>
                <w:color w:val="auto"/>
              </w:rPr>
              <w:t>Annual risk-free rate of return</w:t>
            </w:r>
          </w:p>
        </w:tc>
        <w:tc>
          <w:tcPr>
            <w:tcW w:w="4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82"/>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2.6%</w:t>
            </w:r>
          </w:p>
        </w:tc>
      </w:tr>
      <w:tr>
        <w:trPr>
          <w:trHeight w:val="280"/>
        </w:trPr>
        <w:tc>
          <w:tcPr>
            <w:tcW w:w="5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ind w:right="4220" w:firstLine="8"/>
        <w:spacing w:after="0" w:line="511" w:lineRule="auto"/>
        <w:tabs>
          <w:tab w:leader="none" w:pos="19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No options were granted during the three months ended September 30, 2019 and 2018. Restricted Stock Units</w:t>
      </w:r>
    </w:p>
    <w:p>
      <w:pPr>
        <w:spacing w:after="0" w:line="1"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fair value of the Company’s restricted stock units (“RSU”) awards granted is based upon the closing price of the Company’s stock price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296545</wp:posOffset>
            </wp:positionV>
            <wp:extent cx="70580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29" w:right="239" w:bottom="638"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 xml:space="preserve">Enphase Energy, Inc. | Q3 2019 Form 10-Q | </w:t>
      </w:r>
      <w:r>
        <w:rPr>
          <w:rFonts w:ascii="Arial" w:cs="Arial" w:eastAsia="Arial" w:hAnsi="Arial"/>
          <w:sz w:val="10"/>
          <w:szCs w:val="10"/>
          <w:b w:val="1"/>
          <w:bCs w:val="1"/>
          <w:color w:val="828282"/>
        </w:rPr>
        <w:t>20</w:t>
      </w:r>
    </w:p>
    <w:p>
      <w:pPr>
        <w:sectPr>
          <w:pgSz w:w="11900" w:h="16838" w:orient="portrait"/>
          <w:cols w:equalWidth="0" w:num="1">
            <w:col w:w="11420"/>
          </w:cols>
          <w:pgMar w:left="240" w:top="229" w:right="239" w:bottom="638"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i w:val="1"/>
          <w:iCs w:val="1"/>
          <w:color w:val="0000EE"/>
        </w:rPr>
        <w:t>Table of Contents</w:t>
      </w:r>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fair value of the Company’s non-market performance stock units (“PSU”) awards granted was based upon the closing price of the Company’s stock price on the date of grant. The fair value of awards of the Company’s PSU awards containing market conditions was determined using a Monte Carlo simulation model based upon the terms of the conditions, the expected volatility of the underlying security, and other relevant factors.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stock option activity.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280" w:type="dxa"/>
            <w:vAlign w:val="bottom"/>
          </w:tcPr>
          <w:p>
            <w:pPr>
              <w:jc w:val="center"/>
              <w:ind w:right="123"/>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280" w:type="dxa"/>
            <w:vAlign w:val="bottom"/>
          </w:tcPr>
          <w:p>
            <w:pPr>
              <w:jc w:val="center"/>
              <w:ind w:right="123"/>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4"/>
              </w:rPr>
              <w:t xml:space="preserve">Value </w:t>
            </w:r>
            <w:r>
              <w:rPr>
                <w:rFonts w:ascii="Arial" w:cs="Arial" w:eastAsia="Arial" w:hAnsi="Arial"/>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rPr>
              <w:t>(Years)</w:t>
            </w:r>
          </w:p>
        </w:tc>
        <w:tc>
          <w:tcPr>
            <w:tcW w:w="200" w:type="dxa"/>
            <w:vAlign w:val="bottom"/>
          </w:tcPr>
          <w:p>
            <w:pPr>
              <w:spacing w:after="0"/>
              <w:rPr>
                <w:sz w:val="17"/>
                <w:szCs w:val="17"/>
                <w:color w:val="auto"/>
              </w:rPr>
            </w:pPr>
          </w:p>
        </w:tc>
        <w:tc>
          <w:tcPr>
            <w:tcW w:w="1280" w:type="dxa"/>
            <w:vAlign w:val="bottom"/>
          </w:tcPr>
          <w:p>
            <w:pPr>
              <w:jc w:val="center"/>
              <w:ind w:right="123"/>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2018</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6,772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140" w:type="dxa"/>
            <w:vAlign w:val="bottom"/>
            <w:gridSpan w:val="2"/>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1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21,844</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September 30, 2019</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4,491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90,358</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40"/>
              <w:spacing w:after="0"/>
              <w:rPr>
                <w:sz w:val="20"/>
                <w:szCs w:val="20"/>
                <w:color w:val="auto"/>
              </w:rPr>
            </w:pPr>
            <w:r>
              <w:rPr>
                <w:rFonts w:ascii="Arial" w:cs="Arial" w:eastAsia="Arial" w:hAnsi="Arial"/>
                <w:sz w:val="16"/>
                <w:szCs w:val="16"/>
                <w:color w:val="auto"/>
              </w:rPr>
              <w:t>Vested and expected to vest at September 30, 2019</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40" w:type="dxa"/>
            <w:vAlign w:val="bottom"/>
            <w:tcBorders>
              <w:bottom w:val="single" w:sz="8" w:color="CCEEFF"/>
            </w:tcBorders>
            <w:gridSpan w:val="2"/>
            <w:vMerge w:val="continue"/>
          </w:tcPr>
          <w:p>
            <w:pPr>
              <w:spacing w:after="0"/>
              <w:rPr>
                <w:sz w:val="22"/>
                <w:szCs w:val="22"/>
                <w:color w:val="auto"/>
              </w:rPr>
            </w:pPr>
          </w:p>
        </w:tc>
        <w:tc>
          <w:tcPr>
            <w:tcW w:w="15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4,491</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4.5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90,358</w:t>
            </w:r>
          </w:p>
        </w:tc>
        <w:tc>
          <w:tcPr>
            <w:tcW w:w="0" w:type="dxa"/>
            <w:vAlign w:val="bottom"/>
          </w:tcPr>
          <w:p>
            <w:pPr>
              <w:spacing w:after="0"/>
              <w:rPr>
                <w:sz w:val="1"/>
                <w:szCs w:val="1"/>
                <w:color w:val="auto"/>
              </w:rPr>
            </w:pPr>
          </w:p>
        </w:tc>
      </w:tr>
      <w:tr>
        <w:trPr>
          <w:trHeight w:val="224"/>
        </w:trPr>
        <w:tc>
          <w:tcPr>
            <w:tcW w:w="5140" w:type="dxa"/>
            <w:vAlign w:val="bottom"/>
            <w:tcBorders>
              <w:bottom w:val="single" w:sz="8" w:color="CCEEFF"/>
            </w:tcBorders>
            <w:gridSpan w:val="2"/>
            <w:shd w:val="clear" w:color="auto" w:fill="CCEEFF"/>
          </w:tcPr>
          <w:p>
            <w:pPr>
              <w:ind w:left="40"/>
              <w:spacing w:after="0" w:line="180" w:lineRule="exact"/>
              <w:rPr>
                <w:sz w:val="20"/>
                <w:szCs w:val="20"/>
                <w:color w:val="auto"/>
              </w:rPr>
            </w:pPr>
            <w:r>
              <w:rPr>
                <w:rFonts w:ascii="Arial" w:cs="Arial" w:eastAsia="Arial" w:hAnsi="Arial"/>
                <w:sz w:val="16"/>
                <w:szCs w:val="16"/>
                <w:color w:val="auto"/>
              </w:rPr>
              <w:t>Exercisable at September 30, 2019</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3,085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4.3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61,415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160" w:type="dxa"/>
            <w:vAlign w:val="bottom"/>
            <w:tcBorders>
              <w:bottom w:val="single" w:sz="8" w:color="auto"/>
            </w:tcBorders>
          </w:tcPr>
          <w:p>
            <w:pPr>
              <w:spacing w:after="0"/>
              <w:rPr>
                <w:sz w:val="10"/>
                <w:szCs w:val="10"/>
                <w:color w:val="auto"/>
              </w:rPr>
            </w:pPr>
          </w:p>
        </w:tc>
        <w:tc>
          <w:tcPr>
            <w:tcW w:w="39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left="500" w:hanging="492"/>
        <w:spacing w:after="0" w:line="25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intrinsic value of options exercised is based upon the value of the Company’s stock at exercise. The intrinsic value of options outstanding, vested and expected to vest, and exercisable as of September 30, 2019 is based on the closing price of the Company’s stock fair value on September 30, 2019 or the earlier of the last trading day prior to September 30, 2019, if September 30, 2019 is a non-trading day. The Company’s stock fair value used in this computation was $22.23 per share.</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stock options outstanding at September 30,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743"/>
              <w:spacing w:after="0"/>
              <w:rPr>
                <w:sz w:val="20"/>
                <w:szCs w:val="20"/>
                <w:color w:val="auto"/>
              </w:rPr>
            </w:pPr>
            <w:r>
              <w:rPr>
                <w:rFonts w:ascii="Arial" w:cs="Arial" w:eastAsia="Arial" w:hAnsi="Arial"/>
                <w:sz w:val="14"/>
                <w:szCs w:val="14"/>
                <w:b w:val="1"/>
                <w:bCs w:val="1"/>
                <w:color w:val="auto"/>
              </w:rPr>
              <w:t>Options Exercisable</w:t>
            </w:r>
          </w:p>
        </w:tc>
      </w:tr>
      <w:tr>
        <w:trPr>
          <w:trHeight w:val="175"/>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34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Price</w:t>
            </w:r>
          </w:p>
        </w:tc>
      </w:tr>
      <w:tr>
        <w:trPr>
          <w:trHeight w:val="204"/>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(Years)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6"/>
        </w:trPr>
        <w:tc>
          <w:tcPr>
            <w:tcW w:w="3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70"/>
        </w:trPr>
        <w:tc>
          <w:tcPr>
            <w:tcW w:w="35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rPr>
              <w:t>$0.64 —– $1.11</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848</w:t>
            </w:r>
          </w:p>
        </w:tc>
        <w:tc>
          <w:tcPr>
            <w:tcW w:w="16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5.2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0.82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567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0.78</w:t>
            </w:r>
          </w:p>
        </w:tc>
      </w:tr>
      <w:tr>
        <w:trPr>
          <w:trHeight w:val="260"/>
        </w:trPr>
        <w:tc>
          <w:tcPr>
            <w:tcW w:w="3540" w:type="dxa"/>
            <w:vAlign w:val="bottom"/>
            <w:gridSpan w:val="2"/>
          </w:tcPr>
          <w:p>
            <w:pPr>
              <w:jc w:val="center"/>
              <w:ind w:left="60"/>
              <w:spacing w:after="0"/>
              <w:rPr>
                <w:sz w:val="20"/>
                <w:szCs w:val="20"/>
                <w:color w:val="auto"/>
              </w:rPr>
            </w:pPr>
            <w:r>
              <w:rPr>
                <w:rFonts w:ascii="Arial" w:cs="Arial" w:eastAsia="Arial" w:hAnsi="Arial"/>
                <w:sz w:val="16"/>
                <w:szCs w:val="16"/>
                <w:color w:val="auto"/>
              </w:rPr>
              <w:t>$1.29 —– $1.29</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1,000</w:t>
            </w:r>
          </w:p>
        </w:tc>
        <w:tc>
          <w:tcPr>
            <w:tcW w:w="16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2"/>
                <w:szCs w:val="22"/>
                <w:color w:val="auto"/>
              </w:rPr>
            </w:pPr>
          </w:p>
        </w:tc>
        <w:tc>
          <w:tcPr>
            <w:tcW w:w="1480" w:type="dxa"/>
            <w:vAlign w:val="bottom"/>
          </w:tcPr>
          <w:p>
            <w:pPr>
              <w:jc w:val="right"/>
              <w:ind w:right="43"/>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1.29</w:t>
            </w:r>
          </w:p>
        </w:tc>
      </w:tr>
      <w:tr>
        <w:trPr>
          <w:trHeight w:val="280"/>
        </w:trPr>
        <w:tc>
          <w:tcPr>
            <w:tcW w:w="35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rPr>
              <w:t>$1.31 —– $1.31</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1,601</w:t>
            </w:r>
          </w:p>
        </w:tc>
        <w:tc>
          <w:tcPr>
            <w:tcW w:w="16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4.5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1.31</w:t>
            </w:r>
          </w:p>
        </w:tc>
      </w:tr>
      <w:tr>
        <w:trPr>
          <w:trHeight w:val="260"/>
        </w:trPr>
        <w:tc>
          <w:tcPr>
            <w:tcW w:w="3540" w:type="dxa"/>
            <w:vAlign w:val="bottom"/>
            <w:gridSpan w:val="2"/>
          </w:tcPr>
          <w:p>
            <w:pPr>
              <w:jc w:val="center"/>
              <w:ind w:left="60"/>
              <w:spacing w:after="0"/>
              <w:rPr>
                <w:sz w:val="20"/>
                <w:szCs w:val="20"/>
                <w:color w:val="auto"/>
              </w:rPr>
            </w:pPr>
            <w:r>
              <w:rPr>
                <w:rFonts w:ascii="Arial" w:cs="Arial" w:eastAsia="Arial" w:hAnsi="Arial"/>
                <w:sz w:val="16"/>
                <w:szCs w:val="16"/>
                <w:color w:val="auto"/>
              </w:rPr>
              <w:t>$1.37 —– $7.68</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899</w:t>
            </w:r>
          </w:p>
        </w:tc>
        <w:tc>
          <w:tcPr>
            <w:tcW w:w="16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22"/>
                <w:szCs w:val="22"/>
                <w:color w:val="auto"/>
              </w:rPr>
            </w:pPr>
          </w:p>
        </w:tc>
        <w:tc>
          <w:tcPr>
            <w:tcW w:w="1480" w:type="dxa"/>
            <w:vAlign w:val="bottom"/>
          </w:tcPr>
          <w:p>
            <w:pPr>
              <w:jc w:val="right"/>
              <w:ind w:right="43"/>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4.66</w:t>
            </w:r>
          </w:p>
        </w:tc>
      </w:tr>
      <w:tr>
        <w:trPr>
          <w:trHeight w:val="280"/>
        </w:trPr>
        <w:tc>
          <w:tcPr>
            <w:tcW w:w="35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rPr>
              <w:t>$7.77 —– $14.58</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143</w:t>
            </w:r>
          </w:p>
        </w:tc>
        <w:tc>
          <w:tcPr>
            <w:tcW w:w="16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11.57</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10.82</w:t>
            </w:r>
          </w:p>
        </w:tc>
      </w:tr>
      <w:tr>
        <w:trPr>
          <w:trHeight w:val="234"/>
        </w:trPr>
        <w:tc>
          <w:tcPr>
            <w:tcW w:w="354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w:t>
            </w:r>
          </w:p>
        </w:tc>
        <w:tc>
          <w:tcPr>
            <w:tcW w:w="15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4,491</w:t>
            </w:r>
          </w:p>
        </w:tc>
        <w:tc>
          <w:tcPr>
            <w:tcW w:w="16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3,085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2.32</w:t>
            </w: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445770</wp:posOffset>
            </wp:positionV>
            <wp:extent cx="70580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 xml:space="preserve">Enphase Energy, Inc. | Q3 2019 Form 10-Q | </w:t>
      </w:r>
      <w:r>
        <w:rPr>
          <w:rFonts w:ascii="Arial" w:cs="Arial" w:eastAsia="Arial" w:hAnsi="Arial"/>
          <w:sz w:val="10"/>
          <w:szCs w:val="10"/>
          <w:b w:val="1"/>
          <w:bCs w:val="1"/>
          <w:color w:val="828282"/>
        </w:rPr>
        <w:t>21</w:t>
      </w:r>
    </w:p>
    <w:p>
      <w:pPr>
        <w:sectPr>
          <w:pgSz w:w="11900" w:h="16838" w:orient="portrait"/>
          <w:cols w:equalWidth="0" w:num="1">
            <w:col w:w="11420"/>
          </w:cols>
          <w:pgMar w:left="240" w:top="229"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i w:val="1"/>
          <w:iCs w:val="1"/>
          <w:color w:val="0000EE"/>
        </w:rPr>
        <w:t>Table of Contents</w:t>
      </w:r>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RSU activity.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 Value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 Share at</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b w:val="1"/>
                <w:bCs w:val="1"/>
                <w:color w:val="auto"/>
              </w:rPr>
              <w:t>Intrinsic</w:t>
            </w:r>
          </w:p>
        </w:tc>
      </w:tr>
      <w:tr>
        <w:trPr>
          <w:trHeight w:val="202"/>
        </w:trPr>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4"/>
              </w:rPr>
              <w:t xml:space="preserve">Value </w:t>
            </w:r>
            <w:r>
              <w:rPr>
                <w:rFonts w:ascii="Arial" w:cs="Arial" w:eastAsia="Arial" w:hAnsi="Arial"/>
                <w:sz w:val="17"/>
                <w:szCs w:val="17"/>
                <w:b w:val="1"/>
                <w:bCs w:val="1"/>
                <w:color w:val="auto"/>
                <w:w w:val="94"/>
                <w:vertAlign w:val="superscript"/>
              </w:rPr>
              <w:t>(1)</w:t>
            </w:r>
          </w:p>
        </w:tc>
      </w:tr>
      <w:tr>
        <w:trPr>
          <w:trHeight w:val="198"/>
        </w:trPr>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rPr>
              <w:t>(Years)</w:t>
            </w:r>
          </w:p>
        </w:tc>
        <w:tc>
          <w:tcPr>
            <w:tcW w:w="200" w:type="dxa"/>
            <w:vAlign w:val="bottom"/>
          </w:tcPr>
          <w:p>
            <w:pPr>
              <w:spacing w:after="0"/>
              <w:rPr>
                <w:sz w:val="17"/>
                <w:szCs w:val="17"/>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i w:val="1"/>
                <w:iCs w:val="1"/>
                <w:color w:val="auto"/>
              </w:rPr>
              <w:t>(In thousands)</w:t>
            </w:r>
          </w:p>
        </w:tc>
      </w:tr>
      <w:tr>
        <w:trPr>
          <w:trHeight w:val="66"/>
        </w:trPr>
        <w:tc>
          <w:tcPr>
            <w:tcW w:w="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9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70"/>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Outstanding at December 31, 2018</w:t>
            </w: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4,352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40" w:type="dxa"/>
            <w:vAlign w:val="bottom"/>
          </w:tcPr>
          <w:p>
            <w:pPr>
              <w:spacing w:after="0"/>
              <w:rPr>
                <w:sz w:val="22"/>
                <w:szCs w:val="22"/>
                <w:color w:val="auto"/>
              </w:rPr>
            </w:pPr>
          </w:p>
        </w:tc>
        <w:tc>
          <w:tcPr>
            <w:tcW w:w="5100" w:type="dxa"/>
            <w:vAlign w:val="bottom"/>
            <w:gridSpan w:val="2"/>
          </w:tcPr>
          <w:p>
            <w:pPr>
              <w:ind w:left="2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1,997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10.86</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5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18,853</w:t>
            </w:r>
          </w:p>
        </w:tc>
      </w:tr>
      <w:tr>
        <w:trPr>
          <w:trHeight w:val="264"/>
        </w:trPr>
        <w:tc>
          <w:tcPr>
            <w:tcW w:w="40" w:type="dxa"/>
            <w:vAlign w:val="bottom"/>
            <w:tcBorders>
              <w:bottom w:val="single" w:sz="8" w:color="CCEEFF"/>
            </w:tcBorders>
          </w:tcPr>
          <w:p>
            <w:pPr>
              <w:spacing w:after="0"/>
              <w:rPr>
                <w:sz w:val="22"/>
                <w:szCs w:val="22"/>
                <w:color w:val="auto"/>
              </w:rPr>
            </w:pPr>
          </w:p>
        </w:tc>
        <w:tc>
          <w:tcPr>
            <w:tcW w:w="51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r>
      <w:tr>
        <w:trPr>
          <w:trHeight w:val="24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Outstanding at September 30, 2019</w:t>
            </w:r>
          </w:p>
        </w:tc>
        <w:tc>
          <w:tcPr>
            <w:tcW w:w="1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4,571</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6.60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101,604</w:t>
            </w: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4"/>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Expected to vest at September 30, 2019</w:t>
            </w:r>
          </w:p>
        </w:tc>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4,571</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8"/>
              </w:rPr>
              <w:t>1.3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101,604</w:t>
            </w: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19"/>
        </w:trPr>
        <w:tc>
          <w:tcPr>
            <w:tcW w:w="4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9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r>
    </w:tbl>
    <w:p>
      <w:pPr>
        <w:spacing w:after="0" w:line="121" w:lineRule="exact"/>
        <w:rPr>
          <w:sz w:val="20"/>
          <w:szCs w:val="20"/>
          <w:color w:val="auto"/>
        </w:rPr>
      </w:pPr>
    </w:p>
    <w:p>
      <w:pPr>
        <w:jc w:val="both"/>
        <w:ind w:left="500" w:hanging="492"/>
        <w:spacing w:after="0" w:line="254"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intrinsic value of RSUs vested is based upon the value of the Company’s stock when vested. The intrinsic value of RSUs outstanding and expected to vest as of September 30, 2019 is based on the closing price of the Company’s stock on September 30, 2019 or the earlier of the last trading day prior to September 30, 2019, if September 30, 2019 is a non-trading day. The Company’s stock fair value used in this computation was $22.23 per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PSU activity.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 Value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280" w:type="dxa"/>
            <w:vAlign w:val="bottom"/>
          </w:tcPr>
          <w:p>
            <w:pPr>
              <w:jc w:val="center"/>
              <w:ind w:right="125"/>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 Share at</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280" w:type="dxa"/>
            <w:vAlign w:val="bottom"/>
          </w:tcPr>
          <w:p>
            <w:pPr>
              <w:jc w:val="center"/>
              <w:ind w:right="125"/>
              <w:spacing w:after="0"/>
              <w:rPr>
                <w:sz w:val="20"/>
                <w:szCs w:val="20"/>
                <w:color w:val="auto"/>
              </w:rPr>
            </w:pPr>
            <w:r>
              <w:rPr>
                <w:rFonts w:ascii="Arial" w:cs="Arial" w:eastAsia="Arial" w:hAnsi="Arial"/>
                <w:sz w:val="14"/>
                <w:szCs w:val="14"/>
                <w:b w:val="1"/>
                <w:bCs w:val="1"/>
                <w:color w:val="auto"/>
              </w:rPr>
              <w:t>Intrinsic</w:t>
            </w:r>
          </w:p>
        </w:tc>
      </w:tr>
      <w:tr>
        <w:trPr>
          <w:trHeight w:val="202"/>
        </w:trPr>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4"/>
              </w:rPr>
              <w:t xml:space="preserve">Value </w:t>
            </w:r>
            <w:r>
              <w:rPr>
                <w:rFonts w:ascii="Arial" w:cs="Arial" w:eastAsia="Arial" w:hAnsi="Arial"/>
                <w:sz w:val="17"/>
                <w:szCs w:val="17"/>
                <w:b w:val="1"/>
                <w:bCs w:val="1"/>
                <w:color w:val="auto"/>
                <w:w w:val="94"/>
                <w:vertAlign w:val="superscript"/>
              </w:rPr>
              <w:t>(1)</w:t>
            </w:r>
          </w:p>
        </w:tc>
      </w:tr>
      <w:tr>
        <w:trPr>
          <w:trHeight w:val="198"/>
        </w:trPr>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rPr>
              <w:t>(Years)</w:t>
            </w:r>
          </w:p>
        </w:tc>
        <w:tc>
          <w:tcPr>
            <w:tcW w:w="200" w:type="dxa"/>
            <w:vAlign w:val="bottom"/>
          </w:tcPr>
          <w:p>
            <w:pPr>
              <w:spacing w:after="0"/>
              <w:rPr>
                <w:sz w:val="17"/>
                <w:szCs w:val="17"/>
                <w:color w:val="auto"/>
              </w:rPr>
            </w:pPr>
          </w:p>
        </w:tc>
        <w:tc>
          <w:tcPr>
            <w:tcW w:w="1280" w:type="dxa"/>
            <w:vAlign w:val="bottom"/>
          </w:tcPr>
          <w:p>
            <w:pPr>
              <w:jc w:val="center"/>
              <w:ind w:right="125"/>
              <w:spacing w:after="0"/>
              <w:rPr>
                <w:sz w:val="20"/>
                <w:szCs w:val="20"/>
                <w:color w:val="auto"/>
              </w:rPr>
            </w:pPr>
            <w:r>
              <w:rPr>
                <w:rFonts w:ascii="Arial" w:cs="Arial" w:eastAsia="Arial" w:hAnsi="Arial"/>
                <w:sz w:val="14"/>
                <w:szCs w:val="14"/>
                <w:i w:val="1"/>
                <w:iCs w:val="1"/>
                <w:color w:val="auto"/>
              </w:rPr>
              <w:t>(In thousands)</w:t>
            </w:r>
          </w:p>
        </w:tc>
      </w:tr>
      <w:tr>
        <w:trPr>
          <w:trHeight w:val="66"/>
        </w:trPr>
        <w:tc>
          <w:tcPr>
            <w:tcW w:w="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9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70"/>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Outstanding at December 31, 2018</w:t>
            </w: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1,330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4.66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40" w:type="dxa"/>
            <w:vAlign w:val="bottom"/>
          </w:tcPr>
          <w:p>
            <w:pPr>
              <w:spacing w:after="0"/>
              <w:rPr>
                <w:sz w:val="22"/>
                <w:szCs w:val="22"/>
                <w:color w:val="auto"/>
              </w:rPr>
            </w:pPr>
          </w:p>
        </w:tc>
        <w:tc>
          <w:tcPr>
            <w:tcW w:w="5100" w:type="dxa"/>
            <w:vAlign w:val="bottom"/>
            <w:gridSpan w:val="2"/>
          </w:tcPr>
          <w:p>
            <w:pPr>
              <w:ind w:left="2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5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9,925</w:t>
            </w:r>
          </w:p>
        </w:tc>
      </w:tr>
      <w:tr>
        <w:trPr>
          <w:trHeight w:val="264"/>
        </w:trPr>
        <w:tc>
          <w:tcPr>
            <w:tcW w:w="40" w:type="dxa"/>
            <w:vAlign w:val="bottom"/>
            <w:tcBorders>
              <w:bottom w:val="single" w:sz="8" w:color="CCEEFF"/>
            </w:tcBorders>
          </w:tcPr>
          <w:p>
            <w:pPr>
              <w:spacing w:after="0"/>
              <w:rPr>
                <w:sz w:val="22"/>
                <w:szCs w:val="22"/>
                <w:color w:val="auto"/>
              </w:rPr>
            </w:pPr>
          </w:p>
        </w:tc>
        <w:tc>
          <w:tcPr>
            <w:tcW w:w="51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r>
      <w:tr>
        <w:trPr>
          <w:trHeight w:val="24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Outstanding at September 30, 2019</w:t>
            </w:r>
          </w:p>
        </w:tc>
        <w:tc>
          <w:tcPr>
            <w:tcW w:w="1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992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9.63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22,050</w:t>
            </w: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19"/>
        </w:trPr>
        <w:tc>
          <w:tcPr>
            <w:tcW w:w="4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9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r>
    </w:tbl>
    <w:p>
      <w:pPr>
        <w:spacing w:after="0" w:line="121" w:lineRule="exact"/>
        <w:rPr>
          <w:sz w:val="20"/>
          <w:szCs w:val="20"/>
          <w:color w:val="auto"/>
        </w:rPr>
      </w:pPr>
    </w:p>
    <w:p>
      <w:pPr>
        <w:jc w:val="both"/>
        <w:ind w:left="500" w:hanging="492"/>
        <w:spacing w:after="0" w:line="25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intrinsic value of PSUs vested is based upon the value of the Company’s stock when vested. The intrinsic value of PSUs outstanding and expected to vest as of September 30, 2019 is based on the closing price of the Company’s stock on September 30, 2019 or the earlier of the last trading day prior to September 30, 2019, if September 30, 2019 is a non-trading day. The Company’s stock fair value used in this computation was $22.23 per share.</w:t>
      </w:r>
    </w:p>
    <w:p>
      <w:pPr>
        <w:spacing w:after="0" w:line="236"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used the discrete tax approach in calculating the tax expense for the three and nine months ended September 30, 2019 and 2018 due to the fact that a relatively small change in the Company’s projected pre-tax net income (loss) could result in a volatile effective tax rate. Under the discrete method, the Company determines its tax (expense) benefit based upon actual results as if the interim period was an annual period. The tax provision recorded was primarily related to income taxes attributable to its foreign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301625</wp:posOffset>
            </wp:positionV>
            <wp:extent cx="70580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 xml:space="preserve">Enphase Energy, Inc. | Q3 2019 Form 10-Q | </w:t>
      </w:r>
      <w:r>
        <w:rPr>
          <w:rFonts w:ascii="Arial" w:cs="Arial" w:eastAsia="Arial" w:hAnsi="Arial"/>
          <w:sz w:val="10"/>
          <w:szCs w:val="10"/>
          <w:b w:val="1"/>
          <w:bCs w:val="1"/>
          <w:color w:val="828282"/>
        </w:rPr>
        <w:t>22</w:t>
      </w:r>
    </w:p>
    <w:p>
      <w:pPr>
        <w:sectPr>
          <w:pgSz w:w="11900" w:h="16838" w:orient="portrait"/>
          <w:cols w:equalWidth="0" w:num="1">
            <w:col w:w="11420"/>
          </w:cols>
          <w:pgMar w:left="240" w:top="229"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i w:val="1"/>
          <w:iCs w:val="1"/>
          <w:color w:val="0000EE"/>
        </w:rPr>
        <w:t>Table of Contents</w:t>
      </w:r>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Company intends to continue maintaining a full valuation allowance on its deferred tax assets until there is sufficient evidence to support the reversal of all or some portion of these allowances. If the Company continues to maintain profitability, there is a reasonable possibility that, within the next 12 months, sufficient positive evidence may become available to reach a conclusion that a significant portion, or all, of the valuation allowance will no longer be needed. As such, the Company may release a significant portion, or all, of its valuation allowance against its deferred tax assets within the next 12 months. This release, if any, would result in the recognition of certain deferred tax assets and a decrease to income tax expense for the period such release is recorded.</w:t>
      </w:r>
    </w:p>
    <w:p>
      <w:pPr>
        <w:spacing w:after="0" w:line="133"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Basic net income (loss) per share is computed by dividing net income (loss) by the weighted average number of shares of common stock outstanding during the period. Diluted net income (loss) per share is computed in a similar manner, but it also includes the effect of potential common shares outstanding during the period, when dilutive. Potential common shares include stock options, RSUs, PSUs, shares to be purchased under the Company’s employee stock purchase program (“ESPP”), the Notes due 2023, the Notes due 2024 and warrants issued in conjunction with the Notes due 2024. The dilutive effect of potentially dilutive common shares is reflected in diluted earnings per share by application of the treasury stock method for stock options, RSUs, PSUs, warrants, Notes due 2024 and shares to be purchased under the ESPP, and by application of the if-converted method for the Notes due 2023. To the extent these potential common shares are antidilutive, they are excluded from the calculation of diluted net income (loss) per share.</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computation of basic and diluted net income (loss) per share for the periods presented.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7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4"/>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40" w:type="dxa"/>
            <w:vAlign w:val="bottom"/>
            <w:gridSpan w:val="5"/>
          </w:tcPr>
          <w:p>
            <w:pPr>
              <w:ind w:left="100"/>
              <w:spacing w:after="0"/>
              <w:rPr>
                <w:sz w:val="20"/>
                <w:szCs w:val="20"/>
                <w:color w:val="auto"/>
              </w:rPr>
            </w:pPr>
            <w:r>
              <w:rPr>
                <w:rFonts w:ascii="Arial" w:cs="Arial" w:eastAsia="Arial" w:hAnsi="Arial"/>
                <w:sz w:val="14"/>
                <w:szCs w:val="14"/>
                <w:i w:val="1"/>
                <w:iCs w:val="1"/>
                <w:color w:val="auto"/>
              </w:rPr>
              <w:t>(In thousands, except per share data)</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Numerator:</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31,099</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(3,470)</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44,482</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(12,336)</w:t>
            </w:r>
          </w:p>
        </w:tc>
        <w:tc>
          <w:tcPr>
            <w:tcW w:w="0" w:type="dxa"/>
            <w:vAlign w:val="bottom"/>
          </w:tcPr>
          <w:p>
            <w:pPr>
              <w:spacing w:after="0"/>
              <w:rPr>
                <w:sz w:val="1"/>
                <w:szCs w:val="1"/>
                <w:color w:val="auto"/>
              </w:rPr>
            </w:pPr>
          </w:p>
        </w:tc>
      </w:tr>
      <w:tr>
        <w:trPr>
          <w:trHeight w:val="273"/>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Notes due 2023 interest and financing costs, net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1,046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net income (loss)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31,138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(3,470)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45,528</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(12,336)</w:t>
            </w:r>
          </w:p>
        </w:tc>
        <w:tc>
          <w:tcPr>
            <w:tcW w:w="0" w:type="dxa"/>
            <w:vAlign w:val="bottom"/>
          </w:tcPr>
          <w:p>
            <w:pPr>
              <w:spacing w:after="0"/>
              <w:rPr>
                <w:sz w:val="1"/>
                <w:szCs w:val="1"/>
                <w:color w:val="auto"/>
              </w:rPr>
            </w:pPr>
          </w:p>
        </w:tc>
      </w:tr>
      <w:tr>
        <w:trPr>
          <w:trHeight w:val="308"/>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Denominator:</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used in basic per share amounts: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122,123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102,798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114,720</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97,257</w:t>
            </w:r>
          </w:p>
        </w:tc>
        <w:tc>
          <w:tcPr>
            <w:tcW w:w="0" w:type="dxa"/>
            <w:vAlign w:val="bottom"/>
          </w:tcPr>
          <w:p>
            <w:pPr>
              <w:spacing w:after="0"/>
              <w:rPr>
                <w:sz w:val="1"/>
                <w:szCs w:val="1"/>
                <w:color w:val="auto"/>
              </w:rPr>
            </w:pPr>
          </w:p>
        </w:tc>
      </w:tr>
      <w:tr>
        <w:trPr>
          <w:trHeight w:val="281"/>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Shares used in diluted per share amounts: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122,123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102,798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114,720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97,257</w:t>
            </w:r>
          </w:p>
        </w:tc>
        <w:tc>
          <w:tcPr>
            <w:tcW w:w="0" w:type="dxa"/>
            <w:vAlign w:val="bottom"/>
          </w:tcPr>
          <w:p>
            <w:pPr>
              <w:spacing w:after="0"/>
              <w:rPr>
                <w:sz w:val="1"/>
                <w:szCs w:val="1"/>
                <w:color w:val="auto"/>
              </w:rPr>
            </w:pP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Effect of dilutive securities: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Employee stock-based awards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9,200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8,937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Warrants</w:t>
            </w:r>
          </w:p>
        </w:tc>
        <w:tc>
          <w:tcPr>
            <w:tcW w:w="36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Notes due 2024</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1,288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6"/>
                <w:szCs w:val="16"/>
                <w:color w:val="auto"/>
              </w:rPr>
              <w:t>Notes due 2023</w:t>
            </w:r>
          </w:p>
        </w:tc>
        <w:tc>
          <w:tcPr>
            <w:tcW w:w="36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7,072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51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Weighted average common shares outstanding for diluted</w:t>
            </w: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133,611</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102,798</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131,114</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97,257</w:t>
            </w:r>
          </w:p>
        </w:tc>
        <w:tc>
          <w:tcPr>
            <w:tcW w:w="0" w:type="dxa"/>
            <w:vAlign w:val="bottom"/>
          </w:tcPr>
          <w:p>
            <w:pPr>
              <w:spacing w:after="0"/>
              <w:rPr>
                <w:sz w:val="1"/>
                <w:szCs w:val="1"/>
                <w:color w:val="auto"/>
              </w:rPr>
            </w:pPr>
          </w:p>
        </w:tc>
      </w:tr>
      <w:tr>
        <w:trPr>
          <w:trHeight w:val="198"/>
        </w:trPr>
        <w:tc>
          <w:tcPr>
            <w:tcW w:w="5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calculation</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Basic and diluted net income (loss) per share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 per share, basic</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per share, diluted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445770</wp:posOffset>
            </wp:positionV>
            <wp:extent cx="70580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 xml:space="preserve">Enphase Energy, Inc. | Q3 2019 Form 10-Q | </w:t>
      </w:r>
      <w:r>
        <w:rPr>
          <w:rFonts w:ascii="Arial" w:cs="Arial" w:eastAsia="Arial" w:hAnsi="Arial"/>
          <w:sz w:val="10"/>
          <w:szCs w:val="10"/>
          <w:b w:val="1"/>
          <w:bCs w:val="1"/>
          <w:color w:val="828282"/>
        </w:rPr>
        <w:t>23</w:t>
      </w:r>
    </w:p>
    <w:p>
      <w:pPr>
        <w:sectPr>
          <w:pgSz w:w="11900" w:h="16838" w:orient="portrait"/>
          <w:cols w:equalWidth="0" w:num="1">
            <w:col w:w="11420"/>
          </w:cols>
          <w:pgMar w:left="240" w:top="229"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i w:val="1"/>
          <w:iCs w:val="1"/>
          <w:color w:val="0000EE"/>
        </w:rPr>
        <w:t>Table of Contents</w:t>
      </w:r>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the diluted net income (loss) per share attributable to common stockholders because their effect would have been antidilutive.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70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Three Months Ended</w:t>
            </w:r>
          </w:p>
        </w:tc>
        <w:tc>
          <w:tcPr>
            <w:tcW w:w="2560" w:type="dxa"/>
            <w:vAlign w:val="bottom"/>
            <w:gridSpan w:val="2"/>
          </w:tcPr>
          <w:p>
            <w:pPr>
              <w:jc w:val="center"/>
              <w:ind w:right="42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left="426"/>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61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2019</w:t>
            </w:r>
          </w:p>
        </w:tc>
        <w:tc>
          <w:tcPr>
            <w:tcW w:w="1140" w:type="dxa"/>
            <w:vAlign w:val="bottom"/>
          </w:tcPr>
          <w:p>
            <w:pPr>
              <w:spacing w:after="0"/>
              <w:rPr>
                <w:sz w:val="22"/>
                <w:szCs w:val="22"/>
                <w:color w:val="auto"/>
              </w:rPr>
            </w:pPr>
          </w:p>
        </w:tc>
        <w:tc>
          <w:tcPr>
            <w:tcW w:w="980" w:type="dxa"/>
            <w:vAlign w:val="bottom"/>
          </w:tcPr>
          <w:p>
            <w:pPr>
              <w:jc w:val="right"/>
              <w:ind w:right="50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0" w:type="dxa"/>
            <w:vAlign w:val="bottom"/>
          </w:tcPr>
          <w:p>
            <w:pPr>
              <w:jc w:val="right"/>
              <w:ind w:right="1126"/>
              <w:spacing w:after="0"/>
              <w:rPr>
                <w:sz w:val="20"/>
                <w:szCs w:val="20"/>
                <w:color w:val="auto"/>
              </w:rPr>
            </w:pPr>
            <w:r>
              <w:rPr>
                <w:rFonts w:ascii="Arial" w:cs="Arial" w:eastAsia="Arial" w:hAnsi="Arial"/>
                <w:sz w:val="14"/>
                <w:szCs w:val="14"/>
                <w:b w:val="1"/>
                <w:bCs w:val="1"/>
                <w:color w:val="auto"/>
              </w:rPr>
              <w:t>2019</w:t>
            </w:r>
          </w:p>
        </w:tc>
        <w:tc>
          <w:tcPr>
            <w:tcW w:w="960" w:type="dxa"/>
            <w:vAlign w:val="bottom"/>
          </w:tcPr>
          <w:p>
            <w:pPr>
              <w:jc w:val="right"/>
              <w:ind w:right="503"/>
              <w:spacing w:after="0"/>
              <w:rPr>
                <w:sz w:val="20"/>
                <w:szCs w:val="20"/>
                <w:color w:val="auto"/>
              </w:rPr>
            </w:pPr>
            <w:r>
              <w:rPr>
                <w:rFonts w:ascii="Arial" w:cs="Arial" w:eastAsia="Arial" w:hAnsi="Arial"/>
                <w:sz w:val="14"/>
                <w:szCs w:val="14"/>
                <w:b w:val="1"/>
                <w:bCs w:val="1"/>
                <w:color w:val="auto"/>
              </w:rPr>
              <w:t>2018</w:t>
            </w:r>
          </w:p>
        </w:tc>
      </w:tr>
      <w:tr>
        <w:trPr>
          <w:trHeight w:val="204"/>
        </w:trPr>
        <w:tc>
          <w:tcPr>
            <w:tcW w:w="51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3"/>
          </w:tcPr>
          <w:p>
            <w:pPr>
              <w:ind w:left="560"/>
              <w:spacing w:after="0"/>
              <w:rPr>
                <w:sz w:val="20"/>
                <w:szCs w:val="20"/>
                <w:color w:val="auto"/>
              </w:rPr>
            </w:pPr>
            <w:r>
              <w:rPr>
                <w:rFonts w:ascii="Arial" w:cs="Arial" w:eastAsia="Arial" w:hAnsi="Arial"/>
                <w:sz w:val="14"/>
                <w:szCs w:val="14"/>
                <w:i w:val="1"/>
                <w:iCs w:val="1"/>
                <w:color w:val="auto"/>
              </w:rPr>
              <w:t>(In thousands)</w:t>
            </w:r>
          </w:p>
        </w:tc>
        <w:tc>
          <w:tcPr>
            <w:tcW w:w="16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53"/>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6140" w:type="dxa"/>
            <w:vAlign w:val="bottom"/>
            <w:gridSpan w:val="2"/>
            <w:shd w:val="clear" w:color="auto" w:fill="CCEEFF"/>
          </w:tcPr>
          <w:p>
            <w:pPr>
              <w:jc w:val="right"/>
              <w:ind w:right="3828"/>
              <w:spacing w:after="0"/>
              <w:rPr>
                <w:sz w:val="20"/>
                <w:szCs w:val="20"/>
                <w:color w:val="auto"/>
              </w:rPr>
            </w:pPr>
            <w:r>
              <w:rPr>
                <w:rFonts w:ascii="Arial" w:cs="Arial" w:eastAsia="Arial" w:hAnsi="Arial"/>
                <w:sz w:val="16"/>
                <w:szCs w:val="16"/>
                <w:color w:val="auto"/>
              </w:rPr>
              <w:t>Employee stock-based awards</w:t>
            </w:r>
          </w:p>
        </w:tc>
        <w:tc>
          <w:tcPr>
            <w:tcW w:w="1140" w:type="dxa"/>
            <w:vAlign w:val="bottom"/>
            <w:shd w:val="clear" w:color="auto" w:fill="CCEEFF"/>
          </w:tcPr>
          <w:p>
            <w:pPr>
              <w:jc w:val="right"/>
              <w:ind w:right="663"/>
              <w:spacing w:after="0"/>
              <w:rPr>
                <w:sz w:val="20"/>
                <w:szCs w:val="20"/>
                <w:color w:val="auto"/>
              </w:rPr>
            </w:pPr>
            <w:r>
              <w:rPr>
                <w:rFonts w:ascii="Arial" w:cs="Arial" w:eastAsia="Arial" w:hAnsi="Arial"/>
                <w:sz w:val="16"/>
                <w:szCs w:val="16"/>
                <w:color w:val="auto"/>
              </w:rPr>
              <w:t>11</w:t>
            </w: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13,328</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646"/>
              <w:spacing w:after="0"/>
              <w:rPr>
                <w:sz w:val="20"/>
                <w:szCs w:val="20"/>
                <w:color w:val="auto"/>
              </w:rPr>
            </w:pPr>
            <w:r>
              <w:rPr>
                <w:rFonts w:ascii="Arial" w:cs="Arial" w:eastAsia="Arial" w:hAnsi="Arial"/>
                <w:sz w:val="16"/>
                <w:szCs w:val="16"/>
                <w:color w:val="auto"/>
              </w:rPr>
              <w:t>112</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13,077</w:t>
            </w: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Diluted earnings per shares for the three and nine months ended September 30, 2019 includes the dilutive effect of stock options, RSUs, PSUs, and shares to be purchased under the ESPP, the Notes due 2023, Notes due 2024 and warrants issued in conjunction with the Notes due 2024. Certain common stock issuable under stock options, RSUs and PSUs, have been omitted from the diluted net income per share calculation because including such shares would have been antidilutive.</w:t>
      </w:r>
    </w:p>
    <w:p>
      <w:pPr>
        <w:spacing w:after="0" w:line="20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Since the Company has the intent and ability to settle the aggregate principal amount of the Notes due 2024 in cash and any excess in shares of the Company’s common stock, the Company uses the treasury stock method for calculating any potential dilutive effect of the conversion spread on diluted net income per share, if applicable. In order to compute the dilutive effect, the number of shares included in the denominator of diluted net income per share is determined by dividing the conversion spread value of the “in-the-money” Notes due 2024 by the Company’s average share price during the period and including the resulting share amount in the diluted net income per share denominator. The conversion spread will have a dilutive impact on net income per share of common stock when the average market price of the Company’s common stock for a given period exceeds the conversion price of $20.5010 per share for the Notes due 2024. The Company’s weighted average common stock price since the issuance of the Notes due 2024 was above the conversion price, resulting in an impact on the diluted net income per share.</w:t>
      </w:r>
    </w:p>
    <w:p>
      <w:pPr>
        <w:spacing w:after="0" w:line="213"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Diluted earnings per shares for the three and nine months ended September 30, 2018, excludes potential common stock issuable under stock options, RSUs, PSUs, and shares to be purchased under the ESPP and the Notes due 2023, as the Company incurred a net loss during these periods and including such shares would have been antidilutive.</w:t>
      </w:r>
    </w:p>
    <w:p>
      <w:pPr>
        <w:spacing w:after="0" w:line="234"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Company sells products to SunPower under the August 2018 MSA, which as of September 30, 2019 and December 31, 2018 via its wholly owned subsidiary, held 6.5 million shares and 7.5 million shares, respectively, of the Company’s common stock. Revenue recognized under the MSA for the three and nine months ended September 30, 2019 was $29.5 million and $50.7 million, respectively, net of amortization of the customer relationship intangible asset (see Note 4. “Goodwill and Intangible Assets”). At September 30, 2019 and December 31, 2018, the Company had accounts receivable of $24.7 million and $10.3 million, respectively, from SunPower.</w:t>
      </w:r>
    </w:p>
    <w:p>
      <w:pPr>
        <w:spacing w:after="0" w:line="20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2018, a member of the Company’s board of directors and one of its principal stockholders, Thurman John Rodgers, purchased $5.0 million aggregate principal amount of the Notes due 2023 in a concurrent private placement. As of both September 30, 2019 and December 31, 2018, $5.0 million aggregate principal amount of the Notes due 2023 were outstanding. See Note 8. “Debt” for additional information related to this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301625</wp:posOffset>
            </wp:positionV>
            <wp:extent cx="70580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24</w:t>
      </w:r>
    </w:p>
    <w:p>
      <w:pPr>
        <w:sectPr>
          <w:pgSz w:w="11900" w:h="16838" w:orient="portrait"/>
          <w:cols w:equalWidth="0" w:num="1">
            <w:col w:w="11420"/>
          </w:cols>
          <w:pgMar w:left="240" w:top="229" w:right="239" w:bottom="1440" w:gutter="0" w:footer="0" w:header="0"/>
        </w:sectPr>
      </w:pPr>
    </w:p>
    <w:bookmarkStart w:id="26" w:name="page27"/>
    <w:bookmarkEnd w:id="26"/>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our condensed consolidated financial statements and related notes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Such statements, include but are not limited to statements regarding our expectations as to future financial performance, expense levels, liquidity sources, the capabilities and performance of our technology and products and planned changes, timing of new product releases, our business strategies, including anticipated trends, growth and developments in markets in which we target, the anticipated market adoption of our current and future products, performance in operations, including component supply management, product quality and customer service, and the anticipated benefits and risks relating to the transaction with SunPower Corporation.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fiscal year ended December 31, 2018.</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2019 Highlights</w:t>
      </w:r>
    </w:p>
    <w:p>
      <w:pPr>
        <w:spacing w:after="0" w:line="13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are a global energy technology company. We deliver smart, easy-to-use solutions that connect solar generation, storage and management on one intelligent platform. We revolutionized the solar industry with our microinverter technology, and we produce a fully-integrated solar plus storage solution. We have shipped more than 23 million microinverters, and more than 997,000 Enphase residential and commercial systems have been deployed in 130 countries.</w:t>
      </w:r>
    </w:p>
    <w:p>
      <w:pPr>
        <w:spacing w:after="0" w:line="96"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We sell our solutions primarily to distributors who resell them to solar installers. We also sell directly to large installers, original equipment manufacturers (“OEMs”), strategic partners and homeowners. We anticipate that our revenue for the second half of 2019 to be positively impacted by the scheduled phase-down of the investment tax credit for solar projects under Section 48(a) (the “ITC”) of the Internal Revenue Code of 1986, as amended (the “Code”). The current ITC percentage is 30%, and the ITC percentage is scheduled to decrease to 26% of the basis of a solar energy system that begins construction during 2020, 22% for 2021, and zero for residential and 10% for commercial if construction begins after 2021 or if the solar energy system is placed into service after 2023. As a result, several of our customers are currently exploring opportunities to purchase products in 2019 to take advantage of safe harbor guidance from the IRS published in June 2018, allowing them to preserve the current 30% investment tax credit for solar equipment purchased in 2019 for solar projects that are completed after December 31, 2019. We anticipate that these safe harbor purchases will positively affect our revenues in the second half of 2019.</w:t>
      </w:r>
    </w:p>
    <w:p>
      <w:pPr>
        <w:spacing w:after="0" w:line="213"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On January 28, 2019, we repaid in full the remaining principal amount of the Term Loans of approximately $39.5 million plus accrued interest and fees owed to lenders affiliated with Tennenbaum Capital Partners, LLC.</w:t>
      </w:r>
    </w:p>
    <w:p>
      <w:pPr>
        <w:spacing w:after="0" w:line="19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On May 30, 2019, we entered into separately and privately negotiated transactions with certain holders of our 4.0% Convertible Senior Notes due 2023 (“Notes due 2023”) resulting in the repurchase and exchange, as of June 5, 2019, of $60.0 million aggregate principal amount of the notes in consideration for the issuance of 10,801,080 shares of common stock and separate cash payments totaling $6.0 million.</w:t>
      </w:r>
    </w:p>
    <w:p>
      <w:pPr>
        <w:spacing w:after="0" w:line="20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On June 5, 2019, we issued $132.0 million aggregate principal amount of our 1.0% Convertible Senior Notes due 2024 (the “Notes due 2024”) in a private placement. The Notes due 2024 are general unsecured obligations and bear interest at a rate of 1.0% per year, payable semi-annually on June 1 and December 1 of each year, beginning on December 1, 2019. The Notes due 2024 will mature on June 1, 2024, unless earlier repurchased by us or converted at the option of the holders. Further information relating to the Notes due 2024 may be found in Note 8, “Debt,” of the notes to condensed consolidated financial statements included in Part I, Item 1 of this Form 10-Q and below under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304800</wp:posOffset>
            </wp:positionV>
            <wp:extent cx="70580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25</w:t>
      </w:r>
    </w:p>
    <w:p>
      <w:pPr>
        <w:sectPr>
          <w:pgSz w:w="11900" w:h="16838" w:orient="portrait"/>
          <w:cols w:equalWidth="0" w:num="1">
            <w:col w:w="11420"/>
          </w:cols>
          <w:pgMar w:left="240" w:top="283" w:right="239" w:bottom="1440" w:gutter="0" w:footer="0" w:header="0"/>
        </w:sectPr>
      </w:pPr>
    </w:p>
    <w:bookmarkStart w:id="27" w:name="page28"/>
    <w:bookmarkEnd w:id="27"/>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Enphase IQ Microinverter System</w:t>
      </w:r>
    </w:p>
    <w:p>
      <w:pPr>
        <w:spacing w:after="0" w:line="2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Enphase IQ™ microinverter is a key component of the Enphase Home Energy Solution™, which can also include our Envoy™ Communications Gateway with IQ Combiner+, Enphase Enlighten™, a cloud-based energy management platform, and our Enphase AC Battery™. System owners can use Enphase Enlighten to monitor their home’s solar generation, energy storage and consumption from any web-enabled device.</w:t>
      </w:r>
    </w:p>
    <w:p>
      <w:pPr>
        <w:spacing w:after="0" w:line="204"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The Enphase IQ 7 Micro™ and Enphase IQ 7+ Micro™, part of our seventh-generation IQ product family, support high-powered 60-cell and 72-cell solar modules and integrate with alternating current (“AC”) modules.</w:t>
      </w:r>
    </w:p>
    <w:p>
      <w:pPr>
        <w:spacing w:after="0" w:line="19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IQ 7X™ product addresses 96-cell photovoltaic (“PV”) modules up to 400W direct current (“DC”) and with its 97.5 percent California Energy Commission (“CEC”) efficiency rating, is ideal for integration into high power modules. In the third quarter of 2019, we shipped significant volumes of IQ 7AS™ microinverters to SunPower, which is expected to integrate our IQ 7AS into its 66-cell Next Generation Technology (“NGT”) DC modules.</w:t>
      </w:r>
    </w:p>
    <w:p>
      <w:pPr>
        <w:spacing w:after="0" w:line="204"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During the third quarter of 2019, we introduced the Enphase IQ Combiner 3C™, an important component of the Enphase Home Energy Solution with IQ, designed to provide an uninterrupted connectivity to the Enphase Enlighten™ monitoring and service platform.</w:t>
      </w:r>
    </w:p>
    <w:p>
      <w:pPr>
        <w:spacing w:after="0" w:line="19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November 2019, we plan to begin shipping to customers in North America our IQ™ 7A microinverters for solar modules up to 450 W, targeting high-power residential and commercial applications. Our customers should be able to pair the IQ 7A microinverter with monofacial or bifacial solar modules, up to 450 W, from solar module manufacturers who are expected to introduce high-power variants of their products in the next three years.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IQ 8™ system is based upon our grid-agnostic “always on” technology called Ensemble™. This system has five components:</w:t>
      </w:r>
    </w:p>
    <w:p>
      <w:pPr>
        <w:spacing w:after="0" w:line="9" w:lineRule="exact"/>
        <w:rPr>
          <w:sz w:val="20"/>
          <w:szCs w:val="20"/>
          <w:color w:val="auto"/>
        </w:rPr>
      </w:pPr>
    </w:p>
    <w:p>
      <w:pPr>
        <w:jc w:val="both"/>
        <w:ind w:firstLine="8"/>
        <w:spacing w:after="0" w:line="254" w:lineRule="auto"/>
        <w:tabs>
          <w:tab w:leader="none" w:pos="2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energy generation, which is accomplished with the grid-agnostic microinverter IQ 8; 2) energy storage, which is achieved by the Encharge™ battery with capacities of 3.3 kWh and 10 kWh; 3) an automatic transfer switch called Enpower™; 4) communication and control via the combiner box with the Envoy gateway; and 5) Enlighten, which is the internet of things, or IoT, cloud software. We anticipate introducing Ensemble in a phased manner starting in the fourth quarter of 2019.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7"/>
                <w:szCs w:val="17"/>
                <w:color w:val="auto"/>
              </w:rPr>
            </w:pPr>
          </w:p>
        </w:tc>
        <w:tc>
          <w:tcPr>
            <w:tcW w:w="1340" w:type="dxa"/>
            <w:vAlign w:val="bottom"/>
          </w:tcPr>
          <w:p>
            <w:pPr>
              <w:jc w:val="right"/>
              <w:ind w:right="25"/>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7"/>
                <w:szCs w:val="17"/>
                <w:color w:val="auto"/>
              </w:rPr>
            </w:pPr>
          </w:p>
        </w:tc>
      </w:tr>
      <w:tr>
        <w:trPr>
          <w:trHeight w:val="264"/>
        </w:trPr>
        <w:tc>
          <w:tcPr>
            <w:tcW w:w="18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r>
      <w:tr>
        <w:trPr>
          <w:trHeight w:val="173"/>
        </w:trPr>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5"/>
          </w:tcPr>
          <w:p>
            <w:pPr>
              <w:jc w:val="right"/>
              <w:ind w:right="66"/>
              <w:spacing w:after="0"/>
              <w:rPr>
                <w:sz w:val="20"/>
                <w:szCs w:val="20"/>
                <w:color w:val="auto"/>
              </w:rPr>
            </w:pPr>
            <w:r>
              <w:rPr>
                <w:rFonts w:ascii="Arial" w:cs="Arial" w:eastAsia="Arial" w:hAnsi="Arial"/>
                <w:sz w:val="13"/>
                <w:szCs w:val="13"/>
                <w:i w:val="1"/>
                <w:iCs w:val="1"/>
                <w:color w:val="auto"/>
              </w:rPr>
              <w:t>(In thousands, except percentages)</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84"/>
        </w:trPr>
        <w:tc>
          <w:tcPr>
            <w:tcW w:w="1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270"/>
        </w:trPr>
        <w:tc>
          <w:tcPr>
            <w:tcW w:w="1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180,057</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78,002</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548"/>
              <w:spacing w:after="0"/>
              <w:rPr>
                <w:sz w:val="20"/>
                <w:szCs w:val="20"/>
                <w:color w:val="auto"/>
              </w:rPr>
            </w:pPr>
            <w:r>
              <w:rPr>
                <w:rFonts w:ascii="Arial" w:cs="Arial" w:eastAsia="Arial" w:hAnsi="Arial"/>
                <w:sz w:val="16"/>
                <w:szCs w:val="16"/>
                <w:color w:val="auto"/>
              </w:rPr>
              <w:t>$   102,055</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131%  $</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414,301</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223,870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rPr>
              <w:t>190,431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2019 and 2018</w:t>
      </w:r>
    </w:p>
    <w:p>
      <w:pPr>
        <w:spacing w:after="0" w:line="24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Net revenues increased by 131% for the three months ended September 30, 2019, as compared to the same period in 2018, primarily due to higher unit volume. We sold approximately 1,796,000 microinverter units in the three months ended September 30, 2019, as compared to approximately 665,000 units in the same period in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2019 and 2018</w:t>
      </w:r>
    </w:p>
    <w:p>
      <w:pPr>
        <w:spacing w:after="0" w:line="24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Net revenues increased by 85% for the nine months ended September 30, 2019, as compared to the same period in 2018, primarily due to higher unit volume. We sold approximately 4,056,000 microinverter units in the nine months ended September 30, 2019, as compared to approximately 1,952,000 units in the same period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300355</wp:posOffset>
            </wp:positionV>
            <wp:extent cx="70580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26</w:t>
      </w:r>
    </w:p>
    <w:p>
      <w:pPr>
        <w:sectPr>
          <w:pgSz w:w="11900" w:h="16838" w:orient="portrait"/>
          <w:cols w:equalWidth="0" w:num="1">
            <w:col w:w="11420"/>
          </w:cols>
          <w:pgMar w:left="240" w:top="283" w:right="239" w:bottom="1440" w:gutter="0" w:footer="0" w:header="0"/>
        </w:sectPr>
      </w:pPr>
    </w:p>
    <w:bookmarkStart w:id="28" w:name="page29"/>
    <w:bookmarkEnd w:id="28"/>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26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6"/>
        </w:trPr>
        <w:tc>
          <w:tcPr>
            <w:tcW w:w="1640" w:type="dxa"/>
            <w:vAlign w:val="bottom"/>
          </w:tcPr>
          <w:p>
            <w:pPr>
              <w:spacing w:after="0"/>
              <w:rPr>
                <w:sz w:val="17"/>
                <w:szCs w:val="17"/>
                <w:color w:val="auto"/>
              </w:rPr>
            </w:pPr>
          </w:p>
        </w:tc>
        <w:tc>
          <w:tcPr>
            <w:tcW w:w="26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7"/>
                <w:szCs w:val="17"/>
                <w:color w:val="auto"/>
              </w:rPr>
            </w:pPr>
          </w:p>
        </w:tc>
      </w:tr>
      <w:tr>
        <w:trPr>
          <w:trHeight w:val="264"/>
        </w:trPr>
        <w:tc>
          <w:tcPr>
            <w:tcW w:w="164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846"/>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883"/>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w:t>
            </w:r>
          </w:p>
        </w:tc>
      </w:tr>
      <w:tr>
        <w:trPr>
          <w:trHeight w:val="173"/>
        </w:trPr>
        <w:tc>
          <w:tcPr>
            <w:tcW w:w="1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40" w:type="dxa"/>
            <w:vAlign w:val="bottom"/>
            <w:gridSpan w:val="5"/>
          </w:tcPr>
          <w:p>
            <w:pPr>
              <w:jc w:val="right"/>
              <w:ind w:right="103"/>
              <w:spacing w:after="0"/>
              <w:rPr>
                <w:sz w:val="20"/>
                <w:szCs w:val="20"/>
                <w:color w:val="auto"/>
              </w:rPr>
            </w:pPr>
            <w:r>
              <w:rPr>
                <w:rFonts w:ascii="Arial" w:cs="Arial" w:eastAsia="Arial" w:hAnsi="Arial"/>
                <w:sz w:val="13"/>
                <w:szCs w:val="13"/>
                <w:i w:val="1"/>
                <w:iCs w:val="1"/>
                <w:color w:val="auto"/>
              </w:rPr>
              <w:t>(In thousands, except percentages)</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84"/>
        </w:trPr>
        <w:tc>
          <w:tcPr>
            <w:tcW w:w="1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70"/>
        </w:trPr>
        <w:tc>
          <w:tcPr>
            <w:tcW w:w="1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120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   115,351</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52,738</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506"/>
              <w:spacing w:after="0"/>
              <w:rPr>
                <w:sz w:val="20"/>
                <w:szCs w:val="20"/>
                <w:color w:val="auto"/>
              </w:rPr>
            </w:pPr>
            <w:r>
              <w:rPr>
                <w:rFonts w:ascii="Arial" w:cs="Arial" w:eastAsia="Arial" w:hAnsi="Arial"/>
                <w:sz w:val="16"/>
                <w:szCs w:val="16"/>
                <w:color w:val="auto"/>
              </w:rPr>
              <w:t>$   62,613</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270,937</w:t>
            </w:r>
          </w:p>
        </w:tc>
        <w:tc>
          <w:tcPr>
            <w:tcW w:w="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157,589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63"/>
              <w:spacing w:after="0"/>
              <w:rPr>
                <w:sz w:val="20"/>
                <w:szCs w:val="20"/>
                <w:color w:val="auto"/>
              </w:rPr>
            </w:pPr>
            <w:r>
              <w:rPr>
                <w:rFonts w:ascii="Arial" w:cs="Arial" w:eastAsia="Arial" w:hAnsi="Arial"/>
                <w:sz w:val="16"/>
                <w:szCs w:val="16"/>
                <w:color w:val="auto"/>
              </w:rPr>
              <w:t>113,348</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60"/>
        </w:trPr>
        <w:tc>
          <w:tcPr>
            <w:tcW w:w="164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200" w:type="dxa"/>
            <w:vAlign w:val="bottom"/>
          </w:tcPr>
          <w:p>
            <w:pPr>
              <w:jc w:val="right"/>
              <w:ind w:right="143"/>
              <w:spacing w:after="0"/>
              <w:rPr>
                <w:sz w:val="20"/>
                <w:szCs w:val="20"/>
                <w:color w:val="auto"/>
              </w:rPr>
            </w:pPr>
            <w:r>
              <w:rPr>
                <w:rFonts w:ascii="Arial" w:cs="Arial" w:eastAsia="Arial" w:hAnsi="Arial"/>
                <w:sz w:val="16"/>
                <w:szCs w:val="16"/>
                <w:color w:val="auto"/>
              </w:rPr>
              <w:t>64,706</w:t>
            </w:r>
          </w:p>
        </w:tc>
        <w:tc>
          <w:tcPr>
            <w:tcW w:w="340" w:type="dxa"/>
            <w:vAlign w:val="bottom"/>
          </w:tcPr>
          <w:p>
            <w:pPr>
              <w:spacing w:after="0"/>
              <w:rPr>
                <w:sz w:val="22"/>
                <w:szCs w:val="22"/>
                <w:color w:val="auto"/>
              </w:rPr>
            </w:pPr>
          </w:p>
        </w:tc>
        <w:tc>
          <w:tcPr>
            <w:tcW w:w="980" w:type="dxa"/>
            <w:vAlign w:val="bottom"/>
          </w:tcPr>
          <w:p>
            <w:pPr>
              <w:jc w:val="right"/>
              <w:ind w:right="221"/>
              <w:spacing w:after="0"/>
              <w:rPr>
                <w:sz w:val="20"/>
                <w:szCs w:val="20"/>
                <w:color w:val="auto"/>
              </w:rPr>
            </w:pPr>
            <w:r>
              <w:rPr>
                <w:rFonts w:ascii="Arial" w:cs="Arial" w:eastAsia="Arial" w:hAnsi="Arial"/>
                <w:sz w:val="16"/>
                <w:szCs w:val="16"/>
                <w:color w:val="auto"/>
              </w:rPr>
              <w:t>25,264</w:t>
            </w:r>
          </w:p>
        </w:tc>
        <w:tc>
          <w:tcPr>
            <w:tcW w:w="120" w:type="dxa"/>
            <w:vAlign w:val="bottom"/>
          </w:tcPr>
          <w:p>
            <w:pPr>
              <w:spacing w:after="0"/>
              <w:rPr>
                <w:sz w:val="22"/>
                <w:szCs w:val="22"/>
                <w:color w:val="auto"/>
              </w:rPr>
            </w:pPr>
          </w:p>
        </w:tc>
        <w:tc>
          <w:tcPr>
            <w:tcW w:w="1440" w:type="dxa"/>
            <w:vAlign w:val="bottom"/>
          </w:tcPr>
          <w:p>
            <w:pPr>
              <w:jc w:val="right"/>
              <w:ind w:right="506"/>
              <w:spacing w:after="0"/>
              <w:rPr>
                <w:sz w:val="20"/>
                <w:szCs w:val="20"/>
                <w:color w:val="auto"/>
              </w:rPr>
            </w:pPr>
            <w:r>
              <w:rPr>
                <w:rFonts w:ascii="Arial" w:cs="Arial" w:eastAsia="Arial" w:hAnsi="Arial"/>
                <w:sz w:val="16"/>
                <w:szCs w:val="16"/>
                <w:color w:val="auto"/>
              </w:rPr>
              <w:t>39,442</w:t>
            </w:r>
          </w:p>
        </w:tc>
        <w:tc>
          <w:tcPr>
            <w:tcW w:w="60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223"/>
              <w:spacing w:after="0"/>
              <w:rPr>
                <w:sz w:val="20"/>
                <w:szCs w:val="20"/>
                <w:color w:val="auto"/>
              </w:rPr>
            </w:pPr>
            <w:r>
              <w:rPr>
                <w:rFonts w:ascii="Arial" w:cs="Arial" w:eastAsia="Arial" w:hAnsi="Arial"/>
                <w:sz w:val="16"/>
                <w:szCs w:val="16"/>
                <w:color w:val="auto"/>
              </w:rPr>
              <w:t>143,364</w:t>
            </w:r>
          </w:p>
        </w:tc>
        <w:tc>
          <w:tcPr>
            <w:tcW w:w="380" w:type="dxa"/>
            <w:vAlign w:val="bottom"/>
          </w:tcPr>
          <w:p>
            <w:pPr>
              <w:spacing w:after="0"/>
              <w:rPr>
                <w:sz w:val="22"/>
                <w:szCs w:val="22"/>
                <w:color w:val="auto"/>
              </w:rPr>
            </w:pPr>
          </w:p>
        </w:tc>
        <w:tc>
          <w:tcPr>
            <w:tcW w:w="1040" w:type="dxa"/>
            <w:vAlign w:val="bottom"/>
          </w:tcPr>
          <w:p>
            <w:pPr>
              <w:jc w:val="right"/>
              <w:ind w:right="241"/>
              <w:spacing w:after="0"/>
              <w:rPr>
                <w:sz w:val="20"/>
                <w:szCs w:val="20"/>
                <w:color w:val="auto"/>
              </w:rPr>
            </w:pPr>
            <w:r>
              <w:rPr>
                <w:rFonts w:ascii="Arial" w:cs="Arial" w:eastAsia="Arial" w:hAnsi="Arial"/>
                <w:sz w:val="16"/>
                <w:szCs w:val="16"/>
                <w:color w:val="auto"/>
              </w:rPr>
              <w:t>66,281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jc w:val="right"/>
              <w:ind w:right="463"/>
              <w:spacing w:after="0"/>
              <w:rPr>
                <w:sz w:val="20"/>
                <w:szCs w:val="20"/>
                <w:color w:val="auto"/>
              </w:rPr>
            </w:pPr>
            <w:r>
              <w:rPr>
                <w:rFonts w:ascii="Arial" w:cs="Arial" w:eastAsia="Arial" w:hAnsi="Arial"/>
                <w:sz w:val="16"/>
                <w:szCs w:val="16"/>
                <w:color w:val="auto"/>
              </w:rPr>
              <w:t>77,083</w:t>
            </w:r>
          </w:p>
        </w:tc>
        <w:tc>
          <w:tcPr>
            <w:tcW w:w="64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80"/>
        </w:trPr>
        <w:tc>
          <w:tcPr>
            <w:tcW w:w="1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35.9%</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34.6%</w:t>
            </w: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2019 and 2018</w:t>
      </w:r>
    </w:p>
    <w:p>
      <w:pPr>
        <w:spacing w:after="0" w:line="24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Cost of revenues increased by 119% for the three months ended September 30, 2019, as compared to the same period in 2018, primarily due to higher volume of microinverter units sold and expedited freight costs, partially offset by a decrease in the cost of our products as a result of our cost reduction efforts. Gross margin increased by 3.5 percentage points for the three months ended September 30, 2019, as compared to the same period in 2018. The increase in gross margin was primarily attributable to higher product margins as a result our IQ 7 family of microinverters, which has a lower cost than previous models of microinverters, as well as our overall pricing and cost management efforts. IQ 7 sales represent 99% of our total microinverter sales for the three months ended September 30, 2019, as compared to 78% of our total microinverter sales in in the same period in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2019 and 2018</w:t>
      </w:r>
    </w:p>
    <w:p>
      <w:pPr>
        <w:spacing w:after="0" w:line="24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Cost of revenues increased by 72% for the nine months ended September 30, 2019, as compared to the same period in 2018, primarily due to higher volume of microinverter units sold and expedited freight costs, partially offset by a decrease in the cost of our products as a result of our cost reduction efforts. Gross margin increased by 5.0 percentage points for the nine months ended September 30, 2019, as compared to the same period in 2018. The increase in gross margin was primarily attributable to higher product margins as a result our IQ 7 family of microinverters, which has a lower cost than previous models of microinverters, as well as our overall pricing and cost management efforts. IQ 7 sales represent 97% of our total microinverter sales for the nine months ended September 30, 2019, as compared to 37% of our total microinverter sales in in the same period in 2018.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4"/>
          </w:tcPr>
          <w:p>
            <w:pPr>
              <w:ind w:left="44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7"/>
                <w:szCs w:val="17"/>
                <w:color w:val="auto"/>
              </w:rPr>
            </w:pPr>
          </w:p>
        </w:tc>
        <w:tc>
          <w:tcPr>
            <w:tcW w:w="1300" w:type="dxa"/>
            <w:vAlign w:val="bottom"/>
          </w:tcPr>
          <w:p>
            <w:pPr>
              <w:jc w:val="right"/>
              <w:ind w:right="25"/>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7"/>
                <w:szCs w:val="17"/>
                <w:color w:val="auto"/>
              </w:rPr>
            </w:pPr>
          </w:p>
        </w:tc>
      </w:tr>
      <w:tr>
        <w:trPr>
          <w:trHeight w:val="264"/>
        </w:trPr>
        <w:tc>
          <w:tcPr>
            <w:tcW w:w="18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r>
      <w:tr>
        <w:trPr>
          <w:trHeight w:val="173"/>
        </w:trPr>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80" w:type="dxa"/>
            <w:vAlign w:val="bottom"/>
            <w:gridSpan w:val="5"/>
          </w:tcPr>
          <w:p>
            <w:pPr>
              <w:jc w:val="right"/>
              <w:ind w:right="66"/>
              <w:spacing w:after="0"/>
              <w:rPr>
                <w:sz w:val="20"/>
                <w:szCs w:val="20"/>
                <w:color w:val="auto"/>
              </w:rPr>
            </w:pPr>
            <w:r>
              <w:rPr>
                <w:rFonts w:ascii="Arial" w:cs="Arial" w:eastAsia="Arial" w:hAnsi="Arial"/>
                <w:sz w:val="13"/>
                <w:szCs w:val="13"/>
                <w:i w:val="1"/>
                <w:iCs w:val="1"/>
                <w:color w:val="auto"/>
              </w:rPr>
              <w:t>(In thousands, except percentages)</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84"/>
        </w:trPr>
        <w:tc>
          <w:tcPr>
            <w:tcW w:w="1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218"/>
        </w:trPr>
        <w:tc>
          <w:tcPr>
            <w:tcW w:w="1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4"/>
        </w:trPr>
        <w:tc>
          <w:tcPr>
            <w:tcW w:w="1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development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11,085</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8,165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48"/>
              <w:spacing w:after="0"/>
              <w:rPr>
                <w:sz w:val="20"/>
                <w:szCs w:val="20"/>
                <w:color w:val="auto"/>
              </w:rPr>
            </w:pPr>
            <w:r>
              <w:rPr>
                <w:rFonts w:ascii="Arial" w:cs="Arial" w:eastAsia="Arial" w:hAnsi="Arial"/>
                <w:sz w:val="16"/>
                <w:szCs w:val="16"/>
                <w:color w:val="auto"/>
              </w:rPr>
              <w:t>2,920</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36%  $</w:t>
            </w:r>
          </w:p>
        </w:tc>
        <w:tc>
          <w:tcPr>
            <w:tcW w:w="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29,213</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25,247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rPr>
              <w:t>3,966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2019 and 2018</w:t>
      </w:r>
    </w:p>
    <w:p>
      <w:pPr>
        <w:spacing w:after="0" w:line="24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Research and development expense increased by 36% for the three months ended September 30, 2019, as compared to the same period in 2018. The increase is due to higher expenses associated with the development of our products, personnel-related costs and equipment costs. The increase in personnel-related expenses included higher compensation and higher travel expenditures due to increased headcount, partially offset by lower benefit and employee-related costs associated with moving certain functions to lower cost locations as part of restructuring actions taken in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2019 and 2018</w:t>
      </w:r>
    </w:p>
    <w:p>
      <w:pPr>
        <w:spacing w:after="0" w:line="2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Research and development expense increased by 16% for the nine months ended September 30, 2019, as compared to the same period in 2018. The increase is due to higher expenses associated with the development of our products, personnel-related costs and equipment costs. The increase in personnel-related expenses included higher compensation and travel expenditures, partially offset by lower benefit and employee-related costs associated with moving certain functions to lower cost locations as part of restructuring actions taken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301625</wp:posOffset>
            </wp:positionV>
            <wp:extent cx="70580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27</w:t>
      </w:r>
    </w:p>
    <w:p>
      <w:pPr>
        <w:sectPr>
          <w:pgSz w:w="11900" w:h="16838" w:orient="portrait"/>
          <w:cols w:equalWidth="0" w:num="1">
            <w:col w:w="11420"/>
          </w:cols>
          <w:pgMar w:left="240" w:top="283" w:right="239" w:bottom="1440" w:gutter="0" w:footer="0" w:header="0"/>
        </w:sectPr>
      </w:pPr>
    </w:p>
    <w:bookmarkStart w:id="29" w:name="page30"/>
    <w:bookmarkEnd w:id="29"/>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4"/>
          </w:tcPr>
          <w:p>
            <w:pPr>
              <w:ind w:left="44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7"/>
                <w:szCs w:val="17"/>
                <w:color w:val="auto"/>
              </w:rPr>
            </w:pPr>
          </w:p>
        </w:tc>
        <w:tc>
          <w:tcPr>
            <w:tcW w:w="1300" w:type="dxa"/>
            <w:vAlign w:val="bottom"/>
          </w:tcPr>
          <w:p>
            <w:pPr>
              <w:jc w:val="right"/>
              <w:ind w:right="25"/>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7"/>
                <w:szCs w:val="17"/>
                <w:color w:val="auto"/>
              </w:rPr>
            </w:pPr>
          </w:p>
        </w:tc>
      </w:tr>
      <w:tr>
        <w:trPr>
          <w:trHeight w:val="264"/>
        </w:trPr>
        <w:tc>
          <w:tcPr>
            <w:tcW w:w="18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r>
      <w:tr>
        <w:trPr>
          <w:trHeight w:val="173"/>
        </w:trPr>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80" w:type="dxa"/>
            <w:vAlign w:val="bottom"/>
            <w:gridSpan w:val="5"/>
          </w:tcPr>
          <w:p>
            <w:pPr>
              <w:jc w:val="right"/>
              <w:ind w:right="66"/>
              <w:spacing w:after="0"/>
              <w:rPr>
                <w:sz w:val="20"/>
                <w:szCs w:val="20"/>
                <w:color w:val="auto"/>
              </w:rPr>
            </w:pPr>
            <w:r>
              <w:rPr>
                <w:rFonts w:ascii="Arial" w:cs="Arial" w:eastAsia="Arial" w:hAnsi="Arial"/>
                <w:sz w:val="13"/>
                <w:szCs w:val="13"/>
                <w:i w:val="1"/>
                <w:iCs w:val="1"/>
                <w:color w:val="auto"/>
              </w:rPr>
              <w:t>(In thousands, except percentages)</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84"/>
        </w:trPr>
        <w:tc>
          <w:tcPr>
            <w:tcW w:w="1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270"/>
        </w:trPr>
        <w:tc>
          <w:tcPr>
            <w:tcW w:w="1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9,551</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7,375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48"/>
              <w:spacing w:after="0"/>
              <w:rPr>
                <w:sz w:val="20"/>
                <w:szCs w:val="20"/>
                <w:color w:val="auto"/>
              </w:rPr>
            </w:pPr>
            <w:r>
              <w:rPr>
                <w:rFonts w:ascii="Arial" w:cs="Arial" w:eastAsia="Arial" w:hAnsi="Arial"/>
                <w:sz w:val="16"/>
                <w:szCs w:val="16"/>
                <w:color w:val="auto"/>
              </w:rPr>
              <w:t>2,176</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30%  $</w:t>
            </w:r>
          </w:p>
        </w:tc>
        <w:tc>
          <w:tcPr>
            <w:tcW w:w="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26,038</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20,430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rPr>
              <w:t>5,608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2019 and 2018</w:t>
      </w:r>
    </w:p>
    <w:p>
      <w:pPr>
        <w:spacing w:after="0" w:line="24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Sales and marketing expense increased by 30% for the three months ended September 30, 2019 as compared to the same period in 2018. The increase was primarily due to higher expenses associated with the amortization of developed technology, patents and licensed technology acquired from SunPower, as well as an increase in personnel-related expenses as a result of our efforts to increase net revenues and enhance customer experience. The increase in personnel-related expenses included higher employee compensation, including stock-based compensation, bonus and sales commissions, as well as higher travel expenses associated with increased headcount.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2019 and 2018</w:t>
      </w:r>
    </w:p>
    <w:p>
      <w:pPr>
        <w:spacing w:after="0" w:line="24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Sales and marketing expense increased by 27% for the nine months ended September 30, 2019 as compared to the same period in 2018. The increase was primarily due to higher expenses associated with the amortization of developed technology, patents and licensed technology acquired from SunPower, as well as an increase in personnel-related expenses as a result of our efforts to increase net revenues and enhance customer experience, partially offset by lower bad debt expense. The increase in personnel-related expenses included higher employee compensation, including stock-based compensation, bonus and sales commissions, as well as higher travel expenses associated with increased headcount.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4"/>
          </w:tcPr>
          <w:p>
            <w:pPr>
              <w:ind w:left="44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7"/>
                <w:szCs w:val="17"/>
                <w:color w:val="auto"/>
              </w:rPr>
            </w:pPr>
          </w:p>
        </w:tc>
        <w:tc>
          <w:tcPr>
            <w:tcW w:w="1300" w:type="dxa"/>
            <w:vAlign w:val="bottom"/>
          </w:tcPr>
          <w:p>
            <w:pPr>
              <w:jc w:val="right"/>
              <w:ind w:right="25"/>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7"/>
                <w:szCs w:val="17"/>
                <w:color w:val="auto"/>
              </w:rPr>
            </w:pPr>
          </w:p>
        </w:tc>
      </w:tr>
      <w:tr>
        <w:trPr>
          <w:trHeight w:val="264"/>
        </w:trPr>
        <w:tc>
          <w:tcPr>
            <w:tcW w:w="18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r>
      <w:tr>
        <w:trPr>
          <w:trHeight w:val="173"/>
        </w:trPr>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80" w:type="dxa"/>
            <w:vAlign w:val="bottom"/>
            <w:gridSpan w:val="5"/>
          </w:tcPr>
          <w:p>
            <w:pPr>
              <w:jc w:val="right"/>
              <w:ind w:right="66"/>
              <w:spacing w:after="0"/>
              <w:rPr>
                <w:sz w:val="20"/>
                <w:szCs w:val="20"/>
                <w:color w:val="auto"/>
              </w:rPr>
            </w:pPr>
            <w:r>
              <w:rPr>
                <w:rFonts w:ascii="Arial" w:cs="Arial" w:eastAsia="Arial" w:hAnsi="Arial"/>
                <w:sz w:val="13"/>
                <w:szCs w:val="13"/>
                <w:i w:val="1"/>
                <w:iCs w:val="1"/>
                <w:color w:val="auto"/>
              </w:rPr>
              <w:t>(In thousands, except percentages)</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84"/>
        </w:trPr>
        <w:tc>
          <w:tcPr>
            <w:tcW w:w="1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218"/>
        </w:trPr>
        <w:tc>
          <w:tcPr>
            <w:tcW w:w="1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4"/>
        </w:trPr>
        <w:tc>
          <w:tcPr>
            <w:tcW w:w="1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administrative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9,895</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7,510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48"/>
              <w:spacing w:after="0"/>
              <w:rPr>
                <w:sz w:val="20"/>
                <w:szCs w:val="20"/>
                <w:color w:val="auto"/>
              </w:rPr>
            </w:pPr>
            <w:r>
              <w:rPr>
                <w:rFonts w:ascii="Arial" w:cs="Arial" w:eastAsia="Arial" w:hAnsi="Arial"/>
                <w:sz w:val="16"/>
                <w:szCs w:val="16"/>
                <w:color w:val="auto"/>
              </w:rPr>
              <w:t>2,385</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32%  $</w:t>
            </w:r>
          </w:p>
        </w:tc>
        <w:tc>
          <w:tcPr>
            <w:tcW w:w="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28,358</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21,423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rPr>
              <w:t>6,935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2019 and 2018</w:t>
      </w:r>
    </w:p>
    <w:p>
      <w:pPr>
        <w:spacing w:after="0" w:line="2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General and administrative expense increased 32% for the three months ended September 30, 2019, as compared to the same period in 2018. The increase was primarily due to an increase in personnel-related expenses and facility costs as a result of our business growth. The increase in personnel-related expenses included higher employee compensation, including stock-based compensation and bonus associated with increasing headcount.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2019 and 2018</w:t>
      </w:r>
    </w:p>
    <w:p>
      <w:pPr>
        <w:spacing w:after="0" w:line="24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General and administrative expense increased 32% for the nine months ended September 30, 2019, as compared to the same period in 2018. The increase was primarily due to an increase in personnel-related expenses and facility costs as a result of our business growth, additional consulting and advisory fees due to our first year of being subject to auditor attestation requirements under the Sarbanes-Oxley Act of 2002 for our 2018 audited financial statements and higher legal fees for outside counsel, partially offset by $1.8 million paid to resolve a dispute with a supplier and acquisition-related costs of $0.8 million in 2018 that did not recur in 2019. The increase in personnel-related expenses included higher employee compensation, including stock-based compensation, bonus and benefit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304800</wp:posOffset>
            </wp:positionV>
            <wp:extent cx="70580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28</w:t>
      </w:r>
    </w:p>
    <w:p>
      <w:pPr>
        <w:sectPr>
          <w:pgSz w:w="11900" w:h="16838" w:orient="portrait"/>
          <w:cols w:equalWidth="0" w:num="1">
            <w:col w:w="11420"/>
          </w:cols>
          <w:pgMar w:left="240" w:top="283" w:right="239" w:bottom="1440" w:gutter="0" w:footer="0" w:header="0"/>
        </w:sectPr>
      </w:pPr>
    </w:p>
    <w:bookmarkStart w:id="30" w:name="page31"/>
    <w:bookmarkEnd w:id="30"/>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1940" w:type="dxa"/>
            <w:vAlign w:val="bottom"/>
            <w:gridSpan w:val="3"/>
          </w:tcPr>
          <w:p>
            <w:pPr>
              <w:jc w:val="center"/>
              <w:ind w:left="42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6"/>
        </w:trPr>
        <w:tc>
          <w:tcPr>
            <w:tcW w:w="1840" w:type="dxa"/>
            <w:vAlign w:val="bottom"/>
          </w:tcPr>
          <w:p>
            <w:pPr>
              <w:spacing w:after="0"/>
              <w:rPr>
                <w:sz w:val="17"/>
                <w:szCs w:val="17"/>
                <w:color w:val="auto"/>
              </w:rPr>
            </w:pPr>
          </w:p>
        </w:tc>
        <w:tc>
          <w:tcPr>
            <w:tcW w:w="194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Change in</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center"/>
              <w:ind w:right="143"/>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760" w:type="dxa"/>
            <w:vAlign w:val="bottom"/>
            <w:tcBorders>
              <w:bottom w:val="single" w:sz="8" w:color="auto"/>
            </w:tcBorders>
          </w:tcPr>
          <w:p>
            <w:pPr>
              <w:spacing w:after="0"/>
              <w:rPr>
                <w:sz w:val="17"/>
                <w:szCs w:val="17"/>
                <w:color w:val="auto"/>
              </w:rPr>
            </w:pPr>
          </w:p>
        </w:tc>
      </w:tr>
      <w:tr>
        <w:trPr>
          <w:trHeight w:val="264"/>
        </w:trPr>
        <w:tc>
          <w:tcPr>
            <w:tcW w:w="262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420" w:type="dxa"/>
            <w:vAlign w:val="bottom"/>
          </w:tcPr>
          <w:p>
            <w:pPr>
              <w:spacing w:after="0"/>
              <w:rPr>
                <w:sz w:val="22"/>
                <w:szCs w:val="22"/>
                <w:color w:val="auto"/>
              </w:rPr>
            </w:pPr>
          </w:p>
        </w:tc>
        <w:tc>
          <w:tcPr>
            <w:tcW w:w="1240" w:type="dxa"/>
            <w:vAlign w:val="bottom"/>
            <w:gridSpan w:val="2"/>
          </w:tcPr>
          <w:p>
            <w:pPr>
              <w:jc w:val="right"/>
              <w:ind w:right="319"/>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ind w:left="2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46"/>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22"/>
                <w:szCs w:val="22"/>
                <w:color w:val="auto"/>
              </w:rPr>
            </w:pPr>
          </w:p>
        </w:tc>
        <w:tc>
          <w:tcPr>
            <w:tcW w:w="860" w:type="dxa"/>
            <w:vAlign w:val="bottom"/>
          </w:tcPr>
          <w:p>
            <w:pPr>
              <w:jc w:val="right"/>
              <w:ind w:right="32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ind w:right="825"/>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363"/>
              <w:spacing w:after="0"/>
              <w:rPr>
                <w:sz w:val="20"/>
                <w:szCs w:val="20"/>
                <w:color w:val="auto"/>
              </w:rPr>
            </w:pPr>
            <w:r>
              <w:rPr>
                <w:rFonts w:ascii="Arial" w:cs="Arial" w:eastAsia="Arial" w:hAnsi="Arial"/>
                <w:sz w:val="14"/>
                <w:szCs w:val="14"/>
                <w:b w:val="1"/>
                <w:bCs w:val="1"/>
                <w:color w:val="auto"/>
              </w:rPr>
              <w:t>%</w:t>
            </w:r>
          </w:p>
        </w:tc>
      </w:tr>
      <w:tr>
        <w:trPr>
          <w:trHeight w:val="173"/>
        </w:trPr>
        <w:tc>
          <w:tcPr>
            <w:tcW w:w="18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4"/>
          </w:tcPr>
          <w:p>
            <w:pPr>
              <w:jc w:val="right"/>
              <w:ind w:right="106"/>
              <w:spacing w:after="0"/>
              <w:rPr>
                <w:sz w:val="20"/>
                <w:szCs w:val="20"/>
                <w:color w:val="auto"/>
              </w:rPr>
            </w:pPr>
            <w:r>
              <w:rPr>
                <w:rFonts w:ascii="Arial" w:cs="Arial" w:eastAsia="Arial" w:hAnsi="Arial"/>
                <w:sz w:val="13"/>
                <w:szCs w:val="13"/>
                <w:i w:val="1"/>
                <w:iCs w:val="1"/>
                <w:color w:val="auto"/>
              </w:rPr>
              <w:t>(In thousands, except percentages)</w:t>
            </w:r>
          </w:p>
        </w:tc>
        <w:tc>
          <w:tcPr>
            <w:tcW w:w="3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84"/>
        </w:trPr>
        <w:tc>
          <w:tcPr>
            <w:tcW w:w="1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270"/>
        </w:trPr>
        <w:tc>
          <w:tcPr>
            <w:tcW w:w="2620" w:type="dxa"/>
            <w:vAlign w:val="bottom"/>
            <w:gridSpan w:val="2"/>
            <w:shd w:val="clear" w:color="auto" w:fill="CCEEFF"/>
          </w:tcPr>
          <w:p>
            <w:pPr>
              <w:jc w:val="right"/>
              <w:ind w:right="588"/>
              <w:spacing w:after="0"/>
              <w:rPr>
                <w:sz w:val="20"/>
                <w:szCs w:val="20"/>
                <w:color w:val="auto"/>
              </w:rPr>
            </w:pPr>
            <w:r>
              <w:rPr>
                <w:rFonts w:ascii="Arial" w:cs="Arial" w:eastAsia="Arial" w:hAnsi="Arial"/>
                <w:sz w:val="16"/>
                <w:szCs w:val="16"/>
                <w:color w:val="auto"/>
              </w:rPr>
              <w:t>Restructuring charges   $</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7"/>
              </w:rPr>
              <w:t>469</w:t>
            </w:r>
          </w:p>
        </w:tc>
        <w:tc>
          <w:tcPr>
            <w:tcW w:w="740" w:type="dxa"/>
            <w:vAlign w:val="bottom"/>
            <w:shd w:val="clear" w:color="auto" w:fill="CCEEFF"/>
          </w:tcPr>
          <w:p>
            <w:pPr>
              <w:jc w:val="right"/>
              <w:ind w:right="443"/>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4"/>
              </w:rPr>
              <w:t>2,588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(2,119)</w:t>
            </w:r>
          </w:p>
        </w:tc>
        <w:tc>
          <w:tcPr>
            <w:tcW w:w="1040" w:type="dxa"/>
            <w:vAlign w:val="bottom"/>
            <w:shd w:val="clear" w:color="auto" w:fill="CCEEFF"/>
          </w:tcPr>
          <w:p>
            <w:pPr>
              <w:jc w:val="right"/>
              <w:ind w:right="228"/>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1,468</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2,588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45"/>
              <w:spacing w:after="0"/>
              <w:rPr>
                <w:sz w:val="20"/>
                <w:szCs w:val="20"/>
                <w:color w:val="auto"/>
              </w:rPr>
            </w:pPr>
            <w:r>
              <w:rPr>
                <w:rFonts w:ascii="Arial" w:cs="Arial" w:eastAsia="Arial" w:hAnsi="Arial"/>
                <w:sz w:val="16"/>
                <w:szCs w:val="16"/>
                <w:color w:val="auto"/>
              </w:rPr>
              <w:t>(1,120)</w:t>
            </w:r>
          </w:p>
        </w:tc>
        <w:tc>
          <w:tcPr>
            <w:tcW w:w="76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(43)%</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2019 and 2018</w:t>
      </w:r>
    </w:p>
    <w:p>
      <w:pPr>
        <w:spacing w:after="0" w:line="2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Restructuring expense for the three months ended September 30, 2019 primarily includes $0.5 million of one-time termination benefits and other employee-related expenses under our 2018 Plan. Restructuring expense for the three months ended September 30, 2018 primarily include a $1.6 million asset impairment charge, $0.6 million of one-time termination benefits and other employee-related expenses and a $0.3 million charge to establish a lease loss reserve.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2019 and 2018</w:t>
      </w:r>
    </w:p>
    <w:p>
      <w:pPr>
        <w:spacing w:after="0" w:line="2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Restructuring expense for the nine months ended September 30, 2019 primarily includes $1.6 million of one-time termination benefits and other employee-related expenses under our 2018 Plan, partially offset by $0.1 million reduction in lease loss reserves. Restructuring expense for the nine months ended September 30, 2018 primarily include a $1.6 million asset impairment charge, $0.6 million of one-time termination benefits and other employee-related expenses and a $0.3 million charge to establish a lease loss reserve.</w:t>
      </w:r>
    </w:p>
    <w:p>
      <w:pPr>
        <w:spacing w:after="0" w:line="204"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We expect to complete our 2018 Plan in 2019. See Note 7, “Restructuring,” of the notes to condensed consolidated financial statements included in Part I, Item 1 of this Form 10-Q for more information relating to the 2018 Plan.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7"/>
                <w:szCs w:val="17"/>
                <w:color w:val="auto"/>
              </w:rPr>
            </w:pPr>
          </w:p>
        </w:tc>
        <w:tc>
          <w:tcPr>
            <w:tcW w:w="1260" w:type="dxa"/>
            <w:vAlign w:val="bottom"/>
            <w:gridSpan w:val="2"/>
          </w:tcPr>
          <w:p>
            <w:pPr>
              <w:ind w:left="500"/>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7"/>
                <w:szCs w:val="17"/>
                <w:color w:val="auto"/>
              </w:rPr>
            </w:pPr>
          </w:p>
        </w:tc>
        <w:tc>
          <w:tcPr>
            <w:tcW w:w="1320" w:type="dxa"/>
            <w:vAlign w:val="bottom"/>
            <w:gridSpan w:val="2"/>
          </w:tcPr>
          <w:p>
            <w:pPr>
              <w:ind w:left="520"/>
              <w:spacing w:after="0"/>
              <w:rPr>
                <w:sz w:val="20"/>
                <w:szCs w:val="20"/>
                <w:color w:val="auto"/>
              </w:rPr>
            </w:pPr>
            <w:r>
              <w:rPr>
                <w:rFonts w:ascii="Arial" w:cs="Arial" w:eastAsia="Arial" w:hAnsi="Arial"/>
                <w:sz w:val="14"/>
                <w:szCs w:val="14"/>
                <w:b w:val="1"/>
                <w:bCs w:val="1"/>
                <w:color w:val="auto"/>
              </w:rPr>
              <w:t>Change in</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80" w:type="dxa"/>
            <w:vAlign w:val="bottom"/>
            <w:gridSpan w:val="6"/>
          </w:tcPr>
          <w:p>
            <w:pPr>
              <w:ind w:left="380"/>
              <w:spacing w:after="0"/>
              <w:rPr>
                <w:sz w:val="20"/>
                <w:szCs w:val="20"/>
                <w:color w:val="auto"/>
              </w:rPr>
            </w:pPr>
            <w:r>
              <w:rPr>
                <w:rFonts w:ascii="Arial" w:cs="Arial" w:eastAsia="Arial" w:hAnsi="Arial"/>
                <w:sz w:val="13"/>
                <w:szCs w:val="13"/>
                <w:i w:val="1"/>
                <w:iCs w:val="1"/>
                <w:color w:val="auto"/>
              </w:rPr>
              <w:t>(In thousands, except percentages)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1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894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573</w:t>
            </w:r>
          </w:p>
        </w:tc>
        <w:tc>
          <w:tcPr>
            <w:tcW w:w="5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1,698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568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1,130</w:t>
            </w:r>
          </w:p>
        </w:tc>
        <w:tc>
          <w:tcPr>
            <w:tcW w:w="5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199 %</w:t>
            </w:r>
          </w:p>
        </w:tc>
        <w:tc>
          <w:tcPr>
            <w:tcW w:w="0" w:type="dxa"/>
            <w:vAlign w:val="bottom"/>
          </w:tcPr>
          <w:p>
            <w:pPr>
              <w:spacing w:after="0"/>
              <w:rPr>
                <w:sz w:val="1"/>
                <w:szCs w:val="1"/>
                <w:color w:val="auto"/>
              </w:rPr>
            </w:pPr>
          </w:p>
        </w:tc>
      </w:tr>
      <w:tr>
        <w:trPr>
          <w:trHeight w:val="260"/>
        </w:trPr>
        <w:tc>
          <w:tcPr>
            <w:tcW w:w="17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(2,790)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504</w:t>
            </w:r>
          </w:p>
        </w:tc>
        <w:tc>
          <w:tcPr>
            <w:tcW w:w="5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(7,388)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(7,599)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211</w:t>
            </w:r>
          </w:p>
        </w:tc>
        <w:tc>
          <w:tcPr>
            <w:tcW w:w="5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0"/>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5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(6,904)</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(5,827)</w:t>
            </w:r>
          </w:p>
        </w:tc>
        <w:tc>
          <w:tcPr>
            <w:tcW w:w="5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541 %</w:t>
            </w:r>
          </w:p>
        </w:tc>
        <w:tc>
          <w:tcPr>
            <w:tcW w:w="0" w:type="dxa"/>
            <w:vAlign w:val="bottom"/>
          </w:tcPr>
          <w:p>
            <w:pPr>
              <w:spacing w:after="0"/>
              <w:rPr>
                <w:sz w:val="1"/>
                <w:szCs w:val="1"/>
                <w:color w:val="auto"/>
              </w:rPr>
            </w:pPr>
          </w:p>
        </w:tc>
      </w:tr>
      <w:tr>
        <w:trPr>
          <w:trHeight w:val="198"/>
        </w:trPr>
        <w:tc>
          <w:tcPr>
            <w:tcW w:w="1780" w:type="dxa"/>
            <w:vAlign w:val="bottom"/>
          </w:tcPr>
          <w:p>
            <w:pPr>
              <w:ind w:left="40"/>
              <w:spacing w:after="0"/>
              <w:rPr>
                <w:sz w:val="20"/>
                <w:szCs w:val="20"/>
                <w:color w:val="auto"/>
              </w:rPr>
            </w:pPr>
            <w:r>
              <w:rPr>
                <w:rFonts w:ascii="Arial" w:cs="Arial" w:eastAsia="Arial" w:hAnsi="Arial"/>
                <w:sz w:val="16"/>
                <w:szCs w:val="16"/>
                <w:color w:val="auto"/>
              </w:rPr>
              <w:t>Total other expense,</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(2,335)</w:t>
            </w:r>
          </w:p>
        </w:tc>
        <w:tc>
          <w:tcPr>
            <w:tcW w:w="100" w:type="dxa"/>
            <w:vAlign w:val="bottom"/>
          </w:tcPr>
          <w:p>
            <w:pPr>
              <w:spacing w:after="0"/>
              <w:rPr>
                <w:sz w:val="17"/>
                <w:szCs w:val="17"/>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(2,848)</w:t>
            </w:r>
          </w:p>
        </w:tc>
        <w:tc>
          <w:tcPr>
            <w:tcW w:w="120" w:type="dxa"/>
            <w:vAlign w:val="bottom"/>
          </w:tcPr>
          <w:p>
            <w:pPr>
              <w:spacing w:after="0"/>
              <w:rPr>
                <w:sz w:val="17"/>
                <w:szCs w:val="17"/>
                <w:color w:val="auto"/>
              </w:rPr>
            </w:pP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2"/>
              <w:spacing w:after="0"/>
              <w:rPr>
                <w:sz w:val="20"/>
                <w:szCs w:val="20"/>
                <w:color w:val="auto"/>
              </w:rPr>
            </w:pPr>
            <w:r>
              <w:rPr>
                <w:rFonts w:ascii="Arial" w:cs="Arial" w:eastAsia="Arial" w:hAnsi="Arial"/>
                <w:sz w:val="16"/>
                <w:szCs w:val="16"/>
                <w:color w:val="auto"/>
              </w:rPr>
              <w:t>513</w:t>
            </w: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(12,594)</w:t>
            </w:r>
          </w:p>
        </w:tc>
        <w:tc>
          <w:tcPr>
            <w:tcW w:w="100" w:type="dxa"/>
            <w:vAlign w:val="bottom"/>
          </w:tcPr>
          <w:p>
            <w:pPr>
              <w:spacing w:after="0"/>
              <w:rPr>
                <w:sz w:val="17"/>
                <w:szCs w:val="17"/>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(8,108)</w:t>
            </w:r>
          </w:p>
        </w:tc>
        <w:tc>
          <w:tcPr>
            <w:tcW w:w="120" w:type="dxa"/>
            <w:vAlign w:val="bottom"/>
          </w:tcPr>
          <w:p>
            <w:pPr>
              <w:spacing w:after="0"/>
              <w:rPr>
                <w:sz w:val="17"/>
                <w:szCs w:val="17"/>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(4,486)</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ind w:left="200"/>
              <w:spacing w:after="0"/>
              <w:rPr>
                <w:sz w:val="20"/>
                <w:szCs w:val="20"/>
                <w:color w:val="auto"/>
              </w:rPr>
            </w:pPr>
            <w:r>
              <w:rPr>
                <w:rFonts w:ascii="Arial" w:cs="Arial" w:eastAsia="Arial" w:hAnsi="Arial"/>
                <w:sz w:val="16"/>
                <w:szCs w:val="16"/>
                <w:color w:val="auto"/>
              </w:rPr>
              <w:t>net</w:t>
            </w:r>
          </w:p>
        </w:tc>
        <w:tc>
          <w:tcPr>
            <w:tcW w:w="2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2019 and 2018</w:t>
      </w:r>
    </w:p>
    <w:p>
      <w:pPr>
        <w:spacing w:after="0" w:line="24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Interest income of $0.9 million for the three months ended September 30, 2019 increased, as compared to $0.3 million in the same period in 2018, primarily due to interest earned on a higher average cash balance.</w:t>
      </w:r>
    </w:p>
    <w:p>
      <w:pPr>
        <w:spacing w:after="0" w:line="19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Interest expense of $2.3 million for the three months ended September 30, 2019 primarily includes $2.0 million related to the accretion of the debt discount, amortization of debt issuance cost and coupon interest incurred associated with our Notes due 2024, $ 0.2 million of interest expense related to long-term financing receivable recorded as debt and interest expense of $0.1 million related to coupon interest incurred and amortization of debt issuance costs associated with our Notes due 2023. Interest expense of $2.8 million for the three months ended September 30, 2018 primarily includes interest expense of $2.4 million related to our Term Loans which were repaid in full on January 28, 2019 and $0.4 million related to coupon interest incurred and amortization of debt issuance costs associated with our Notes due 2023.</w:t>
      </w:r>
    </w:p>
    <w:p>
      <w:pPr>
        <w:spacing w:after="0" w:line="20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Other expense, net of $0.9 million for the three months ended September 30, 2019, relates to a net loss related to foreign currency exchange and remeasurement. Other expense, net of $0.4 million for the three months ended September 30, 2018, relates to a net loss related to foreign currency exchange and remeasurement.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2019 and 2018</w:t>
      </w:r>
    </w:p>
    <w:p>
      <w:pPr>
        <w:spacing w:after="0" w:line="243"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Interest income of $1.7 million the nine months ended September 30, 2019 increased, as compared to $0.6 million in the same period in 2018, primarily due to interest earned on a higher average cash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296545</wp:posOffset>
            </wp:positionV>
            <wp:extent cx="70580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 xml:space="preserve">Enphase Energy, Inc. | Q3 2019 Form 10-Q | </w:t>
      </w:r>
      <w:r>
        <w:rPr>
          <w:rFonts w:ascii="Arial" w:cs="Arial" w:eastAsia="Arial" w:hAnsi="Arial"/>
          <w:sz w:val="10"/>
          <w:szCs w:val="10"/>
          <w:b w:val="1"/>
          <w:bCs w:val="1"/>
          <w:color w:val="828282"/>
        </w:rPr>
        <w:t>29</w:t>
      </w:r>
    </w:p>
    <w:p>
      <w:pPr>
        <w:sectPr>
          <w:pgSz w:w="11900" w:h="16838" w:orient="portrait"/>
          <w:cols w:equalWidth="0" w:num="1">
            <w:col w:w="11420"/>
          </w:cols>
          <w:pgMar w:left="240" w:top="283" w:right="239" w:bottom="1440" w:gutter="0" w:footer="0" w:header="0"/>
          <w:type w:val="continuous"/>
        </w:sectPr>
      </w:pPr>
    </w:p>
    <w:bookmarkStart w:id="31" w:name="page32"/>
    <w:bookmarkEnd w:id="31"/>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Interest expense of $7.4 million for the nine months ended September 30, 2019 primarily includes $3.4 million related to the repayment of our Term Loans, interest expense of $1.4 million related to coupon interest incurred and amortization of debt issuance costs associated with our Notes due 2023, and $2.6 million related to the accretion of the debt discount, amortization of debt issuance cost and coupon interest incurred associated with our Notes due 2024. Interest expense of $7.6 million for the nine months ended September 30, 2018 primarily includes interest expense related to our Term Loans.</w:t>
      </w:r>
    </w:p>
    <w:p>
      <w:pPr>
        <w:spacing w:after="0" w:line="20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Other expense, net of $6.9 million for the nine months ended September 30, 2019 primarily relates to the $ 6.0 million fees paid for the repurchase and exchange of our Notes due 2023 and $0.9 million net loss related to foreign currency exchange and remeasurement. Other expense, net for the nine months ended September 30, 2018 includes a net loss related to foreign currency exchange and remeasurement of $1.3 million, partially offset by a $0.3 million change in purchase option fair value associated with our long-term financing receivable recorded as debt.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of September 30, 2019, we had $203.0 million in cash and cash equivalents and working capital of $244.7 million. Cash and cash equivalents held in the U.S. were $184.7 million and consisted primarily of U.S. government money market mutual funds and non-interest-bearing checking deposits, with the remainder held in various foreign subsidiaries. We consider amounts held outside the U.S. to be accessible and have provided for the estimated U.S. income tax liability associated with our foreign earnings.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Loans</w:t>
      </w:r>
    </w:p>
    <w:p>
      <w:pPr>
        <w:spacing w:after="0" w:line="247"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On January 28, 2019, we repaid in full the remaining principal amount of the Term Loans of approximately $39.5 million plus accrued interest and fees owed to lenders affiliated with Tennenbaum Capital Partners, LLC.</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auto"/>
        </w:rPr>
        <w:t>Notes due 2023</w:t>
      </w:r>
      <w:r>
        <w:rPr>
          <w:rFonts w:ascii="Arial" w:cs="Arial" w:eastAsia="Arial" w:hAnsi="Arial"/>
          <w:sz w:val="18"/>
          <w:szCs w:val="18"/>
          <w:color w:val="auto"/>
        </w:rPr>
        <w:t>. In August 2018, we issued $65.0 million aggregate principal amount of convertible senior notes in a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2023”). The Notes due 2023 are general unsecured obligations and bear interest at a rate of 4.0% per year, payable semi-annually on February 1 and August 1 of each year, beginning on February 1, 2019. The Notes due 2023 will mature on August 1, 2023, unless earlier repurchased by us or converted at the option of the holders. On May 30, 2019, we entered into separately and privately negotiated transactions with certain holders of the Notes due 2023 resulting in the repurchase and exchange, as of June 5, 2019, of $60.0 million aggregate principal amount of the notes in consideration for the issuance of 10,801,080 shares of common stock and separate cash payments totaling $6.0 million. As of September 30, 2019, we had $5.0 million aggregate principal amount of our Notes due 2023 outstanding.</w:t>
      </w:r>
    </w:p>
    <w:p>
      <w:pPr>
        <w:spacing w:after="0" w:line="18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i w:val="1"/>
          <w:iCs w:val="1"/>
          <w:color w:val="auto"/>
        </w:rPr>
        <w:t>Notes due 2024</w:t>
      </w:r>
      <w:r>
        <w:rPr>
          <w:rFonts w:ascii="Arial" w:cs="Arial" w:eastAsia="Arial" w:hAnsi="Arial"/>
          <w:sz w:val="18"/>
          <w:szCs w:val="18"/>
          <w:color w:val="auto"/>
        </w:rPr>
        <w:t>. In June 2019, we issued $132.0 million aggregate principal amount of convertible senior notes in a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2024”). The Notes due 2024 are general unsecured obligations and bear interest at a rate of 1.0% per year, payable semi-annually on June 1 and December 1 of each year, beginning on December 1, 2019. The Notes due 2024 will mature on June 1, 2024, unless earlier repurchased by us or converted at the option of the holders at a conversion price of $20.50 per share. As of September 30, 2019, we had $132.0 million aggregate principal amount of our Notes due 2024 outstanding.</w:t>
      </w:r>
    </w:p>
    <w:p>
      <w:pPr>
        <w:spacing w:after="0" w:line="202"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Notes due 2024 may be converted on any day prior to the close of business on the business day immediately preceding December 1, 2023, in multiples of $ 1,000 principal amount, at the option of the holder under any of the following circumstances: (1) during any calendar quarter commencing after the calendar quarter ending on September 30, 2019 (and only during such calendar quarter), if the last reported sale price of the our common stock for at least 20 trading days (whether or not consecutive) during a period of 30 consecutive trading days ending on, and including, the last trading day of the immediately preceding calendar quarter is greater than or equal to $26.6513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our common stock and the conversion rate on each such trading day; or (3) upon the occurrence of specified corporate events. Upon conversion of any of the notes, we will pay or deliver, as the case may be, cash, shares of common stock or a combination of cash and common stock, at our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306705</wp:posOffset>
            </wp:positionV>
            <wp:extent cx="70580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30</w:t>
      </w:r>
    </w:p>
    <w:p>
      <w:pPr>
        <w:sectPr>
          <w:pgSz w:w="11900" w:h="16838" w:orient="portrait"/>
          <w:cols w:equalWidth="0" w:num="1">
            <w:col w:w="11420"/>
          </w:cols>
          <w:pgMar w:left="240" w:top="283" w:right="239" w:bottom="1440" w:gutter="0" w:footer="0" w:header="0"/>
        </w:sectPr>
      </w:pPr>
    </w:p>
    <w:bookmarkStart w:id="32" w:name="page33"/>
    <w:bookmarkEnd w:id="32"/>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connection with the offering of the Notes due 2024, we entered into privately-negotiated convertible note hedge transactions in order to reduce the potential dilution to our common stock upon any conversion of the Notes due 2024. The total cost of the convertible note hedge transactions was approximately $ 36.3 million. Also, concurrently with the offering of the Notes due 2024, we entered into privately-negotiated warrant transactions whereby we issued warrants to acquire shares of our common stock at a strike price of $25.2320 rather than the Notes due 2024 conversion price of $20.5010. We received approximately $29.8 million from the sale of the warrants.</w:t>
      </w:r>
    </w:p>
    <w:p>
      <w:pPr>
        <w:spacing w:after="0" w:line="20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As of October 29, 2019, the holders of the Notes due 2024 were unable to convert the debt into equity, therefore, we had not purchased any shares under the convertible note hedge and the warrants had not been exercised and remain outstanding. If holders of the Notes due 2024 are able to convert the debt to equity, and exercise that right, we have asserted our intent and ability to settle the $ 132.0 million aggregate principal amount of the Notes due 2024 in cash. See Note 8, “Debt,” of the notes to condensed consolidated financial statements included in Part I, Item 1 of this Form 10-Q for more information relating to the convertible note hedge transactions and warrants.</w:t>
      </w:r>
    </w:p>
    <w:p>
      <w:pPr>
        <w:spacing w:after="0" w:line="206"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We believe that our existing cash and cash equivalents and cash flows from our operating activities will be sufficient to meet our anticipated cash needs for at least the next 12 months.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The following table summarizes our cash flows for the periods presented:</w:t>
      </w:r>
    </w:p>
    <w:p>
      <w:pPr>
        <w:spacing w:after="0" w:line="393"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04"/>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7"/>
                <w:szCs w:val="17"/>
                <w:color w:val="auto"/>
              </w:rPr>
            </w:pPr>
          </w:p>
        </w:tc>
      </w:tr>
      <w:tr>
        <w:trPr>
          <w:trHeight w:val="53"/>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36,796</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14,257</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spacing w:after="0"/>
              <w:rPr>
                <w:sz w:val="22"/>
                <w:szCs w:val="22"/>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(7,368)</w:t>
            </w:r>
          </w:p>
        </w:tc>
        <w:tc>
          <w:tcPr>
            <w:tcW w:w="5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(11,384)</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67,816</w:t>
            </w:r>
          </w:p>
        </w:tc>
        <w:tc>
          <w:tcPr>
            <w:tcW w:w="5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84,610</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301"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For the nine months ended September 30, 2019, net cash provided by operating activities of $36.8 million was primarily attributable to net income of $44.5 million, non-cash charges of $30.1 million, and a one-time charge of $6.0 million and $ 2.2 million related to inducement costs paid on conversion of $60.0 million aggregate principal amount of the Notes due 2023 and settlement of our Term Loans, respectively, partially offset by cash outflow from operating assets and liabilities of $46.0 million. Non-cash charges of $30.1 million includes $14.0 million of stock-based compensation, $11.6 million of depreciation and amortization, $4.2 million of non-cash interest expense and a $0.4 million of provision for doubtful accounts. The primary driver of cash outflows from changes in operating assets and liabilities was a $56.1 million increase in accounts receivable due to higher sales, a $ 14.0 million increase in inventory due to continued improvement in the management of our supply chain to meet the higher demand and a $8.6 million increase in prepaid expense and other assets due to subscription renewals and other receivables, which were partially offset by a $18.7 million increase in accounts payable due to both successful negotiations of our vendor payment terms as well as the timing of vendor payments, a $10.8 million increase in deferred revenues and a $3.3 million increase in warranty obligations.</w:t>
      </w:r>
    </w:p>
    <w:p>
      <w:pPr>
        <w:spacing w:after="0" w:line="266"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8"/>
          <w:szCs w:val="18"/>
          <w:color w:val="auto"/>
        </w:rPr>
        <w:t>For the nine months ended September 30, 2018, net cash provided by operating activities of $14.3 million was primarily attributable to a net loss of $12.3 million offset by non-cash charges of $21.0 million and net cash inflows from changes in operating assets and liabilities of $5.6 million. Non-cash charges included $9.9 million of stock-based compensation, $7.0 million of depreciation and amortization, $ 1.9 million of non-cash interest expense, $1.6 million asset impairment and a $0.7 million provision for doubtful accounts. The primary drivers of cash inflows from changes in operating assets and liabilities were a $10.7 million decrease in accounts receivable due to the impact of cash management efforts as well as the timing of revenue, an $8.1 million decrease in inventory due to a combination of supply chain management efforts and the impact of component shortages, $4.7 million increase in accounts payable as a result of lower inventory levels and the timing of vendor payments, and a $2.4 million increase in warranty obligations, partially offset by a $10.3 million decrease in deferred revenues (“contract</w:t>
      </w:r>
    </w:p>
    <w:p>
      <w:pPr>
        <w:spacing w:after="0" w:line="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liabilities”) due to the timing of revenue recognition under Accounting Standards Codification (“ASC”) Topic 606 (“ASC 606”), $6.0 million increase in intangible assets related to the acquisition of SunPower’s microinverter business and a $4.0 million increase in prepaid expenses and other assets (“contract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231775</wp:posOffset>
            </wp:positionV>
            <wp:extent cx="70580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31</w:t>
      </w:r>
    </w:p>
    <w:p>
      <w:pPr>
        <w:sectPr>
          <w:pgSz w:w="11900" w:h="16838" w:orient="portrait"/>
          <w:cols w:equalWidth="0" w:num="1">
            <w:col w:w="11420"/>
          </w:cols>
          <w:pgMar w:left="240" w:top="283" w:right="239" w:bottom="1440" w:gutter="0" w:footer="0" w:header="0"/>
        </w:sectPr>
      </w:pPr>
    </w:p>
    <w:bookmarkStart w:id="33" w:name="page34"/>
    <w:bookmarkEnd w:id="33"/>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For the nine months ended September 30, 2019, cash used in investing activities of $7.4 million was primarily from purchases of test and assembly equipment to expand our supply capacity and related facility improvements, and capitalized costs related to internal-use software.</w:t>
      </w:r>
    </w:p>
    <w:p>
      <w:pPr>
        <w:spacing w:after="0" w:line="250"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For the nine months ended September 30, 2018, cash used in investing activities of $11.4 million primarily resulted from a $9.0 million payment related to the acquisition of SunPower’s microinverter business and $2.4 million for purchases of test and assembly equipment to expand our supply capacity and capitalized costs related to internal-use software.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For the nine months ended September 30, 2019, net cash provided by financing activities of $67.8 million was primarily from net proceeds of $127.5 million received from the issuance of our Notes due 2024, $29.8 million from sale of warrants, as well as $2.9 million net proceeds from issuance of common stock under our employee stock incentive program. These proceeds were partially offset by $45.7 million for principal payments on debts and financing fees associated with repayment of our term loan, $36.3 million for purchase of bond hedges related to our Notes due 2024, $6.0 million attributable to inducement costs incurred for repurchase of our Notes due 2023 and $4.4 million for the payment of taxes related to net share settlement of equity awards.</w:t>
      </w:r>
    </w:p>
    <w:p>
      <w:pPr>
        <w:spacing w:after="0" w:line="26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For the nine months ended September 30, 2018, net cash provided by financing activities of $84.6 million consisted of $62.4 million from issuance of convertible debt, $19.8 million in net proceeds from sales of common stock and $5.6 million in net proceeds from the sale of certain long-term financing receivables and $2.2 million proceeds from issuance of common stock under our employee stock plans, partially offset by a $5.7 million principal payment on our term loan.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outstanding contractual obligations as of September 30,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75"/>
        </w:trPr>
        <w:tc>
          <w:tcPr>
            <w:tcW w:w="1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62"/>
              <w:spacing w:after="0"/>
              <w:rPr>
                <w:sz w:val="20"/>
                <w:szCs w:val="20"/>
                <w:color w:val="auto"/>
              </w:rPr>
            </w:pPr>
            <w:r>
              <w:rPr>
                <w:rFonts w:ascii="Arial" w:cs="Arial" w:eastAsia="Arial" w:hAnsi="Arial"/>
                <w:sz w:val="14"/>
                <w:szCs w:val="14"/>
                <w:b w:val="1"/>
                <w:bCs w:val="1"/>
                <w:color w:val="auto"/>
              </w:rPr>
              <w:t>2019 (remaining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three months)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2020-2021</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2022-2023</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Beyond 2023</w:t>
            </w:r>
          </w:p>
        </w:tc>
      </w:tr>
      <w:tr>
        <w:trPr>
          <w:trHeight w:val="250"/>
        </w:trPr>
        <w:tc>
          <w:tcPr>
            <w:tcW w:w="11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6"/>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13,335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6,700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1,429</w:t>
            </w:r>
          </w:p>
        </w:tc>
      </w:tr>
      <w:tr>
        <w:trPr>
          <w:trHeight w:val="260"/>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Notes due 2023 principal and interest</w:t>
            </w:r>
          </w:p>
        </w:tc>
        <w:tc>
          <w:tcPr>
            <w:tcW w:w="36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5,800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5,400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80"/>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Notes due 2024 principal and interest</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138,600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2,640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132,678</w:t>
            </w:r>
          </w:p>
        </w:tc>
      </w:tr>
      <w:tr>
        <w:trPr>
          <w:trHeight w:val="270"/>
        </w:trPr>
        <w:tc>
          <w:tcPr>
            <w:tcW w:w="35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1"/>
                <w:szCs w:val="21"/>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71,048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71,048</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234"/>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228,783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72,421</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9,740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12,515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134,107</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19"/>
        </w:trPr>
        <w:tc>
          <w:tcPr>
            <w:tcW w:w="1160" w:type="dxa"/>
            <w:vAlign w:val="bottom"/>
            <w:tcBorders>
              <w:bottom w:val="single" w:sz="8" w:color="auto"/>
            </w:tcBorders>
          </w:tcPr>
          <w:p>
            <w:pPr>
              <w:spacing w:after="0"/>
              <w:rPr>
                <w:sz w:val="10"/>
                <w:szCs w:val="10"/>
                <w:color w:val="auto"/>
              </w:rPr>
            </w:pPr>
          </w:p>
        </w:tc>
        <w:tc>
          <w:tcPr>
            <w:tcW w:w="2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r>
    </w:tbl>
    <w:p>
      <w:pPr>
        <w:spacing w:after="0" w:line="121" w:lineRule="exact"/>
        <w:rPr>
          <w:sz w:val="20"/>
          <w:szCs w:val="20"/>
          <w:color w:val="auto"/>
        </w:rPr>
      </w:pPr>
    </w:p>
    <w:p>
      <w:pPr>
        <w:jc w:val="both"/>
        <w:ind w:left="340" w:hanging="332"/>
        <w:spacing w:after="0" w:line="25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Purchase obligations include amounts related to component inventory that our primary contract manufacturer procures on our behalf in accordance with our production forecast as well as other inventory related purchase commitments. The timing of purchases in future periods could differ materially from estimates presented above due to fluctuations in demand requirements related to varying sales levels as well as changes in economic conditions.</w:t>
      </w:r>
    </w:p>
    <w:p>
      <w:pPr>
        <w:spacing w:after="0" w:line="96"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On January 28, 2019, we repaid in full the remaining principal amount of the Term Loans of approximately $39.5 million plus accrued interest and fees owed to lenders affiliated with Tennenbaum Capital Partners, LLC.</w:t>
      </w:r>
    </w:p>
    <w:p>
      <w:pPr>
        <w:spacing w:after="0" w:line="19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On May 30, 2019, we entered into separately and privately negotiated transactions with certain holders of our Notes due 2023 resulting in the repurchase and exchange, as of June 5, 2019, of $60.0 million aggregate principal amount of the notes in consideration for the issuance of 10,801,080 shares of common stock and separate cash payments totaling $6.0 million. As of September 30, 2019, $5.0 million aggregate principal amount of our Notes due 2023 were outstanding. See Note 8, “Debt,” of the notes to condensed consolidated financial statements included in Part I, Item 1 of this Form 10-Q for more information relating to the Notes due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302260</wp:posOffset>
            </wp:positionV>
            <wp:extent cx="70580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32</w:t>
      </w:r>
    </w:p>
    <w:p>
      <w:pPr>
        <w:sectPr>
          <w:pgSz w:w="11900" w:h="16838" w:orient="portrait"/>
          <w:cols w:equalWidth="0" w:num="1">
            <w:col w:w="11420"/>
          </w:cols>
          <w:pgMar w:left="240" w:top="283" w:right="239" w:bottom="1440" w:gutter="0" w:footer="0" w:header="0"/>
        </w:sectPr>
      </w:pPr>
    </w:p>
    <w:bookmarkStart w:id="34" w:name="page35"/>
    <w:bookmarkEnd w:id="34"/>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On June 5, 2019, we issued $132.0 million aggregate principal amount of Notes due 2024 in a private placement. The Notes due 2024 are general unsecured obligations and bear interest at a rate of 1.0% per year, payable semi-annually on June 1 and December 1 of each year, beginning on December 1, 2019. The Notes due 2024 will mature on June 1, 2024, unless earlier repurchased by us or converted at the option of the holders. As of September 30, 2019, $132.0 million aggregate principal amount of our Notes due 2024 were outstanding. See Note 8, “Debt,” of the notes to condensed consolidated financial statements included in Part I, Item 1 of this Form 10-Q for more information relating to the Notes due 2024.</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2019, we did not have any off-balance sheet arrangements, as defined in Item 303(a)(4)(ii) of SEC Regulation S-K.</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condensed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21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Recently Issued Accounting Pronouncements</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Refer to Note 1. “Summary of Significant Accounting Policies” of the notes to condensed consolidated financial statements included in Part I, Item 1 of this Form 10-Q for a discussion of adoption of new and recently issued accounting pronouncements.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jc w:val="both"/>
        <w:ind w:firstLine="486"/>
        <w:spacing w:after="0" w:line="216" w:lineRule="exact"/>
        <w:rPr>
          <w:sz w:val="20"/>
          <w:szCs w:val="20"/>
          <w:color w:val="auto"/>
        </w:rPr>
      </w:pPr>
      <w:r>
        <w:rPr>
          <w:rFonts w:ascii="Arial" w:cs="Arial" w:eastAsia="Arial" w:hAnsi="Arial"/>
          <w:sz w:val="18"/>
          <w:szCs w:val="18"/>
          <w:color w:val="auto"/>
        </w:rPr>
        <w:t>For quantitative and qualitative disclosures about market risk, see Item 7A, “Quantitative and Qualitative Disclosures About Market Risk”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2018. Our exposures to market risk have not changed materially since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309880</wp:posOffset>
            </wp:positionV>
            <wp:extent cx="70580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33</w:t>
      </w:r>
    </w:p>
    <w:p>
      <w:pPr>
        <w:sectPr>
          <w:pgSz w:w="11900" w:h="16838" w:orient="portrait"/>
          <w:cols w:equalWidth="0" w:num="1">
            <w:col w:w="11420"/>
          </w:cols>
          <w:pgMar w:left="240" w:top="283" w:right="239" w:bottom="1440" w:gutter="0" w:footer="0" w:header="0"/>
        </w:sectPr>
      </w:pPr>
    </w:p>
    <w:bookmarkStart w:id="35" w:name="page36"/>
    <w:bookmarkEnd w:id="35"/>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September 30, 2019.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September 30, 2019, our chief executive officer and chief financial officer concluded that, as of such date, our disclosure controls and procedures were effective at the reasonable assurance level.</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574675</wp:posOffset>
            </wp:positionV>
            <wp:extent cx="70580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34</w:t>
      </w:r>
    </w:p>
    <w:p>
      <w:pPr>
        <w:sectPr>
          <w:pgSz w:w="11900" w:h="16838" w:orient="portrait"/>
          <w:cols w:equalWidth="0" w:num="1">
            <w:col w:w="11420"/>
          </w:cols>
          <w:pgMar w:left="240" w:top="283" w:right="239" w:bottom="1440" w:gutter="0" w:footer="0" w:header="0"/>
        </w:sectPr>
      </w:pPr>
    </w:p>
    <w:bookmarkStart w:id="36" w:name="page37"/>
    <w:bookmarkEnd w:id="36"/>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From time to time, we may be involved in litigation relating to claims arising out of our operations. We are not currently involved in any material legal proceedings, and our management believes there are currently no claims or actions pending against us, the ultimate disposition of which could have a material adverse effect on our operations, financial condition, or cash flows.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jc w:val="both"/>
        <w:ind w:firstLine="486"/>
        <w:spacing w:after="0" w:line="217" w:lineRule="exact"/>
        <w:rPr>
          <w:sz w:val="20"/>
          <w:szCs w:val="20"/>
          <w:color w:val="auto"/>
        </w:rPr>
      </w:pPr>
      <w:r>
        <w:rPr>
          <w:rFonts w:ascii="Arial" w:cs="Arial" w:eastAsia="Arial" w:hAnsi="Arial"/>
          <w:sz w:val="18"/>
          <w:szCs w:val="18"/>
          <w:color w:val="auto"/>
        </w:rPr>
        <w:t>Other than described below, there has been no material changes in our risk factors from those disclosed in Part I, Item 1A,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2018.</w:t>
      </w:r>
    </w:p>
    <w:p>
      <w:pPr>
        <w:spacing w:after="0" w:line="24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Conversion of our Convertible Notes may dilute the ownership interest of existing stockholders or may otherwise depress the price of our common stock.</w:t>
      </w:r>
    </w:p>
    <w:p>
      <w:pPr>
        <w:spacing w:after="0" w:line="17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August 2018, we issued and sold a total of $65.0 million aggregate principal amount of our convertible senior notes due 2023 (the “Notes due 2023”) in a private placement to qualified institutional buyers and an affiliate of the Company. In May 2019, we entered into separately and privately negotiated transactions with certain holders of the Notes due 2023 resulting in the repurchase and exchange of $60.0 million aggregate principal amount of the notes in consideration for the issuance of shares of common stock and separate cash payments. As of September 30, 2019, $5.0 million aggregate principal amount of the Notes due 2023 are outstanding.</w:t>
      </w:r>
    </w:p>
    <w:p>
      <w:pPr>
        <w:spacing w:after="0" w:line="206"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In June 2019, we issued and sold a total of $132.0 million aggregate principal amount of our convertible senior notes due 2024 (the “Notes due 2024” and together with the Notes due 2023, the “Convertible Notes”).</w:t>
      </w:r>
    </w:p>
    <w:p>
      <w:pPr>
        <w:spacing w:after="0" w:line="19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conversion of some or all of the Convertible Notes may dilute the ownership interests of existing stockholders. Any sales in the public market of the common stock issuable upon such conversion could adversely affect prevailing market prices of our common stock. In addition, the existence of the Convertible Notes may encourage short selling by market participants because the conversion of the Convertible Notes could be used to satisfy short positions. In addition, the anticipated conversion of the Convertible Notes into shares of our common stock could depress the price of our common stock.</w:t>
      </w:r>
    </w:p>
    <w:p>
      <w:pPr>
        <w:spacing w:after="0" w:line="23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Servicing our debts requires a significant amount of cash, and we may not have sufficient cash flow from our business to pay our debts.</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continue to generate cash flow from operations in the future sufficient to service our debts, including the Convertible Notes, and make necessary capital expenditures. If we are unable to generate cash flow, we may be required to adopt one or more alternatives, such as selling assets, restructuring debt or obtaining additional equity capital on terms that may be onerous or highly dilutive. Our ability to refinance our indebtedness, including the Convertible Notes, will depend on the capital markets and our financial condition at such time. We may not be able to engage in any of those activities or engage in these activities on desirable terms, which could result in a default on our debt obligations, including our obligations under the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302895</wp:posOffset>
            </wp:positionV>
            <wp:extent cx="70580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35</w:t>
      </w:r>
    </w:p>
    <w:p>
      <w:pPr>
        <w:sectPr>
          <w:pgSz w:w="11900" w:h="16838" w:orient="portrait"/>
          <w:cols w:equalWidth="0" w:num="1">
            <w:col w:w="11420"/>
          </w:cols>
          <w:pgMar w:left="240" w:top="283" w:right="239" w:bottom="1440" w:gutter="0" w:footer="0" w:header="0"/>
        </w:sectPr>
      </w:pPr>
    </w:p>
    <w:bookmarkStart w:id="37" w:name="page38"/>
    <w:bookmarkEnd w:id="37"/>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repurchase the Convertible Notes upon a fundamental change or to repay the Notes due 2023 and the Notes due 2024 at maturity.</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Holders of our Notes due 2023 will have the right to require us to repurchase all or a portion of their convertible notes upon the occurrence of a fundamental change at 100% of the principal amount of the Notes due 2023, plus accrued and unpaid interest. Fundamental change is defined in the Notes due 2023 Indenture entered into in connection with the Notes due 2023 financing and consists of events such as an acquisition of a majority of our outstanding common stock, an acquisition of our company or substantially all of our assets, the approval by our stockholders of a plan of liquidation or dissolution, or our common stock no longer being listed on the Nasdaq Global Select Market or the Nasdaq Global Market. Moreover, we will be required to repay the Notes due 2023 in cash at their maturity, unless earlier converted or repurchased. However, we may not have enough available cash or be able to obtain financing at the time we are required to make repurchases of the Notes due 2023 surrendered or repay the Notes due 2023 at maturity.</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Similarly, holders of our Notes due 2024 will have the right to require us to repurchase all or a portion of their convertible notes upon the occurrence of a fundamental change at 100% of the principal amount of the Notes due 2024, plus accrued and unpaid interest. Fundamental change is defined in the Notes due 2024 Indenture entered into in connection with the Notes due 2024 financing and consists of events such as an acquisition of a majority of our outstanding common stock, an acquisition of our company or substantially all of our assets, the approval by our stockholders of a plan of liquidation or dissolution, or our common stock no longer being listed on the Nasdaq Global Select Market or the Nasdaq Global Market. We may not have enough available cash or be able to obtain financing at the time we are required to make such repurchase of the Notes due 2024.</w:t>
      </w:r>
    </w:p>
    <w:p>
      <w:pPr>
        <w:spacing w:after="0" w:line="20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If we do not have enough available cash at the time we are required to make the required repurchases of the Convertible Notes, we may be required to undertake one or more actions, such as selling assets, attempting to restructure the Convertible Notes or other debt, or obtaining additional capital on terms that may be onerous or highly dilutive. Any such actions could have a material adverse effect on our business, financial condition or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convertible note hedge and warrant transactions and/or their early termination may affect the value of our common stock.</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In connection with the offering of the Notes due 2024, we entered into privately negotiated convertible note hedge transactions pursuant to which we have the option to purchase approximately the same number of shares of our common stock initially issuable upon conversion of the Notes due 2024, at a price approximately the same as the initial conversion price of the Notes due 2024. These transactions are expected to reduce the potential dilution with respect to our common stock upon conversion of the Notes due 2024. Separately, we also entered into privately negotiated warrant transactions to acquire the same number of shares of our common stock initially issuable upon conversion of the Notes due 2024 (subject to customary anti-dilution adjustments) at an initial strike price of approximately $25.23 per share. If the market value per share of our common stock, as measured under the warrants, exceeds the strike price of the warrants, the warrants will have a dilutive effect on the ownership interests of existing stockholders and on our earnings per share, unless we elect, subject to certain conditions, to settle the warrants in cash. However, we may not have enough available cash or be able to obtain financing at the time of settlement.</w:t>
      </w:r>
    </w:p>
    <w:p>
      <w:pPr>
        <w:spacing w:after="0" w:line="21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addition, the existence of the convertible note hedge and warrant transactions may encourage purchasing and selling share of our common stock, or other of our securities and instruments, in open market and/or privately negotiated transactions in order to modify hedge positions. Any of these activities could adversely affect the value of our common stock and the value of the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300355</wp:posOffset>
            </wp:positionV>
            <wp:extent cx="70580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36</w:t>
      </w:r>
    </w:p>
    <w:p>
      <w:pPr>
        <w:sectPr>
          <w:pgSz w:w="11900" w:h="16838" w:orient="portrait"/>
          <w:cols w:equalWidth="0" w:num="1">
            <w:col w:w="11420"/>
          </w:cols>
          <w:pgMar w:left="240" w:top="283" w:right="239" w:bottom="1440" w:gutter="0" w:footer="0" w:header="0"/>
        </w:sectPr>
      </w:pPr>
    </w:p>
    <w:bookmarkStart w:id="38" w:name="page39"/>
    <w:bookmarkEnd w:id="38"/>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in current accounting methods, standards, or regulations applicable to the Convertible Notes due 2024 could have a material impact on our reported financial results, future financial results, future cash flows, and/or our stock price.</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Under Accounting Standards Codification (“ASC”) 470-20, “Debt with Conversion and Other Options,” an entity must separately account for the liability and equity components of convertible debt instruments, such as the Notes due 2024, that may be settled entirely or partially in cash upon conversion, in a manner that reflects the issuer’s economic interest cost. Accordingly, we have included the equity component in the additional paid-in capital section of stockholders’ equity on our consolidated balance sheet at the issuance date, and we have treated the value of the equity component as debt discount for the liability component. We are required to amortize the debt discount as non-cash interest expense over the term of the Notes due 2024, which could adversely affect our reported or future financial results or the trading price of our common stock.</w:t>
      </w:r>
    </w:p>
    <w:p>
      <w:pPr>
        <w:spacing w:after="0" w:line="9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addition, we use the treasury stock method for convertible debt instruments (such as the Notes due 2024) that may be settled entirely or partly in cash, and the effect of which is that any shares issuable upon conversion of the notes are not included in the calculation of diluted earnings per share except to the extent that the conversion value of such notes exceeds their principal amount. Under the treasury stock method, for diluted earnings per share purposes, the transaction is accounted for as if the number of shares of common stock that would be necessary to settle such excess conversion value, if we elected to settle such excess in shares, are issued. We cannot be sure that the accounting standards in the future will continue to permit use of the treasury stock method. If we are unable to use the treasury stock method in accounting for the shares issuable upon conversion of the Notes due 2024, then our diluted earnings per share will be adversely affected.</w:t>
      </w:r>
    </w:p>
    <w:p>
      <w:pPr>
        <w:spacing w:after="0" w:line="9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Accounting Standards Update (“ASU”) 2016-15, “Statement of Cash Flows (Topic 230): Classification of Certain Cash Receipts and Cash Payments,” clarifies how certain cash receipts and payments should be classified in the statement of cash flows, including the cash settlement for our Notes due 2024. Upon cash settlement, repayment of the principal amount will be bifurcated between cash outflows for operating activities for the portion related to accreted interest attributable to debt discounts arising from the difference between the coupon interest rate and the effective interest rate, and financing activities for the remainder. This will require us to classify the $36.4 million of accreted interest as cash used in operating activities in our consolidated statement of cash flows upon cash settlement, which could adversely affect our future cash flow from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589280</wp:posOffset>
            </wp:positionV>
            <wp:extent cx="70580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37</w:t>
      </w:r>
    </w:p>
    <w:p>
      <w:pPr>
        <w:sectPr>
          <w:pgSz w:w="11900" w:h="16838" w:orient="portrait"/>
          <w:cols w:equalWidth="0" w:num="1">
            <w:col w:w="11420"/>
          </w:cols>
          <w:pgMar w:left="240" w:top="283" w:right="239" w:bottom="1440" w:gutter="0" w:footer="0" w:header="0"/>
        </w:sectPr>
      </w:pPr>
    </w:p>
    <w:bookmarkStart w:id="39" w:name="page40"/>
    <w:bookmarkEnd w:id="39"/>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list of exhibits filed with this report or incorporated herein by reference is found in the Exhibit Index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Incorporation by Reference</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96"/>
        </w:trPr>
        <w:tc>
          <w:tcPr>
            <w:tcW w:w="8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Form</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SEC File No.</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Exhibit</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83"/>
        </w:trPr>
        <w:tc>
          <w:tcPr>
            <w:tcW w:w="820" w:type="dxa"/>
            <w:vAlign w:val="bottom"/>
            <w:tcBorders>
              <w:bottom w:val="single" w:sz="8" w:color="CCEEFF"/>
            </w:tcBorders>
            <w:gridSpan w:val="5"/>
            <w:vMerge w:val="restart"/>
            <w:shd w:val="clear" w:color="auto" w:fill="CCEEFF"/>
          </w:tcPr>
          <w:p>
            <w:pPr>
              <w:jc w:val="center"/>
              <w:spacing w:after="0"/>
              <w:rPr>
                <w:rFonts w:ascii="Arial" w:cs="Arial" w:eastAsia="Arial" w:hAnsi="Arial"/>
                <w:sz w:val="14"/>
                <w:szCs w:val="14"/>
                <w:color w:val="0000FF"/>
              </w:rPr>
            </w:pPr>
            <w:hyperlink w:anchor="page42">
              <w:r>
                <w:rPr>
                  <w:rFonts w:ascii="Arial" w:cs="Arial" w:eastAsia="Arial" w:hAnsi="Arial"/>
                  <w:sz w:val="14"/>
                  <w:szCs w:val="14"/>
                  <w:color w:val="0000FF"/>
                </w:rPr>
                <w:t>31.</w:t>
              </w:r>
              <w:r>
                <w:rPr>
                  <w:rFonts w:ascii="Arial" w:cs="Arial" w:eastAsia="Arial" w:hAnsi="Arial"/>
                  <w:sz w:val="14"/>
                  <w:szCs w:val="14"/>
                  <w:u w:val="single" w:color="auto"/>
                  <w:color w:val="0000FF"/>
                </w:rPr>
                <w:t>1</w:t>
              </w:r>
            </w:hyperlink>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860" w:type="dxa"/>
            <w:vAlign w:val="bottom"/>
            <w:tcBorders>
              <w:bottom w:val="single" w:sz="8" w:color="0000FF"/>
            </w:tcBorders>
            <w:gridSpan w:val="5"/>
            <w:shd w:val="clear" w:color="auto" w:fill="CCEEFF"/>
          </w:tcPr>
          <w:p>
            <w:pPr>
              <w:spacing w:after="0"/>
              <w:rPr>
                <w:rFonts w:ascii="Arial" w:cs="Arial" w:eastAsia="Arial" w:hAnsi="Arial"/>
                <w:sz w:val="14"/>
                <w:szCs w:val="14"/>
                <w:color w:val="0000FF"/>
              </w:rPr>
            </w:pPr>
            <w:hyperlink w:anchor="page42">
              <w:r>
                <w:rPr>
                  <w:rFonts w:ascii="Arial" w:cs="Arial" w:eastAsia="Arial" w:hAnsi="Arial"/>
                  <w:sz w:val="14"/>
                  <w:szCs w:val="14"/>
                  <w:color w:val="0000FF"/>
                </w:rPr>
                <w:t>Certification of Chief Executive Officer pursuant to Rule 13a-</w:t>
              </w:r>
            </w:hyperlink>
          </w:p>
        </w:tc>
        <w:tc>
          <w:tcPr>
            <w:tcW w:w="460" w:type="dxa"/>
            <w:vAlign w:val="bottom"/>
            <w:tcBorders>
              <w:bottom w:val="single" w:sz="8" w:color="CCEEFF"/>
            </w:tcBorders>
            <w:gridSpan w:val="3"/>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61"/>
        </w:trPr>
        <w:tc>
          <w:tcPr>
            <w:tcW w:w="820" w:type="dxa"/>
            <w:vAlign w:val="bottom"/>
            <w:gridSpan w:val="5"/>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320" w:type="dxa"/>
            <w:vAlign w:val="bottom"/>
            <w:gridSpan w:val="8"/>
            <w:vMerge w:val="restart"/>
            <w:shd w:val="clear" w:color="auto" w:fill="CCEEFF"/>
          </w:tcPr>
          <w:p>
            <w:pPr>
              <w:spacing w:after="0" w:line="142" w:lineRule="exact"/>
              <w:rPr>
                <w:rFonts w:ascii="Arial" w:cs="Arial" w:eastAsia="Arial" w:hAnsi="Arial"/>
                <w:sz w:val="14"/>
                <w:szCs w:val="14"/>
                <w:color w:val="0000FF"/>
              </w:rPr>
            </w:pPr>
            <w:hyperlink w:anchor="page42">
              <w:r>
                <w:rPr>
                  <w:rFonts w:ascii="Arial" w:cs="Arial" w:eastAsia="Arial" w:hAnsi="Arial"/>
                  <w:sz w:val="14"/>
                  <w:szCs w:val="14"/>
                  <w:color w:val="0000FF"/>
                </w:rPr>
                <w:t>14(a)/15d-14(a)</w:t>
              </w:r>
              <w:r>
                <w:rPr>
                  <w:rFonts w:ascii="Arial" w:cs="Arial" w:eastAsia="Arial" w:hAnsi="Arial"/>
                  <w:sz w:val="14"/>
                  <w:szCs w:val="14"/>
                  <w:color w:val="000000"/>
                </w:rPr>
                <w:t>.</w:t>
              </w:r>
            </w:hyperlink>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320" w:type="dxa"/>
            <w:vAlign w:val="bottom"/>
            <w:tcBorders>
              <w:top w:val="single" w:sz="8" w:color="CCEEFF"/>
            </w:tcBorders>
            <w:gridSpan w:val="8"/>
            <w:vMerge w:val="continue"/>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0000FF"/>
            </w:tcBorders>
            <w:shd w:val="clear" w:color="auto" w:fill="CCEEFF"/>
          </w:tcPr>
          <w:p>
            <w:pPr>
              <w:spacing w:after="0"/>
              <w:rPr>
                <w:sz w:val="11"/>
                <w:szCs w:val="11"/>
                <w:color w:val="auto"/>
              </w:rPr>
            </w:pPr>
          </w:p>
        </w:tc>
        <w:tc>
          <w:tcPr>
            <w:tcW w:w="20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820" w:type="dxa"/>
            <w:vAlign w:val="bottom"/>
            <w:gridSpan w:val="5"/>
            <w:vMerge w:val="restart"/>
          </w:tcPr>
          <w:p>
            <w:pPr>
              <w:jc w:val="center"/>
              <w:spacing w:after="0"/>
              <w:rPr>
                <w:rFonts w:ascii="Arial" w:cs="Arial" w:eastAsia="Arial" w:hAnsi="Arial"/>
                <w:sz w:val="14"/>
                <w:szCs w:val="14"/>
                <w:color w:val="0000FF"/>
              </w:rPr>
            </w:pPr>
            <w:hyperlink w:anchor="page43">
              <w:r>
                <w:rPr>
                  <w:rFonts w:ascii="Arial" w:cs="Arial" w:eastAsia="Arial" w:hAnsi="Arial"/>
                  <w:sz w:val="14"/>
                  <w:szCs w:val="14"/>
                  <w:color w:val="0000FF"/>
                </w:rPr>
                <w:t>31.</w:t>
              </w:r>
              <w:r>
                <w:rPr>
                  <w:rFonts w:ascii="Arial" w:cs="Arial" w:eastAsia="Arial" w:hAnsi="Arial"/>
                  <w:sz w:val="14"/>
                  <w:szCs w:val="14"/>
                  <w:u w:val="single" w:color="auto"/>
                  <w:color w:val="0000FF"/>
                </w:rPr>
                <w:t>2</w:t>
              </w:r>
            </w:hyperlink>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8"/>
          </w:tcPr>
          <w:p>
            <w:pPr>
              <w:spacing w:after="0"/>
              <w:rPr>
                <w:rFonts w:ascii="Arial" w:cs="Arial" w:eastAsia="Arial" w:hAnsi="Arial"/>
                <w:sz w:val="14"/>
                <w:szCs w:val="14"/>
                <w:color w:val="0000FF"/>
              </w:rPr>
            </w:pPr>
            <w:hyperlink w:anchor="page43">
              <w:r>
                <w:rPr>
                  <w:rFonts w:ascii="Arial" w:cs="Arial" w:eastAsia="Arial" w:hAnsi="Arial"/>
                  <w:sz w:val="14"/>
                  <w:szCs w:val="14"/>
                  <w:color w:val="0000FF"/>
                </w:rPr>
                <w:t>Certification of Chief Financial Officer pursuant to Rule 13a-</w:t>
              </w:r>
            </w:hyperlink>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61"/>
        </w:trPr>
        <w:tc>
          <w:tcPr>
            <w:tcW w:w="82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0" w:type="dxa"/>
            <w:vAlign w:val="bottom"/>
            <w:tcBorders>
              <w:top w:val="single" w:sz="8" w:color="0000FF"/>
            </w:tcBorders>
            <w:gridSpan w:val="3"/>
            <w:vMerge w:val="restart"/>
          </w:tcPr>
          <w:p>
            <w:pPr>
              <w:spacing w:after="0" w:line="142" w:lineRule="exact"/>
              <w:rPr>
                <w:rFonts w:ascii="Arial" w:cs="Arial" w:eastAsia="Arial" w:hAnsi="Arial"/>
                <w:sz w:val="14"/>
                <w:szCs w:val="14"/>
                <w:color w:val="0000FF"/>
              </w:rPr>
            </w:pPr>
            <w:hyperlink w:anchor="page43">
              <w:r>
                <w:rPr>
                  <w:rFonts w:ascii="Arial" w:cs="Arial" w:eastAsia="Arial" w:hAnsi="Arial"/>
                  <w:sz w:val="14"/>
                  <w:szCs w:val="14"/>
                  <w:color w:val="0000FF"/>
                </w:rPr>
                <w:t>14(a)/15d-14(a)</w:t>
              </w:r>
              <w:r>
                <w:rPr>
                  <w:rFonts w:ascii="Arial" w:cs="Arial" w:eastAsia="Arial" w:hAnsi="Arial"/>
                  <w:sz w:val="14"/>
                  <w:szCs w:val="14"/>
                  <w:color w:val="000000"/>
                </w:rPr>
                <w:t>.</w:t>
              </w:r>
            </w:hyperlink>
          </w:p>
        </w:tc>
        <w:tc>
          <w:tcPr>
            <w:tcW w:w="520" w:type="dxa"/>
            <w:vAlign w:val="bottom"/>
            <w:gridSpan w:val="5"/>
            <w:vMerge w:val="restart"/>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0" w:type="dxa"/>
            <w:vAlign w:val="bottom"/>
            <w:tcBorders>
              <w:top w:val="single" w:sz="8" w:color="0000FF"/>
            </w:tcBorders>
            <w:gridSpan w:val="3"/>
            <w:vMerge w:val="continue"/>
          </w:tcPr>
          <w:p>
            <w:pPr>
              <w:spacing w:after="0"/>
              <w:rPr>
                <w:sz w:val="5"/>
                <w:szCs w:val="5"/>
                <w:color w:val="auto"/>
              </w:rPr>
            </w:pPr>
          </w:p>
        </w:tc>
        <w:tc>
          <w:tcPr>
            <w:tcW w:w="520" w:type="dxa"/>
            <w:vAlign w:val="bottom"/>
            <w:gridSpan w:val="5"/>
            <w:vMerge w:val="continue"/>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top w:val="single" w:sz="8" w:color="0000FF"/>
            </w:tcBorders>
          </w:tcPr>
          <w:p>
            <w:pPr>
              <w:spacing w:after="0"/>
              <w:rPr>
                <w:sz w:val="11"/>
                <w:szCs w:val="11"/>
                <w:color w:val="auto"/>
              </w:rPr>
            </w:pPr>
          </w:p>
        </w:tc>
        <w:tc>
          <w:tcPr>
            <w:tcW w:w="2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40" w:type="dxa"/>
            <w:vAlign w:val="bottom"/>
            <w:vMerge w:val="restart"/>
            <w:shd w:val="clear" w:color="auto" w:fill="CCEEFF"/>
          </w:tcPr>
          <w:p>
            <w:pPr>
              <w:spacing w:after="0"/>
              <w:rPr>
                <w:sz w:val="24"/>
                <w:szCs w:val="24"/>
                <w:color w:val="auto"/>
              </w:rPr>
            </w:pPr>
          </w:p>
        </w:tc>
        <w:tc>
          <w:tcPr>
            <w:tcW w:w="580" w:type="dxa"/>
            <w:vAlign w:val="bottom"/>
            <w:gridSpan w:val="4"/>
            <w:vMerge w:val="restart"/>
            <w:shd w:val="clear" w:color="auto" w:fill="CCEEFF"/>
          </w:tcPr>
          <w:p>
            <w:pPr>
              <w:jc w:val="center"/>
              <w:ind w:right="240"/>
              <w:spacing w:after="0"/>
              <w:rPr>
                <w:rFonts w:ascii="Arial" w:cs="Arial" w:eastAsia="Arial" w:hAnsi="Arial"/>
                <w:sz w:val="14"/>
                <w:szCs w:val="14"/>
                <w:color w:val="0000FF"/>
              </w:rPr>
            </w:pPr>
            <w:hyperlink w:anchor="page44">
              <w:r>
                <w:rPr>
                  <w:rFonts w:ascii="Arial" w:cs="Arial" w:eastAsia="Arial" w:hAnsi="Arial"/>
                  <w:sz w:val="14"/>
                  <w:szCs w:val="14"/>
                  <w:color w:val="0000FF"/>
                </w:rPr>
                <w:t>32.1</w:t>
              </w:r>
            </w:hyperlink>
            <w:r>
              <w:rPr>
                <w:rFonts w:ascii="Arial" w:cs="Arial" w:eastAsia="Arial" w:hAnsi="Arial"/>
                <w:sz w:val="14"/>
                <w:szCs w:val="14"/>
                <w:color w:val="000000"/>
              </w:rPr>
              <w:t>*</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320" w:type="dxa"/>
            <w:vAlign w:val="bottom"/>
            <w:gridSpan w:val="8"/>
            <w:shd w:val="clear" w:color="auto" w:fill="CCEEFF"/>
          </w:tcPr>
          <w:p>
            <w:pPr>
              <w:spacing w:after="0"/>
              <w:rPr>
                <w:rFonts w:ascii="Arial" w:cs="Arial" w:eastAsia="Arial" w:hAnsi="Arial"/>
                <w:sz w:val="14"/>
                <w:szCs w:val="14"/>
                <w:color w:val="0000FF"/>
              </w:rPr>
            </w:pPr>
            <w:hyperlink w:anchor="page44">
              <w:r>
                <w:rPr>
                  <w:rFonts w:ascii="Arial" w:cs="Arial" w:eastAsia="Arial" w:hAnsi="Arial"/>
                  <w:sz w:val="14"/>
                  <w:szCs w:val="14"/>
                  <w:color w:val="0000FF"/>
                </w:rPr>
                <w:t>Certification of Chief Executive Officer and Chief Financial Officer</w:t>
              </w:r>
            </w:hyperlink>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240" w:type="dxa"/>
            <w:vAlign w:val="bottom"/>
            <w:tcBorders>
              <w:top w:val="single" w:sz="8" w:color="CCEEFF"/>
            </w:tcBorders>
            <w:vMerge w:val="continue"/>
            <w:shd w:val="clear" w:color="auto" w:fill="CCEEFF"/>
          </w:tcPr>
          <w:p>
            <w:pPr>
              <w:spacing w:after="0"/>
              <w:rPr>
                <w:sz w:val="12"/>
                <w:szCs w:val="12"/>
                <w:color w:val="auto"/>
              </w:rPr>
            </w:pPr>
          </w:p>
        </w:tc>
        <w:tc>
          <w:tcPr>
            <w:tcW w:w="580" w:type="dxa"/>
            <w:vAlign w:val="bottom"/>
            <w:tcBorders>
              <w:top w:val="single" w:sz="8" w:color="CCEEFF"/>
            </w:tcBorders>
            <w:gridSpan w:val="4"/>
            <w:vMerge w:val="continue"/>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160" w:type="dxa"/>
            <w:vAlign w:val="bottom"/>
            <w:tcBorders>
              <w:top w:val="single" w:sz="8" w:color="0000FF"/>
            </w:tcBorders>
            <w:gridSpan w:val="6"/>
            <w:shd w:val="clear" w:color="auto" w:fill="CCEEFF"/>
          </w:tcPr>
          <w:p>
            <w:pPr>
              <w:spacing w:after="0" w:line="142" w:lineRule="exact"/>
              <w:rPr>
                <w:rFonts w:ascii="Arial" w:cs="Arial" w:eastAsia="Arial" w:hAnsi="Arial"/>
                <w:sz w:val="14"/>
                <w:szCs w:val="14"/>
                <w:color w:val="0000FF"/>
              </w:rPr>
            </w:pPr>
            <w:hyperlink w:anchor="page44">
              <w:r>
                <w:rPr>
                  <w:rFonts w:ascii="Arial" w:cs="Arial" w:eastAsia="Arial" w:hAnsi="Arial"/>
                  <w:sz w:val="14"/>
                  <w:szCs w:val="14"/>
                  <w:color w:val="0000FF"/>
                </w:rPr>
                <w:t>pursuant to 18 U.S.C. Section 1350 as Adopted Pursuant to</w:t>
              </w:r>
            </w:hyperlink>
          </w:p>
        </w:tc>
        <w:tc>
          <w:tcPr>
            <w:tcW w:w="160" w:type="dxa"/>
            <w:vAlign w:val="bottom"/>
            <w:tcBorders>
              <w:top w:val="single" w:sz="8" w:color="CCEEFF"/>
            </w:tcBorders>
            <w:gridSpan w:val="2"/>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820" w:type="dxa"/>
            <w:vAlign w:val="bottom"/>
            <w:tcBorders>
              <w:top w:val="single" w:sz="8" w:color="0000FF"/>
            </w:tcBorders>
            <w:gridSpan w:val="4"/>
            <w:shd w:val="clear" w:color="auto" w:fill="CCEEFF"/>
          </w:tcPr>
          <w:p>
            <w:pPr>
              <w:spacing w:after="0" w:line="142" w:lineRule="exact"/>
              <w:rPr>
                <w:rFonts w:ascii="Arial" w:cs="Arial" w:eastAsia="Arial" w:hAnsi="Arial"/>
                <w:sz w:val="14"/>
                <w:szCs w:val="14"/>
                <w:color w:val="0000FF"/>
              </w:rPr>
            </w:pPr>
            <w:hyperlink w:anchor="page44">
              <w:r>
                <w:rPr>
                  <w:rFonts w:ascii="Arial" w:cs="Arial" w:eastAsia="Arial" w:hAnsi="Arial"/>
                  <w:sz w:val="14"/>
                  <w:szCs w:val="14"/>
                  <w:color w:val="0000FF"/>
                </w:rPr>
                <w:t>Section 906 of the Sarbanes-Oxley Act of 2002</w:t>
              </w:r>
              <w:r>
                <w:rPr>
                  <w:rFonts w:ascii="Arial" w:cs="Arial" w:eastAsia="Arial" w:hAnsi="Arial"/>
                  <w:sz w:val="14"/>
                  <w:szCs w:val="14"/>
                  <w:color w:val="000000"/>
                </w:rPr>
                <w:t>.</w:t>
              </w:r>
            </w:hyperlink>
          </w:p>
        </w:tc>
        <w:tc>
          <w:tcPr>
            <w:tcW w:w="500" w:type="dxa"/>
            <w:vAlign w:val="bottom"/>
            <w:tcBorders>
              <w:top w:val="single" w:sz="8" w:color="CCEEFF"/>
            </w:tcBorders>
            <w:gridSpan w:val="4"/>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0000FF"/>
            </w:tcBorders>
            <w:shd w:val="clear" w:color="auto" w:fill="CCEEFF"/>
          </w:tcPr>
          <w:p>
            <w:pPr>
              <w:spacing w:after="0"/>
              <w:rPr>
                <w:sz w:val="11"/>
                <w:szCs w:val="11"/>
                <w:color w:val="auto"/>
              </w:rPr>
            </w:pPr>
          </w:p>
        </w:tc>
        <w:tc>
          <w:tcPr>
            <w:tcW w:w="2000" w:type="dxa"/>
            <w:vAlign w:val="bottom"/>
            <w:tcBorders>
              <w:top w:val="single" w:sz="8" w:color="0000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20" w:type="dxa"/>
            <w:vAlign w:val="bottom"/>
            <w:gridSpan w:val="8"/>
          </w:tcPr>
          <w:p>
            <w:pPr>
              <w:spacing w:after="0"/>
              <w:rPr>
                <w:sz w:val="20"/>
                <w:szCs w:val="20"/>
                <w:color w:val="auto"/>
              </w:rPr>
            </w:pPr>
            <w:r>
              <w:rPr>
                <w:rFonts w:ascii="Arial" w:cs="Arial" w:eastAsia="Arial" w:hAnsi="Arial"/>
                <w:sz w:val="14"/>
                <w:szCs w:val="14"/>
                <w:color w:val="auto"/>
              </w:rPr>
              <w:t>XBRL Instance Document - the instance document does not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40" w:type="dxa"/>
            <w:vAlign w:val="bottom"/>
            <w:gridSpan w:val="7"/>
          </w:tcPr>
          <w:p>
            <w:pPr>
              <w:jc w:val="center"/>
              <w:ind w:right="10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14"/>
                <w:szCs w:val="14"/>
                <w:color w:val="auto"/>
              </w:rPr>
            </w:pPr>
          </w:p>
        </w:tc>
        <w:tc>
          <w:tcPr>
            <w:tcW w:w="4320" w:type="dxa"/>
            <w:vAlign w:val="bottom"/>
            <w:gridSpan w:val="8"/>
          </w:tcPr>
          <w:p>
            <w:pPr>
              <w:spacing w:after="0"/>
              <w:rPr>
                <w:sz w:val="20"/>
                <w:szCs w:val="20"/>
                <w:color w:val="auto"/>
              </w:rPr>
            </w:pPr>
            <w:r>
              <w:rPr>
                <w:rFonts w:ascii="Arial" w:cs="Arial" w:eastAsia="Arial" w:hAnsi="Arial"/>
                <w:sz w:val="14"/>
                <w:szCs w:val="14"/>
                <w:color w:val="auto"/>
              </w:rPr>
              <w:t>appear in the Interactive Data File because its XBRL tags are</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gridSpan w:val="8"/>
          </w:tcPr>
          <w:p>
            <w:pPr>
              <w:spacing w:after="0"/>
              <w:rPr>
                <w:sz w:val="20"/>
                <w:szCs w:val="20"/>
                <w:color w:val="auto"/>
              </w:rPr>
            </w:pPr>
            <w:r>
              <w:rPr>
                <w:rFonts w:ascii="Arial" w:cs="Arial" w:eastAsia="Arial" w:hAnsi="Arial"/>
                <w:sz w:val="14"/>
                <w:szCs w:val="14"/>
                <w:color w:val="auto"/>
              </w:rPr>
              <w:t>embedded within the Inline XBRL document.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940" w:type="dxa"/>
            <w:vAlign w:val="bottom"/>
            <w:gridSpan w:val="7"/>
            <w:shd w:val="clear" w:color="auto" w:fill="CCEEFF"/>
          </w:tcPr>
          <w:p>
            <w:pPr>
              <w:jc w:val="center"/>
              <w:ind w:right="120"/>
              <w:spacing w:after="0"/>
              <w:rPr>
                <w:sz w:val="20"/>
                <w:szCs w:val="20"/>
                <w:color w:val="auto"/>
              </w:rPr>
            </w:pPr>
            <w:r>
              <w:rPr>
                <w:rFonts w:ascii="Arial" w:cs="Arial" w:eastAsia="Arial" w:hAnsi="Arial"/>
                <w:sz w:val="14"/>
                <w:szCs w:val="14"/>
                <w:color w:val="auto"/>
              </w:rPr>
              <w:t>101.SCH</w:t>
            </w:r>
          </w:p>
        </w:tc>
        <w:tc>
          <w:tcPr>
            <w:tcW w:w="20" w:type="dxa"/>
            <w:vAlign w:val="bottom"/>
            <w:shd w:val="clear" w:color="auto" w:fill="CCEEFF"/>
          </w:tcPr>
          <w:p>
            <w:pPr>
              <w:spacing w:after="0"/>
              <w:rPr>
                <w:sz w:val="24"/>
                <w:szCs w:val="24"/>
                <w:color w:val="auto"/>
              </w:rPr>
            </w:pPr>
          </w:p>
        </w:tc>
        <w:tc>
          <w:tcPr>
            <w:tcW w:w="4320" w:type="dxa"/>
            <w:vAlign w:val="bottom"/>
            <w:gridSpan w:val="8"/>
            <w:shd w:val="clear" w:color="auto" w:fill="CCEEFF"/>
          </w:tcPr>
          <w:p>
            <w:pPr>
              <w:spacing w:after="0"/>
              <w:rPr>
                <w:sz w:val="20"/>
                <w:szCs w:val="20"/>
                <w:color w:val="auto"/>
              </w:rPr>
            </w:pPr>
            <w:r>
              <w:rPr>
                <w:rFonts w:ascii="Arial" w:cs="Arial" w:eastAsia="Arial" w:hAnsi="Arial"/>
                <w:sz w:val="14"/>
                <w:szCs w:val="14"/>
                <w:color w:val="auto"/>
              </w:rPr>
              <w:t>XBRL Taxonomy Extension Schema Document.</w:t>
            </w: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940" w:type="dxa"/>
            <w:vAlign w:val="bottom"/>
            <w:gridSpan w:val="7"/>
          </w:tcPr>
          <w:p>
            <w:pPr>
              <w:jc w:val="center"/>
              <w:ind w:right="10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24"/>
                <w:szCs w:val="24"/>
                <w:color w:val="auto"/>
              </w:rPr>
            </w:pPr>
          </w:p>
        </w:tc>
        <w:tc>
          <w:tcPr>
            <w:tcW w:w="4320" w:type="dxa"/>
            <w:vAlign w:val="bottom"/>
            <w:gridSpan w:val="8"/>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940" w:type="dxa"/>
            <w:vAlign w:val="bottom"/>
            <w:gridSpan w:val="7"/>
            <w:shd w:val="clear" w:color="auto" w:fill="CCEEFF"/>
          </w:tcPr>
          <w:p>
            <w:pPr>
              <w:jc w:val="center"/>
              <w:ind w:right="120"/>
              <w:spacing w:after="0"/>
              <w:rPr>
                <w:sz w:val="20"/>
                <w:szCs w:val="20"/>
                <w:color w:val="auto"/>
              </w:rPr>
            </w:pPr>
            <w:r>
              <w:rPr>
                <w:rFonts w:ascii="Arial" w:cs="Arial" w:eastAsia="Arial" w:hAnsi="Arial"/>
                <w:sz w:val="14"/>
                <w:szCs w:val="14"/>
                <w:color w:val="auto"/>
              </w:rPr>
              <w:t>101.DEF</w:t>
            </w:r>
          </w:p>
        </w:tc>
        <w:tc>
          <w:tcPr>
            <w:tcW w:w="20" w:type="dxa"/>
            <w:vAlign w:val="bottom"/>
            <w:shd w:val="clear" w:color="auto" w:fill="CCEEFF"/>
          </w:tcPr>
          <w:p>
            <w:pPr>
              <w:spacing w:after="0"/>
              <w:rPr>
                <w:sz w:val="24"/>
                <w:szCs w:val="24"/>
                <w:color w:val="auto"/>
              </w:rPr>
            </w:pPr>
          </w:p>
        </w:tc>
        <w:tc>
          <w:tcPr>
            <w:tcW w:w="4320" w:type="dxa"/>
            <w:vAlign w:val="bottom"/>
            <w:gridSpan w:val="8"/>
            <w:shd w:val="clear" w:color="auto" w:fill="CCEEFF"/>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940" w:type="dxa"/>
            <w:vAlign w:val="bottom"/>
            <w:gridSpan w:val="7"/>
          </w:tcPr>
          <w:p>
            <w:pPr>
              <w:jc w:val="center"/>
              <w:ind w:right="1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24"/>
                <w:szCs w:val="24"/>
                <w:color w:val="auto"/>
              </w:rPr>
            </w:pPr>
          </w:p>
        </w:tc>
        <w:tc>
          <w:tcPr>
            <w:tcW w:w="4320" w:type="dxa"/>
            <w:vAlign w:val="bottom"/>
            <w:gridSpan w:val="8"/>
          </w:tcPr>
          <w:p>
            <w:pPr>
              <w:spacing w:after="0"/>
              <w:rPr>
                <w:sz w:val="20"/>
                <w:szCs w:val="20"/>
                <w:color w:val="auto"/>
              </w:rPr>
            </w:pPr>
            <w:r>
              <w:rPr>
                <w:rFonts w:ascii="Arial" w:cs="Arial" w:eastAsia="Arial" w:hAnsi="Arial"/>
                <w:sz w:val="14"/>
                <w:szCs w:val="14"/>
                <w:color w:val="auto"/>
              </w:rPr>
              <w:t>XBRL Taxonomy Extension Label Linkbase Document.</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940" w:type="dxa"/>
            <w:vAlign w:val="bottom"/>
            <w:gridSpan w:val="7"/>
            <w:shd w:val="clear" w:color="auto" w:fill="CCEEFF"/>
          </w:tcPr>
          <w:p>
            <w:pPr>
              <w:jc w:val="center"/>
              <w:ind w:right="120"/>
              <w:spacing w:after="0"/>
              <w:rPr>
                <w:sz w:val="20"/>
                <w:szCs w:val="20"/>
                <w:color w:val="auto"/>
              </w:rPr>
            </w:pPr>
            <w:r>
              <w:rPr>
                <w:rFonts w:ascii="Arial" w:cs="Arial" w:eastAsia="Arial" w:hAnsi="Arial"/>
                <w:sz w:val="14"/>
                <w:szCs w:val="14"/>
                <w:color w:val="auto"/>
              </w:rPr>
              <w:t>101.PRE</w:t>
            </w:r>
          </w:p>
        </w:tc>
        <w:tc>
          <w:tcPr>
            <w:tcW w:w="20" w:type="dxa"/>
            <w:vAlign w:val="bottom"/>
            <w:shd w:val="clear" w:color="auto" w:fill="CCEEFF"/>
          </w:tcPr>
          <w:p>
            <w:pPr>
              <w:spacing w:after="0"/>
              <w:rPr>
                <w:sz w:val="24"/>
                <w:szCs w:val="24"/>
                <w:color w:val="auto"/>
              </w:rPr>
            </w:pPr>
          </w:p>
        </w:tc>
        <w:tc>
          <w:tcPr>
            <w:tcW w:w="4320" w:type="dxa"/>
            <w:vAlign w:val="bottom"/>
            <w:gridSpan w:val="8"/>
            <w:shd w:val="clear" w:color="auto" w:fill="CCEEFF"/>
          </w:tcPr>
          <w:p>
            <w:pPr>
              <w:spacing w:after="0"/>
              <w:rPr>
                <w:sz w:val="20"/>
                <w:szCs w:val="20"/>
                <w:color w:val="auto"/>
              </w:rPr>
            </w:pPr>
            <w:r>
              <w:rPr>
                <w:rFonts w:ascii="Arial" w:cs="Arial" w:eastAsia="Arial" w:hAnsi="Arial"/>
                <w:sz w:val="14"/>
                <w:szCs w:val="14"/>
                <w:color w:val="auto"/>
              </w:rPr>
              <w:t>XBRL Taxonomy Extension Presentation Document.</w:t>
            </w: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left="340" w:hanging="332"/>
        <w:spacing w:after="0" w:line="25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506095</wp:posOffset>
            </wp:positionV>
            <wp:extent cx="70580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38</w:t>
      </w:r>
    </w:p>
    <w:p>
      <w:pPr>
        <w:sectPr>
          <w:pgSz w:w="11900" w:h="16838" w:orient="portrait"/>
          <w:cols w:equalWidth="0" w:num="1">
            <w:col w:w="11420"/>
          </w:cols>
          <w:pgMar w:left="240" w:top="283" w:right="239" w:bottom="1440" w:gutter="0" w:footer="0" w:header="0"/>
        </w:sectPr>
      </w:pPr>
    </w:p>
    <w:bookmarkStart w:id="40" w:name="page41"/>
    <w:bookmarkEnd w:id="40"/>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2019</w:t>
      </w:r>
    </w:p>
    <w:p>
      <w:pPr>
        <w:spacing w:after="0" w:line="36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ENPHASE ENERGY, INC.</w:t>
      </w:r>
    </w:p>
    <w:p>
      <w:pPr>
        <w:spacing w:after="0" w:line="207" w:lineRule="exact"/>
        <w:rPr>
          <w:sz w:val="20"/>
          <w:szCs w:val="20"/>
          <w:color w:val="auto"/>
        </w:rPr>
      </w:pPr>
    </w:p>
    <w:p>
      <w:pPr>
        <w:ind w:left="496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23495</wp:posOffset>
            </wp:positionV>
            <wp:extent cx="29673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Eric Branderiz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Vice President and Chief Financial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(Duly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323850</wp:posOffset>
            </wp:positionV>
            <wp:extent cx="70580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828282"/>
        </w:rPr>
        <w:t xml:space="preserve">Enphase Energy, Inc. | Q3 2019 Form 10-Q | </w:t>
      </w:r>
      <w:r>
        <w:rPr>
          <w:rFonts w:ascii="Arial" w:cs="Arial" w:eastAsia="Arial" w:hAnsi="Arial"/>
          <w:sz w:val="11"/>
          <w:szCs w:val="11"/>
          <w:b w:val="1"/>
          <w:bCs w:val="1"/>
          <w:color w:val="828282"/>
        </w:rPr>
        <w:t>39</w:t>
      </w:r>
    </w:p>
    <w:p>
      <w:pPr>
        <w:sectPr>
          <w:pgSz w:w="11900" w:h="16838" w:orient="portrait"/>
          <w:cols w:equalWidth="0" w:num="1">
            <w:col w:w="11340"/>
          </w:cols>
          <w:pgMar w:left="240" w:top="283" w:right="3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Badrinarayanan Kothandaraman, certify that:</w:t>
      </w:r>
    </w:p>
    <w:p>
      <w:pPr>
        <w:spacing w:after="0" w:line="198"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320" w:hanging="332"/>
        <w:spacing w:after="0" w:line="265"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60" w:hanging="322"/>
        <w:spacing w:after="0" w:line="256"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360" w:hanging="322"/>
        <w:spacing w:after="0" w:line="256"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00" w:hanging="322"/>
        <w:spacing w:after="0" w:line="256"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120" w:hanging="322"/>
        <w:spacing w:after="0" w:line="256"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260" w:hanging="322"/>
        <w:spacing w:after="0" w:line="256"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right="180" w:hanging="322"/>
        <w:spacing w:after="0" w:line="262" w:lineRule="auto"/>
        <w:tabs>
          <w:tab w:leader="none" w:pos="11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2019</w:t>
      </w:r>
    </w:p>
    <w:p>
      <w:pPr>
        <w:spacing w:after="0" w:line="200" w:lineRule="exact"/>
        <w:rPr>
          <w:sz w:val="20"/>
          <w:szCs w:val="20"/>
          <w:color w:val="auto"/>
        </w:rPr>
      </w:pPr>
    </w:p>
    <w:p>
      <w:pPr>
        <w:spacing w:after="0" w:line="22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Badrinarayanan Kothandaraman</w:t>
      </w:r>
    </w:p>
    <w:p>
      <w:pPr>
        <w:spacing w:after="0" w:line="5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ind w:left="57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27"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Eric Branderiz, certify that:</w:t>
      </w:r>
    </w:p>
    <w:p>
      <w:pPr>
        <w:spacing w:after="0" w:line="198"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320" w:hanging="332"/>
        <w:spacing w:after="0" w:line="265"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60" w:hanging="322"/>
        <w:spacing w:after="0" w:line="256"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360" w:hanging="322"/>
        <w:spacing w:after="0" w:line="256"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00" w:hanging="322"/>
        <w:spacing w:after="0" w:line="256"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120" w:hanging="322"/>
        <w:spacing w:after="0" w:line="256"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260" w:hanging="322"/>
        <w:spacing w:after="0" w:line="256"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right="180" w:hanging="322"/>
        <w:spacing w:after="0" w:line="262" w:lineRule="auto"/>
        <w:tabs>
          <w:tab w:leader="none" w:pos="11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2019</w:t>
      </w:r>
    </w:p>
    <w:p>
      <w:pPr>
        <w:spacing w:after="0" w:line="200" w:lineRule="exact"/>
        <w:rPr>
          <w:sz w:val="20"/>
          <w:szCs w:val="20"/>
          <w:color w:val="auto"/>
        </w:rPr>
      </w:pPr>
    </w:p>
    <w:p>
      <w:pPr>
        <w:spacing w:after="0" w:line="22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Eric Branderiz</w:t>
      </w:r>
    </w:p>
    <w:p>
      <w:pPr>
        <w:spacing w:after="0" w:line="5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Vice President and Chief Financial Officer</w:t>
      </w: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2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Eric Branderiz, Vice President and Chief Financial Officer of the Company, each hereby certifies that, to the best of his or her knowledge:</w:t>
      </w:r>
    </w:p>
    <w:p>
      <w:pPr>
        <w:spacing w:after="0" w:line="177" w:lineRule="exact"/>
        <w:rPr>
          <w:sz w:val="20"/>
          <w:szCs w:val="20"/>
          <w:color w:val="auto"/>
        </w:rPr>
      </w:pPr>
    </w:p>
    <w:p>
      <w:pPr>
        <w:ind w:right="220" w:firstLine="8"/>
        <w:spacing w:after="0" w:line="262" w:lineRule="auto"/>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2019, to which this Certification is attached as Exhibit 32.1 (the “Periodic Report”), fully complies with the requirements of Section 13(a) or Section 15(d) of the Exchange Act; and</w:t>
      </w:r>
    </w:p>
    <w:p>
      <w:pPr>
        <w:spacing w:after="0" w:line="169" w:lineRule="exact"/>
        <w:rPr>
          <w:rFonts w:ascii="Arial" w:cs="Arial" w:eastAsia="Arial" w:hAnsi="Arial"/>
          <w:sz w:val="18"/>
          <w:szCs w:val="18"/>
          <w:color w:val="auto"/>
        </w:rPr>
      </w:pPr>
    </w:p>
    <w:p>
      <w:pPr>
        <w:ind w:right="240" w:firstLine="8"/>
        <w:spacing w:after="0" w:line="262" w:lineRule="auto"/>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29th day of October,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/s/ BADRINARAYANAN KOTHANDARAMAN</w:t>
            </w:r>
          </w:p>
        </w:tc>
        <w:tc>
          <w:tcPr>
            <w:tcW w:w="5680" w:type="dxa"/>
            <w:vAlign w:val="bottom"/>
          </w:tcPr>
          <w:p>
            <w:pPr>
              <w:ind w:left="20"/>
              <w:spacing w:after="0"/>
              <w:rPr>
                <w:sz w:val="20"/>
                <w:szCs w:val="20"/>
                <w:color w:val="auto"/>
              </w:rPr>
            </w:pPr>
            <w:r>
              <w:rPr>
                <w:rFonts w:ascii="Arial" w:cs="Arial" w:eastAsia="Arial" w:hAnsi="Arial"/>
                <w:sz w:val="18"/>
                <w:szCs w:val="18"/>
                <w:color w:val="auto"/>
              </w:rPr>
              <w:t>/s/ ERIC BRANDERIZ</w:t>
            </w:r>
          </w:p>
        </w:tc>
      </w:tr>
      <w:tr>
        <w:trPr>
          <w:trHeight w:val="27"/>
        </w:trPr>
        <w:tc>
          <w:tcPr>
            <w:tcW w:w="5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Badrinarayanan Kothandaraman</w:t>
            </w:r>
          </w:p>
        </w:tc>
        <w:tc>
          <w:tcPr>
            <w:tcW w:w="5680" w:type="dxa"/>
            <w:vAlign w:val="bottom"/>
          </w:tcPr>
          <w:p>
            <w:pPr>
              <w:ind w:left="20"/>
              <w:spacing w:after="0"/>
              <w:rPr>
                <w:sz w:val="20"/>
                <w:szCs w:val="20"/>
                <w:color w:val="auto"/>
              </w:rPr>
            </w:pPr>
            <w:r>
              <w:rPr>
                <w:rFonts w:ascii="Arial" w:cs="Arial" w:eastAsia="Arial" w:hAnsi="Arial"/>
                <w:sz w:val="18"/>
                <w:szCs w:val="18"/>
                <w:color w:val="auto"/>
              </w:rPr>
              <w:t>Eric Branderiz</w:t>
            </w:r>
          </w:p>
        </w:tc>
      </w:tr>
      <w:tr>
        <w:trPr>
          <w:trHeight w:val="27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568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9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569"/>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2"/>
    </w:lvl>
  </w:abstractNum>
  <w:abstractNum w:abstractNumId="6">
    <w:nsid w:val="257130A3"/>
    <w:multiLevelType w:val="hybridMultilevel"/>
    <w:lvl w:ilvl="0">
      <w:lvlJc w:val="left"/>
      <w:lvlText w:val="%1."/>
      <w:numFmt w:val="decimal"/>
      <w:start w:val="3"/>
    </w:lvl>
  </w:abstractNum>
  <w:abstractNum w:abstractNumId="7">
    <w:nsid w:val="62BBD95A"/>
    <w:multiLevelType w:val="hybridMultilevel"/>
    <w:lvl w:ilvl="0">
      <w:lvlJc w:val="left"/>
      <w:lvlText w:val="%1."/>
      <w:numFmt w:val="decimal"/>
      <w:start w:val="4"/>
    </w:lvl>
  </w:abstractNum>
  <w:abstractNum w:abstractNumId="8">
    <w:nsid w:val="436C6125"/>
    <w:multiLevelType w:val="hybridMultilevel"/>
    <w:lvl w:ilvl="0">
      <w:lvlJc w:val="left"/>
      <w:lvlText w:val="%1."/>
      <w:numFmt w:val="decimal"/>
      <w:start w:val="5"/>
    </w:lvl>
  </w:abstractNum>
  <w:abstractNum w:abstractNumId="9">
    <w:nsid w:val="628C895D"/>
    <w:multiLevelType w:val="hybridMultilevel"/>
    <w:lvl w:ilvl="0">
      <w:lvlJc w:val="left"/>
      <w:lvlText w:val="%1."/>
      <w:numFmt w:val="decimal"/>
      <w:start w:val="6"/>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8"/>
    </w:lvl>
  </w:abstractNum>
  <w:abstractNum w:abstractNumId="14">
    <w:nsid w:val="6763845E"/>
    <w:multiLevelType w:val="hybridMultilevel"/>
    <w:lvl w:ilvl="0">
      <w:lvlJc w:val="left"/>
      <w:lvlText w:val="%1."/>
      <w:numFmt w:val="decimal"/>
      <w:start w:val="9"/>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0"/>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1"/>
    </w:lvl>
  </w:abstractNum>
  <w:abstractNum w:abstractNumId="24">
    <w:nsid w:val="836C40E"/>
    <w:multiLevelType w:val="hybridMultilevel"/>
    <w:lvl w:ilvl="0">
      <w:lvlJc w:val="left"/>
      <w:lvlText w:val="%1."/>
      <w:numFmt w:val="decimal"/>
      <w:start w:val="12"/>
    </w:lvl>
  </w:abstractNum>
  <w:abstractNum w:abstractNumId="25">
    <w:nsid w:val="2901D82"/>
    <w:multiLevelType w:val="hybridMultilevel"/>
    <w:lvl w:ilvl="0">
      <w:lvlJc w:val="left"/>
      <w:lvlText w:val="%1."/>
      <w:numFmt w:val="decimal"/>
      <w:start w:val="13"/>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2019-12-28T04:18:51Z</dcterms:created>
  <dcterms:modified xsi:type="dcterms:W3CDTF">2019-12-28T04:18:51Z</dcterms:modified>
</cp:coreProperties>
</file>