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54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720" w:right="8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2"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Commission File Number: 001-35480</w:t>
            </w:r>
          </w:p>
        </w:tc>
        <w:tc>
          <w:tcPr>
            <w:tcW w:w="1260" w:type="dxa"/>
            <w:vAlign w:val="bottom"/>
          </w:tcPr>
          <w:p>
            <w:pPr>
              <w:spacing w:after="0"/>
              <w:rPr>
                <w:sz w:val="20"/>
                <w:szCs w:val="20"/>
                <w:color w:val="auto"/>
              </w:rPr>
            </w:pPr>
          </w:p>
        </w:tc>
      </w:tr>
      <w:tr>
        <w:trPr>
          <w:trHeight w:val="130"/>
        </w:trPr>
        <w:tc>
          <w:tcPr>
            <w:tcW w:w="6580" w:type="dxa"/>
            <w:vAlign w:val="bottom"/>
          </w:tcPr>
          <w:p>
            <w:pPr>
              <w:jc w:val="center"/>
              <w:ind w:left="2010"/>
              <w:spacing w:after="0" w:line="131" w:lineRule="exact"/>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1"/>
                <w:szCs w:val="11"/>
                <w:color w:val="auto"/>
              </w:rPr>
            </w:pPr>
          </w:p>
        </w:tc>
      </w:tr>
      <w:tr>
        <w:trPr>
          <w:trHeight w:val="575"/>
        </w:trPr>
        <w:tc>
          <w:tcPr>
            <w:tcW w:w="6580" w:type="dxa"/>
            <w:vAlign w:val="bottom"/>
          </w:tcPr>
          <w:p>
            <w:pPr>
              <w:ind w:left="2160"/>
              <w:spacing w:after="0"/>
              <w:rPr>
                <w:sz w:val="20"/>
                <w:szCs w:val="20"/>
                <w:color w:val="auto"/>
              </w:rPr>
            </w:pPr>
            <w:r>
              <w:rPr>
                <w:rFonts w:ascii="Arial" w:cs="Arial" w:eastAsia="Arial" w:hAnsi="Arial"/>
                <w:sz w:val="43"/>
                <w:szCs w:val="43"/>
                <w:b w:val="1"/>
                <w:bCs w:val="1"/>
                <w:color w:val="auto"/>
              </w:rPr>
              <w:t>Enphase Energy, Inc.</w:t>
            </w:r>
          </w:p>
        </w:tc>
        <w:tc>
          <w:tcPr>
            <w:tcW w:w="1260" w:type="dxa"/>
            <w:vAlign w:val="bottom"/>
          </w:tcPr>
          <w:p>
            <w:pPr>
              <w:spacing w:after="0"/>
              <w:rPr>
                <w:sz w:val="24"/>
                <w:szCs w:val="24"/>
                <w:color w:val="auto"/>
              </w:rPr>
            </w:pPr>
          </w:p>
        </w:tc>
      </w:tr>
      <w:tr>
        <w:trPr>
          <w:trHeight w:val="28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60" w:type="dxa"/>
            <w:vAlign w:val="bottom"/>
          </w:tcPr>
          <w:p>
            <w:pPr>
              <w:spacing w:after="0"/>
              <w:rPr>
                <w:sz w:val="24"/>
                <w:szCs w:val="2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r>
        <w:trPr>
          <w:trHeight w:val="323"/>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20-4645388</w:t>
            </w:r>
          </w:p>
        </w:tc>
      </w:tr>
      <w:tr>
        <w:trPr>
          <w:trHeight w:val="16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(State or other jurisdiction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incorporation or organization)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40"/>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1420 N. McDowell Blvd.</w:t>
            </w:r>
          </w:p>
        </w:tc>
        <w:tc>
          <w:tcPr>
            <w:tcW w:w="1260" w:type="dxa"/>
            <w:vAlign w:val="bottom"/>
          </w:tcPr>
          <w:p>
            <w:pPr>
              <w:spacing w:after="0"/>
              <w:rPr>
                <w:sz w:val="24"/>
                <w:szCs w:val="24"/>
                <w:color w:val="auto"/>
              </w:rPr>
            </w:pPr>
          </w:p>
        </w:tc>
      </w:tr>
      <w:tr>
        <w:trPr>
          <w:trHeight w:val="239"/>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Petaluma, California</w:t>
            </w:r>
          </w:p>
        </w:tc>
        <w:tc>
          <w:tcPr>
            <w:tcW w:w="1260" w:type="dxa"/>
            <w:vAlign w:val="bottom"/>
          </w:tcPr>
          <w:p>
            <w:pPr>
              <w:jc w:val="right"/>
              <w:ind w:right="281"/>
              <w:spacing w:after="0"/>
              <w:rPr>
                <w:sz w:val="20"/>
                <w:szCs w:val="20"/>
                <w:color w:val="auto"/>
              </w:rPr>
            </w:pPr>
            <w:r>
              <w:rPr>
                <w:rFonts w:ascii="Arial" w:cs="Arial" w:eastAsia="Arial" w:hAnsi="Arial"/>
                <w:sz w:val="18"/>
                <w:szCs w:val="18"/>
                <w:b w:val="1"/>
                <w:bCs w:val="1"/>
                <w:color w:val="auto"/>
              </w:rPr>
              <w:t>94954</w:t>
            </w:r>
          </w:p>
        </w:tc>
      </w:tr>
      <w:tr>
        <w:trPr>
          <w:trHeight w:val="218"/>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5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(707) 774-7000</w:t>
            </w:r>
          </w:p>
        </w:tc>
        <w:tc>
          <w:tcPr>
            <w:tcW w:w="1260" w:type="dxa"/>
            <w:vAlign w:val="bottom"/>
          </w:tcPr>
          <w:p>
            <w:pPr>
              <w:spacing w:after="0"/>
              <w:rPr>
                <w:sz w:val="24"/>
                <w:szCs w:val="24"/>
                <w:color w:val="auto"/>
              </w:rPr>
            </w:pPr>
          </w:p>
        </w:tc>
      </w:tr>
      <w:tr>
        <w:trPr>
          <w:trHeight w:val="167"/>
        </w:trPr>
        <w:tc>
          <w:tcPr>
            <w:tcW w:w="6580" w:type="dxa"/>
            <w:vAlign w:val="bottom"/>
          </w:tcPr>
          <w:p>
            <w:pPr>
              <w:jc w:val="center"/>
              <w:ind w:left="197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260" w:type="dxa"/>
            <w:vAlign w:val="bottom"/>
          </w:tcPr>
          <w:p>
            <w:pPr>
              <w:spacing w:after="0"/>
              <w:rPr>
                <w:sz w:val="14"/>
                <w:szCs w:val="1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bl>
    <w:p>
      <w:pPr>
        <w:spacing w:after="0" w:line="138" w:lineRule="exact"/>
        <w:rPr>
          <w:sz w:val="24"/>
          <w:szCs w:val="24"/>
          <w:color w:val="auto"/>
        </w:rPr>
      </w:pPr>
    </w:p>
    <w:p>
      <w:pPr>
        <w:ind w:right="2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70"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ectPr>
          <w:pgSz w:w="11900" w:h="16838" w:orient="portrait"/>
          <w:cols w:equalWidth="0" w:num="1">
            <w:col w:w="11340"/>
          </w:cols>
          <w:pgMar w:left="240" w:top="247" w:right="319" w:bottom="1440" w:gutter="0" w:footer="0" w:header="0"/>
        </w:sectPr>
      </w:pPr>
    </w:p>
    <w:p>
      <w:pPr>
        <w:spacing w:after="0" w:line="10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1080"/>
              <w:spacing w:after="0"/>
              <w:rPr>
                <w:sz w:val="20"/>
                <w:szCs w:val="20"/>
                <w:color w:val="auto"/>
              </w:rPr>
            </w:pPr>
            <w:r>
              <w:rPr>
                <w:rFonts w:ascii="Arial" w:cs="Arial" w:eastAsia="Arial" w:hAnsi="Arial"/>
                <w:sz w:val="14"/>
                <w:szCs w:val="14"/>
                <w:color w:val="auto"/>
              </w:rPr>
              <w:t>Accelerated filer</w:t>
            </w:r>
          </w:p>
        </w:tc>
      </w:tr>
      <w:tr>
        <w:trPr>
          <w:trHeight w:val="35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0" w:type="dxa"/>
            <w:vAlign w:val="bottom"/>
          </w:tcPr>
          <w:p>
            <w:pPr>
              <w:ind w:left="4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800" w:type="dxa"/>
            <w:vAlign w:val="bottom"/>
          </w:tcPr>
          <w:p>
            <w:pPr>
              <w:ind w:left="1080"/>
              <w:spacing w:after="0"/>
              <w:rPr>
                <w:sz w:val="20"/>
                <w:szCs w:val="20"/>
                <w:color w:val="auto"/>
              </w:rPr>
            </w:pPr>
            <w:r>
              <w:rPr>
                <w:rFonts w:ascii="Arial" w:cs="Arial" w:eastAsia="Arial" w:hAnsi="Arial"/>
                <w:sz w:val="14"/>
                <w:szCs w:val="14"/>
                <w:color w:val="auto"/>
              </w:rPr>
              <w:t>Smaller reporting company</w:t>
            </w:r>
          </w:p>
        </w:tc>
      </w:tr>
      <w:tr>
        <w:trPr>
          <w:trHeight w:val="392"/>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spacing w:after="0"/>
              <w:rPr>
                <w:sz w:val="24"/>
                <w:szCs w:val="24"/>
                <w:color w:val="auto"/>
              </w:rPr>
            </w:pPr>
          </w:p>
        </w:tc>
      </w:tr>
    </w:tbl>
    <w:p>
      <w:pPr>
        <w:spacing w:after="0" w:line="95"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right="2660"/>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As of May 2, 2018, there were 96,848,549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2" w:lineRule="exact"/>
        <w:rPr>
          <w:sz w:val="24"/>
          <w:szCs w:val="24"/>
          <w:color w:val="auto"/>
        </w:rPr>
      </w:pPr>
    </w:p>
    <w:p>
      <w:pPr>
        <w:jc w:val="center"/>
        <w:ind w:right="16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10940" w:space="160"/>
            <w:col w:w="240"/>
          </w:cols>
          <w:pgMar w:left="24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13"/>
          </w:tcPr>
          <w:p>
            <w:pPr>
              <w:jc w:val="center"/>
              <w:ind w:right="2700"/>
              <w:spacing w:after="0" w:line="189"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40" w:type="dxa"/>
            <w:vAlign w:val="bottom"/>
            <w:tcBorders>
              <w:top w:val="single" w:sz="8" w:color="0000EE"/>
            </w:tcBorders>
            <w:gridSpan w:val="10"/>
          </w:tcPr>
          <w:p>
            <w:pPr>
              <w:spacing w:after="0"/>
              <w:rPr>
                <w:sz w:val="24"/>
                <w:szCs w:val="24"/>
                <w:color w:val="auto"/>
              </w:rPr>
            </w:pPr>
          </w:p>
        </w:tc>
        <w:tc>
          <w:tcPr>
            <w:tcW w:w="310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418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00" w:type="dxa"/>
            <w:vAlign w:val="bottom"/>
            <w:gridSpan w:val="2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vMerge w:val="continue"/>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7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60" w:type="dxa"/>
            <w:vAlign w:val="bottom"/>
            <w:gridSpan w:val="3"/>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1"/>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Management’s Discussion and Analysis of Financial Condition and Results of Operations</w:t>
              </w:r>
            </w:hyperlink>
          </w:p>
        </w:tc>
        <w:tc>
          <w:tcPr>
            <w:tcW w:w="20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202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1"/>
          </w:tcPr>
          <w:p>
            <w:pPr>
              <w:jc w:val="center"/>
              <w:ind w:right="3240"/>
              <w:spacing w:after="0"/>
              <w:rPr>
                <w:rFonts w:ascii="Arial" w:cs="Arial" w:eastAsia="Arial" w:hAnsi="Arial"/>
                <w:sz w:val="18"/>
                <w:szCs w:val="18"/>
                <w:b w:val="1"/>
                <w:bCs w:val="1"/>
                <w:color w:val="0000EE"/>
                <w:w w:val="98"/>
              </w:rPr>
            </w:pPr>
            <w:hyperlink w:anchor="page31">
              <w:r>
                <w:rPr>
                  <w:rFonts w:ascii="Arial" w:cs="Arial" w:eastAsia="Arial" w:hAnsi="Arial"/>
                  <w:sz w:val="18"/>
                  <w:szCs w:val="18"/>
                  <w:b w:val="1"/>
                  <w:bCs w:val="1"/>
                  <w:color w:val="0000EE"/>
                  <w:w w:val="98"/>
                </w:rPr>
                <w:t>PART II. OTHER INFORMATION</w:t>
              </w:r>
            </w:hyperlink>
          </w:p>
        </w:tc>
        <w:tc>
          <w:tcPr>
            <w:tcW w:w="1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660" w:type="dxa"/>
            <w:vAlign w:val="bottom"/>
            <w:tcBorders>
              <w:top w:val="single" w:sz="8" w:color="0000EE"/>
            </w:tcBorders>
            <w:gridSpan w:val="8"/>
          </w:tcPr>
          <w:p>
            <w:pPr>
              <w:spacing w:after="0"/>
              <w:rPr>
                <w:sz w:val="24"/>
                <w:szCs w:val="24"/>
                <w:color w:val="auto"/>
              </w:rPr>
            </w:pPr>
          </w:p>
        </w:tc>
        <w:tc>
          <w:tcPr>
            <w:tcW w:w="324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7620" w:type="dxa"/>
            <w:vAlign w:val="bottom"/>
            <w:gridSpan w:val="1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426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560" w:type="dxa"/>
            <w:vAlign w:val="bottom"/>
            <w:gridSpan w:val="1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180" w:type="dxa"/>
            <w:vAlign w:val="bottom"/>
            <w:gridSpan w:val="1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7700" w:type="dxa"/>
            <w:vAlign w:val="bottom"/>
            <w:gridSpan w:val="18"/>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ENPHASE ENERGY,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(In thousands, except par value)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6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29,144</w:t>
            </w:r>
          </w:p>
        </w:tc>
        <w:tc>
          <w:tcPr>
            <w:tcW w:w="0" w:type="dxa"/>
            <w:vAlign w:val="bottom"/>
          </w:tcPr>
          <w:p>
            <w:pPr>
              <w:spacing w:after="0"/>
              <w:rPr>
                <w:sz w:val="1"/>
                <w:szCs w:val="1"/>
                <w:color w:val="auto"/>
              </w:rPr>
            </w:pP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Accounts receivable, net of allowances of $2,927 and $2,378 at March 31, 2018 and December 31,</w:t>
            </w:r>
          </w:p>
        </w:tc>
        <w:tc>
          <w:tcPr>
            <w:tcW w:w="260" w:type="dxa"/>
            <w:vAlign w:val="bottom"/>
          </w:tcPr>
          <w:p>
            <w:pPr>
              <w:spacing w:after="0"/>
              <w:rPr>
                <w:sz w:val="19"/>
                <w:szCs w:val="19"/>
                <w:color w:val="auto"/>
              </w:rPr>
            </w:pP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55,622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65,346</w:t>
            </w:r>
          </w:p>
        </w:tc>
        <w:tc>
          <w:tcPr>
            <w:tcW w:w="0" w:type="dxa"/>
            <w:vAlign w:val="bottom"/>
          </w:tcPr>
          <w:p>
            <w:pPr>
              <w:spacing w:after="0"/>
              <w:rPr>
                <w:sz w:val="1"/>
                <w:szCs w:val="1"/>
                <w:color w:val="auto"/>
              </w:rPr>
            </w:pPr>
          </w:p>
        </w:tc>
      </w:tr>
      <w:tr>
        <w:trPr>
          <w:trHeight w:val="109"/>
        </w:trPr>
        <w:tc>
          <w:tcPr>
            <w:tcW w:w="8340" w:type="dxa"/>
            <w:vAlign w:val="bottom"/>
            <w:gridSpan w:val="3"/>
            <w:vMerge w:val="restart"/>
          </w:tcPr>
          <w:p>
            <w:pPr>
              <w:ind w:left="460"/>
              <w:spacing w:after="0"/>
              <w:rPr>
                <w:sz w:val="20"/>
                <w:szCs w:val="20"/>
                <w:color w:val="auto"/>
              </w:rPr>
            </w:pPr>
            <w:r>
              <w:rPr>
                <w:rFonts w:ascii="Arial" w:cs="Arial" w:eastAsia="Arial" w:hAnsi="Arial"/>
                <w:sz w:val="18"/>
                <w:szCs w:val="18"/>
                <w:color w:val="auto"/>
              </w:rPr>
              <w:t>2017, respectively</w:t>
            </w: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3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CCEEFF"/>
            </w:tcBorders>
            <w:gridSpan w:val="2"/>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147,853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130,446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24,926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26,483</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8,039</w:t>
            </w:r>
          </w:p>
        </w:tc>
        <w:tc>
          <w:tcPr>
            <w:tcW w:w="0" w:type="dxa"/>
            <w:vAlign w:val="bottom"/>
          </w:tcPr>
          <w:p>
            <w:pPr>
              <w:spacing w:after="0"/>
              <w:rPr>
                <w:sz w:val="1"/>
                <w:szCs w:val="1"/>
                <w:color w:val="auto"/>
              </w:rPr>
            </w:pPr>
          </w:p>
        </w:tc>
      </w:tr>
      <w:tr>
        <w:trPr>
          <w:trHeight w:val="28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212,118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169,147</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28,747</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22,447</w:t>
            </w:r>
          </w:p>
        </w:tc>
        <w:tc>
          <w:tcPr>
            <w:tcW w:w="0" w:type="dxa"/>
            <w:vAlign w:val="bottom"/>
          </w:tcPr>
          <w:p>
            <w:pPr>
              <w:spacing w:after="0"/>
              <w:rPr>
                <w:sz w:val="1"/>
                <w:szCs w:val="1"/>
                <w:color w:val="auto"/>
              </w:rPr>
            </w:pPr>
          </w:p>
        </w:tc>
      </w:tr>
      <w:tr>
        <w:trPr>
          <w:trHeight w:val="27"/>
        </w:trPr>
        <w:tc>
          <w:tcPr>
            <w:tcW w:w="140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revenues, current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15,691</w:t>
            </w:r>
          </w:p>
        </w:tc>
        <w:tc>
          <w:tcPr>
            <w:tcW w:w="0" w:type="dxa"/>
            <w:vAlign w:val="bottom"/>
          </w:tcPr>
          <w:p>
            <w:pPr>
              <w:spacing w:after="0"/>
              <w:rPr>
                <w:sz w:val="1"/>
                <w:szCs w:val="1"/>
                <w:color w:val="auto"/>
              </w:rPr>
            </w:pP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Warranty obligations, current (includes $3,041 and $2,240 measured at fair value at March 31,</w:t>
            </w:r>
          </w:p>
        </w:tc>
        <w:tc>
          <w:tcPr>
            <w:tcW w:w="260" w:type="dxa"/>
            <w:vAlign w:val="bottom"/>
          </w:tcPr>
          <w:p>
            <w:pPr>
              <w:spacing w:after="0"/>
              <w:rPr>
                <w:sz w:val="19"/>
                <w:szCs w:val="19"/>
                <w:color w:val="auto"/>
              </w:rPr>
            </w:pP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109"/>
        </w:trPr>
        <w:tc>
          <w:tcPr>
            <w:tcW w:w="8340" w:type="dxa"/>
            <w:vAlign w:val="bottom"/>
            <w:gridSpan w:val="3"/>
            <w:vMerge w:val="restart"/>
          </w:tcPr>
          <w:p>
            <w:pPr>
              <w:ind w:left="460"/>
              <w:spacing w:after="0"/>
              <w:rPr>
                <w:sz w:val="20"/>
                <w:szCs w:val="20"/>
                <w:color w:val="auto"/>
              </w:rPr>
            </w:pPr>
            <w:r>
              <w:rPr>
                <w:rFonts w:ascii="Arial" w:cs="Arial" w:eastAsia="Arial" w:hAnsi="Arial"/>
                <w:sz w:val="18"/>
                <w:szCs w:val="18"/>
                <w:color w:val="auto"/>
              </w:rPr>
              <w:t>2018 and December 31, 2017, respectively)</w:t>
            </w: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3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Debt, current</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14,268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103,685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91,741</w:t>
            </w:r>
          </w:p>
        </w:tc>
        <w:tc>
          <w:tcPr>
            <w:tcW w:w="0" w:type="dxa"/>
            <w:vAlign w:val="bottom"/>
          </w:tcPr>
          <w:p>
            <w:pPr>
              <w:spacing w:after="0"/>
              <w:rPr>
                <w:sz w:val="1"/>
                <w:szCs w:val="1"/>
                <w:color w:val="auto"/>
              </w:rPr>
            </w:pPr>
          </w:p>
        </w:tc>
      </w:tr>
      <w:tr>
        <w:trPr>
          <w:trHeight w:val="243"/>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420"/>
          </w:cols>
          <w:pgMar w:left="240" w:top="108" w:right="239" w:bottom="1440" w:gutter="0" w:footer="0" w:header="0"/>
        </w:sectPr>
      </w:pPr>
    </w:p>
    <w:p>
      <w:pPr>
        <w:ind w:left="380"/>
        <w:spacing w:after="0"/>
        <w:rPr>
          <w:sz w:val="20"/>
          <w:szCs w:val="20"/>
          <w:color w:val="auto"/>
        </w:rPr>
      </w:pPr>
      <w:r>
        <w:rPr>
          <w:rFonts w:ascii="Arial" w:cs="Arial" w:eastAsia="Arial" w:hAnsi="Arial"/>
          <w:sz w:val="18"/>
          <w:szCs w:val="18"/>
          <w:color w:val="auto"/>
        </w:rPr>
        <w:t>Deferred revenues,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3" w:lineRule="exact"/>
        <w:rPr>
          <w:sz w:val="20"/>
          <w:szCs w:val="20"/>
          <w:color w:val="auto"/>
        </w:rPr>
      </w:pPr>
    </w:p>
    <w:p>
      <w:pPr>
        <w:ind w:left="460" w:right="160" w:hanging="80"/>
        <w:spacing w:after="0" w:line="246" w:lineRule="auto"/>
        <w:rPr>
          <w:sz w:val="20"/>
          <w:szCs w:val="20"/>
          <w:color w:val="auto"/>
        </w:rPr>
      </w:pPr>
      <w:r>
        <w:rPr>
          <w:rFonts w:ascii="Arial" w:cs="Arial" w:eastAsia="Arial" w:hAnsi="Arial"/>
          <w:sz w:val="18"/>
          <w:szCs w:val="18"/>
          <w:color w:val="auto"/>
        </w:rPr>
        <w:t>Warranty obligations, noncurrent (includes $8,678 and $7,550 measured at fair value at March 31, 2018 and December 31, 2017, respectively)</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noncurrent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p>
      <w:pPr>
        <w:spacing w:after="0" w:line="63" w:lineRule="exact"/>
        <w:rPr>
          <w:sz w:val="20"/>
          <w:szCs w:val="20"/>
          <w:color w:val="auto"/>
        </w:rPr>
      </w:pPr>
    </w:p>
    <w:p>
      <w:pPr>
        <w:ind w:left="460" w:right="120" w:hanging="80"/>
        <w:spacing w:after="0" w:line="246" w:lineRule="auto"/>
        <w:rPr>
          <w:sz w:val="20"/>
          <w:szCs w:val="20"/>
          <w:color w:val="auto"/>
        </w:rPr>
      </w:pPr>
      <w:r>
        <w:rPr>
          <w:rFonts w:ascii="Arial" w:cs="Arial" w:eastAsia="Arial" w:hAnsi="Arial"/>
          <w:sz w:val="18"/>
          <w:szCs w:val="18"/>
          <w:color w:val="auto"/>
        </w:rPr>
        <w:t>Common stock, $ 0.00001 par value, 125,000 shares authorized; 96,765 and 85,914 shares issued and outstanding at March 31, 2018 and December 31, 2017, respectively</w:t>
      </w:r>
    </w:p>
    <w:p>
      <w:pPr>
        <w:spacing w:after="0" w:line="20" w:lineRule="exact"/>
        <w:rPr>
          <w:sz w:val="20"/>
          <w:szCs w:val="20"/>
          <w:color w:val="auto"/>
        </w:rPr>
      </w:pPr>
      <w:r>
        <w:rPr>
          <w:sz w:val="20"/>
          <w:szCs w:val="20"/>
          <w:color w:val="auto"/>
        </w:rPr>
        <w:br w:type="column"/>
      </w:r>
    </w:p>
    <w:p>
      <w:pPr>
        <w:ind w:left="100"/>
        <w:spacing w:after="0"/>
        <w:tabs>
          <w:tab w:leader="none" w:pos="1680" w:val="left"/>
        </w:tabs>
        <w:rPr>
          <w:sz w:val="20"/>
          <w:szCs w:val="20"/>
          <w:color w:val="auto"/>
        </w:rPr>
      </w:pPr>
      <w:r>
        <w:rPr>
          <w:rFonts w:ascii="Arial" w:cs="Arial" w:eastAsia="Arial" w:hAnsi="Arial"/>
          <w:sz w:val="18"/>
          <w:szCs w:val="18"/>
          <w:color w:val="auto"/>
        </w:rPr>
        <w:t>78,265</w:t>
      </w:r>
      <w:r>
        <w:rPr>
          <w:sz w:val="20"/>
          <w:szCs w:val="20"/>
          <w:color w:val="auto"/>
        </w:rPr>
        <w:tab/>
      </w:r>
      <w:r>
        <w:rPr>
          <w:rFonts w:ascii="Arial" w:cs="Arial" w:eastAsia="Arial" w:hAnsi="Arial"/>
          <w:sz w:val="18"/>
          <w:szCs w:val="18"/>
          <w:color w:val="auto"/>
        </w:rPr>
        <w:t>29,941</w:t>
      </w:r>
    </w:p>
    <w:p>
      <w:pPr>
        <w:spacing w:after="0" w:line="158"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color w:val="auto"/>
        </w:rPr>
        <w:t>22,926</w:t>
      </w:r>
      <w:r>
        <w:rPr>
          <w:sz w:val="20"/>
          <w:szCs w:val="20"/>
          <w:color w:val="auto"/>
        </w:rPr>
        <w:tab/>
      </w:r>
      <w:r>
        <w:rPr>
          <w:rFonts w:ascii="Arial" w:cs="Arial" w:eastAsia="Arial" w:hAnsi="Arial"/>
          <w:sz w:val="18"/>
          <w:szCs w:val="18"/>
          <w:color w:val="auto"/>
        </w:rPr>
        <w:t>22,389</w:t>
      </w:r>
    </w:p>
    <w:p>
      <w:pPr>
        <w:spacing w:after="0" w:line="158"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color w:val="auto"/>
        </w:rPr>
        <w:t>1,934</w:t>
      </w:r>
      <w:r>
        <w:rPr>
          <w:sz w:val="20"/>
          <w:szCs w:val="20"/>
          <w:color w:val="auto"/>
        </w:rPr>
        <w:tab/>
      </w:r>
      <w:r>
        <w:rPr>
          <w:rFonts w:ascii="Arial" w:cs="Arial" w:eastAsia="Arial" w:hAnsi="Arial"/>
          <w:sz w:val="18"/>
          <w:szCs w:val="18"/>
          <w:color w:val="auto"/>
        </w:rPr>
        <w:t>1,880</w:t>
      </w:r>
    </w:p>
    <w:p>
      <w:pPr>
        <w:spacing w:after="0" w:line="6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color w:val="auto"/>
        </w:rPr>
        <w:t>36,459</w:t>
      </w:r>
      <w:r>
        <w:rPr>
          <w:sz w:val="20"/>
          <w:szCs w:val="20"/>
          <w:color w:val="auto"/>
        </w:rPr>
        <w:tab/>
      </w:r>
      <w:r>
        <w:rPr>
          <w:rFonts w:ascii="Arial" w:cs="Arial" w:eastAsia="Arial" w:hAnsi="Arial"/>
          <w:sz w:val="18"/>
          <w:szCs w:val="18"/>
          <w:color w:val="auto"/>
        </w:rPr>
        <w:t>32,322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23495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243,269</w:t>
      </w:r>
      <w:r>
        <w:rPr>
          <w:sz w:val="20"/>
          <w:szCs w:val="20"/>
          <w:color w:val="auto"/>
        </w:rPr>
        <w:tab/>
      </w:r>
      <w:r>
        <w:rPr>
          <w:rFonts w:ascii="Arial" w:cs="Arial" w:eastAsia="Arial" w:hAnsi="Arial"/>
          <w:sz w:val="18"/>
          <w:szCs w:val="18"/>
          <w:color w:val="auto"/>
        </w:rPr>
        <w:t>178,273</w:t>
      </w:r>
    </w:p>
    <w:p>
      <w:pPr>
        <w:spacing w:after="0" w:line="200" w:lineRule="exact"/>
        <w:rPr>
          <w:sz w:val="20"/>
          <w:szCs w:val="20"/>
          <w:color w:val="auto"/>
        </w:rPr>
      </w:pPr>
    </w:p>
    <w:p>
      <w:pPr>
        <w:spacing w:after="0" w:line="390" w:lineRule="exact"/>
        <w:rPr>
          <w:sz w:val="20"/>
          <w:szCs w:val="20"/>
          <w:color w:val="auto"/>
        </w:rPr>
      </w:pPr>
    </w:p>
    <w:p>
      <w:pPr>
        <w:ind w:left="480"/>
        <w:spacing w:after="0"/>
        <w:tabs>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560"/>
        <w:spacing w:after="0"/>
        <w:tabs>
          <w:tab w:leader="none" w:pos="21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1</w:t>
      </w:r>
    </w:p>
    <w:p>
      <w:pPr>
        <w:spacing w:after="0" w:line="149" w:lineRule="exact"/>
        <w:rPr>
          <w:sz w:val="20"/>
          <w:szCs w:val="20"/>
          <w:color w:val="auto"/>
        </w:rPr>
      </w:pPr>
    </w:p>
    <w:p>
      <w:pPr>
        <w:sectPr>
          <w:pgSz w:w="11900" w:h="16838" w:orient="portrait"/>
          <w:cols w:equalWidth="0" w:num="2">
            <w:col w:w="8340" w:space="720"/>
            <w:col w:w="236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309,019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287,256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(339,803)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(295,727)</w:t>
            </w: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stockholders’ deficit</w:t>
            </w: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(31,151)</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212,118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169,147</w:t>
            </w:r>
          </w:p>
        </w:tc>
      </w:tr>
      <w:tr>
        <w:trPr>
          <w:trHeight w:val="20"/>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0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54,751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51,657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47,703</w:t>
            </w:r>
          </w:p>
        </w:tc>
        <w:tc>
          <w:tcPr>
            <w:tcW w:w="0" w:type="dxa"/>
            <w:vAlign w:val="bottom"/>
          </w:tcPr>
          <w:p>
            <w:pPr>
              <w:spacing w:after="0"/>
              <w:rPr>
                <w:sz w:val="1"/>
                <w:szCs w:val="1"/>
                <w:color w:val="auto"/>
              </w:rPr>
            </w:pP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18,315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63"/>
        </w:trPr>
        <w:tc>
          <w:tcPr>
            <w:tcW w:w="90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77"/>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64"/>
        </w:trPr>
        <w:tc>
          <w:tcPr>
            <w:tcW w:w="90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20,790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29,143</w:t>
            </w:r>
          </w:p>
        </w:tc>
        <w:tc>
          <w:tcPr>
            <w:tcW w:w="0" w:type="dxa"/>
            <w:vAlign w:val="bottom"/>
          </w:tcPr>
          <w:p>
            <w:pPr>
              <w:spacing w:after="0"/>
              <w:rPr>
                <w:sz w:val="1"/>
                <w:szCs w:val="1"/>
                <w:color w:val="auto"/>
              </w:rPr>
            </w:pP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0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91,422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76,651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4"/>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(23,644)</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(5,128)</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(23,305)</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2,328</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Asset impairment and restructuring</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1,920</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1,929</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11,975</w:t>
            </w: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(3,114)</w:t>
            </w: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(17,458)</w:t>
            </w: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580</w:t>
            </w:r>
          </w:p>
        </w:tc>
      </w:tr>
      <w:tr>
        <w:trPr>
          <w:trHeight w:val="273"/>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1,395</w:t>
            </w: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3,361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w:t>
            </w:r>
          </w:p>
        </w:tc>
      </w:tr>
      <w:tr>
        <w:trPr>
          <w:trHeight w:val="257"/>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w:t>
            </w:r>
          </w:p>
        </w:tc>
      </w:tr>
      <w:tr>
        <w:trPr>
          <w:trHeight w:val="25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26,522</w:t>
            </w: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debt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24,162</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Principal payments on term debt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Payments under revolving credit facility</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(10,100)</w:t>
            </w:r>
          </w:p>
        </w:tc>
      </w:tr>
      <w:tr>
        <w:trPr>
          <w:trHeight w:val="273"/>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21,730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40,586</w:t>
            </w:r>
          </w:p>
        </w:tc>
      </w:tr>
      <w:tr>
        <w:trPr>
          <w:trHeight w:val="250"/>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47"/>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12,191</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17,764</w:t>
            </w:r>
          </w:p>
        </w:tc>
      </w:tr>
      <w:tr>
        <w:trPr>
          <w:trHeight w:val="28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53,255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29,955</w:t>
            </w:r>
          </w:p>
        </w:tc>
      </w:tr>
      <w:tr>
        <w:trPr>
          <w:trHeight w:val="25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fixed and intangible assets included in 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1,309</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debt and offering costs included in 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r>
      <w:tr>
        <w:trPr>
          <w:trHeight w:val="251"/>
        </w:trPr>
        <w:tc>
          <w:tcPr>
            <w:tcW w:w="8580" w:type="dxa"/>
            <w:vAlign w:val="bottom"/>
          </w:tcPr>
          <w:p>
            <w:pPr>
              <w:ind w:left="380"/>
              <w:spacing w:after="0"/>
              <w:rPr>
                <w:sz w:val="20"/>
                <w:szCs w:val="20"/>
                <w:color w:val="auto"/>
              </w:rPr>
            </w:pPr>
            <w:r>
              <w:rPr>
                <w:rFonts w:ascii="Arial" w:cs="Arial" w:eastAsia="Arial" w:hAnsi="Arial"/>
                <w:sz w:val="16"/>
                <w:szCs w:val="16"/>
                <w:color w:val="auto"/>
              </w:rPr>
              <w:t>Warrants issued in connection with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1,447</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2"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Enphase Energy, Inc. and subsidiaries (the “Company”) deliver simple, innovative and reliable energy management solutions that advance the worldwide potential of renewable energy. The Company’s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approximately 17 million microinverters, representing over 3.8 gigawatts of solar photovoltaic (PV) generating capacity, and more than 760,000 Enphase residential and commercial systems have been deployed in over 110 countries.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39"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93"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loss and cash flows for the interim periods indicated. The results of operations for the three months ended March 31, 2018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2017.</w:t>
      </w:r>
    </w:p>
    <w:p>
      <w:pPr>
        <w:spacing w:after="0" w:line="15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Other than as discussed in Note 2. “Revenue Recognition,” there have been no material changes in the Company’s significant accounting policies during the three months ended March 31, 2018, as compared to the significant accounting policies described in the Company’s Annual Report on Form 10-K for the year ended December 31, 2017. Reference is made to the disclosures therein for a summary of the Company’s significant accounting policies.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355"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amending revenue recognition guidance and requiring more detailed disclosures to enable users of financial statements to understand the nature, amount, timing, and uncertainty of revenue and cash flows arising from contracts with customers. The amended guidance, herein referred to as Topic 606, is effective for annual and interim reporting periods beginning after December 15, 2017, with early adoption permitted for public companies effective for annual and interim reporting periods beginning after December 15, 2016. The Company has adopted Topic 606 effective January 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2018, using the modified retrospective transition method. The Company recognized the cumulative effect of applying the new revenue standard as an adjustment to the opening balance of retained earnings on January 1, 2018. The comparative information has not been restated and continues to be reported under the accounting standards in effect for the period presented. See Note 2, “Revenue Recognition,” for additional accounting policy and transition disclosures.</w:t>
      </w:r>
    </w:p>
    <w:p>
      <w:pPr>
        <w:spacing w:after="0" w:line="96" w:lineRule="exact"/>
        <w:rPr>
          <w:sz w:val="20"/>
          <w:szCs w:val="20"/>
          <w:color w:val="auto"/>
        </w:rPr>
      </w:pPr>
    </w:p>
    <w:p>
      <w:pPr>
        <w:ind w:right="40" w:firstLine="477"/>
        <w:spacing w:after="0" w:line="250"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was not permitted except for the provision to record fair value changes for financial liabilities under the fair value option resulting</w:t>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from instrument-specific credit risk in other comprehensive income. The standard, which was adopted in the first quarter of 2018, did not have a material impact on the condensed consolidated financial statements.</w:t>
      </w:r>
    </w:p>
    <w:p>
      <w:pPr>
        <w:spacing w:after="0" w:line="88"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November 2016, the FASB issued Accounting Standards Update No. 2016-18 (ASU 2016-18), “Statement of Cash Flows,” which requires companies to include amounts generally described as restricted cash and restricted cash equivalents in cash and cash equivalents when reconciling beginning-of-period and end-of-period total amounts shown on the statement of cash flows. ASU 2016-18 is effective for fiscal years, and interim periods within those years, beginning after December 15, 2017. The standard, which was adopted in the first quarter of 2018, did not have a material impact on the condensed consolidated financial statements.</w:t>
      </w:r>
    </w:p>
    <w:p>
      <w:pPr>
        <w:spacing w:after="0" w:line="97" w:lineRule="exact"/>
        <w:rPr>
          <w:sz w:val="20"/>
          <w:szCs w:val="20"/>
          <w:color w:val="auto"/>
        </w:rPr>
      </w:pPr>
    </w:p>
    <w:p>
      <w:pPr>
        <w:ind w:right="160" w:firstLine="432"/>
        <w:spacing w:after="0" w:line="252" w:lineRule="auto"/>
        <w:rPr>
          <w:sz w:val="20"/>
          <w:szCs w:val="20"/>
          <w:color w:val="auto"/>
        </w:rPr>
      </w:pPr>
      <w:r>
        <w:rPr>
          <w:rFonts w:ascii="Arial" w:cs="Arial" w:eastAsia="Arial" w:hAnsi="Arial"/>
          <w:sz w:val="18"/>
          <w:szCs w:val="18"/>
          <w:color w:val="auto"/>
        </w:rPr>
        <w:t>In May 2017, the FASB issued ASU 2017-09 (ASU 2017-09), "Compensation - Stock Compensation." ASU 2017-09 was issued to provide clarity and reduce both 1) diversity in practice and 2) cost and complexity when applying the guidance in Topic 718 to a change in the terms or conditions of a share-based payment award. ASU 2017-09 provides guidance about which changes to the terms or conditions of a share-based payment award require an entity to apply modification accounting under Topic 718. ASU 2017-09 is effective for fiscal years, and interim periods within those years, beginning after December 15, 2017. The standard, which was adopted in the first quarter of 2018, did not have a material impact on the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139"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 lease liability. For finance leases the lessee would recognize interest expense and amortization of the ROU asset and for operating leases the lessee would recognize a straight-line total lease expense. The Company is currently evaluating the impact of adoption on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12" w:lineRule="exact"/>
        <w:rPr>
          <w:sz w:val="20"/>
          <w:szCs w:val="20"/>
          <w:color w:val="auto"/>
        </w:rPr>
      </w:pPr>
    </w:p>
    <w:p>
      <w:pPr>
        <w:ind w:right="280" w:firstLine="446"/>
        <w:spacing w:after="0" w:line="253" w:lineRule="auto"/>
        <w:rPr>
          <w:sz w:val="20"/>
          <w:szCs w:val="20"/>
          <w:color w:val="auto"/>
        </w:rPr>
      </w:pPr>
      <w:r>
        <w:rPr>
          <w:rFonts w:ascii="Arial" w:cs="Arial" w:eastAsia="Arial" w:hAnsi="Arial"/>
          <w:sz w:val="18"/>
          <w:szCs w:val="18"/>
          <w:color w:val="auto"/>
        </w:rPr>
        <w:t>On January 1, 2018, the Company adopted Topic 606 and applied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in the prior period. The Company recorded a net reduction to opening equity of $38.9 million on January 1, 2018 for the cumulative effect of adopting Topic 606. The impact to net revenues from the adoption of Topic 606 for the three months ended March 31, 2018 was a net increase of $0.4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as a result of adopting Topic 606 and nature of goods</w:t>
      </w:r>
    </w:p>
    <w:p>
      <w:pPr>
        <w:spacing w:after="0" w:line="112" w:lineRule="exact"/>
        <w:rPr>
          <w:sz w:val="20"/>
          <w:szCs w:val="20"/>
          <w:color w:val="auto"/>
        </w:rPr>
      </w:pPr>
    </w:p>
    <w:p>
      <w:pPr>
        <w:ind w:right="500" w:firstLine="446"/>
        <w:spacing w:after="0" w:line="256" w:lineRule="auto"/>
        <w:rPr>
          <w:sz w:val="20"/>
          <w:szCs w:val="20"/>
          <w:color w:val="auto"/>
        </w:rPr>
      </w:pPr>
      <w:r>
        <w:rPr>
          <w:rFonts w:ascii="Arial" w:cs="Arial" w:eastAsia="Arial" w:hAnsi="Arial"/>
          <w:sz w:val="18"/>
          <w:szCs w:val="18"/>
          <w:color w:val="auto"/>
        </w:rPr>
        <w:t>The most significant impacts upon adoption of Topic 606 were how the Company accounts for revenue related to its Envoy communications device and related Enlighten service and the timing of when certain sales incentives are recognized. Under ASC 605 the Company’s Envoy communications device and Enlighten service were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considered two units of accounting, and the portion of the consideration related to the hardware was recognized at the time of sale with the remaining consideration deferred and recognized over the estimated service period. Under ASC 606 the full consideration for these products represents a single performance obligation and is deferred and recognized over the estimated service period. This treatment resulted in an increase to deferred revenue of $77.5 million, an increase in deferred costs of $43.4 million and an increase in accumulated deficit of $34.1 million upon adoption of ASC 606.</w:t>
      </w:r>
    </w:p>
    <w:p>
      <w:pPr>
        <w:spacing w:after="0" w:line="70"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Under ASC 605 the Company recorded certain contra revenue promotions at the later of the date revenue was recognized or the date at which the promotional offer was extended. Under ASC 606 all such contra revenue programs are treated as variable consideration and recognized at the time the related revenue is recorded. This change in timing resulted in an increase in accrued liabilities of approximately $5.6 million and an increase to accumulated deficit of the same amount upon adoption of ASC 606.</w:t>
      </w:r>
    </w:p>
    <w:p>
      <w:pPr>
        <w:spacing w:after="0" w:line="69"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Topic 606 requires upfront contract acquisition costs, such as sales commissions, to be capitalized and amortized over the estimated life of the asset. For contracts that have a duration of less than one year, the Company follows the Topic 606 practical expedient and expense these costs when incurred. Commissions related to the Company’s sale of monitoring hardware and service are capitalized and amortized over the period of the associated revenue, which is 6.5 years. This treatment resulted in an increase in deferred costs of approximately $0.8 million and an increase in accumulated deficit of the same amount upon adoption of ASC 606.</w:t>
      </w:r>
    </w:p>
    <w:p>
      <w:pPr>
        <w:spacing w:after="0" w:line="70" w:lineRule="exact"/>
        <w:rPr>
          <w:sz w:val="20"/>
          <w:szCs w:val="20"/>
          <w:color w:val="auto"/>
        </w:rPr>
      </w:pPr>
    </w:p>
    <w:p>
      <w:pPr>
        <w:jc w:val="both"/>
        <w:ind w:right="60" w:firstLine="44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Delivered at a Point in Time</w:t>
      </w:r>
    </w:p>
    <w:p>
      <w:pPr>
        <w:spacing w:after="0" w:line="108" w:lineRule="exact"/>
        <w:rPr>
          <w:sz w:val="20"/>
          <w:szCs w:val="20"/>
          <w:color w:val="auto"/>
        </w:rPr>
      </w:pPr>
    </w:p>
    <w:p>
      <w:pPr>
        <w:ind w:right="240" w:firstLine="446"/>
        <w:spacing w:after="0" w:line="252" w:lineRule="auto"/>
        <w:rPr>
          <w:sz w:val="20"/>
          <w:szCs w:val="20"/>
          <w:color w:val="auto"/>
        </w:rPr>
      </w:pPr>
      <w:r>
        <w:rPr>
          <w:rFonts w:ascii="Arial" w:cs="Arial" w:eastAsia="Arial" w:hAnsi="Arial"/>
          <w:sz w:val="18"/>
          <w:szCs w:val="18"/>
          <w:color w:val="auto"/>
        </w:rPr>
        <w:t>The Company sells its products to customers in accordance with the terms of the related customer contracts. The Company generates revenues from sales of its microinverter systems,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in accordance with Topic 606, the Company recognizes revenue for these products when the Company transfers control fo the product to the customer, which is generally upon shipment.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Delivered Over Time</w:t>
      </w:r>
    </w:p>
    <w:p>
      <w:pPr>
        <w:spacing w:after="0" w:line="108" w:lineRule="exact"/>
        <w:rPr>
          <w:sz w:val="20"/>
          <w:szCs w:val="20"/>
          <w:color w:val="auto"/>
        </w:rPr>
      </w:pPr>
    </w:p>
    <w:p>
      <w:pPr>
        <w:ind w:right="160" w:firstLine="446"/>
        <w:spacing w:after="0" w:line="256" w:lineRule="auto"/>
        <w:rPr>
          <w:sz w:val="20"/>
          <w:szCs w:val="20"/>
          <w:color w:val="auto"/>
        </w:rPr>
      </w:pPr>
      <w:r>
        <w:rPr>
          <w:rFonts w:ascii="Arial" w:cs="Arial" w:eastAsia="Arial" w:hAnsi="Arial"/>
          <w:sz w:val="18"/>
          <w:szCs w:val="18"/>
          <w:color w:val="auto"/>
        </w:rPr>
        <w:t>The sale of an Envoy communications gateway includes the Company’s Enlighten cloud-based monitoring service. Under Topic 606 the full consideration for these products represents a single performance obligation and is deferred at the sale date and recognized over the estimated service period, which is 6.5 years.</w:t>
      </w:r>
    </w:p>
    <w:p>
      <w:pPr>
        <w:spacing w:after="0" w:line="67" w:lineRule="exact"/>
        <w:rPr>
          <w:sz w:val="20"/>
          <w:szCs w:val="20"/>
          <w:color w:val="auto"/>
        </w:rPr>
      </w:pPr>
    </w:p>
    <w:p>
      <w:pPr>
        <w:ind w:right="60" w:firstLine="446"/>
        <w:spacing w:after="0" w:line="262" w:lineRule="auto"/>
        <w:rPr>
          <w:sz w:val="20"/>
          <w:szCs w:val="20"/>
          <w:color w:val="auto"/>
        </w:rPr>
      </w:pPr>
      <w:r>
        <w:rPr>
          <w:rFonts w:ascii="Arial" w:cs="Arial" w:eastAsia="Arial" w:hAnsi="Arial"/>
          <w:sz w:val="18"/>
          <w:szCs w:val="18"/>
          <w:color w:val="auto"/>
        </w:rPr>
        <w:t>The Company also sells certain communication accessories that are delivered over time. The revenue from these products is recognized over the related service period, which is typically 5 or 12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12" w:lineRule="exact"/>
        <w:rPr>
          <w:sz w:val="20"/>
          <w:szCs w:val="20"/>
          <w:color w:val="auto"/>
        </w:rPr>
      </w:pPr>
    </w:p>
    <w:p>
      <w:pPr>
        <w:ind w:right="300" w:firstLine="446"/>
        <w:spacing w:after="0" w:line="256" w:lineRule="auto"/>
        <w:rPr>
          <w:sz w:val="20"/>
          <w:szCs w:val="20"/>
          <w:color w:val="auto"/>
        </w:rPr>
      </w:pPr>
      <w:r>
        <w:rPr>
          <w:rFonts w:ascii="Arial" w:cs="Arial" w:eastAsia="Arial" w:hAnsi="Arial"/>
          <w:sz w:val="18"/>
          <w:szCs w:val="18"/>
          <w:color w:val="auto"/>
        </w:rPr>
        <w:t>The Company has one business activity, which is the design, manufacture and sale of microinverter systems for the solar photovoltaic industry. The following table provides information about disaggregated revenue by primary geographical market and timing of revenue recognition for the Company’s single product line (in thousands):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0"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jc w:val="right"/>
              <w:ind w:right="54"/>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96"/>
        </w:trPr>
        <w:tc>
          <w:tcPr>
            <w:tcW w:w="9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Primary geographical markets:</w:t>
            </w:r>
          </w:p>
        </w:tc>
        <w:tc>
          <w:tcPr>
            <w:tcW w:w="1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43,130</w:t>
            </w:r>
          </w:p>
        </w:tc>
        <w:tc>
          <w:tcPr>
            <w:tcW w:w="0" w:type="dxa"/>
            <w:vAlign w:val="bottom"/>
          </w:tcPr>
          <w:p>
            <w:pPr>
              <w:spacing w:after="0"/>
              <w:rPr>
                <w:sz w:val="1"/>
                <w:szCs w:val="1"/>
                <w:color w:val="auto"/>
              </w:rPr>
            </w:pPr>
          </w:p>
        </w:tc>
      </w:tr>
      <w:tr>
        <w:trPr>
          <w:trHeight w:val="264"/>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26,842</w:t>
            </w:r>
          </w:p>
        </w:tc>
        <w:tc>
          <w:tcPr>
            <w:tcW w:w="0" w:type="dxa"/>
            <w:vAlign w:val="bottom"/>
          </w:tcPr>
          <w:p>
            <w:pPr>
              <w:spacing w:after="0"/>
              <w:rPr>
                <w:sz w:val="1"/>
                <w:szCs w:val="1"/>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69,972</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40"/>
              <w:spacing w:after="0"/>
              <w:rPr>
                <w:sz w:val="20"/>
                <w:szCs w:val="20"/>
                <w:color w:val="auto"/>
              </w:rPr>
            </w:pPr>
            <w:r>
              <w:rPr>
                <w:rFonts w:ascii="Arial" w:cs="Arial" w:eastAsia="Arial" w:hAnsi="Arial"/>
                <w:sz w:val="18"/>
                <w:szCs w:val="18"/>
                <w:color w:val="auto"/>
              </w:rPr>
              <w:t>Timing of revenue recognition:</w:t>
            </w: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 transferred at a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59,371</w:t>
            </w:r>
          </w:p>
        </w:tc>
        <w:tc>
          <w:tcPr>
            <w:tcW w:w="0" w:type="dxa"/>
            <w:vAlign w:val="bottom"/>
          </w:tcPr>
          <w:p>
            <w:pPr>
              <w:spacing w:after="0"/>
              <w:rPr>
                <w:sz w:val="1"/>
                <w:szCs w:val="1"/>
                <w:color w:val="auto"/>
              </w:rPr>
            </w:pPr>
          </w:p>
        </w:tc>
      </w:tr>
      <w:tr>
        <w:trPr>
          <w:trHeight w:val="264"/>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Products and services transferred over time</w:t>
            </w: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69,972</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328" w:lineRule="exact"/>
        <w:rPr>
          <w:sz w:val="20"/>
          <w:szCs w:val="20"/>
          <w:color w:val="auto"/>
        </w:rPr>
      </w:pPr>
    </w:p>
    <w:p>
      <w:pPr>
        <w:ind w:right="620" w:firstLine="446"/>
        <w:spacing w:after="0" w:line="262" w:lineRule="auto"/>
        <w:rPr>
          <w:sz w:val="20"/>
          <w:szCs w:val="20"/>
          <w:color w:val="auto"/>
        </w:rPr>
      </w:pPr>
      <w:r>
        <w:rPr>
          <w:rFonts w:ascii="Arial" w:cs="Arial" w:eastAsia="Arial" w:hAnsi="Arial"/>
          <w:sz w:val="18"/>
          <w:szCs w:val="18"/>
          <w:color w:val="auto"/>
        </w:rPr>
        <w:t>As of March 31, 2018, receivables, contract assets and contract liabilities from contracts with customers consist of the following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March 31, 2018</w:t>
            </w:r>
          </w:p>
        </w:tc>
      </w:tr>
      <w:tr>
        <w:trPr>
          <w:trHeight w:val="25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55,622</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Short-term contract assets (Prepaid expenses and other assets)</w:t>
            </w:r>
          </w:p>
        </w:tc>
        <w:tc>
          <w:tcPr>
            <w:tcW w:w="36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13,896</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contract assets (Other assets)</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33,762</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Short-term contract liabilities (Deferred revenues, current)</w:t>
            </w:r>
          </w:p>
        </w:tc>
        <w:tc>
          <w:tcPr>
            <w:tcW w:w="36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37,408</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contract liabilities (Deferred revenues, noncurrent)</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78,265</w:t>
            </w:r>
          </w:p>
        </w:tc>
      </w:tr>
    </w:tbl>
    <w:p>
      <w:pPr>
        <w:spacing w:after="0" w:line="37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liabilities are recorded as deferred revenue on the accompanying condensed consolidated balance sheets and include payments received in advance of performance obligations under the contract and are realized with the associated revenue is recognized under the contract. Contract assets include deferred product costs and commissions associated with the deferred revenue and will be amortized along with the associated revenue. The Company had no asset impairment charges related to contract assets in the three months ended March 31, 2018.</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changes in the balances of contract liabilities (deferred revenues) and contract assets (prepaid expenses and 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March 31, 2018</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Balance on January 1, 2018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116,830</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 recognized</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r>
      <w:tr>
        <w:trPr>
          <w:trHeight w:val="264"/>
        </w:trPr>
        <w:tc>
          <w:tcPr>
            <w:tcW w:w="9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Increase due to billings</w:t>
            </w: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9,444</w:t>
            </w:r>
          </w:p>
        </w:tc>
      </w:tr>
      <w:tr>
        <w:trPr>
          <w:trHeight w:val="250"/>
        </w:trPr>
        <w:tc>
          <w:tcPr>
            <w:tcW w:w="9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March 31, 2018</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115,673</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92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360" w:type="dxa"/>
            <w:vAlign w:val="bottom"/>
          </w:tcPr>
          <w:p>
            <w:pPr>
              <w:spacing w:after="0"/>
              <w:rPr>
                <w:sz w:val="20"/>
                <w:szCs w:val="20"/>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37,408</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78,265</w:t>
            </w:r>
          </w:p>
        </w:tc>
      </w:tr>
      <w:tr>
        <w:trPr>
          <w:trHeight w:val="189"/>
        </w:trPr>
        <w:tc>
          <w:tcPr>
            <w:tcW w:w="9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Contract Assets</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Balance on January 1, 2018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47,862</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 recognized</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64"/>
        </w:trPr>
        <w:tc>
          <w:tcPr>
            <w:tcW w:w="9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Increase</w:t>
            </w: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3,735</w:t>
            </w:r>
          </w:p>
        </w:tc>
      </w:tr>
      <w:tr>
        <w:trPr>
          <w:trHeight w:val="250"/>
        </w:trPr>
        <w:tc>
          <w:tcPr>
            <w:tcW w:w="9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March 31, 2018</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47,658</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328" w:lineRule="exact"/>
        <w:rPr>
          <w:sz w:val="20"/>
          <w:szCs w:val="20"/>
          <w:color w:val="auto"/>
        </w:rPr>
      </w:pPr>
    </w:p>
    <w:p>
      <w:pPr>
        <w:ind w:right="280" w:firstLine="446"/>
        <w:spacing w:after="0" w:line="262" w:lineRule="auto"/>
        <w:rPr>
          <w:sz w:val="20"/>
          <w:szCs w:val="20"/>
          <w:color w:val="auto"/>
        </w:rPr>
      </w:pPr>
      <w:r>
        <w:rPr>
          <w:rFonts w:ascii="Arial" w:cs="Arial" w:eastAsia="Arial" w:hAnsi="Arial"/>
          <w:sz w:val="18"/>
          <w:szCs w:val="18"/>
          <w:color w:val="auto"/>
        </w:rPr>
        <w:t>The following table includes estimated revenue expected to be recognized in future periods related to performance obligations that are unsatisfied or partially unsatisfied at the end of the reporting period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March 31, 2018</w:t>
            </w:r>
          </w:p>
        </w:tc>
      </w:tr>
      <w:tr>
        <w:trPr>
          <w:trHeight w:val="25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29,698</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2"/>
                <w:szCs w:val="22"/>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28,199</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22,695</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2"/>
                <w:szCs w:val="22"/>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16,147</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11,097</w:t>
            </w:r>
          </w:p>
        </w:tc>
      </w:tr>
      <w:tr>
        <w:trPr>
          <w:trHeight w:val="264"/>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7,837</w:t>
            </w: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115,673</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328" w:lineRule="exact"/>
        <w:rPr>
          <w:sz w:val="20"/>
          <w:szCs w:val="20"/>
          <w:color w:val="auto"/>
        </w:rPr>
      </w:pPr>
    </w:p>
    <w:p>
      <w:pPr>
        <w:jc w:val="both"/>
        <w:ind w:right="40" w:firstLine="446"/>
        <w:spacing w:after="0" w:line="256" w:lineRule="auto"/>
        <w:rPr>
          <w:sz w:val="20"/>
          <w:szCs w:val="20"/>
          <w:color w:val="auto"/>
        </w:rPr>
      </w:pPr>
      <w:r>
        <w:rPr>
          <w:rFonts w:ascii="Arial" w:cs="Arial" w:eastAsia="Arial" w:hAnsi="Arial"/>
          <w:sz w:val="18"/>
          <w:szCs w:val="18"/>
          <w:color w:val="auto"/>
        </w:rPr>
        <w:t>The Company generally expenses sales commissions related to products delivered at a point in time when the commissions are incurred because the amortization period would have been less than one year. The Company records these costs as sales and marketing expense. The Company expenses shipping and handling costs as incurred.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Adoption of Topic 606</w:t>
      </w:r>
    </w:p>
    <w:p>
      <w:pPr>
        <w:spacing w:after="0" w:line="328" w:lineRule="exact"/>
        <w:rPr>
          <w:sz w:val="20"/>
          <w:szCs w:val="20"/>
          <w:color w:val="auto"/>
        </w:rPr>
      </w:pPr>
    </w:p>
    <w:p>
      <w:pPr>
        <w:ind w:right="840" w:firstLine="446"/>
        <w:spacing w:after="0" w:line="262" w:lineRule="auto"/>
        <w:rPr>
          <w:sz w:val="20"/>
          <w:szCs w:val="20"/>
          <w:color w:val="auto"/>
        </w:rPr>
      </w:pPr>
      <w:r>
        <w:rPr>
          <w:rFonts w:ascii="Arial" w:cs="Arial" w:eastAsia="Arial" w:hAnsi="Arial"/>
          <w:sz w:val="18"/>
          <w:szCs w:val="18"/>
          <w:color w:val="auto"/>
        </w:rPr>
        <w:t>In accordance with Topic 606, the disclosure of the impact of adoption to the Company’s condensed consolidated statements of operations and condensed consolidated balance sheets was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7"/>
          </w:tcPr>
          <w:p>
            <w:pPr>
              <w:jc w:val="center"/>
              <w:ind w:right="154"/>
              <w:spacing w:after="0"/>
              <w:rPr>
                <w:sz w:val="20"/>
                <w:szCs w:val="20"/>
                <w:color w:val="auto"/>
              </w:rPr>
            </w:pPr>
            <w:r>
              <w:rPr>
                <w:rFonts w:ascii="Arial" w:cs="Arial" w:eastAsia="Arial" w:hAnsi="Arial"/>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color w:val="auto"/>
              </w:rPr>
              <w:t>Without</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color w:val="auto"/>
              </w:rPr>
              <w:t>Adoption of</w:t>
            </w:r>
          </w:p>
        </w:tc>
        <w:tc>
          <w:tcPr>
            <w:tcW w:w="0" w:type="dxa"/>
            <w:vAlign w:val="bottom"/>
          </w:tcPr>
          <w:p>
            <w:pPr>
              <w:spacing w:after="0"/>
              <w:rPr>
                <w:sz w:val="1"/>
                <w:szCs w:val="1"/>
                <w:color w:val="auto"/>
              </w:rPr>
            </w:pPr>
          </w:p>
        </w:tc>
      </w:tr>
      <w:tr>
        <w:trPr>
          <w:trHeight w:val="178"/>
        </w:trPr>
        <w:tc>
          <w:tcPr>
            <w:tcW w:w="430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As Reported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Adjustments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7"/>
              </w:rPr>
              <w:t>Topic 606</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9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69,972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69,533</w:t>
            </w: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36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51,657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51,488</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18,315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18,045</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36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20,790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20,755</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50"/>
        </w:trPr>
        <w:tc>
          <w:tcPr>
            <w:tcW w:w="430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57"/>
        </w:trPr>
        <w:tc>
          <w:tcPr>
            <w:tcW w:w="4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6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9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w:t>
            </w:r>
          </w:p>
        </w:tc>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vMerge w:val="continue"/>
          </w:tcPr>
          <w:p>
            <w:pPr>
              <w:spacing w:after="0"/>
              <w:rPr>
                <w:sz w:val="21"/>
                <w:szCs w:val="21"/>
                <w:color w:val="auto"/>
              </w:rPr>
            </w:pP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9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vMerge w:val="continue"/>
          </w:tcPr>
          <w:p>
            <w:pPr>
              <w:spacing w:after="0"/>
              <w:rPr>
                <w:sz w:val="21"/>
                <w:szCs w:val="21"/>
                <w:color w:val="auto"/>
              </w:rPr>
            </w:pP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91,422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91,422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91,422</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4"/>
                <w:szCs w:val="24"/>
                <w:color w:val="auto"/>
              </w:rPr>
            </w:pPr>
          </w:p>
        </w:tc>
        <w:tc>
          <w:tcPr>
            <w:tcW w:w="3680" w:type="dxa"/>
            <w:vAlign w:val="bottom"/>
          </w:tcPr>
          <w:p>
            <w:pPr>
              <w:jc w:val="right"/>
              <w:ind w:right="207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3"/>
        </w:trPr>
        <w:tc>
          <w:tcPr>
            <w:tcW w:w="7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color w:val="auto"/>
              </w:rPr>
              <w:t>Without</w:t>
            </w:r>
          </w:p>
        </w:tc>
      </w:tr>
      <w:tr>
        <w:trPr>
          <w:trHeight w:val="162"/>
        </w:trPr>
        <w:tc>
          <w:tcPr>
            <w:tcW w:w="7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color w:val="auto"/>
              </w:rPr>
              <w:t>Adoption of</w:t>
            </w:r>
          </w:p>
        </w:tc>
      </w:tr>
      <w:tr>
        <w:trPr>
          <w:trHeight w:val="178"/>
        </w:trPr>
        <w:tc>
          <w:tcPr>
            <w:tcW w:w="778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As Reported</w:t>
            </w:r>
          </w:p>
        </w:tc>
        <w:tc>
          <w:tcPr>
            <w:tcW w:w="1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Adjustments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rPr>
              <w:t>Topic 606</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20,435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(10,761)</w:t>
            </w:r>
          </w:p>
        </w:tc>
        <w:tc>
          <w:tcPr>
            <w:tcW w:w="28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9,674</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35,236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7,906</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30,223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(5,736)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24,487</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37,408</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16,058</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revenues, noncurrent</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78,265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(49,714)</w:t>
            </w:r>
          </w:p>
        </w:tc>
        <w:tc>
          <w:tcPr>
            <w:tcW w:w="28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28,551</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(339,803)</w:t>
            </w:r>
          </w:p>
        </w:tc>
        <w:tc>
          <w:tcPr>
            <w:tcW w:w="1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38,709</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(301,094)</w:t>
            </w:r>
          </w:p>
        </w:tc>
      </w:tr>
      <w:tr>
        <w:trPr>
          <w:trHeight w:val="459"/>
        </w:trPr>
        <w:tc>
          <w:tcPr>
            <w:tcW w:w="7780" w:type="dxa"/>
            <w:vAlign w:val="bottom"/>
          </w:tcPr>
          <w:p>
            <w:pPr>
              <w:spacing w:after="0"/>
              <w:rPr>
                <w:sz w:val="20"/>
                <w:szCs w:val="20"/>
                <w:color w:val="auto"/>
              </w:rPr>
            </w:pPr>
            <w:r>
              <w:rPr>
                <w:rFonts w:ascii="Arial" w:cs="Arial" w:eastAsia="Arial" w:hAnsi="Arial"/>
                <w:sz w:val="18"/>
                <w:szCs w:val="18"/>
                <w:b w:val="1"/>
                <w:bCs w:val="1"/>
                <w:color w:val="auto"/>
              </w:rPr>
              <w:t>3. INVENTORY</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900" w:type="dxa"/>
            <w:vAlign w:val="bottom"/>
            <w:gridSpan w:val="3"/>
          </w:tcPr>
          <w:p>
            <w:pPr>
              <w:jc w:val="right"/>
              <w:ind w:right="728"/>
              <w:spacing w:after="0"/>
              <w:rPr>
                <w:sz w:val="20"/>
                <w:szCs w:val="20"/>
                <w:color w:val="auto"/>
              </w:rPr>
            </w:pPr>
            <w:r>
              <w:rPr>
                <w:rFonts w:ascii="Arial" w:cs="Arial" w:eastAsia="Arial" w:hAnsi="Arial"/>
                <w:sz w:val="18"/>
                <w:szCs w:val="18"/>
                <w:color w:val="auto"/>
              </w:rPr>
              <w:t>Inventory as of March 31, 2018 and December 31, 2017 consists of the following (in thousands):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3"/>
        </w:trPr>
        <w:tc>
          <w:tcPr>
            <w:tcW w:w="7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2,341</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5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16,576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23,658</w:t>
            </w:r>
          </w:p>
        </w:tc>
      </w:tr>
      <w:tr>
        <w:trPr>
          <w:trHeight w:val="25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1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25,999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WARRANTY OBLIGATIONS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warranty activities during the three months ended March 31, 2018 and 2017 were as follows (in thousands):</w:t>
      </w:r>
    </w:p>
    <w:p>
      <w:pPr>
        <w:spacing w:after="0" w:line="32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5" w:lineRule="exact"/>
        <w:rPr>
          <w:sz w:val="20"/>
          <w:szCs w:val="20"/>
          <w:color w:val="auto"/>
        </w:rPr>
      </w:pPr>
    </w:p>
    <w:p>
      <w:pPr>
        <w:ind w:left="9420"/>
        <w:spacing w:after="0"/>
        <w:tabs>
          <w:tab w:leader="none" w:pos="10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Warranty obligations, beginning of period</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Accruals for warranties issued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estimates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Increase due to accretion expense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440" w:val="left"/>
          <w:tab w:leader="none" w:pos="1240" w:val="left"/>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29,816</w:t>
        <w:tab/>
        <w:t>$</w:t>
      </w:r>
      <w:r>
        <w:rPr>
          <w:sz w:val="20"/>
          <w:szCs w:val="20"/>
          <w:color w:val="auto"/>
        </w:rPr>
        <w:tab/>
      </w:r>
      <w:r>
        <w:rPr>
          <w:rFonts w:ascii="Arial" w:cs="Arial" w:eastAsia="Arial" w:hAnsi="Arial"/>
          <w:sz w:val="18"/>
          <w:szCs w:val="18"/>
          <w:color w:val="auto"/>
        </w:rPr>
        <w:t>31,414</w:t>
      </w:r>
    </w:p>
    <w:p>
      <w:pPr>
        <w:spacing w:after="0" w:line="63" w:lineRule="exact"/>
        <w:rPr>
          <w:sz w:val="20"/>
          <w:szCs w:val="20"/>
          <w:color w:val="auto"/>
        </w:rPr>
      </w:pPr>
    </w:p>
    <w:p>
      <w:pPr>
        <w:ind w:left="1980" w:hanging="1264"/>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834</w:t>
      </w:r>
    </w:p>
    <w:p>
      <w:pPr>
        <w:spacing w:after="0" w:line="6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1,450</w:t>
      </w:r>
      <w:r>
        <w:rPr>
          <w:rFonts w:ascii="Arial" w:cs="Arial" w:eastAsia="Arial" w:hAnsi="Arial"/>
          <w:sz w:val="17"/>
          <w:szCs w:val="17"/>
          <w:color w:val="auto"/>
        </w:rPr>
        <w:t>291</w:t>
      </w:r>
    </w:p>
    <w:p>
      <w:pPr>
        <w:spacing w:after="0" w:line="63" w:lineRule="exact"/>
        <w:rPr>
          <w:sz w:val="20"/>
          <w:szCs w:val="20"/>
          <w:color w:val="auto"/>
        </w:rPr>
      </w:pPr>
    </w:p>
    <w:p>
      <w:pPr>
        <w:jc w:val="both"/>
        <w:ind w:left="500"/>
        <w:spacing w:after="0"/>
        <w:tabs>
          <w:tab w:leader="none" w:pos="1740" w:val="left"/>
        </w:tabs>
        <w:rPr>
          <w:sz w:val="20"/>
          <w:szCs w:val="20"/>
          <w:color w:val="auto"/>
        </w:rPr>
      </w:pPr>
      <w:r>
        <w:rPr>
          <w:rFonts w:ascii="Arial" w:cs="Arial" w:eastAsia="Arial" w:hAnsi="Arial"/>
          <w:sz w:val="18"/>
          <w:szCs w:val="18"/>
          <w:color w:val="auto"/>
        </w:rPr>
        <w:t>(1,676)</w:t>
      </w:r>
      <w:r>
        <w:rPr>
          <w:sz w:val="20"/>
          <w:szCs w:val="20"/>
          <w:color w:val="auto"/>
        </w:rPr>
        <w:tab/>
      </w:r>
      <w:r>
        <w:rPr>
          <w:rFonts w:ascii="Arial" w:cs="Arial" w:eastAsia="Arial" w:hAnsi="Arial"/>
          <w:sz w:val="18"/>
          <w:szCs w:val="18"/>
          <w:color w:val="auto"/>
        </w:rPr>
        <w:t>(1,617)</w:t>
      </w:r>
    </w:p>
    <w:p>
      <w:pPr>
        <w:spacing w:after="0" w:line="63" w:lineRule="exact"/>
        <w:rPr>
          <w:sz w:val="20"/>
          <w:szCs w:val="20"/>
          <w:color w:val="auto"/>
        </w:rPr>
      </w:pPr>
    </w:p>
    <w:p>
      <w:pPr>
        <w:ind w:left="720"/>
        <w:spacing w:after="0"/>
        <w:tabs>
          <w:tab w:leader="none" w:pos="196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495</w:t>
      </w:r>
    </w:p>
    <w:p>
      <w:pPr>
        <w:spacing w:after="0" w:line="63" w:lineRule="exact"/>
        <w:rPr>
          <w:sz w:val="20"/>
          <w:szCs w:val="20"/>
          <w:color w:val="auto"/>
        </w:rPr>
      </w:pPr>
    </w:p>
    <w:p>
      <w:pPr>
        <w:ind w:left="1980" w:hanging="1324"/>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578</w:t>
      </w:r>
    </w:p>
    <w:p>
      <w:pPr>
        <w:spacing w:after="0" w:line="10" w:lineRule="exact"/>
        <w:rPr>
          <w:sz w:val="20"/>
          <w:szCs w:val="20"/>
          <w:color w:val="auto"/>
        </w:rPr>
      </w:pPr>
    </w:p>
    <w:p>
      <w:pPr>
        <w:sectPr>
          <w:pgSz w:w="11900" w:h="16838" w:orient="portrait"/>
          <w:cols w:equalWidth="0" w:num="2">
            <w:col w:w="8320" w:space="720"/>
            <w:col w:w="238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31,995</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23,619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As of March 31, 2018, the 30.6 million of warranty obligations included $11.7 million measured at fair value. See Note 5, “Fair Value Measurements”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93" w:lineRule="exact"/>
        <w:rPr>
          <w:sz w:val="20"/>
          <w:szCs w:val="20"/>
          <w:color w:val="auto"/>
        </w:rPr>
      </w:pPr>
    </w:p>
    <w:p>
      <w:pPr>
        <w:ind w:right="320" w:firstLine="44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52" w:lineRule="exact"/>
        <w:rPr>
          <w:sz w:val="20"/>
          <w:szCs w:val="20"/>
          <w:color w:val="auto"/>
        </w:rPr>
      </w:pPr>
    </w:p>
    <w:p>
      <w:pPr>
        <w:ind w:right="260" w:firstLine="446"/>
        <w:spacing w:after="0" w:line="262"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is based upon the lowest level of input that is significant to the fair value measurement. Three levels of inputs may be used to measure fair value:</w:t>
      </w:r>
    </w:p>
    <w:p>
      <w:pPr>
        <w:spacing w:after="0" w:line="61" w:lineRule="exact"/>
        <w:rPr>
          <w:sz w:val="20"/>
          <w:szCs w:val="20"/>
          <w:color w:val="auto"/>
        </w:rPr>
      </w:pPr>
    </w:p>
    <w:p>
      <w:pPr>
        <w:ind w:left="980" w:right="20" w:hanging="486"/>
        <w:spacing w:after="0" w:line="25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66"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61"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March 31, 2018 and December 31, 2017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w:t>
            </w:r>
          </w:p>
        </w:tc>
        <w:tc>
          <w:tcPr>
            <w:tcW w:w="220" w:type="dxa"/>
            <w:vAlign w:val="bottom"/>
          </w:tcPr>
          <w:p>
            <w:pPr>
              <w:spacing w:after="0"/>
              <w:rPr>
                <w:sz w:val="17"/>
                <w:szCs w:val="17"/>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9,790</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party option to purchase receivables at a discount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3</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93" w:lineRule="exact"/>
        <w:rPr>
          <w:sz w:val="20"/>
          <w:szCs w:val="20"/>
          <w:color w:val="auto"/>
        </w:rPr>
      </w:pPr>
    </w:p>
    <w:p>
      <w:pPr>
        <w:ind w:right="220" w:firstLine="446"/>
        <w:spacing w:after="0" w:line="252"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55" w:lineRule="exact"/>
        <w:rPr>
          <w:sz w:val="20"/>
          <w:szCs w:val="20"/>
          <w:color w:val="auto"/>
        </w:rPr>
      </w:pPr>
    </w:p>
    <w:p>
      <w:pPr>
        <w:jc w:val="both"/>
        <w:ind w:right="320" w:firstLine="446"/>
        <w:spacing w:after="0" w:line="250"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88" w:lineRule="exact"/>
        <w:rPr>
          <w:sz w:val="20"/>
          <w:szCs w:val="20"/>
          <w:color w:val="auto"/>
        </w:rPr>
      </w:pPr>
    </w:p>
    <w:p>
      <w:pPr>
        <w:ind w:right="620" w:firstLine="44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3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9"/>
        </w:trPr>
        <w:tc>
          <w:tcPr>
            <w:tcW w:w="46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4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10,332</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4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4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4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4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600" w:type="dxa"/>
            <w:vAlign w:val="bottom"/>
            <w:vMerge w:val="restart"/>
          </w:tcPr>
          <w:p>
            <w:pPr>
              <w:jc w:val="right"/>
              <w:ind w:right="333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March 31, 2018, the significant unobservable inputs used in the fair value measurement of the Company’s liabilities designated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Level 3 are as follows:</w:t>
      </w:r>
    </w:p>
    <w:p>
      <w:pPr>
        <w:sectPr>
          <w:pgSz w:w="11900" w:h="16838" w:orient="portrait"/>
          <w:cols w:equalWidth="0" w:num="1">
            <w:col w:w="11420"/>
          </w:cols>
          <w:pgMar w:left="240" w:top="140" w:right="239" w:bottom="1440" w:gutter="0" w:footer="0" w:header="0"/>
        </w:sect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44545"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4545" cy="403225"/>
                    </a:xfrm>
                    <a:prstGeom prst="rect">
                      <a:avLst/>
                    </a:prstGeom>
                    <a:noFill/>
                  </pic:spPr>
                </pic:pic>
              </a:graphicData>
            </a:graphic>
          </wp:anchor>
        </w:drawing>
      </w:r>
    </w:p>
    <w:p>
      <w:pPr>
        <w:spacing w:after="0" w:line="64" w:lineRule="exact"/>
        <w:rPr>
          <w:sz w:val="20"/>
          <w:szCs w:val="20"/>
          <w:color w:val="auto"/>
        </w:rPr>
      </w:pPr>
    </w:p>
    <w:p>
      <w:pPr>
        <w:ind w:left="200" w:hanging="8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9" w:lineRule="exact"/>
        <w:rPr>
          <w:sz w:val="20"/>
          <w:szCs w:val="20"/>
          <w:color w:val="auto"/>
        </w:rPr>
      </w:pPr>
    </w:p>
    <w:p>
      <w:pPr>
        <w:ind w:left="40" w:right="420"/>
        <w:spacing w:after="0" w:line="260" w:lineRule="auto"/>
        <w:rPr>
          <w:sz w:val="20"/>
          <w:szCs w:val="20"/>
          <w:color w:val="auto"/>
        </w:rPr>
      </w:pPr>
      <w:r>
        <w:rPr>
          <w:rFonts w:ascii="Arial" w:cs="Arial" w:eastAsia="Arial" w:hAnsi="Arial"/>
          <w:sz w:val="16"/>
          <w:szCs w:val="16"/>
          <w:color w:val="auto"/>
        </w:rPr>
        <w:t>Third party option to purchase receivables at a discount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77"/>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gridSpan w:val="2"/>
            <w:vMerge w:val="continue"/>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400" w:type="dxa"/>
            <w:vAlign w:val="bottom"/>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Pr>
          <w:p>
            <w:pPr>
              <w:spacing w:after="0"/>
              <w:rPr>
                <w:sz w:val="24"/>
                <w:szCs w:val="24"/>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Counter party credit-adjusted risk-free rate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bl>
    <w:p>
      <w:pPr>
        <w:spacing w:after="0" w:line="275" w:lineRule="exact"/>
        <w:rPr>
          <w:sz w:val="20"/>
          <w:szCs w:val="20"/>
          <w:color w:val="auto"/>
        </w:rPr>
      </w:pPr>
    </w:p>
    <w:p>
      <w:pPr>
        <w:sectPr>
          <w:pgSz w:w="11900" w:h="16838" w:orient="portrait"/>
          <w:cols w:equalWidth="0" w:num="2">
            <w:col w:w="2600" w:space="160"/>
            <w:col w:w="8660"/>
          </w:cols>
          <w:pgMar w:left="240" w:top="140" w:right="239" w:bottom="1440" w:gutter="0" w:footer="0" w:header="0"/>
          <w:type w:val="continuous"/>
        </w:sectPr>
      </w:pPr>
    </w:p>
    <w:p>
      <w:pPr>
        <w:ind w:right="60" w:firstLine="486"/>
        <w:spacing w:after="0" w:line="262" w:lineRule="auto"/>
        <w:rPr>
          <w:sz w:val="20"/>
          <w:szCs w:val="20"/>
          <w:color w:val="auto"/>
        </w:rPr>
      </w:pPr>
      <w:r>
        <w:rPr>
          <w:rFonts w:ascii="Arial" w:cs="Arial" w:eastAsia="Arial" w:hAnsi="Arial"/>
          <w:sz w:val="18"/>
          <w:szCs w:val="18"/>
          <w:color w:val="auto"/>
        </w:rPr>
        <w:t>As of December 31, 2017, the significant unobservable inputs used in the fair value measurement of the Company’s liabilities designated as Level 3 are as follows:</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44545"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4545" cy="403225"/>
                    </a:xfrm>
                    <a:prstGeom prst="rect">
                      <a:avLst/>
                    </a:prstGeom>
                    <a:noFill/>
                  </pic:spPr>
                </pic:pic>
              </a:graphicData>
            </a:graphic>
          </wp:anchor>
        </w:drawing>
      </w:r>
    </w:p>
    <w:p>
      <w:pPr>
        <w:spacing w:after="0" w:line="64" w:lineRule="exact"/>
        <w:rPr>
          <w:sz w:val="20"/>
          <w:szCs w:val="20"/>
          <w:color w:val="auto"/>
        </w:rPr>
      </w:pPr>
    </w:p>
    <w:p>
      <w:pPr>
        <w:ind w:left="200" w:hanging="8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9" w:lineRule="exact"/>
        <w:rPr>
          <w:sz w:val="20"/>
          <w:szCs w:val="20"/>
          <w:color w:val="auto"/>
        </w:rPr>
      </w:pPr>
    </w:p>
    <w:p>
      <w:pPr>
        <w:ind w:left="40" w:right="420"/>
        <w:spacing w:after="0" w:line="260" w:lineRule="auto"/>
        <w:rPr>
          <w:sz w:val="20"/>
          <w:szCs w:val="20"/>
          <w:color w:val="auto"/>
        </w:rPr>
      </w:pPr>
      <w:r>
        <w:rPr>
          <w:rFonts w:ascii="Arial" w:cs="Arial" w:eastAsia="Arial" w:hAnsi="Arial"/>
          <w:sz w:val="16"/>
          <w:szCs w:val="16"/>
          <w:color w:val="auto"/>
        </w:rPr>
        <w:t>Third party option to purchase receivables at a discount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77"/>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gridSpan w:val="2"/>
            <w:vMerge w:val="continue"/>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400" w:type="dxa"/>
            <w:vAlign w:val="bottom"/>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Pr>
          <w:p>
            <w:pPr>
              <w:spacing w:after="0"/>
              <w:rPr>
                <w:sz w:val="24"/>
                <w:szCs w:val="24"/>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Counter party credit-adjusted risk-free rate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2600" w:space="160"/>
            <w:col w:w="8660"/>
          </w:cols>
          <w:pgMar w:left="240" w:top="140"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9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 input by 100 basis points would have a nominal impact on the fair value measurement of the liability. Increasing the discount rate by 100 basis points would result in a $0.5 million reduction of the liability. Decreasing the discount rate by 100 basis points would result in a $0.5 million increase to the liability.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goodwill and purchased intangible assets as of March 31,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Intangible assets with finite lives: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 and licensed technology</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 purchased intangible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515</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were amortized over their legal life of 3 years. In October 2015, the Company licensed certain technology related to ASIC development for a 3 year term, which is also its estimated useful life.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For the three months ended March 31, 2018, amortization expense related to intangible assets was $0.1 million. The remaining $0.2 million of patents and licensed technology will be amortized during the remainder of 2018.</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the third quarter of 2016, the Company began implementing restructuring actions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substantially completed its restructuring activities in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Company’s restructuring charges for the periods indicated (in thousands):</w:t>
      </w:r>
    </w:p>
    <w:p>
      <w:pPr>
        <w:spacing w:after="0" w:line="159"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14605</wp:posOffset>
            </wp:positionV>
            <wp:extent cx="2109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arrangements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1,592</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140" w:type="dxa"/>
            <w:vAlign w:val="bottom"/>
          </w:tcPr>
          <w:p>
            <w:pPr>
              <w:spacing w:after="0"/>
              <w:rPr>
                <w:sz w:val="22"/>
                <w:szCs w:val="22"/>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522</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Consultants engaged in restructuring activities</w:t>
            </w:r>
          </w:p>
        </w:tc>
        <w:tc>
          <w:tcPr>
            <w:tcW w:w="1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loss reserves and contract termination costs</w:t>
            </w:r>
          </w:p>
        </w:tc>
        <w:tc>
          <w:tcPr>
            <w:tcW w:w="1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1,133</w:t>
            </w:r>
          </w:p>
        </w:tc>
      </w:tr>
      <w:tr>
        <w:trPr>
          <w:trHeight w:val="25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restructuring and asset impairment charges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accrued restructuring balance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Lease Loss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Employee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Reserves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Severance and</w:t>
            </w: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6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6"/>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140" w:type="dxa"/>
            <w:vAlign w:val="bottom"/>
          </w:tcPr>
          <w:p>
            <w:pPr>
              <w:ind w:left="18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4,417</w:t>
            </w:r>
          </w:p>
        </w:tc>
      </w:tr>
      <w:tr>
        <w:trPr>
          <w:trHeight w:val="277"/>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64"/>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settlement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140" w:type="dxa"/>
            <w:vAlign w:val="bottom"/>
          </w:tcPr>
          <w:p>
            <w:pPr>
              <w:ind w:left="18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13,568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16,917</w:t>
            </w:r>
          </w:p>
        </w:tc>
      </w:tr>
      <w:tr>
        <w:trPr>
          <w:trHeight w:val="277"/>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r>
      <w:tr>
        <w:trPr>
          <w:trHeight w:val="264"/>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settlement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7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December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payments and receipts, net</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March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July 2016, the Company entered into a Term Loan Agreement (the “Original Term Loan”) with lenders that are affiliates of Tennenbaum Capital Partners, LLC. (the “Lenders” or “TCP”). Under the agreement, the Lenders committed to advance a term loan in an aggregate principal amount of up to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provided for an interest rate per annum equal to the higher of (i) 10.25% or (ii) LIBOR plus 9.5625%,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subject to a 1.0% reduction if the Company achieves minimum levels of Revenue and EBITDA (each as defined in the Term Loan Agreement) for the twelve-consecutive month period ending June 30, 2017 as set forth in the Term Loan Agreement. In addition, the Company paid</w:t>
      </w:r>
    </w:p>
    <w:p>
      <w:pPr>
        <w:jc w:val="both"/>
        <w:ind w:right="60"/>
        <w:spacing w:after="0" w:line="256" w:lineRule="auto"/>
        <w:rPr>
          <w:sz w:val="20"/>
          <w:szCs w:val="20"/>
          <w:color w:val="auto"/>
        </w:rPr>
      </w:pPr>
      <w:r>
        <w:rPr>
          <w:rFonts w:ascii="Arial" w:cs="Arial" w:eastAsia="Arial" w:hAnsi="Arial"/>
          <w:sz w:val="18"/>
          <w:szCs w:val="18"/>
          <w:color w:val="auto"/>
        </w:rPr>
        <w:t>a commitment fee of 3.3% of the loan amount upon closing and a closing fee of 10.0% of the loan amount is payable in four equal installments at each anniversary of the closing date. The Company could elect to prepay the loan by incurring a prepayment fee between 1% and 3% of the principal amount of the term loan depending on the timing and circumstances of prepayment.</w:t>
      </w:r>
    </w:p>
    <w:p>
      <w:pPr>
        <w:spacing w:after="0" w:line="148"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The Loan Agreement provides for a $25.0 million secured term loan to the Company (the “New Term Loan”), which is in addition to the $ 25.0 million secured term loan borrowed by the Company under the Original Term Loan (together with the “New Term Loan” the “Term Loans”). The New Term Loan has the same July 1, 2020 maturity date that was applicable to the Original Term Loan. The New Term Loan was fully drawn at closing, with approximately $10.3 million of the proceeds used to repay existing combined principal and interest due under the Company’s Revolver with Wells Fargo. Upon the repayment of loans under the Wells Fargo Revolver, the Wells Fargo Revolving Credit Agreement was terminated. The Company expects to use the remainder of the proceeds from the New Term Loan for general corporate purposes.</w:t>
      </w:r>
    </w:p>
    <w:p>
      <w:pPr>
        <w:spacing w:after="0" w:line="15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Monthly payments under the Term Loans through February 28, 2018 are interest only, followed by consecutive equal monthly payments of principal plus accrued interest beginning on March 1, 2018 and continuing through the maturity date. Interest on the Term Loans is the greater of (a) 10.3125%, and (b) a fluctuating rate of interest per annum equal to the three-month LIBOR Rate (rounded up to the nearest 1/16th of one percent) plus 9.25%. In addition, the Company paid a commitment fee of 3.0% of the New Term Loan amount upon closing and a closing fee of 4.0% of the New Term Loan amount, which is payable with the closing fee under the Original Term Loan in four equal installments at each anniversary of the closing date of the Original Loan Agreement. The Company may elect to prepay the Term Loans by incurring a prepayment fee between 1% and 3% of the principal amount of the Term Loans depending on the timing and circumstances of prepayment.</w:t>
      </w:r>
    </w:p>
    <w:p>
      <w:pPr>
        <w:spacing w:after="0" w:line="141" w:lineRule="exact"/>
        <w:rPr>
          <w:sz w:val="20"/>
          <w:szCs w:val="20"/>
          <w:color w:val="auto"/>
        </w:rPr>
      </w:pPr>
    </w:p>
    <w:p>
      <w:pPr>
        <w:ind w:right="460" w:firstLine="432"/>
        <w:spacing w:after="0" w:line="254" w:lineRule="auto"/>
        <w:rPr>
          <w:sz w:val="20"/>
          <w:szCs w:val="20"/>
          <w:color w:val="auto"/>
        </w:rPr>
      </w:pPr>
      <w:r>
        <w:rPr>
          <w:rFonts w:ascii="Arial" w:cs="Arial" w:eastAsia="Arial" w:hAnsi="Arial"/>
          <w:sz w:val="18"/>
          <w:szCs w:val="18"/>
          <w:color w:val="auto"/>
        </w:rPr>
        <w:t>On February 28, 2018, the Company entered into a Second Amendment to the Term Loans. The Amendment decreases by 50% the amount of principal repayments required under the Loan Agreement for the period from March 1, 2018 through December 31, 2018 and provides that the Company shall not prepay any part of the Term Loan during that same period without the Collateral Agent’s prior written consent.</w:t>
      </w:r>
    </w:p>
    <w:p>
      <w:pPr>
        <w:spacing w:after="0" w:line="150"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The Term Loans are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150"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 each case subject to certain exceptions. The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typical rights and remedies in any event of default, including the ability to declare all amounts outstanding immediately due and payable. The Company was in compliance with all financial covenants as of March 31, 2018.</w:t>
      </w:r>
    </w:p>
    <w:p>
      <w:pPr>
        <w:spacing w:after="0" w:line="157"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In connection with the New Term Loan, the Company issued to the Lenders warrants to purchase an aggregate 1,220,000 shares of the Company’s Common Stock at an exercise price of $1.05 per share.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warrants have a term of seven years and contain a “cashless exercise” feature that allows the holder to exercise the warrant without a cash payment upon the terms set forth therein.</w:t>
      </w:r>
    </w:p>
    <w:p>
      <w:pPr>
        <w:spacing w:after="0" w:line="142"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strike price of $1.05; volatility of 85.9%, risk-free rate of 2.23%; dividend yield of 0%; and a 7 year term. The resulting fair value was used to allocate the proceeds from the Term Loan between liability and equity components.</w:t>
      </w:r>
    </w:p>
    <w:p>
      <w:pPr>
        <w:spacing w:after="0" w:line="148"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The Company classified the warrants as equity and allocated the proceeds from the Term Loan and warrants using the relative fair value method. Using this method, the Company allocated $1.4 million to the warrants, which was recorded as equity. This amount represents debt discount that will be amortized to interest expense over the term of the loan. The Lenders converted the warrants into 912,067 shares of the Company’s common stock in a cashless exercise in 2018.</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the estimated schedule of principal payments due on the term loan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7,062</w:t>
            </w:r>
          </w:p>
        </w:tc>
      </w:tr>
      <w:tr>
        <w:trPr>
          <w:trHeight w:val="26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25,238</w:t>
            </w:r>
          </w:p>
        </w:tc>
      </w:tr>
      <w:tr>
        <w:trPr>
          <w:trHeight w:val="250"/>
        </w:trPr>
        <w:tc>
          <w:tcPr>
            <w:tcW w:w="99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16,929</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49,229</w:t>
            </w: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Long Term Financing Receivables</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resulting in net proceeds to the Company of $2.8 million. This transaction was recorded as debt on the accompanying consolidated balance sheets, and the debt balance will be relieved by January 2019 as the underlying receivables are settled. In March 2018, the third party made an additional purchase of receivables resulting in net proceeds to the Company of $2.3 million. This transaction was recorded as debt on the accompanying consolidated balance sheets, and the debt balance will be relieved by January 2020 as the underlying receivables are settled.The buyer has the option to purchase certain additional future receivables at various fixed discounts. This option was valued at $ 0.7 million and was recorded as a liability with a corresponding offset to debt as of December 31, 2017. As of March 31, 2018, this option was valued at $0.3 million. See Note 8, “Fair Value Measurements” for additional information.</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was comprised of the following at March 31, 2018 and December 31, 2017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49,229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unamortized discount and issuance costs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Carrying amount of term loan</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47,889</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 of long term financing receivable recorded as debt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value of future purchase option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Carrying amount of sale of long term financing receivable recorded as debt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Total carrying amount of debt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50,727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49,751</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 term loan</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 of long term financing receivable recorded as debt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36,459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32,322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4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Company had a $50.0 million revolving credit facility with Wells Fargo Bank, N.A. (“Wells Fargo”) that was entered into in November 2012. The Revolver had a balance of $10.1 million as of December 31, 2016 and was fully repaid and terminated in February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47" w:lineRule="exact"/>
        <w:rPr>
          <w:sz w:val="20"/>
          <w:szCs w:val="20"/>
          <w:color w:val="auto"/>
        </w:rPr>
      </w:pPr>
    </w:p>
    <w:p>
      <w:pPr>
        <w:ind w:right="60" w:firstLine="446"/>
        <w:spacing w:after="0" w:line="251" w:lineRule="auto"/>
        <w:rPr>
          <w:sz w:val="20"/>
          <w:szCs w:val="20"/>
          <w:color w:val="auto"/>
        </w:rPr>
      </w:pPr>
      <w:r>
        <w:rPr>
          <w:rFonts w:ascii="Arial" w:cs="Arial" w:eastAsia="Arial" w:hAnsi="Arial"/>
          <w:sz w:val="18"/>
          <w:szCs w:val="18"/>
          <w:color w:val="auto"/>
        </w:rPr>
        <w:t>From time to time, the Company may be involved in litigation relating to claims arising out of its operations. The Company is not involved in any material legal proceedings. However, the Company is involved in a dispute with one of its suppliers regarding purchase volume commitments. The Company believes that the supplier’s claims are without merit and that the Company has a legally defensible position in this matter. In an effort to avoid the potential of protracted legal action, the Company made an offer in April, 2018 to settle the dispute and has recorded a charge and recognized a contingent liability in the first quarter of 2018 in the amount of $1.8 million. If the supplier does not accept the settlement offer, the offer will be rescinded and the Company will vigorously defend any and all claims that may be brought by the supplier. The Company may also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SALE OF COMMON STOCK</w:t>
      </w:r>
    </w:p>
    <w:p>
      <w:pPr>
        <w:spacing w:after="0" w:line="247" w:lineRule="exact"/>
        <w:rPr>
          <w:sz w:val="20"/>
          <w:szCs w:val="20"/>
          <w:color w:val="auto"/>
        </w:rPr>
      </w:pPr>
    </w:p>
    <w:p>
      <w:pPr>
        <w:jc w:val="both"/>
        <w:ind w:right="200" w:firstLine="446"/>
        <w:spacing w:after="0" w:line="256" w:lineRule="auto"/>
        <w:rPr>
          <w:sz w:val="20"/>
          <w:szCs w:val="20"/>
          <w:color w:val="auto"/>
        </w:rPr>
      </w:pPr>
      <w:r>
        <w:rPr>
          <w:rFonts w:ascii="Arial" w:cs="Arial" w:eastAsia="Arial" w:hAnsi="Arial"/>
          <w:sz w:val="18"/>
          <w:szCs w:val="18"/>
          <w:color w:val="auto"/>
        </w:rPr>
        <w:t>On February 4, 2018, the Company entered into a securities purchase agreement with an investor pursuant to which the Company, in a private placement, issued and sold to the investor 9,523,809 shares of the Company’s common stock, at a price per share of $2.10, for gross proceeds of $20.0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93"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three months ended March 31, 2018 (in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1.77</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2.86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2.00</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1.98</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8,327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firstLine="432"/>
        <w:spacing w:after="0" w:line="262" w:lineRule="auto"/>
        <w:rPr>
          <w:sz w:val="20"/>
          <w:szCs w:val="20"/>
          <w:color w:val="auto"/>
        </w:rPr>
      </w:pPr>
      <w:r>
        <w:rPr>
          <w:rFonts w:ascii="Arial" w:cs="Arial" w:eastAsia="Arial" w:hAnsi="Arial"/>
          <w:sz w:val="18"/>
          <w:szCs w:val="18"/>
          <w:color w:val="auto"/>
        </w:rPr>
        <w:t>The intrinsic value of options exercised in the three months ended March 31, 2018 was $0.3 million. As of March 31, 2018, the intrinsic value of options outstanding was $25.0 million based on the closing price of the Company’s stock as of March 31,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89" w:lineRule="exact"/>
        <w:rPr>
          <w:sz w:val="20"/>
          <w:szCs w:val="20"/>
          <w:color w:val="auto"/>
        </w:rPr>
      </w:pPr>
    </w:p>
    <w:p>
      <w:pPr>
        <w:ind w:right="300" w:firstLine="446"/>
        <w:spacing w:after="0" w:line="262" w:lineRule="auto"/>
        <w:rPr>
          <w:sz w:val="20"/>
          <w:szCs w:val="20"/>
          <w:color w:val="auto"/>
        </w:rPr>
      </w:pPr>
      <w:r>
        <w:rPr>
          <w:rFonts w:ascii="Arial" w:cs="Arial" w:eastAsia="Arial" w:hAnsi="Arial"/>
          <w:sz w:val="18"/>
          <w:szCs w:val="18"/>
          <w:color w:val="auto"/>
        </w:rPr>
        <w:t>The following is a summary of restricted stock unit activity for the three months ended March 31, 2018 (in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at</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RSUs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3,505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2.36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3.28</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1.96</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3,620</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total intrinsic value of restricted stock units that were vested in the three months ended March 31, 2018 was $0.8 million. As of March 31, 2018, the intrinsic value of restricted stock units outstanding was $16.5 million based on the closing price of the Company’s stock as of March 31, 2018.</w:t>
      </w:r>
    </w:p>
    <w:p>
      <w:pPr>
        <w:spacing w:after="0" w:line="14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April 3, 2017, the Company commenced a Tender Offer (Offer) to exchange out of the money stock options for restricted stock units. The Offer expired on Monday, May 1, 2017. Pursuant to the Offer, the Company accepted elections to exchange options to purchase 2,362,470 shares of common stock and issued replacement awards of restricted stock units for 733,559 shares of common stock. As the transaction approximated a value-for-value exchange, it did not have a material impact on the Company’s stock based compensation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3"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8"/>
          <w:szCs w:val="18"/>
          <w:color w:val="auto"/>
        </w:rPr>
        <w:t xml:space="preserve">Compensation expense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w:t>
      </w:r>
      <w:r>
        <w:rPr>
          <w:rFonts w:ascii="Arial" w:cs="Arial" w:eastAsia="Arial" w:hAnsi="Arial"/>
          <w:sz w:val="18"/>
          <w:szCs w:val="18"/>
          <w:color w:val="auto"/>
        </w:rPr>
        <w:t xml:space="preserve"> </w:t>
      </w:r>
      <w:r>
        <w:rPr>
          <w:rFonts w:ascii="Arial" w:cs="Arial" w:eastAsia="Arial" w:hAnsi="Arial"/>
          <w:sz w:val="18"/>
          <w:szCs w:val="18"/>
          <w:color w:val="010202"/>
        </w:rPr>
        <w:t xml:space="preserve">condensed consolidated statements of operations for the periods presented (in </w:t>
      </w:r>
      <w:r>
        <w:rPr>
          <w:rFonts w:ascii="Arial" w:cs="Arial" w:eastAsia="Arial" w:hAnsi="Arial"/>
          <w:sz w:val="18"/>
          <w:szCs w:val="18"/>
          <w:color w:val="000000"/>
        </w:rPr>
        <w:t>thousands):</w:t>
      </w:r>
    </w:p>
    <w:p>
      <w:pPr>
        <w:spacing w:after="0" w:line="29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751</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561</w:t>
            </w: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1,929</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 (in thousands):</w:t>
      </w:r>
    </w:p>
    <w:p>
      <w:pPr>
        <w:spacing w:after="0" w:line="3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48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1,317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39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1,571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92"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14605</wp:posOffset>
            </wp:positionV>
            <wp:extent cx="2186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0.68</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33"/>
              <w:spacing w:after="0"/>
              <w:rPr>
                <w:sz w:val="20"/>
                <w:szCs w:val="20"/>
                <w:color w:val="auto"/>
              </w:rPr>
            </w:pPr>
            <w:r>
              <w:rPr>
                <w:rFonts w:ascii="Arial" w:cs="Arial" w:eastAsia="Arial" w:hAnsi="Arial"/>
                <w:sz w:val="18"/>
                <w:szCs w:val="18"/>
                <w:color w:val="auto"/>
              </w:rPr>
              <w:t>4.0</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83.6%</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400" w:type="dxa"/>
            <w:vAlign w:val="bottom"/>
          </w:tcPr>
          <w:p>
            <w:pPr>
              <w:spacing w:after="0"/>
              <w:rPr>
                <w:sz w:val="22"/>
                <w:szCs w:val="22"/>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1.7%</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bl>
    <w:p>
      <w:pPr>
        <w:spacing w:after="0" w:line="161" w:lineRule="exact"/>
        <w:rPr>
          <w:sz w:val="20"/>
          <w:szCs w:val="20"/>
          <w:color w:val="auto"/>
        </w:rPr>
      </w:pPr>
    </w:p>
    <w:p>
      <w:pPr>
        <w:ind w:right="420" w:firstLine="432"/>
        <w:spacing w:after="0" w:line="262" w:lineRule="auto"/>
        <w:rPr>
          <w:sz w:val="20"/>
          <w:szCs w:val="20"/>
          <w:color w:val="auto"/>
        </w:rPr>
      </w:pPr>
      <w:r>
        <w:rPr>
          <w:rFonts w:ascii="Arial" w:cs="Arial" w:eastAsia="Arial" w:hAnsi="Arial"/>
          <w:sz w:val="18"/>
          <w:szCs w:val="18"/>
          <w:color w:val="auto"/>
        </w:rPr>
        <w:t>As of March 31, 2018, there was approximately $10.3 million of total unrecognized compensation expense related to unvested equity awards expected to be recognized over a weighted-average period of 3.0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jc w:val="both"/>
        <w:ind w:right="20" w:firstLine="432"/>
        <w:spacing w:after="0" w:line="254" w:lineRule="auto"/>
        <w:rPr>
          <w:sz w:val="20"/>
          <w:szCs w:val="20"/>
          <w:color w:val="auto"/>
        </w:rPr>
      </w:pPr>
      <w:r>
        <w:rPr>
          <w:rFonts w:ascii="Arial" w:cs="Arial" w:eastAsia="Arial" w:hAnsi="Arial"/>
          <w:sz w:val="18"/>
          <w:szCs w:val="18"/>
          <w:color w:val="auto"/>
        </w:rPr>
        <w:t>The Company used the discrete tax approach in calculating the tax expense for the three months ended March 31, 2018 and 2017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Basic net loss per share is computed by dividing net loss by the weighted average number of shares of common stock outstanding during the period. Diluted loss per share is computed in a similar manner, but it also includes the effect of potential common shares outstanding during the period, when dilutive. Potential common shares include outstanding in-the-money stock options, restricted stock units, shares to be purchased under the Company’s employee stock purchase plan and warrants to purchase common stock. The dilutive effect of potentially dilutive common shares is reflected in diluted earnings per share by application of the treasury stock method. To the extent these potential common shares are antidilutive, they are excluded from the calculation of diluted net loss per share.</w:t>
      </w:r>
    </w:p>
    <w:p>
      <w:pPr>
        <w:spacing w:after="0" w:line="155"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2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97"/>
        </w:trPr>
        <w:tc>
          <w:tcPr>
            <w:tcW w:w="8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91,422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76,651</w:t>
            </w:r>
          </w:p>
        </w:tc>
      </w:tr>
      <w:tr>
        <w:trPr>
          <w:trHeight w:val="170"/>
        </w:trPr>
        <w:tc>
          <w:tcPr>
            <w:tcW w:w="8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stock options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Warrants to purchase common stock</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320"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81" w:lineRule="exact"/>
        <w:rPr>
          <w:sz w:val="20"/>
          <w:szCs w:val="20"/>
          <w:color w:val="auto"/>
        </w:rPr>
      </w:pPr>
    </w:p>
    <w:p>
      <w:pPr>
        <w:jc w:val="both"/>
        <w:ind w:left="320"/>
        <w:spacing w:after="0"/>
        <w:tabs>
          <w:tab w:leader="none" w:pos="1900" w:val="left"/>
        </w:tabs>
        <w:rPr>
          <w:sz w:val="20"/>
          <w:szCs w:val="20"/>
          <w:color w:val="auto"/>
        </w:rPr>
      </w:pPr>
      <w:r>
        <w:rPr>
          <w:rFonts w:ascii="Arial" w:cs="Arial" w:eastAsia="Arial" w:hAnsi="Arial"/>
          <w:sz w:val="18"/>
          <w:szCs w:val="18"/>
          <w:color w:val="auto"/>
        </w:rPr>
        <w:t>8,418</w:t>
      </w:r>
      <w:r>
        <w:rPr>
          <w:sz w:val="20"/>
          <w:szCs w:val="20"/>
          <w:color w:val="auto"/>
        </w:rPr>
        <w:tab/>
      </w:r>
      <w:r>
        <w:rPr>
          <w:rFonts w:ascii="Arial" w:cs="Arial" w:eastAsia="Arial" w:hAnsi="Arial"/>
          <w:sz w:val="18"/>
          <w:szCs w:val="18"/>
          <w:color w:val="auto"/>
        </w:rPr>
        <w:t>8,458</w:t>
      </w:r>
    </w:p>
    <w:p>
      <w:pPr>
        <w:spacing w:after="0" w:line="63" w:lineRule="exact"/>
        <w:rPr>
          <w:sz w:val="20"/>
          <w:szCs w:val="20"/>
          <w:color w:val="auto"/>
        </w:rPr>
      </w:pPr>
    </w:p>
    <w:p>
      <w:pPr>
        <w:jc w:val="both"/>
        <w:ind w:left="320"/>
        <w:spacing w:after="0"/>
        <w:tabs>
          <w:tab w:leader="none" w:pos="2060" w:val="left"/>
        </w:tabs>
        <w:rPr>
          <w:sz w:val="20"/>
          <w:szCs w:val="20"/>
          <w:color w:val="auto"/>
        </w:rPr>
      </w:pPr>
      <w:r>
        <w:rPr>
          <w:rFonts w:ascii="Arial" w:cs="Arial" w:eastAsia="Arial" w:hAnsi="Arial"/>
          <w:sz w:val="18"/>
          <w:szCs w:val="18"/>
          <w:color w:val="auto"/>
        </w:rPr>
        <w:t>3,659</w:t>
      </w:r>
      <w:r>
        <w:rPr>
          <w:sz w:val="20"/>
          <w:szCs w:val="20"/>
          <w:color w:val="auto"/>
        </w:rPr>
        <w:tab/>
      </w:r>
      <w:r>
        <w:rPr>
          <w:rFonts w:ascii="Arial" w:cs="Arial" w:eastAsia="Arial" w:hAnsi="Arial"/>
          <w:sz w:val="18"/>
          <w:szCs w:val="18"/>
          <w:color w:val="auto"/>
        </w:rPr>
        <w:t>526</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664</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12,0779,648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19551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2603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-156210</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2">
            <w:col w:w="8220" w:space="720"/>
            <w:col w:w="2380"/>
          </w:cols>
          <w:pgMar w:left="24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liquidity sources and timing of new product releases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Our technology was designed to increase energy production, simplify design and installation, improve system uptime and reliability, reduce fire risk, and provide a platform for intelligent energy management. Since inception, we have shipped approximately 17 million microinverters representing over 3.8 gigawatts of solar PV generating capacity, and more than 760,000 Enphase residential and commercial systems have been deployed in over 110 countries.</w:t>
      </w:r>
    </w:p>
    <w:p>
      <w:pPr>
        <w:spacing w:after="0" w:line="99" w:lineRule="exact"/>
        <w:rPr>
          <w:sz w:val="20"/>
          <w:szCs w:val="20"/>
          <w:color w:val="auto"/>
        </w:rPr>
      </w:pPr>
    </w:p>
    <w:p>
      <w:pPr>
        <w:ind w:right="200" w:firstLine="446"/>
        <w:spacing w:after="0" w:line="262"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IQ Microinverter System</w:t>
      </w:r>
    </w:p>
    <w:p>
      <w:pPr>
        <w:spacing w:after="0" w:line="351"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In the first quarter of 2018, we began shipping our seventh-generation Enphase IQ™ microinverters for the Enphase Home Energy Solution with IQ™, our next-generation integrated solar, storage and energy management system, to distributors in the United States. IQ 7, with its single worldwide SKU, will be phased into markets around the world throughout 2018.</w:t>
      </w:r>
    </w:p>
    <w:p>
      <w:pPr>
        <w:spacing w:after="0" w:line="202"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Enphase IQ 7 Micro™ and Enphase IQ 7+ Micro™ support high-powered 60-cell and 72-cell solar modules and integrate with AC modules. We plan to offer a high-powered variant, the IQ 7X, to address 96-cell modules.</w:t>
      </w:r>
    </w:p>
    <w:p>
      <w:pPr>
        <w:spacing w:after="0" w:line="196"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Our next generation system, IQ 8, is built on our grid-agnostic “always on” Ensemble™ technology. The IQ 8 ASIC, is fully functional, which demonstrates the technological feasibility of Ensemble. This ASIC is made in 55nm technology at TSMC, enabling very high speed digital signal processing. We are continuing to commercialize IQ 8 and expect it to be introduced in 2019.</w:t>
      </w:r>
    </w:p>
    <w:p>
      <w:pPr>
        <w:spacing w:after="0" w:line="94" w:lineRule="exact"/>
        <w:rPr>
          <w:sz w:val="20"/>
          <w:szCs w:val="20"/>
          <w:color w:val="auto"/>
        </w:rPr>
      </w:pPr>
    </w:p>
    <w:p>
      <w:pPr>
        <w:ind w:right="360" w:firstLine="446"/>
        <w:spacing w:after="0" w:line="254" w:lineRule="auto"/>
        <w:rPr>
          <w:sz w:val="20"/>
          <w:szCs w:val="20"/>
          <w:color w:val="auto"/>
        </w:rPr>
      </w:pPr>
      <w:r>
        <w:rPr>
          <w:rFonts w:ascii="Arial" w:cs="Arial" w:eastAsia="Arial" w:hAnsi="Arial"/>
          <w:sz w:val="18"/>
          <w:szCs w:val="18"/>
          <w:color w:val="auto"/>
        </w:rPr>
        <w:t>The Enphase IQ microinverter is a key component of the Enphase Home Energy Solution, which can also include our Envoy™ Communications Gateway with IQ Combiner+, Enphase Enlighten™, a cloud-based energy management platform, and our Enphase AC Battery™. System owners can use Enphase Enlighten to monitor their home’s solar generation, energy storage and consumption from any web-enabled device.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Energized AC Modules</w:t>
      </w:r>
    </w:p>
    <w:p>
      <w:pPr>
        <w:spacing w:after="0" w:line="135" w:lineRule="exact"/>
        <w:rPr>
          <w:sz w:val="20"/>
          <w:szCs w:val="20"/>
          <w:color w:val="auto"/>
        </w:rPr>
      </w:pPr>
    </w:p>
    <w:p>
      <w:pPr>
        <w:ind w:right="180" w:firstLine="446"/>
        <w:spacing w:after="0" w:line="254" w:lineRule="auto"/>
        <w:rPr>
          <w:sz w:val="20"/>
          <w:szCs w:val="20"/>
          <w:color w:val="auto"/>
        </w:rPr>
      </w:pPr>
      <w:r>
        <w:rPr>
          <w:rFonts w:ascii="Arial" w:cs="Arial" w:eastAsia="Arial" w:hAnsi="Arial"/>
          <w:sz w:val="18"/>
          <w:szCs w:val="18"/>
          <w:color w:val="auto"/>
        </w:rPr>
        <w:t>We began shipping Enphase Energized AC Modules in North America in the second quarter of 2017. The Enphase Energized AC Modules with IQ utilize our sixth and seventh generation microinverters and are produced through our AC module partnerships with LG Electronics Inc., JinkoSolar Technology, SolarWorld AG, and Waaree Energies Ltd. In 2018 we announced new AC Module partnerships with Panasonic Corporation and Solaria Corporation.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40"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AC Battery™</w:t>
      </w:r>
    </w:p>
    <w:p>
      <w:pPr>
        <w:spacing w:after="0" w:line="135" w:lineRule="exact"/>
        <w:rPr>
          <w:sz w:val="20"/>
          <w:szCs w:val="20"/>
          <w:color w:val="auto"/>
        </w:rPr>
      </w:pPr>
    </w:p>
    <w:p>
      <w:pPr>
        <w:ind w:right="840" w:firstLine="446"/>
        <w:spacing w:after="0" w:line="262" w:lineRule="auto"/>
        <w:rPr>
          <w:sz w:val="20"/>
          <w:szCs w:val="20"/>
          <w:color w:val="auto"/>
        </w:rPr>
      </w:pPr>
      <w:r>
        <w:rPr>
          <w:rFonts w:ascii="Arial" w:cs="Arial" w:eastAsia="Arial" w:hAnsi="Arial"/>
          <w:sz w:val="18"/>
          <w:szCs w:val="18"/>
          <w:color w:val="auto"/>
        </w:rPr>
        <w:t>The Enphase AC Battery is a scalable, modular energy storage system with a 1.2kWh energy capacity. We began shipments to customers in Australia, New Zealand, the United States, France, the United Kingdom and the Netherlands in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39" w:lineRule="exact"/>
        <w:rPr>
          <w:sz w:val="20"/>
          <w:szCs w:val="20"/>
          <w:color w:val="auto"/>
        </w:rPr>
      </w:pPr>
    </w:p>
    <w:p>
      <w:pPr>
        <w:ind w:right="40" w:firstLine="446"/>
        <w:spacing w:after="0" w:line="262" w:lineRule="auto"/>
        <w:rPr>
          <w:sz w:val="20"/>
          <w:szCs w:val="20"/>
          <w:color w:val="auto"/>
        </w:rPr>
      </w:pPr>
      <w:r>
        <w:rPr>
          <w:rFonts w:ascii="Arial" w:cs="Arial" w:eastAsia="Arial" w:hAnsi="Arial"/>
          <w:sz w:val="18"/>
          <w:szCs w:val="18"/>
          <w:color w:val="auto"/>
        </w:rPr>
        <w:t>We generate net revenues from sales of our microinverter systems and related accessories, which include microinverter units, AC Battery storage systems, an Envoy communications gateway and our Enlighten cloud-based monitoring service.</w:t>
      </w:r>
    </w:p>
    <w:p>
      <w:pPr>
        <w:spacing w:after="0" w:line="88"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39"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7" w:lineRule="exact"/>
        <w:rPr>
          <w:sz w:val="20"/>
          <w:szCs w:val="20"/>
          <w:color w:val="auto"/>
        </w:rPr>
      </w:pPr>
    </w:p>
    <w:p>
      <w:pPr>
        <w:ind w:right="160" w:firstLine="446"/>
        <w:spacing w:after="0" w:line="253"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97"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right="120" w:firstLine="44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94"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99"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Sales and marketing expense consists primarily of personnel -related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New Zealand, India and certain other Asian markets. We expect to continue to expand the geographic reach of our product offerings and explore new sales channels in addressable markets in the future.</w:t>
      </w:r>
    </w:p>
    <w:p>
      <w:pPr>
        <w:spacing w:after="0" w:line="304"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which consist primarily of outside legal, accounting and information technology consulting costs.</w:t>
      </w:r>
    </w:p>
    <w:p>
      <w:pPr>
        <w:spacing w:after="0" w:line="96"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Restructuring charges are the net of charges resulting from restructuring initiatives implemented in 2016 and 2017 to improve operational performance and reduce overall operating expense and gain on divestiture of our services business. Costs included in restructuring primarily consist of fees paid to management consultants engaged to assist us in making organizational and structural changes to improve operational efficiencies and reduce expenses, severance for workforce reduction actions, non-cash charges related to the disposition of assets and impairment of property and equipment, and the establishment of lease loss reserves. Our restructuring initiatives were largely completed in 2017. See Note 7, “Restructuring and Other Charges” to the condensed consolidated financial statements for additional information.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9" w:lineRule="exact"/>
        <w:rPr>
          <w:sz w:val="20"/>
          <w:szCs w:val="20"/>
          <w:color w:val="auto"/>
        </w:rPr>
      </w:pPr>
    </w:p>
    <w:p>
      <w:pPr>
        <w:ind w:right="280" w:firstLine="446"/>
        <w:spacing w:after="0" w:line="256" w:lineRule="auto"/>
        <w:rPr>
          <w:sz w:val="20"/>
          <w:szCs w:val="20"/>
          <w:color w:val="auto"/>
        </w:rPr>
      </w:pPr>
      <w:r>
        <w:rPr>
          <w:rFonts w:ascii="Arial" w:cs="Arial" w:eastAsia="Arial" w:hAnsi="Arial"/>
          <w:sz w:val="18"/>
          <w:szCs w:val="18"/>
          <w:color w:val="auto"/>
        </w:rPr>
        <w:t>Other expense, net primarily consists of interest expense and commitment fees under our term loans and non-cash interest expense related to the amortization of deferred financing costs. Other expense, net also includes gains or losses upon conversion of foreign currency transactions into U.S. dollars.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2"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March 31,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2018 and 2017</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4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69,972</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54,751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15,221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189"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Net revenues increased by 28% for the three months ended March 31, 2018 compared to the same period in 2017 due primarily to an increase in microinverter systems sold and higher average system selling prices. We sold 611,000 microinverter units in the three months ended March 31, 2018 versus 573,000 units in the same period in 2017. The average revenue per system increased by approximately 16% for the three months ended March 31, 2018, as compared to the same period in 2017. We expect average system selling prices to generally decline in the future, which may negatively affect net revenues. See Note 2. “Revenue Recognition” to the condensed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6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6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r>
      <w:tr>
        <w:trPr>
          <w:trHeight w:val="250"/>
        </w:trPr>
        <w:tc>
          <w:tcPr>
            <w:tcW w:w="6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0" w:type="dxa"/>
            <w:vAlign w:val="bottom"/>
            <w:gridSpan w:val="4"/>
          </w:tcPr>
          <w:p>
            <w:pPr>
              <w:jc w:val="right"/>
              <w:ind w:right="78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51,657</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47,703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3,954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0"/>
        </w:trPr>
        <w:tc>
          <w:tcPr>
            <w:tcW w:w="68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2"/>
                <w:szCs w:val="22"/>
                <w:color w:val="auto"/>
              </w:rPr>
            </w:pPr>
          </w:p>
        </w:tc>
        <w:tc>
          <w:tcPr>
            <w:tcW w:w="880" w:type="dxa"/>
            <w:vAlign w:val="bottom"/>
          </w:tcPr>
          <w:p>
            <w:pPr>
              <w:jc w:val="right"/>
              <w:ind w:right="143"/>
              <w:spacing w:after="0"/>
              <w:rPr>
                <w:sz w:val="20"/>
                <w:szCs w:val="20"/>
                <w:color w:val="auto"/>
              </w:rPr>
            </w:pPr>
            <w:r>
              <w:rPr>
                <w:rFonts w:ascii="Arial" w:cs="Arial" w:eastAsia="Arial" w:hAnsi="Arial"/>
                <w:sz w:val="16"/>
                <w:szCs w:val="16"/>
                <w:color w:val="auto"/>
              </w:rPr>
              <w:t>18,315</w:t>
            </w:r>
          </w:p>
        </w:tc>
        <w:tc>
          <w:tcPr>
            <w:tcW w:w="400" w:type="dxa"/>
            <w:vAlign w:val="bottom"/>
          </w:tcPr>
          <w:p>
            <w:pPr>
              <w:spacing w:after="0"/>
              <w:rPr>
                <w:sz w:val="22"/>
                <w:szCs w:val="22"/>
                <w:color w:val="auto"/>
              </w:rPr>
            </w:pPr>
          </w:p>
        </w:tc>
        <w:tc>
          <w:tcPr>
            <w:tcW w:w="760" w:type="dxa"/>
            <w:vAlign w:val="bottom"/>
          </w:tcPr>
          <w:p>
            <w:pPr>
              <w:jc w:val="right"/>
              <w:ind w:right="103"/>
              <w:spacing w:after="0"/>
              <w:rPr>
                <w:sz w:val="20"/>
                <w:szCs w:val="20"/>
                <w:color w:val="auto"/>
              </w:rPr>
            </w:pPr>
            <w:r>
              <w:rPr>
                <w:rFonts w:ascii="Arial" w:cs="Arial" w:eastAsia="Arial" w:hAnsi="Arial"/>
                <w:sz w:val="16"/>
                <w:szCs w:val="16"/>
                <w:color w:val="auto"/>
              </w:rPr>
              <w:t>7,048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543"/>
              <w:spacing w:after="0"/>
              <w:rPr>
                <w:sz w:val="20"/>
                <w:szCs w:val="20"/>
                <w:color w:val="auto"/>
              </w:rPr>
            </w:pPr>
            <w:r>
              <w:rPr>
                <w:rFonts w:ascii="Arial" w:cs="Arial" w:eastAsia="Arial" w:hAnsi="Arial"/>
                <w:sz w:val="16"/>
                <w:szCs w:val="16"/>
                <w:color w:val="auto"/>
              </w:rPr>
              <w:t>11,267</w:t>
            </w:r>
          </w:p>
        </w:tc>
        <w:tc>
          <w:tcPr>
            <w:tcW w:w="6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8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26.2%</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189"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Cost of revenues increased by 8% for the three months ended March 31, 2018 compared to the same period in 2017. The increase in cost of revenues was primarily attributable to the increase in volume of microinverter units sold. Increased expedite fees due to component shortages and higher warranty provision also contributed to the increase in cost of revenues, which was partially offset by a decrease in average system cost. Gross margin increased by 13.3 percentage points for the three months ended March 31, 2018 compared to the same period in 2017. The increase in gross margin was primarily attributable to the combination of a higher average system selling price combined with a decrease in the average system cost as well as the absorption of fixed overhead costs and warranty charges on a higher revenue base. Our ability to reduce product costs and the timing of product cost reductions relative to declines in average system selling prices can have a significant impact on our gross margin.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6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6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7,620</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9,605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(1,985)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189"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Research and development expense decreased by 21% for the three months ended March 31, 2018 compared to the same period in 2017. The decrease is primarily due to the realizing the savings from our restructuring initiative that eliminated non-core projects, which resulted in a $1.5 million reduction in research and development personnel related expenses and a $0.4 million reduction in lab parts, product prototypes and professional fees. Our restructuring initiatives were substantially completed in 2017. The amount of research and development expense may fluctuate from period to period due to the differing levels and stages of research and development activity.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6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6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jc w:val="right"/>
              <w:ind w:right="723"/>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6,227</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6,458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(231)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18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Sales and marketing expense decreased by 4% for the three months ended March 31, 2018 compared to the same period in 2017. The decrease is primarily due to the implementation of our restructuring initiative that eliminated non-core projects resulting in a $0.7 million reduction in sales and marketing personnel related expenses. The savings were partially offset by an increase in bad debt expense, which was $0.6 million for the three months ended March 31, 2018 as compared to $0.1 million for the same period in 2017. Our restructuring activities were largely completed in 2017.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4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6,943</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5,833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1,110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18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General and administrative expense increased by 19% for the three months ended March 31, 2018 compared to the same period in 2017. The increase is due to a $1.8 million estimate recorded to reserve for the potential costs associated with our efforts to resolve a dispute with a supplier. The increase was partially offset by a $0.2 million reduction in general and administrative personnel related expenses, a $0.2 million reduction in professional services and a $0.3 million reduction in facilities and other corporate expenses.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2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66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40" w:type="dxa"/>
            <w:vAlign w:val="bottom"/>
            <w:tcBorders>
              <w:bottom w:val="single" w:sz="8" w:color="auto"/>
            </w:tcBorders>
          </w:tcPr>
          <w:p>
            <w:pPr>
              <w:spacing w:after="0"/>
              <w:rPr>
                <w:sz w:val="17"/>
                <w:szCs w:val="17"/>
                <w:color w:val="auto"/>
              </w:rPr>
            </w:pPr>
          </w:p>
        </w:tc>
      </w:tr>
      <w:tr>
        <w:trPr>
          <w:trHeight w:val="264"/>
        </w:trPr>
        <w:tc>
          <w:tcPr>
            <w:tcW w:w="6620" w:type="dxa"/>
            <w:vAlign w:val="bottom"/>
          </w:tcPr>
          <w:p>
            <w:pPr>
              <w:spacing w:after="0"/>
              <w:rPr>
                <w:sz w:val="22"/>
                <w:szCs w:val="22"/>
                <w:color w:val="auto"/>
              </w:rPr>
            </w:pP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r>
      <w:tr>
        <w:trPr>
          <w:trHeight w:val="250"/>
        </w:trPr>
        <w:tc>
          <w:tcPr>
            <w:tcW w:w="6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20" w:type="dxa"/>
            <w:vAlign w:val="bottom"/>
            <w:gridSpan w:val="4"/>
          </w:tcPr>
          <w:p>
            <w:pPr>
              <w:jc w:val="right"/>
              <w:ind w:right="645"/>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21"/>
                <w:szCs w:val="21"/>
                <w:color w:val="auto"/>
              </w:rPr>
            </w:pPr>
          </w:p>
        </w:tc>
      </w:tr>
      <w:tr>
        <w:trPr>
          <w:trHeight w:val="276"/>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70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7,247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(7,247)</w:t>
            </w:r>
          </w:p>
        </w:tc>
        <w:tc>
          <w:tcPr>
            <w:tcW w:w="640" w:type="dxa"/>
            <w:vAlign w:val="bottom"/>
            <w:shd w:val="clear" w:color="auto" w:fill="CCEEFF"/>
          </w:tcPr>
          <w:p>
            <w:pPr>
              <w:jc w:val="center"/>
              <w:ind w:right="263"/>
              <w:spacing w:after="0"/>
              <w:rPr>
                <w:sz w:val="20"/>
                <w:szCs w:val="20"/>
                <w:color w:val="auto"/>
              </w:rPr>
            </w:pPr>
            <w:r>
              <w:rPr>
                <w:rFonts w:ascii="Arial" w:cs="Arial" w:eastAsia="Arial" w:hAnsi="Arial"/>
                <w:sz w:val="16"/>
                <w:szCs w:val="16"/>
                <w:color w:val="auto"/>
                <w:w w:val="97"/>
              </w:rPr>
              <w:t>N/A</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18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implemented a restructuring plan in 2016 to lower operating expenses that included reductions in our global workforce and the elimination of certain non-core projects. In 2017 we engaged a management consulting firm to assist us in making organizational and structural changes to improve operational efficiencies and reduce expenses. Our restructuring activities were largely completed in 2017. For the three months ended March 31, 2017, restructuring charges include $4.0 million of consulting services, $1.6 million in cash-based severance and related benefits and $1.7 million in charges for asset impairments and lease loss reserves.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4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(2,418)</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(1,339)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18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Other expense, net is primarily comprised of interest expense and gains and losses related to foreign currency exchange and remeasurement and was $2.4 million for three months ended March 31, 2018 as compared to $1.1 million for the same period in 2017. Net interest expense is primarily related to our term loan and increased by $0.2 million to $2.3 million for the three months ended March 31, 2018. Other income and expense, net consists primarily of gains and losses related to foreign currency exchange and remeasurement and resulted in a net loss of $0.1 million for three months ended March 31,2018 as compared to a net gain of $1.1 million for the three months ended March 31,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15"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As of March 31, 2018, we had $53.3 million in cash and cash equivalents and working capital of $44.2 million. Cash and cash equivalents held in the United States were $48.9 million and consisted primarily of U.S. Government money market mutual funds and non-interest bearing checking deposits, with the remainder held in various foreign subsidiaries. We consider amounts held outside the U.S. to be accessible and have provided for the estimated U.S. income tax liability associated with our foreign earnings.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In December of 2016, we entered into an At The Market Issuance Sales Agreement (ATM) under which we sold shares of our common stock up to a gross aggregate offering price of $17.0 million. We realized the full $17.0 million of gross proceeds available under the ATM in the first quarter of 2017.</w:t>
      </w:r>
    </w:p>
    <w:p>
      <w:pPr>
        <w:spacing w:after="0" w:line="94"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In January 2017, we completed a private placement of common stock that resulted in gross proceeds of $10.0 million. In February 2018, we completed another private placement of common stock that resulted in additional gross proceeds of $20.0 million.</w:t>
      </w:r>
    </w:p>
    <w:p>
      <w:pPr>
        <w:spacing w:after="0" w:line="88"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In July 2016, we entered into a loan and security agreement (the “Term Loan Agreement” or “Original Term Loan Agreement”) with lenders that are affiliates of Tennenbaum Capital Partners, LLC (“TCP”), which has subsequently been amended and modified as discussed below and in Note 8, “Debt” to the condensed consolidated financial statements. Under the agreement, the lenders committed to advance a term loan in an aggregate principal amount of up to $25.0 million with a maturity date of July 1, 2020. We drew down the $25.0 million term loan commitment at closing.</w:t>
      </w:r>
    </w:p>
    <w:p>
      <w:pPr>
        <w:spacing w:after="0" w:line="97"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Payments under the original agreement were interest only through June 30, 2017, followed by consecutive equal monthly payments of principal plus accrued interest beginning on July 1, 2017 and continuing through the maturity date. In addition, we paid a commitment fee of</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9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Term Loan Agreement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Term Loan Agreement offers TCP typical rights and remedies in any event of default, including the ability to declare all amounts outstanding immediately due and payable. We do not expect the lender to declare default under any event, including the material adverse change clause.</w:t>
      </w:r>
    </w:p>
    <w:p>
      <w:pPr>
        <w:spacing w:after="0" w:line="99"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In February 2017, we amended our loan and security agreement with TCP to provide an additional $25 million in principal (together with the Term Loan Agreement the “Combined Term Loans”). We simultaneously terminated our revolving credit facility with Wells Fargo Bank, N.A. (the “Revolver”), and the combined principal and interest balance of $10.3 million was fully repaid.</w:t>
      </w:r>
    </w:p>
    <w:p>
      <w:pPr>
        <w:spacing w:after="0" w:line="94"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Combined Term Loans have the same July 1, 2020 maturity date as the original TCP loan. Monthly payments under the Combined Term Loans were interest only through February 28, 2018, followed by consecutive equal monthly payments of principal plus accrued interest beginning on March 1, 2018 and continuing through the maturity date. Interest on the Combined Term Loans is the greater of (a) 10.3125%, and (b) a fluctuating rate of interest per annum equal to the three-month LIBOR Rate (rounded up to the nearest 1/16th of one percent) plus 9.25%.</w:t>
      </w:r>
    </w:p>
    <w:p>
      <w:pPr>
        <w:spacing w:after="0" w:line="9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In February 2018 the TCP loan was modified again to provide for the deferral of 50% of the scheduled principal payments in 2018. The term loans under our amended loan and security agreement with TCP are secured by a first-priority security interest on substantially all of our assets; provided, however, that the security interest in our intellectual property may be released when we satisfy certain requirements.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48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3,361</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(3,466)</w:t>
            </w:r>
          </w:p>
        </w:tc>
      </w:tr>
      <w:tr>
        <w:trPr>
          <w:trHeight w:val="27"/>
        </w:trPr>
        <w:tc>
          <w:tcPr>
            <w:tcW w:w="48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21,730</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40,586</w:t>
            </w:r>
          </w:p>
        </w:tc>
      </w:tr>
      <w:tr>
        <w:trPr>
          <w:trHeight w:val="459"/>
        </w:trPr>
        <w:tc>
          <w:tcPr>
            <w:tcW w:w="4820" w:type="dxa"/>
            <w:vAlign w:val="bottom"/>
          </w:tcPr>
          <w:p>
            <w:pPr>
              <w:spacing w:after="0"/>
              <w:rPr>
                <w:sz w:val="24"/>
                <w:szCs w:val="24"/>
                <w:color w:val="auto"/>
              </w:rPr>
            </w:pPr>
          </w:p>
        </w:tc>
        <w:tc>
          <w:tcPr>
            <w:tcW w:w="3520" w:type="dxa"/>
            <w:vAlign w:val="bottom"/>
          </w:tcPr>
          <w:p>
            <w:pPr>
              <w:jc w:val="right"/>
              <w:ind w:right="243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3"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color w:val="auto"/>
        </w:rPr>
        <w:t>For the three months ended March 31, 2018, net cash provided by operating activities of $3.4 million was primarily attributable to a net loss of $5.1 million offset by non-cash charges of $5.0 million and net cash inflows from changes in operating assets and liabilities of 3.5 million. Non-cash charges included $1.6 million of stock-based compensation, $2.3 million of depreciation and amortization, $0.6 million provision for doubtful accounts and $0.0 million in asset impairment charges.</w:t>
      </w:r>
    </w:p>
    <w:p>
      <w:pPr>
        <w:spacing w:after="0" w:line="150"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The primary driver of cash outflows from changes in operating assets and liabilities was a $9.1 million decrease in accounts receivable due to seasonally lower revenues and a $7.5 million decrease in inventory due to supply chain management efforts, which were partially offset by an $12.0 million decrease in accounts payable as a result of lower inventory levels and the timing of vendor payments.</w:t>
      </w:r>
    </w:p>
    <w:p>
      <w:pPr>
        <w:spacing w:after="0" w:line="14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For the three months ended March 31, 2017, net cash used in operating activities of $24.5 million was primarily attributable to a net loss of $23.3 million offset by non-cash charges of $7.3 million and net cash outflows from changes in operating assets and liabilities of $8.5 million. Non-cash charges included $1.9 million of stock-based compensation, $ 2.3 million of depreciation and amortization, a $0.1 million provision for doubtful accounts and $1.9 million in asset impairment and restructuring charges.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3" w:lineRule="exact"/>
        <w:rPr>
          <w:sz w:val="20"/>
          <w:szCs w:val="20"/>
          <w:color w:val="auto"/>
        </w:rPr>
      </w:pPr>
    </w:p>
    <w:p>
      <w:pPr>
        <w:ind w:right="100" w:firstLine="432"/>
        <w:spacing w:after="0" w:line="262" w:lineRule="auto"/>
        <w:rPr>
          <w:sz w:val="20"/>
          <w:szCs w:val="20"/>
          <w:color w:val="auto"/>
        </w:rPr>
      </w:pPr>
      <w:r>
        <w:rPr>
          <w:rFonts w:ascii="Arial" w:cs="Arial" w:eastAsia="Arial" w:hAnsi="Arial"/>
          <w:sz w:val="18"/>
          <w:szCs w:val="18"/>
          <w:color w:val="auto"/>
        </w:rPr>
        <w:t>For the three months ended March 31, 2018, net cash used in investing activities of $1.0 million primarily resulted from purchases of test and assembly equipment and capitalized costs related to internal-use software.</w:t>
      </w:r>
    </w:p>
    <w:p>
      <w:pPr>
        <w:spacing w:after="0" w:line="142" w:lineRule="exact"/>
        <w:rPr>
          <w:sz w:val="20"/>
          <w:szCs w:val="20"/>
          <w:color w:val="auto"/>
        </w:rPr>
      </w:pPr>
    </w:p>
    <w:p>
      <w:pPr>
        <w:ind w:right="100" w:firstLine="432"/>
        <w:spacing w:after="0" w:line="262" w:lineRule="auto"/>
        <w:rPr>
          <w:sz w:val="20"/>
          <w:szCs w:val="20"/>
          <w:color w:val="auto"/>
        </w:rPr>
      </w:pPr>
      <w:r>
        <w:rPr>
          <w:rFonts w:ascii="Arial" w:cs="Arial" w:eastAsia="Arial" w:hAnsi="Arial"/>
          <w:sz w:val="18"/>
          <w:szCs w:val="18"/>
          <w:color w:val="auto"/>
        </w:rPr>
        <w:t>For the three months ended March 31, 2017, net cash used in investing activities of $3.5 million primarily resulted from purchases of test and assembly equipment and capitalized costs related to internal-use software.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3" w:lineRule="exact"/>
        <w:rPr>
          <w:sz w:val="20"/>
          <w:szCs w:val="20"/>
          <w:color w:val="auto"/>
        </w:rPr>
      </w:pPr>
    </w:p>
    <w:p>
      <w:pPr>
        <w:ind w:right="320" w:firstLine="432"/>
        <w:spacing w:after="0" w:line="256" w:lineRule="auto"/>
        <w:rPr>
          <w:sz w:val="20"/>
          <w:szCs w:val="20"/>
          <w:color w:val="auto"/>
        </w:rPr>
      </w:pPr>
      <w:r>
        <w:rPr>
          <w:rFonts w:ascii="Arial" w:cs="Arial" w:eastAsia="Arial" w:hAnsi="Arial"/>
          <w:sz w:val="18"/>
          <w:szCs w:val="18"/>
          <w:color w:val="auto"/>
        </w:rPr>
        <w:t>For the three months ended March 31, 2018, net cash provided by financing activities of $21.7 million consisted of $20.2 million in net proceeds from sales of common stock and $2.3 million in net proceeds from the sale of certain long-term financing receivables. These proceeds were partially offset by a $0.8 million principal payment on our term debt.</w:t>
      </w:r>
    </w:p>
    <w:p>
      <w:pPr>
        <w:spacing w:after="0" w:line="148" w:lineRule="exact"/>
        <w:rPr>
          <w:sz w:val="20"/>
          <w:szCs w:val="20"/>
          <w:color w:val="auto"/>
        </w:rPr>
      </w:pPr>
    </w:p>
    <w:p>
      <w:pPr>
        <w:ind w:right="380" w:firstLine="432"/>
        <w:spacing w:after="0" w:line="256" w:lineRule="auto"/>
        <w:rPr>
          <w:sz w:val="20"/>
          <w:szCs w:val="20"/>
          <w:color w:val="auto"/>
        </w:rPr>
      </w:pPr>
      <w:r>
        <w:rPr>
          <w:rFonts w:ascii="Arial" w:cs="Arial" w:eastAsia="Arial" w:hAnsi="Arial"/>
          <w:sz w:val="18"/>
          <w:szCs w:val="18"/>
          <w:color w:val="auto"/>
        </w:rPr>
        <w:t>For the three months ended March 31, 2017, net cash provided by financing activities of $40.6 million consisted of net proceeds from sales of common stock of $26.5 million, which included proceeds from the private placement and ATM offering described above and net proceeds from the term loan of $24.1 million, offset by the repayment of principal on our revolving credit facility of $10.1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There were no material changes during the three months ended March 31, 2018 to our contractual commitments as presented in “Management’s Discussion and Analysis of Financial Condition and Results of Operations” of our 2017 Form 10-K. See Note 9. “Commitments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we did not have any off-balance sheet arrangements, as defined in Item 303(a)(4)(ii) of SEC Regulation S-K.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40"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extent that there are material differences between these estimates and actual results, our future financial statement presentation, financial condition, results of operations and cash flows will be affected.</w:t>
      </w:r>
    </w:p>
    <w:p>
      <w:pPr>
        <w:spacing w:after="0" w:line="142"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14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Other than as described in Note 2. “Revenue Recognition” in the notes to the condensed consolidated financial statements, there have been no significant changes during the three months ended March 31, 2018 to the items that we disclosed as our critical accounting policies and estimates in Management’s Discussion and Analysis of Financial Condition and Results of Operations in our Annual Report on Form 10-K for the year ended December 31, 2017.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93" w:lineRule="exact"/>
        <w:rPr>
          <w:sz w:val="20"/>
          <w:szCs w:val="20"/>
          <w:color w:val="auto"/>
        </w:rPr>
      </w:pPr>
    </w:p>
    <w:p>
      <w:pPr>
        <w:ind w:right="240" w:firstLine="432"/>
        <w:spacing w:after="0" w:line="262" w:lineRule="auto"/>
        <w:rPr>
          <w:sz w:val="20"/>
          <w:szCs w:val="20"/>
          <w:color w:val="auto"/>
        </w:rPr>
      </w:pPr>
      <w:r>
        <w:rPr>
          <w:rFonts w:ascii="Arial" w:cs="Arial" w:eastAsia="Arial" w:hAnsi="Arial"/>
          <w:sz w:val="18"/>
          <w:szCs w:val="18"/>
          <w:color w:val="auto"/>
        </w:rPr>
        <w:t>See Note 1. “Description of Business and Basis of Presentation” to the Notes to Condensed Consolidated Financial Statements under Item 1 for recently issued accounting pronouncements not yet effective.</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4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53"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10-K for the year ended December 31, 2017. Our exposures to market risk have not changed materially since December 31, 2017.</w:t>
      </w:r>
    </w:p>
    <w:p>
      <w:pPr>
        <w:spacing w:after="0" w:line="2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2018.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2018, our chief executive officer and chief financial officer concluded that, as of such date, our disclosure controls and procedures were effective at the reasonable assurance level.</w:t>
      </w:r>
    </w:p>
    <w:p>
      <w:pPr>
        <w:spacing w:after="0" w:line="152"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93"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40"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7"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92"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9"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From 10-K for the year ended December 31,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have incurred substantial net losses since our inception, including a net loss of $5.1 million for three months ended March 31, 2018, and we may continue to incur additional losses in the future. For the years ended December 31, 2017, 2016 and 2015, we incurred net losses of $45.2 million, $67.5 million and $22.1 million, respectively. At March 31, 2018, we had an accumulated deficit of $339.8 million. Our revenue growth may slow or revenue may decline for a number of reasons, many of which are outside our control, including a decline in demand for our offerings, increased competition, a decrease in the growth of the solar industry or our market share, the impact of the January 2018 trade tariffs established by President Trump, or our failure to capitalize on growth opportunities. If we fail to generate sufficient revenue to support our operations, we may not be able to achieve or sustain profitability.</w:t>
      </w:r>
    </w:p>
    <w:p>
      <w:pPr>
        <w:spacing w:after="0" w:line="13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21"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40"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additional cash reserves to support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225"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40"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convertible debt securities, the percentage ownership of our stockholders could be significantly diluted, and these newly issued securities may have rights, preferences or privileges senior to those of existing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9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50"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44"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14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88" w:lineRule="exact"/>
        <w:rPr>
          <w:rFonts w:ascii="Arial" w:cs="Arial" w:eastAsia="Arial" w:hAnsi="Arial"/>
          <w:sz w:val="18"/>
          <w:szCs w:val="18"/>
          <w:color w:val="auto"/>
        </w:rPr>
      </w:pPr>
    </w:p>
    <w:p>
      <w:pPr>
        <w:ind w:left="980" w:right="56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88" w:lineRule="exact"/>
        <w:rPr>
          <w:rFonts w:ascii="Arial" w:cs="Arial" w:eastAsia="Arial" w:hAnsi="Arial"/>
          <w:sz w:val="18"/>
          <w:szCs w:val="18"/>
          <w:color w:val="auto"/>
        </w:rPr>
      </w:pPr>
    </w:p>
    <w:p>
      <w:pPr>
        <w:ind w:left="980" w:right="20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8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96" w:lineRule="exact"/>
        <w:rPr>
          <w:sz w:val="20"/>
          <w:szCs w:val="20"/>
          <w:color w:val="auto"/>
        </w:rPr>
      </w:pPr>
    </w:p>
    <w:p>
      <w:pPr>
        <w:ind w:right="780" w:firstLine="432"/>
        <w:spacing w:after="0" w:line="26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142"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2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21" w:lineRule="exact"/>
        <w:rPr>
          <w:sz w:val="20"/>
          <w:szCs w:val="20"/>
          <w:color w:val="auto"/>
        </w:rPr>
      </w:pPr>
    </w:p>
    <w:p>
      <w:pPr>
        <w:ind w:right="500" w:firstLine="432"/>
        <w:spacing w:after="0" w:line="262" w:lineRule="auto"/>
        <w:rPr>
          <w:sz w:val="20"/>
          <w:szCs w:val="20"/>
          <w:color w:val="auto"/>
        </w:rPr>
      </w:pPr>
      <w:r>
        <w:rPr>
          <w:rFonts w:ascii="Arial" w:cs="Arial" w:eastAsia="Arial" w:hAnsi="Arial"/>
          <w:sz w:val="18"/>
          <w:szCs w:val="18"/>
          <w:color w:val="auto"/>
        </w:rPr>
        <w:t>In 2017, two customers accounted for approximately 15% and 11% of total net revenues. Our customers’ decisions to purchase our products are influenced by a number of factors outside of our control, including retail</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40"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The loss of, or events affecting, one or more of our large customers have had, could have and could continue to have a material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39" w:lineRule="exact"/>
        <w:rPr>
          <w:sz w:val="20"/>
          <w:szCs w:val="20"/>
          <w:color w:val="auto"/>
        </w:rPr>
      </w:pPr>
    </w:p>
    <w:p>
      <w:pPr>
        <w:ind w:right="760" w:firstLine="432"/>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4"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2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88" w:lineRule="exact"/>
        <w:rPr>
          <w:rFonts w:ascii="Arial" w:cs="Arial" w:eastAsia="Arial" w:hAnsi="Arial"/>
          <w:sz w:val="18"/>
          <w:szCs w:val="18"/>
          <w:color w:val="auto"/>
        </w:rPr>
      </w:pPr>
    </w:p>
    <w:p>
      <w:pPr>
        <w:ind w:left="980" w:right="24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right="2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4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40"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121" w:lineRule="exact"/>
        <w:rPr>
          <w:sz w:val="20"/>
          <w:szCs w:val="20"/>
          <w:color w:val="auto"/>
        </w:rPr>
      </w:pPr>
    </w:p>
    <w:p>
      <w:pPr>
        <w:ind w:right="440" w:firstLine="432"/>
        <w:spacing w:after="0" w:line="252"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We believe that a number of companies have developed or are developing microinverters and other products that will compete directly with our microinverter systems in the module-level power electronics market. Competitors in the inverter market include, amongst others, SolarEdge Technologies, Inc., SMA Solar Technology AG, Fronius International GmbH and ABB Ltd.. Other existing or emerging companies, such as Huawei Technologies Co. Ltd., may also begin offering alternative microinverter, DC to DC optimizer and other power electronic solutions.</w:t>
      </w:r>
    </w:p>
    <w:p>
      <w:pPr>
        <w:spacing w:after="0" w:line="153"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58"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has its own microinverter technology, which it incorporates into its AC module products.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inverter products, they may have the ability to manufacture competitive products at a lower cost than we would charge such customers. As a result, these customers or potential customers may purchase fewer of our microinverter systems or sell products that compete with our microinverter systems, which would negatively impact our revenue and gross profit.</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PV systems, including our AC Battery storage solution, integrated AC Module and recently announced seventh-generation IQ microinverters, may not achieve broader market acceptance, which would prevent us from increasing our revenue and market share.</w:t>
      </w:r>
    </w:p>
    <w:p>
      <w:pPr>
        <w:spacing w:after="0" w:line="67" w:lineRule="exact"/>
        <w:rPr>
          <w:sz w:val="20"/>
          <w:szCs w:val="20"/>
          <w:color w:val="auto"/>
        </w:rPr>
      </w:pPr>
    </w:p>
    <w:p>
      <w:pPr>
        <w:ind w:right="780" w:firstLine="432"/>
        <w:spacing w:after="0" w:line="256" w:lineRule="auto"/>
        <w:rPr>
          <w:sz w:val="20"/>
          <w:szCs w:val="20"/>
          <w:color w:val="auto"/>
        </w:rPr>
      </w:pPr>
      <w:r>
        <w:rPr>
          <w:rFonts w:ascii="Arial" w:cs="Arial" w:eastAsia="Arial" w:hAnsi="Arial"/>
          <w:sz w:val="18"/>
          <w:szCs w:val="18"/>
          <w:color w:val="auto"/>
        </w:rPr>
        <w:t>If we fail to achieve broader market acceptance of our products, including international acceptance of our seventh-generation IQ microinverters,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0" w:lineRule="exact"/>
        <w:rPr>
          <w:sz w:val="20"/>
          <w:szCs w:val="20"/>
          <w:color w:val="auto"/>
        </w:rPr>
      </w:pPr>
    </w:p>
    <w:p>
      <w:pPr>
        <w:ind w:left="980" w:right="600" w:hanging="486"/>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produce PV systems that compete favorably against other solutions on the basis of price, quality, reliability and performance;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140" w:hanging="486"/>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systems, which have a relatively limited history with respect to reliability and performance;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hanging="486"/>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AC Battery storage solution, which is a relatively new technology with a limited history with respect to reliability and performance;</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88" w:lineRule="exact"/>
        <w:rPr>
          <w:rFonts w:ascii="Arial" w:cs="Arial" w:eastAsia="Arial" w:hAnsi="Arial"/>
          <w:sz w:val="18"/>
          <w:szCs w:val="18"/>
          <w:color w:val="auto"/>
        </w:rPr>
      </w:pPr>
    </w:p>
    <w:p>
      <w:pPr>
        <w:ind w:left="980" w:right="680" w:hanging="486"/>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microinverter systems.</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52"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including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55"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3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121" w:lineRule="exact"/>
        <w:rPr>
          <w:sz w:val="20"/>
          <w:szCs w:val="20"/>
          <w:color w:val="auto"/>
        </w:rPr>
      </w:pPr>
    </w:p>
    <w:p>
      <w:pPr>
        <w:ind w:right="320" w:firstLine="432"/>
        <w:spacing w:after="0" w:line="254" w:lineRule="auto"/>
        <w:rPr>
          <w:sz w:val="20"/>
          <w:szCs w:val="20"/>
          <w:color w:val="auto"/>
        </w:rPr>
      </w:pPr>
      <w:r>
        <w:rPr>
          <w:rFonts w:ascii="Arial" w:cs="Arial" w:eastAsia="Arial" w:hAnsi="Arial"/>
          <w:sz w:val="18"/>
          <w:szCs w:val="18"/>
          <w:color w:val="auto"/>
        </w:rPr>
        <w:t>The current U.S. presidential administration may continue to create regulatory uncertainty in the clean energy sector generally and the solar energy sector in particular. If the administration or the U.S. Congress take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1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On January 23, 2018, President Donald Trump signed a proclamation establishing tariffs on certain solar equipment manufactured outside of the U.S. Such tariffs could have a negative impact on the overall demand for solar products in the U.S. It remains unclear how such tariffs may apply to AC module products incorporating our microinverters. If the tariffs are applied specifically to products that we or our commercial partners import, such remedies could hurt the demand for these products and materially harm our business, financial condition and results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China. During the 2016 election campaign, then-candidate Trump made comments suggesting that he was not supportive of certain existing international trade agreements, including the North American Free Trade Agreement (“NAFTA”). At this time, it remains unclear what the administration or the U.S. Congress may or may not do with respect to these international trade agreements. If the administration takes action to impose any border tariff or to withdraw from or materially modify NAFTA or certain other international trade agreements, our business, financial condition and results of operations could be adversely affected.</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spacing w:after="0" w:line="82"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98"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0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96"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We are currently involved in a dispute with one of our suppliers regarding whether we were obligated to purchase a minimum amount of product under a supply agreement. Our efforts to reach a business resolution to the matter have not been successful to date. We believe that the supplier’s claims are without merit and that we have a legally defensible position in this matter. We intend to vigorously defend against any claims that may be brought by our supplier. However, if a legal action is brought and that matter is determined adversely to us, we may be required to pay damages in an amount that would have a material adverse effect on our business, financial position, results of operations or cash flows.</w:t>
      </w:r>
    </w:p>
    <w:p>
      <w:pPr>
        <w:spacing w:after="0" w:line="13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installations and 0% for residential installations beginning in 2022. These tax credits could be reduced or eliminated as part of tax code changes or regulatory reform initiatives by the current Congress and presidential administration.</w:t>
      </w:r>
    </w:p>
    <w:p>
      <w:pPr>
        <w:spacing w:after="0" w:line="142"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will not adequately stimulate future growth in the residential solar market.</w:t>
      </w:r>
    </w:p>
    <w:p>
      <w:pPr>
        <w:spacing w:after="0" w:line="15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also sell our products in Europe. A number of European countries, including Germany, Belgium, Italy and the United Kingdom have adopted reductions or concluded their FiT programs. Certain countries have proposed or enacted taxes levied on renewable energy. These and related developments have significantly impacted the solar industry in Europe and may adversely affect the future demand for the solar energy solutions in Europe.</w:t>
      </w:r>
    </w:p>
    <w:p>
      <w:pPr>
        <w:spacing w:after="0" w:line="150"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In 2016, Australia re-elected its conservative national government, which revised national energy policy in October of 2017 with the introduction of the National Energy Guarantee. The National Energy Guarantee imposes a reliability obligation and an emissions reduction expectation on energy retailers and a small number of large electricity users. Energy retailers will have to have a mix in their portfolio: generation from dispatchable sources and from low-emissions sources, to meet their regulatory obligations. The Direct Action Plan previously put into place remains and has been renamed the Emissions Reduction Fund. This plan primarily provides funding to corporations to reduce emissions. The Emissions Reduction Fund is the central component in the Australian government's policy suite to reduce emissions and operates alongside existing programs such as the Renewable Energy Target, the National Carbon Offset Standard and energy efficiency standards on appliances, equipment and buildings. The objective of the Emissions Reduction Fund is to help achieve Australia’s 2020 emissions reduction target of 5% below 2000 levels by 2020 and 26-28% below 2005 emissions by 2030. The Australian government has provided $2.55 billion of funding toward the Emissions Reduction Fund, with further funding to be considered in future budgets. States and territories in Australia have different FiTs, and the gradual reduction of FiTs in some states may reduce the incentive for homeowners to export unused solar energy produced back to the grid.</w:t>
      </w:r>
    </w:p>
    <w:p>
      <w:pPr>
        <w:spacing w:after="0" w:line="157"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We also sell our products in Ontario, Canada. The government of Ontario has the authority to modify, suspend, or discontinue the FiT program at any time and has currently suspended it.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3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21" w:lineRule="exact"/>
        <w:rPr>
          <w:sz w:val="20"/>
          <w:szCs w:val="20"/>
          <w:color w:val="auto"/>
        </w:rPr>
      </w:pPr>
    </w:p>
    <w:p>
      <w:pPr>
        <w:jc w:val="both"/>
        <w:ind w:right="540" w:firstLine="432"/>
        <w:spacing w:after="0" w:line="253"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markets, prevent our customers from deploying our products internationally or, in some cases, prevent the export or import of our products to certain countries altogether.</w:t>
      </w:r>
    </w:p>
    <w:p>
      <w:pPr>
        <w:spacing w:after="0" w:line="14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For example,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threat of global economic, capital markets and credit disruptions, including sovereign debt issues, pose risks for our business.</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threat of global economic, capital markets and credit disruptions pose risks for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and near the sites of recent catastrophic wild fires. Further, a terrorist attack, including one aimed at energy or communications infrastructure suppliers or our cloud-based monitoring service, could hinder or delay the development and sale or performance of our products. In the event that an earthquake, fire,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2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53"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Effective May 25, 2018, the European Union, or EU, will implement the General Data Protection Regulation, or GDPR, a broad data protection framework that expands the scope of current EU data protection law to non-European Union entities that process, or control the processing of, the personal information of EU subjects. The GDPR allows for the imposition of fines and/or corrective action on entities that improperly use or disclose the personal information of EU subjects, including through a data security breach. Accordingly, data security breaches experienced by us, our collaborators or contractors could lead to significant fines, required corrective action, the loss of trade secrets or other intellectual property, public disclosure of sensitive commercial data, and the exposure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of personally identifiable information (including sensitive personal information) of our employees, collaborators and others.</w:t>
      </w:r>
    </w:p>
    <w:p>
      <w:pPr>
        <w:spacing w:after="0" w:line="171"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3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In addition, our Enlighten web-based monitoring service, which our customers use to track and monitor the performance of their solar PV systems, is dependent on cloud-based hosting services, along with the availability of internet services at end-user premises. A disruption, infiltration or failure of our information technology systems, third-party cloud hosting platforms or end-user internet services as a result of software or hardware malfunctions, system implementations or upgrades, computer viruses, cyber-attacks, third-party security breaches, employee error, theft or misuse, malfeasance, power disruptions, natural disasters or accidents could cause breaches of data security, failure of our Enlighten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3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2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5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5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condition. Costs or payments we may make in connection with warranty and product liability claims or product recalls may adversely affect our financial condition and results of operations.</w:t>
      </w:r>
    </w:p>
    <w:p>
      <w:pPr>
        <w:spacing w:after="0" w:line="142"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workforce, our business and operating results may suffer.</w:t>
      </w:r>
    </w:p>
    <w:p>
      <w:pPr>
        <w:spacing w:after="0" w:line="139" w:lineRule="exact"/>
        <w:rPr>
          <w:sz w:val="20"/>
          <w:szCs w:val="20"/>
          <w:color w:val="auto"/>
        </w:rPr>
      </w:pPr>
    </w:p>
    <w:p>
      <w:pPr>
        <w:jc w:val="both"/>
        <w:ind w:right="280" w:firstLine="432"/>
        <w:spacing w:after="0" w:line="256"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40"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train and manage a dynamic and increasingly international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39"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We currently offer PV systems targeting the residential and commercial markets in the United States, Canada, Mexico and certain Central American markets, the United Kingdom, France, the Benelux region, certain other European markets, Australia, New Zealand and certain other Asian markets. We intend to expand into other international markets, including India, the remainder of Europe and South America. Our success in these new geographic and product markets will depend on a number of factors, such as:</w:t>
      </w:r>
    </w:p>
    <w:p>
      <w:pPr>
        <w:spacing w:after="0" w:line="42"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0" w:lineRule="exact"/>
        <w:rPr>
          <w:sz w:val="20"/>
          <w:szCs w:val="20"/>
          <w:color w:val="auto"/>
        </w:rPr>
      </w:pPr>
    </w:p>
    <w:p>
      <w:pPr>
        <w:ind w:left="980" w:right="4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55" w:lineRule="exact"/>
        <w:rPr>
          <w:sz w:val="20"/>
          <w:szCs w:val="20"/>
          <w:color w:val="auto"/>
        </w:rPr>
      </w:pPr>
    </w:p>
    <w:p>
      <w:pPr>
        <w:ind w:right="340" w:firstLine="432"/>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5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20"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52" w:lineRule="exact"/>
        <w:rPr>
          <w:sz w:val="20"/>
          <w:szCs w:val="20"/>
          <w:color w:val="auto"/>
        </w:rPr>
      </w:pPr>
    </w:p>
    <w:p>
      <w:pPr>
        <w:jc w:val="both"/>
        <w:ind w:right="160" w:firstLine="432"/>
        <w:spacing w:after="0" w:line="25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50" w:lineRule="exact"/>
        <w:rPr>
          <w:sz w:val="20"/>
          <w:szCs w:val="20"/>
          <w:color w:val="auto"/>
        </w:rPr>
      </w:pPr>
    </w:p>
    <w:p>
      <w:pPr>
        <w:ind w:right="240" w:firstLine="432"/>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5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2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We depend on sole-source and limited-source suppliers for key components and products. If we are unable to source these components on a timely basis, we will not be able to deliver our products to our customers.</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depend on sole-source and limited-source suppliers for key components of our products. For example, our ASICs are purchased from a sole source supplier or developed for us by sole source suppliers. Any of the sole-source and limited-source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21"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third-party financing structures, such as power purchase or lease agreements. Our sales growth may depend on sales to developers of third-party solar finance offerings who provide solar as a service via power purchase agreements or leasing structures. The third-party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1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53" w:lineRule="exact"/>
        <w:rPr>
          <w:sz w:val="20"/>
          <w:szCs w:val="20"/>
          <w:color w:val="auto"/>
        </w:rPr>
      </w:pPr>
    </w:p>
    <w:p>
      <w:pPr>
        <w:ind w:right="320" w:firstLine="432"/>
        <w:spacing w:after="0" w:line="256"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current customers, failure by these customers to perform as expected, or failure by us to cultivate new customer relationships, could hinder our ability to expand our operations and harm our revenue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3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new tariffs in the U.S.</w:t>
      </w:r>
    </w:p>
    <w:p>
      <w:pPr>
        <w:spacing w:after="0" w:line="130"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7"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Our Chief Financial Officer recently informed the Board of Directors of his resignation effective June 30, 2018. Competition for highly skilled technical people is extremely intense, and we face challenges identifying, hiring and retaining qualified personnel in many areas of our business, including in the search for a new Chief Financial Officer. If we fail to retain existing or recruit new senior management and other key personnel or if we fail to attract additional qualified personnel, we may not be able to achieve our strategic objectives and our business could suffer.</w:t>
      </w:r>
    </w:p>
    <w:p>
      <w:pPr>
        <w:spacing w:after="0" w:line="13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21"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59" w:lineRule="exact"/>
        <w:rPr>
          <w:sz w:val="20"/>
          <w:szCs w:val="20"/>
          <w:color w:val="auto"/>
        </w:rPr>
      </w:pPr>
    </w:p>
    <w:p>
      <w:pPr>
        <w:ind w:right="580" w:firstLine="432"/>
        <w:spacing w:after="0" w:line="262"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52"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21" w:lineRule="exact"/>
        <w:rPr>
          <w:sz w:val="20"/>
          <w:szCs w:val="20"/>
          <w:color w:val="auto"/>
        </w:rPr>
      </w:pPr>
    </w:p>
    <w:p>
      <w:pPr>
        <w:ind w:right="200" w:firstLine="432"/>
        <w:spacing w:after="0" w:line="251"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51" w:lineRule="exact"/>
        <w:rPr>
          <w:sz w:val="20"/>
          <w:szCs w:val="20"/>
          <w:color w:val="auto"/>
        </w:rPr>
      </w:pPr>
    </w:p>
    <w:p>
      <w:pPr>
        <w:ind w:left="980" w:right="54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4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21"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or rainier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Covenants in our credit facility and term loan may limit our flexibility in responding to business opportunities and competitive developments and increase our vulnerability to adverse economic or industry conditions.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are a party to a term loan agreement with affiliates of Tennenbaum Capital Partners, LLC.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30"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36"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Annual Report on Form 10-K for 2018. If we are no longer deemed to be a “smaller reporting company” at such time. If we or our independent registered public accounting firm discover a material weakness in the future, the disclosure of that fact, even if quickly remedied, could reduce the market’s confidence in our financial statements and harm our stock price.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21" w:lineRule="exact"/>
        <w:rPr>
          <w:sz w:val="20"/>
          <w:szCs w:val="20"/>
          <w:color w:val="auto"/>
        </w:rPr>
      </w:pPr>
    </w:p>
    <w:p>
      <w:pPr>
        <w:ind w:right="300" w:firstLine="432"/>
        <w:spacing w:after="0" w:line="262"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are in the process of updating our study to assess whether an ownership change has occurred or whether there have been multiple ownership changes since we became a loss corporation under the Code. We do not anticipate these limitations will significantly impact our ability to utilize the net operating losses and tax credit carryforwards.</w:t>
      </w:r>
    </w:p>
    <w:p>
      <w:pPr>
        <w:spacing w:after="0" w:line="158"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laws could adversely affect our business and financial condition.</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U.S. government recently enacted comprehensive tax legislation (the Tax Cuts and Jobs Act of 2017, or Tax Reform Act) that includes significant changes to the taxation of business entities. These changes include, among others, (i) a permanent reduction to the corporate income tax rate from 35% to 21%,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On December 22, 2017, the Securities and Exchange Commission issued Staff Accounting Bulletin (SAB 118) which provides a measurement period of no more than a year from the Tax Act enactment date for companies to complete the accounting under Accounting Standards Codification 740 (ASC 740). Given our current taxable loss position, based on our preliminary analysis, we do not expect the new tax legislation to have a material cash tax impact on our business [other than reducing the net operating loss carryforwards which is offset by a valuation allowance]. However, due to the broad complexities of the Tax Reform Act, our ASC 740 accounting for the Tax Reform is still subject to change, which could adversely affect our business and financial condition.</w:t>
      </w:r>
    </w:p>
    <w:p>
      <w:pPr>
        <w:spacing w:after="0" w:line="136" w:lineRule="exact"/>
        <w:rPr>
          <w:sz w:val="20"/>
          <w:szCs w:val="20"/>
          <w:color w:val="auto"/>
        </w:rPr>
      </w:pPr>
    </w:p>
    <w:p>
      <w:pPr>
        <w:ind w:right="920"/>
        <w:spacing w:after="0" w:line="318"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98"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93"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Annual Report on Form 10-K, and other factors beyond our control, such as fluctuations in the valuation of companies perceived by investors to be comparable to us. Furthermore, the stock markets have experienced price and volume fluctuations that have affected and continue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3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6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0"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and other 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tariffs on the solar industry in general and our products in particular;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0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50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21" w:lineRule="exact"/>
        <w:rPr>
          <w:sz w:val="20"/>
          <w:szCs w:val="20"/>
          <w:color w:val="auto"/>
        </w:rPr>
      </w:pPr>
    </w:p>
    <w:p>
      <w:pPr>
        <w:ind w:right="280" w:firstLine="432"/>
        <w:spacing w:after="0" w:line="262"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2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we fail to meet the continued listing standards of Nasdaq, our common stock may be delisted, which could have a material adverse effect on the liquidity and market price of our common stock.</w:t>
      </w:r>
    </w:p>
    <w:p>
      <w:pPr>
        <w:spacing w:after="0" w:line="121"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Our common stock is currently traded on the Nasdaq Global Market. The Nasdaq Stock Market LLC (“Nasdaq”) has requirements that a company must meet in order to remain listed. There can be no assurance that we will continue to meet these requirements in the future. If we fail to meet any such requirements, Nasdaq may initiate delisting processes. If our common stock were to be delisted, the liquidity of our common stock would be adversely affected and the market price of our common stock could decrease.</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3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Most of the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55"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21" w:lineRule="exact"/>
        <w:rPr>
          <w:sz w:val="20"/>
          <w:szCs w:val="20"/>
          <w:color w:val="auto"/>
        </w:rPr>
      </w:pPr>
    </w:p>
    <w:p>
      <w:pPr>
        <w:ind w:right="640" w:firstLine="432"/>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1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7"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0" w:lineRule="exact"/>
        <w:rPr>
          <w:sz w:val="20"/>
          <w:szCs w:val="20"/>
          <w:color w:val="auto"/>
        </w:rPr>
      </w:pPr>
    </w:p>
    <w:p>
      <w:pPr>
        <w:ind w:left="980" w:right="620" w:hanging="486"/>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right="560" w:hanging="486"/>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88" w:lineRule="exact"/>
        <w:rPr>
          <w:rFonts w:ascii="Arial" w:cs="Arial" w:eastAsia="Arial" w:hAnsi="Arial"/>
          <w:sz w:val="18"/>
          <w:szCs w:val="18"/>
          <w:color w:val="auto"/>
        </w:rPr>
      </w:pPr>
    </w:p>
    <w:p>
      <w:pPr>
        <w:ind w:left="980" w:hanging="486"/>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980" w:right="60" w:hanging="486"/>
        <w:spacing w:after="0" w:line="25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97" w:lineRule="exact"/>
        <w:rPr>
          <w:rFonts w:ascii="Arial" w:cs="Arial" w:eastAsia="Arial" w:hAnsi="Arial"/>
          <w:sz w:val="18"/>
          <w:szCs w:val="18"/>
          <w:color w:val="auto"/>
        </w:rPr>
      </w:pPr>
    </w:p>
    <w:p>
      <w:pPr>
        <w:ind w:left="980" w:right="200" w:hanging="486"/>
        <w:spacing w:after="0" w:line="25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93"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96"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48"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7" w:lineRule="exact"/>
        <w:rPr>
          <w:sz w:val="20"/>
          <w:szCs w:val="20"/>
          <w:color w:val="auto"/>
        </w:rPr>
      </w:pPr>
    </w:p>
    <w:p>
      <w:pPr>
        <w:ind w:right="340" w:firstLine="446"/>
        <w:spacing w:after="0" w:line="250" w:lineRule="auto"/>
        <w:rPr>
          <w:sz w:val="20"/>
          <w:szCs w:val="20"/>
          <w:color w:val="auto"/>
        </w:rPr>
      </w:pPr>
      <w:r>
        <w:rPr>
          <w:rFonts w:ascii="Arial" w:cs="Arial" w:eastAsia="Arial" w:hAnsi="Arial"/>
          <w:sz w:val="18"/>
          <w:szCs w:val="18"/>
          <w:color w:val="auto"/>
        </w:rPr>
        <w:t>Except as previously disclosed on Forms 8-K and described below, there were no unregistered sales of common stock or other equity securities during the quarter ended March 31, 2018. See Note 10. “Sale of Common Stock.”</w:t>
      </w:r>
    </w:p>
    <w:p>
      <w:pPr>
        <w:spacing w:after="0" w:line="1"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On March 27, 2018, we issued 912,067 shares of our common stock pursuant to the cashless exercise of warrants to purchase 1,200,000 shares of our common stock at an exercise price of $1.05 per share. We issued the above-described shares of common stock in reliance upon the exemption from registration provided by Section 4(a)(2) of the Securities Act of 1933, as amended. The warrants were issued to the Lenders in connection with the Term Loans.</w:t>
      </w:r>
    </w:p>
    <w:p>
      <w:pPr>
        <w:spacing w:after="0" w:line="3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list of exhibits filed with this report or incorporated herein by reference is found in the Exhibit Index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0"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0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4"/>
                <w:szCs w:val="24"/>
                <w:color w:val="auto"/>
              </w:rPr>
            </w:pPr>
          </w:p>
        </w:tc>
        <w:tc>
          <w:tcPr>
            <w:tcW w:w="9820" w:type="dxa"/>
            <w:vAlign w:val="bottom"/>
            <w:gridSpan w:val="16"/>
          </w:tcPr>
          <w:p>
            <w:pPr>
              <w:spacing w:after="0"/>
              <w:rPr>
                <w:rFonts w:ascii="Arial" w:cs="Arial" w:eastAsia="Arial" w:hAnsi="Arial"/>
                <w:sz w:val="18"/>
                <w:szCs w:val="18"/>
                <w:color w:val="0000FF"/>
              </w:rPr>
            </w:pPr>
            <w:hyperlink r:id="rId38">
              <w:r>
                <w:rPr>
                  <w:rFonts w:ascii="Arial" w:cs="Arial" w:eastAsia="Arial" w:hAnsi="Arial"/>
                  <w:sz w:val="18"/>
                  <w:szCs w:val="18"/>
                  <w:color w:val="0000FF"/>
                </w:rPr>
                <w:t>Amended and Restated Certificate of Incorporation of Enphase Energy, Inc.</w:t>
              </w:r>
            </w:hyperlink>
            <w:r>
              <w:rPr>
                <w:rFonts w:ascii="Arial" w:cs="Arial" w:eastAsia="Arial" w:hAnsi="Arial"/>
                <w:sz w:val="21"/>
                <w:szCs w:val="21"/>
                <w:color w:val="000000"/>
                <w:vertAlign w:val="superscript"/>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4"/>
                <w:szCs w:val="24"/>
                <w:color w:val="auto"/>
              </w:rPr>
            </w:pPr>
          </w:p>
        </w:tc>
        <w:tc>
          <w:tcPr>
            <w:tcW w:w="9820" w:type="dxa"/>
            <w:vAlign w:val="bottom"/>
            <w:gridSpan w:val="16"/>
          </w:tcPr>
          <w:p>
            <w:pPr>
              <w:spacing w:after="0"/>
              <w:rPr>
                <w:rFonts w:ascii="Arial" w:cs="Arial" w:eastAsia="Arial" w:hAnsi="Arial"/>
                <w:sz w:val="18"/>
                <w:szCs w:val="18"/>
                <w:color w:val="0000FF"/>
              </w:rPr>
            </w:pPr>
            <w:hyperlink r:id="rId39">
              <w:r>
                <w:rPr>
                  <w:rFonts w:ascii="Arial" w:cs="Arial" w:eastAsia="Arial" w:hAnsi="Arial"/>
                  <w:sz w:val="18"/>
                  <w:szCs w:val="18"/>
                  <w:color w:val="0000FF"/>
                </w:rPr>
                <w:t>Certificate of Amendment of the Amended and Restated Certificate of Incorporation of Enphase Energy, Inc.</w:t>
              </w:r>
            </w:hyperlink>
            <w:r>
              <w:rPr>
                <w:rFonts w:ascii="Arial" w:cs="Arial" w:eastAsia="Arial" w:hAnsi="Arial"/>
                <w:sz w:val="21"/>
                <w:szCs w:val="21"/>
                <w:color w:val="000000"/>
                <w:vertAlign w:val="superscript"/>
              </w:rPr>
              <w:t>(2)</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24"/>
                <w:szCs w:val="24"/>
                <w:color w:val="auto"/>
              </w:rPr>
            </w:pPr>
          </w:p>
        </w:tc>
        <w:tc>
          <w:tcPr>
            <w:tcW w:w="8600" w:type="dxa"/>
            <w:vAlign w:val="bottom"/>
            <w:tcBorders>
              <w:top w:val="single" w:sz="8" w:color="0000FF"/>
            </w:tcBorders>
            <w:gridSpan w:val="12"/>
          </w:tcPr>
          <w:p>
            <w:pPr>
              <w:spacing w:after="0"/>
              <w:rPr>
                <w:rFonts w:ascii="Arial" w:cs="Arial" w:eastAsia="Arial" w:hAnsi="Arial"/>
                <w:sz w:val="18"/>
                <w:szCs w:val="18"/>
                <w:color w:val="0000FF"/>
              </w:rPr>
            </w:pPr>
            <w:hyperlink r:id="rId40">
              <w:r>
                <w:rPr>
                  <w:rFonts w:ascii="Arial" w:cs="Arial" w:eastAsia="Arial" w:hAnsi="Arial"/>
                  <w:sz w:val="18"/>
                  <w:szCs w:val="18"/>
                  <w:color w:val="0000FF"/>
                </w:rPr>
                <w:t>Amended and Restated Bylaws of Enphase Energy, Inc.</w:t>
              </w:r>
            </w:hyperlink>
            <w:r>
              <w:rPr>
                <w:rFonts w:ascii="Arial" w:cs="Arial" w:eastAsia="Arial" w:hAnsi="Arial"/>
                <w:sz w:val="21"/>
                <w:szCs w:val="21"/>
                <w:color w:val="000000"/>
                <w:vertAlign w:val="superscript"/>
              </w:rPr>
              <w:t>(3)</w:t>
            </w:r>
          </w:p>
        </w:tc>
        <w:tc>
          <w:tcPr>
            <w:tcW w:w="1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9820" w:type="dxa"/>
            <w:vAlign w:val="bottom"/>
            <w:gridSpan w:val="16"/>
          </w:tcPr>
          <w:p>
            <w:pPr>
              <w:spacing w:after="0"/>
              <w:rPr>
                <w:rFonts w:ascii="Arial" w:cs="Arial" w:eastAsia="Arial" w:hAnsi="Arial"/>
                <w:sz w:val="18"/>
                <w:szCs w:val="18"/>
                <w:color w:val="0000FF"/>
              </w:rPr>
            </w:pPr>
            <w:hyperlink r:id="rId41">
              <w:r>
                <w:rPr>
                  <w:rFonts w:ascii="Arial" w:cs="Arial" w:eastAsia="Arial" w:hAnsi="Arial"/>
                  <w:sz w:val="18"/>
                  <w:szCs w:val="18"/>
                  <w:color w:val="0000FF"/>
                </w:rPr>
                <w:t>Specimen Common Stock Certificate of Enphase Energy, Inc.</w:t>
              </w:r>
            </w:hyperlink>
            <w:r>
              <w:rPr>
                <w:rFonts w:ascii="Arial" w:cs="Arial" w:eastAsia="Arial" w:hAnsi="Arial"/>
                <w:sz w:val="21"/>
                <w:szCs w:val="21"/>
                <w:color w:val="000000"/>
                <w:vertAlign w:val="superscript"/>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20" w:type="dxa"/>
            <w:vAlign w:val="bottom"/>
            <w:tcBorders>
              <w:bottom w:val="single" w:sz="8" w:color="0000FF"/>
            </w:tcBorders>
            <w:gridSpan w:val="14"/>
          </w:tcPr>
          <w:p>
            <w:pPr>
              <w:spacing w:after="0"/>
              <w:rPr>
                <w:rFonts w:ascii="Arial" w:cs="Arial" w:eastAsia="Arial" w:hAnsi="Arial"/>
                <w:sz w:val="18"/>
                <w:szCs w:val="18"/>
                <w:color w:val="0000FF"/>
                <w:w w:val="99"/>
              </w:rPr>
            </w:pPr>
            <w:hyperlink r:id="rId42">
              <w:r>
                <w:rPr>
                  <w:rFonts w:ascii="Arial" w:cs="Arial" w:eastAsia="Arial" w:hAnsi="Arial"/>
                  <w:sz w:val="18"/>
                  <w:szCs w:val="18"/>
                  <w:color w:val="0000FF"/>
                  <w:w w:val="99"/>
                </w:rPr>
                <w:t>Second Amendment to Amended and Restated Loan and Security Agreement by and among Enphase Energy Inc., each</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line="182" w:lineRule="exact"/>
              <w:rPr>
                <w:sz w:val="20"/>
                <w:szCs w:val="20"/>
                <w:color w:val="auto"/>
              </w:rPr>
            </w:pPr>
            <w:r>
              <w:rPr>
                <w:rFonts w:ascii="Arial" w:cs="Arial" w:eastAsia="Arial" w:hAnsi="Arial"/>
                <w:sz w:val="18"/>
                <w:szCs w:val="18"/>
                <w:color w:val="auto"/>
              </w:rPr>
              <w:t>10.1</w:t>
            </w:r>
          </w:p>
        </w:tc>
        <w:tc>
          <w:tcPr>
            <w:tcW w:w="940" w:type="dxa"/>
            <w:vAlign w:val="bottom"/>
          </w:tcPr>
          <w:p>
            <w:pPr>
              <w:spacing w:after="0"/>
              <w:rPr>
                <w:sz w:val="15"/>
                <w:szCs w:val="15"/>
                <w:color w:val="auto"/>
              </w:rPr>
            </w:pPr>
          </w:p>
        </w:tc>
        <w:tc>
          <w:tcPr>
            <w:tcW w:w="940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Lender identified therein, Obsidian Agency Services, Inc., as collateral agent for Lenders, and Cortland Capital Market</w:t>
              </w:r>
            </w:hyperlink>
          </w:p>
        </w:tc>
        <w:tc>
          <w:tcPr>
            <w:tcW w:w="4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20" w:type="dxa"/>
            <w:vAlign w:val="bottom"/>
            <w:gridSpan w:val="16"/>
          </w:tcPr>
          <w:p>
            <w:pPr>
              <w:spacing w:after="0" w:line="183" w:lineRule="exact"/>
              <w:rPr>
                <w:rFonts w:ascii="Arial" w:cs="Arial" w:eastAsia="Arial" w:hAnsi="Arial"/>
                <w:sz w:val="18"/>
                <w:szCs w:val="18"/>
                <w:color w:val="0000FF"/>
              </w:rPr>
            </w:pPr>
            <w:hyperlink r:id="rId42">
              <w:r>
                <w:rPr>
                  <w:rFonts w:ascii="Arial" w:cs="Arial" w:eastAsia="Arial" w:hAnsi="Arial"/>
                  <w:sz w:val="18"/>
                  <w:szCs w:val="18"/>
                  <w:color w:val="0000FF"/>
                </w:rPr>
                <w:t xml:space="preserve">Services LLC, as administrative agent, dated February 28, 2018. </w:t>
              </w:r>
              <w:r>
                <w:rPr>
                  <w:rFonts w:ascii="Arial" w:cs="Arial" w:eastAsia="Arial" w:hAnsi="Arial"/>
                  <w:sz w:val="21"/>
                  <w:szCs w:val="21"/>
                  <w:color w:val="000000"/>
                  <w:vertAlign w:val="superscript"/>
                </w:rPr>
                <w:t>(5)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24"/>
                <w:szCs w:val="24"/>
                <w:color w:val="auto"/>
              </w:rPr>
            </w:pPr>
          </w:p>
        </w:tc>
        <w:tc>
          <w:tcPr>
            <w:tcW w:w="9820" w:type="dxa"/>
            <w:vAlign w:val="bottom"/>
            <w:gridSpan w:val="16"/>
          </w:tcPr>
          <w:p>
            <w:pPr>
              <w:spacing w:after="0"/>
              <w:rPr>
                <w:rFonts w:ascii="Arial" w:cs="Arial" w:eastAsia="Arial" w:hAnsi="Arial"/>
                <w:sz w:val="18"/>
                <w:szCs w:val="18"/>
                <w:color w:val="0000FF"/>
              </w:rPr>
            </w:pPr>
            <w:hyperlink r:id="rId43">
              <w:r>
                <w:rPr>
                  <w:rFonts w:ascii="Arial" w:cs="Arial" w:eastAsia="Arial" w:hAnsi="Arial"/>
                  <w:sz w:val="18"/>
                  <w:szCs w:val="18"/>
                  <w:color w:val="0000FF"/>
                </w:rPr>
                <w:t>Securities Purchase Agreement by and between Enphase Energy Inc., and the purchasers identified on Exhibit A thereto,</w:t>
              </w:r>
            </w:hyperlink>
          </w:p>
        </w:tc>
        <w:tc>
          <w:tcPr>
            <w:tcW w:w="0" w:type="dxa"/>
            <w:vAlign w:val="bottom"/>
          </w:tcPr>
          <w:p>
            <w:pPr>
              <w:spacing w:after="0"/>
              <w:rPr>
                <w:sz w:val="1"/>
                <w:szCs w:val="1"/>
                <w:color w:val="auto"/>
              </w:rPr>
            </w:pPr>
          </w:p>
        </w:tc>
      </w:tr>
      <w:tr>
        <w:trPr>
          <w:trHeight w:val="183"/>
        </w:trPr>
        <w:tc>
          <w:tcPr>
            <w:tcW w:w="5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9660" w:type="dxa"/>
            <w:vAlign w:val="bottom"/>
            <w:tcBorders>
              <w:top w:val="single" w:sz="8" w:color="0000FF"/>
            </w:tcBorders>
            <w:gridSpan w:val="15"/>
          </w:tcPr>
          <w:p>
            <w:pPr>
              <w:spacing w:after="0" w:line="183" w:lineRule="exact"/>
              <w:rPr>
                <w:rFonts w:ascii="Arial" w:cs="Arial" w:eastAsia="Arial" w:hAnsi="Arial"/>
                <w:sz w:val="18"/>
                <w:szCs w:val="18"/>
                <w:color w:val="0000FF"/>
              </w:rPr>
            </w:pPr>
            <w:hyperlink r:id="rId43">
              <w:r>
                <w:rPr>
                  <w:rFonts w:ascii="Arial" w:cs="Arial" w:eastAsia="Arial" w:hAnsi="Arial"/>
                  <w:sz w:val="18"/>
                  <w:szCs w:val="18"/>
                  <w:color w:val="0000FF"/>
                </w:rPr>
                <w:t xml:space="preserve">dated February 4, 2018. </w:t>
              </w:r>
              <w:r>
                <w:rPr>
                  <w:rFonts w:ascii="Arial" w:cs="Arial" w:eastAsia="Arial" w:hAnsi="Arial"/>
                  <w:sz w:val="21"/>
                  <w:szCs w:val="21"/>
                  <w:color w:val="000000"/>
                  <w:vertAlign w:val="superscript"/>
                </w:rPr>
                <w:t>(6)</w:t>
              </w:r>
            </w:hyperlink>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rPr>
                <w:sz w:val="24"/>
                <w:szCs w:val="24"/>
                <w:color w:val="auto"/>
              </w:rPr>
            </w:pPr>
          </w:p>
        </w:tc>
        <w:tc>
          <w:tcPr>
            <w:tcW w:w="9820" w:type="dxa"/>
            <w:vAlign w:val="bottom"/>
            <w:gridSpan w:val="16"/>
          </w:tcPr>
          <w:p>
            <w:pPr>
              <w:spacing w:after="0"/>
              <w:rPr>
                <w:rFonts w:ascii="Arial" w:cs="Arial" w:eastAsia="Arial" w:hAnsi="Arial"/>
                <w:sz w:val="18"/>
                <w:szCs w:val="18"/>
                <w:color w:val="0000FF"/>
              </w:rPr>
            </w:pPr>
            <w:hyperlink r:id="rId44">
              <w:r>
                <w:rPr>
                  <w:rFonts w:ascii="Arial" w:cs="Arial" w:eastAsia="Arial" w:hAnsi="Arial"/>
                  <w:sz w:val="18"/>
                  <w:szCs w:val="18"/>
                  <w:color w:val="0000FF"/>
                </w:rPr>
                <w:t xml:space="preserve">2018 Performance Bonus Program Summary. </w:t>
              </w:r>
            </w:hyperlink>
            <w:r>
              <w:rPr>
                <w:rFonts w:ascii="Arial" w:cs="Arial" w:eastAsia="Arial" w:hAnsi="Arial"/>
                <w:sz w:val="21"/>
                <w:szCs w:val="21"/>
                <w:color w:val="000000"/>
                <w:vertAlign w:val="superscript"/>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940" w:type="dxa"/>
            <w:vAlign w:val="bottom"/>
          </w:tcPr>
          <w:p>
            <w:pPr>
              <w:spacing w:after="0"/>
              <w:rPr>
                <w:sz w:val="24"/>
                <w:szCs w:val="24"/>
                <w:color w:val="auto"/>
              </w:rPr>
            </w:pPr>
          </w:p>
        </w:tc>
        <w:tc>
          <w:tcPr>
            <w:tcW w:w="612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Certification of Chief Executive Officer pursuant to Rule 13a-14(a)/15d-14(a).</w:t>
              </w:r>
            </w:hyperlink>
          </w:p>
        </w:tc>
        <w:tc>
          <w:tcPr>
            <w:tcW w:w="3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4"/>
                <w:szCs w:val="24"/>
                <w:color w:val="auto"/>
              </w:rPr>
            </w:pPr>
          </w:p>
        </w:tc>
        <w:tc>
          <w:tcPr>
            <w:tcW w:w="606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Certification of Chief Financial Officer pursuant to Rule 13a-14(a)/15d-14(a).</w:t>
              </w:r>
            </w:hyperlink>
          </w:p>
        </w:tc>
        <w:tc>
          <w:tcPr>
            <w:tcW w:w="37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940" w:type="dxa"/>
            <w:vAlign w:val="bottom"/>
          </w:tcPr>
          <w:p>
            <w:pPr>
              <w:spacing w:after="0"/>
              <w:rPr>
                <w:sz w:val="24"/>
                <w:szCs w:val="24"/>
                <w:color w:val="auto"/>
              </w:rPr>
            </w:pPr>
          </w:p>
        </w:tc>
        <w:tc>
          <w:tcPr>
            <w:tcW w:w="982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Certification of Chief Executive Officer and Chief Financial Officer pursuant to 18 U.S.C. Section 1350 as Adopted Pursuant</w:t>
              </w:r>
            </w:hyperlink>
          </w:p>
        </w:tc>
        <w:tc>
          <w:tcPr>
            <w:tcW w:w="0" w:type="dxa"/>
            <w:vAlign w:val="bottom"/>
          </w:tcPr>
          <w:p>
            <w:pPr>
              <w:spacing w:after="0"/>
              <w:rPr>
                <w:sz w:val="1"/>
                <w:szCs w:val="1"/>
                <w:color w:val="auto"/>
              </w:rPr>
            </w:pPr>
          </w:p>
        </w:tc>
      </w:tr>
      <w:tr>
        <w:trPr>
          <w:trHeight w:val="115"/>
        </w:trPr>
        <w:tc>
          <w:tcPr>
            <w:tcW w:w="54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4020" w:type="dxa"/>
            <w:vAlign w:val="bottom"/>
            <w:gridSpan w:val="3"/>
            <w:vMerge w:val="restart"/>
          </w:tcPr>
          <w:p>
            <w:pPr>
              <w:spacing w:after="0" w:line="182" w:lineRule="exact"/>
              <w:rPr>
                <w:rFonts w:ascii="Arial" w:cs="Arial" w:eastAsia="Arial" w:hAnsi="Arial"/>
                <w:sz w:val="18"/>
                <w:szCs w:val="18"/>
                <w:color w:val="0000FF"/>
                <w:w w:val="99"/>
              </w:rPr>
            </w:pPr>
            <w:hyperlink w:anchor="page57">
              <w:r>
                <w:rPr>
                  <w:rFonts w:ascii="Arial" w:cs="Arial" w:eastAsia="Arial" w:hAnsi="Arial"/>
                  <w:sz w:val="18"/>
                  <w:szCs w:val="18"/>
                  <w:color w:val="0000FF"/>
                  <w:w w:val="99"/>
                </w:rPr>
                <w:t>to Section 906 of the Sarbanes-Oxley Act of 2002.</w:t>
              </w:r>
            </w:hyperlink>
          </w:p>
        </w:tc>
        <w:tc>
          <w:tcPr>
            <w:tcW w:w="5800" w:type="dxa"/>
            <w:vAlign w:val="bottom"/>
            <w:gridSpan w:val="1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20" w:type="dxa"/>
            <w:vAlign w:val="bottom"/>
            <w:tcBorders>
              <w:bottom w:val="single" w:sz="8" w:color="0000FF"/>
            </w:tcBorders>
            <w:gridSpan w:val="3"/>
            <w:vMerge w:val="continue"/>
          </w:tcPr>
          <w:p>
            <w:pPr>
              <w:spacing w:after="0"/>
              <w:rPr>
                <w:sz w:val="5"/>
                <w:szCs w:val="5"/>
                <w:color w:val="auto"/>
              </w:rPr>
            </w:pPr>
          </w:p>
        </w:tc>
        <w:tc>
          <w:tcPr>
            <w:tcW w:w="580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9"/>
        </w:trPr>
        <w:tc>
          <w:tcPr>
            <w:tcW w:w="14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Quarterly Report on Form 10-Q (File No. 001-35480), filed with the Securities and Exchange Commission on August 9, 2017, and incorporated by reference herein.</w:t>
      </w:r>
    </w:p>
    <w:p>
      <w:pPr>
        <w:spacing w:after="0" w:line="61" w:lineRule="exact"/>
        <w:rPr>
          <w:rFonts w:ascii="Arial" w:cs="Arial" w:eastAsia="Arial" w:hAnsi="Arial"/>
          <w:sz w:val="18"/>
          <w:szCs w:val="18"/>
          <w:color w:val="auto"/>
        </w:rPr>
      </w:pPr>
    </w:p>
    <w:p>
      <w:pPr>
        <w:ind w:left="1300" w:right="20" w:hanging="482"/>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61" w:lineRule="exact"/>
        <w:rPr>
          <w:rFonts w:ascii="Arial" w:cs="Arial" w:eastAsia="Arial" w:hAnsi="Arial"/>
          <w:sz w:val="18"/>
          <w:szCs w:val="18"/>
          <w:color w:val="auto"/>
        </w:rPr>
      </w:pPr>
    </w:p>
    <w:p>
      <w:pPr>
        <w:ind w:left="1300" w:right="20" w:hanging="482"/>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4.1 to Amendment No. 7 to the Registration Statement on Form S-1/A (File No. 333-174925), filed with the Securities and Exchange Commission on March 12, 2012,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March 5, 2018,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February 5, 2018,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March 9, 2018, and incorported by reference herein.</w:t>
      </w:r>
    </w:p>
    <w:p>
      <w:pPr>
        <w:spacing w:after="0" w:line="61" w:lineRule="exact"/>
        <w:rPr>
          <w:sz w:val="20"/>
          <w:szCs w:val="20"/>
          <w:color w:val="auto"/>
        </w:rPr>
      </w:pPr>
    </w:p>
    <w:p>
      <w:pPr>
        <w:jc w:val="both"/>
        <w:ind w:left="1300" w:hanging="482"/>
        <w:spacing w:after="0" w:line="25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ectPr>
          <w:pgSz w:w="11900" w:h="16838" w:orient="portrait"/>
          <w:cols w:equalWidth="0" w:num="1">
            <w:col w:w="11420"/>
          </w:cols>
          <w:pgMar w:left="240" w:top="14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140"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May 9, 2018</w:t>
      </w:r>
    </w:p>
    <w:p>
      <w:pPr>
        <w:spacing w:after="0" w:line="33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Humberto Garcia</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(Duly Authorized Officer)</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40"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67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Badrinarayanan Kothandaraman</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Humberto Garcia, certify that:</w:t>
      </w:r>
    </w:p>
    <w:p>
      <w:pPr>
        <w:spacing w:after="0" w:line="19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67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Humberto Garcia</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Humberto Garcia, Vice President and Chief Financial Officer of the Company, each hereby certifies that, to the best of his or her knowledge:</w:t>
      </w:r>
    </w:p>
    <w:p>
      <w:pPr>
        <w:spacing w:after="0" w:line="177" w:lineRule="exact"/>
        <w:rPr>
          <w:sz w:val="20"/>
          <w:szCs w:val="20"/>
          <w:color w:val="auto"/>
        </w:rPr>
      </w:pPr>
    </w:p>
    <w:p>
      <w:pPr>
        <w:ind w:right="200" w:firstLine="8"/>
        <w:spacing w:after="0" w:line="262" w:lineRule="auto"/>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2018,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right="240" w:firstLine="8"/>
        <w:spacing w:after="0" w:line="262" w:lineRule="auto"/>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9th day of May,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/s/ Humberto Garcia</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Humberto Garcia</w:t>
            </w:r>
          </w:p>
        </w:tc>
      </w:tr>
      <w:tr>
        <w:trPr>
          <w:trHeight w:val="28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758"/>
    </w:lvl>
  </w:abstractNum>
  <w:abstractNum w:abstractNumId="3">
    <w:nsid w:val="109CF92E"/>
    <w:multiLevelType w:val="hybridMultilevel"/>
    <w:lvl w:ilvl="0">
      <w:lvlJc w:val="left"/>
      <w:lvlText w:val="(%1)"/>
      <w:numFmt w:val="decimal"/>
      <w:start w:val="14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emdash "/>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38" Type="http://schemas.openxmlformats.org/officeDocument/2006/relationships/hyperlink" Target="http://www.sec.gov/Archives/edgar/data/1463101/000119312512153425/d330683dex31.htm" TargetMode="External"/><Relationship Id="rId39" Type="http://schemas.openxmlformats.org/officeDocument/2006/relationships/hyperlink" Target="http://www.sec.gov/Archives/edgar/data/1463101/000146310117000091/a2017q210-qexx31certificat.htm" TargetMode="External"/><Relationship Id="rId40" Type="http://schemas.openxmlformats.org/officeDocument/2006/relationships/hyperlink" Target="http://www.sec.gov/Archives/edgar/data/1463101/000119312512110086/d195596dex35.htm" TargetMode="External"/><Relationship Id="rId41" Type="http://schemas.openxmlformats.org/officeDocument/2006/relationships/hyperlink" Target="http://www.sec.gov/Archives/edgar/data/1463101/000119312512110086/d195596dex41.htm" TargetMode="External"/><Relationship Id="rId42" Type="http://schemas.openxmlformats.org/officeDocument/2006/relationships/hyperlink" Target="http://www.sec.gov/Archives/edgar/data/1463101/000146310118000017/ex101amendmenttoloanagreem.htm" TargetMode="External"/><Relationship Id="rId43" Type="http://schemas.openxmlformats.org/officeDocument/2006/relationships/hyperlink" Target="http://www.sec.gov/Archives/edgar/data/1463101/000146310118000003/enphase-securitiespurchase.htm" TargetMode="External"/><Relationship Id="rId44" Type="http://schemas.openxmlformats.org/officeDocument/2006/relationships/hyperlink" Target="http://www.sec.gov/Archives/edgar/data/1463101/000146310118000021/a8-k0309201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2019-12-28T22:11:16Z</dcterms:created>
  <dcterms:modified xsi:type="dcterms:W3CDTF">2019-12-28T22:11:16Z</dcterms:modified>
</cp:coreProperties>
</file>