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3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98425</wp:posOffset>
            </wp:positionV>
            <wp:extent cx="22288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ENPHASE ENERGY,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001-35480</w:t>
            </w:r>
          </w:p>
        </w:tc>
        <w:tc>
          <w:tcPr>
            <w:tcW w:w="700" w:type="dxa"/>
            <w:vAlign w:val="bottom"/>
          </w:tcPr>
          <w:p>
            <w:pPr>
              <w:spacing w:after="0"/>
              <w:rPr>
                <w:sz w:val="20"/>
                <w:szCs w:val="20"/>
                <w:color w:val="auto"/>
              </w:rPr>
            </w:pPr>
          </w:p>
        </w:tc>
        <w:tc>
          <w:tcPr>
            <w:tcW w:w="330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20-4645388</w:t>
            </w:r>
          </w:p>
        </w:tc>
      </w:tr>
      <w:tr>
        <w:trPr>
          <w:trHeight w:val="182"/>
        </w:trPr>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72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70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47281 Bayside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 94538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(707) 774-7000</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 Applicable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231F20"/>
        </w:rPr>
        <w:t>(Former name or former address, if changed since last report.)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jc w:val="center"/>
              <w:ind w:right="100"/>
              <w:spacing w:after="0"/>
              <w:rPr>
                <w:sz w:val="20"/>
                <w:szCs w:val="20"/>
                <w:color w:val="auto"/>
              </w:rPr>
            </w:pPr>
            <w:r>
              <w:rPr>
                <w:rFonts w:ascii="Arial" w:cs="Arial" w:eastAsia="Arial" w:hAnsi="Arial"/>
                <w:sz w:val="13"/>
                <w:szCs w:val="13"/>
                <w:color w:val="auto"/>
              </w:rPr>
              <w:t>Title of each class</w:t>
            </w:r>
          </w:p>
        </w:tc>
        <w:tc>
          <w:tcPr>
            <w:tcW w:w="2280" w:type="dxa"/>
            <w:vAlign w:val="bottom"/>
            <w:gridSpan w:val="2"/>
          </w:tcPr>
          <w:p>
            <w:pPr>
              <w:jc w:val="center"/>
              <w:ind w:right="140"/>
              <w:spacing w:after="0"/>
              <w:rPr>
                <w:sz w:val="20"/>
                <w:szCs w:val="20"/>
                <w:color w:val="auto"/>
              </w:rPr>
            </w:pPr>
            <w:r>
              <w:rPr>
                <w:rFonts w:ascii="Arial" w:cs="Arial" w:eastAsia="Arial" w:hAnsi="Arial"/>
                <w:sz w:val="13"/>
                <w:szCs w:val="13"/>
                <w:color w:val="auto"/>
              </w:rPr>
              <w:t>Trading Symbol(s)</w:t>
            </w:r>
          </w:p>
        </w:tc>
        <w:tc>
          <w:tcPr>
            <w:tcW w:w="4420" w:type="dxa"/>
            <w:vAlign w:val="bottom"/>
          </w:tcPr>
          <w:p>
            <w:pPr>
              <w:jc w:val="center"/>
              <w:spacing w:after="0"/>
              <w:rPr>
                <w:sz w:val="20"/>
                <w:szCs w:val="20"/>
                <w:color w:val="auto"/>
              </w:rPr>
            </w:pPr>
            <w:r>
              <w:rPr>
                <w:rFonts w:ascii="Arial" w:cs="Arial" w:eastAsia="Arial" w:hAnsi="Arial"/>
                <w:sz w:val="13"/>
                <w:szCs w:val="13"/>
                <w:color w:val="auto"/>
              </w:rPr>
              <w:t>Name of each exchange on which registered</w:t>
            </w:r>
          </w:p>
        </w:tc>
      </w:tr>
      <w:tr>
        <w:trPr>
          <w:trHeight w:val="186"/>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Common Stock, $0.00001 par value per share</w:t>
            </w:r>
          </w:p>
        </w:tc>
        <w:tc>
          <w:tcPr>
            <w:tcW w:w="12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ENPH</w:t>
            </w:r>
          </w:p>
        </w:tc>
        <w:tc>
          <w:tcPr>
            <w:tcW w:w="120" w:type="dxa"/>
            <w:vAlign w:val="bottom"/>
          </w:tcPr>
          <w:p>
            <w:pPr>
              <w:spacing w:after="0"/>
              <w:rPr>
                <w:sz w:val="16"/>
                <w:szCs w:val="16"/>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Nasdaq Global Market</w:t>
            </w:r>
          </w:p>
        </w:tc>
      </w:tr>
    </w:tbl>
    <w:p>
      <w:pPr>
        <w:spacing w:after="0" w:line="200" w:lineRule="exact"/>
        <w:rPr>
          <w:sz w:val="24"/>
          <w:szCs w:val="24"/>
          <w:color w:val="auto"/>
        </w:rPr>
      </w:pPr>
    </w:p>
    <w:p>
      <w:pPr>
        <w:spacing w:after="0" w:line="221"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5"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 w:name="page2"/>
    <w:bookmarkEnd w:id="1"/>
    <w:p>
      <w:pPr>
        <w:ind w:left="980" w:right="260" w:hanging="971"/>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Effective June 11, 2026, the Board of Directors (the “Board”) of Enphase Energy, Inc. (the “Company”) has increased the size of the Board to eight directors and, upon the recommendation of the Nominating and Corporate Governance Committee of the Board, has appointed Shanker Trivedi to fill the newly created vacancy in Class I of the Board. The term of office for Class I directors expires at the Company’s 2028 Annual Meeting of Stockholders, and Mr. Trivedi is expected to stand for election at that time. In connection with his election to the Board, Mr. Trivedi was also appointed to serve on the Audit Committee of the Board with immediate effect.</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Trivedi, age 69, was the Senior Vice President, Enterprise Business, at NVIDIA Corporation (“NVIDIA”), a semiconductor company, from April 2016 until April 2026 and the Vice President, Worldwide Sales (PSG) from April 2009 to March 2016. At NVIDIA, he led worldwide sales for datacenter and professional visualization products, as well as business development for all industry verticals, other than gaming, including manufacturing, healthcare, financial services, telecommunications, government, and education. Prior to NVIDIA, Mr. Trivedi served in various senior leadership roles at Callidus Cloud and Sun Microsystems. Mr. Trivedi has more than 30 years of leadership experience in enterprise technology, data centers, cloud infrastructure, and go-to-market execution. Mr. Trivedi holds a Master of Business Administration degree from the Indian Institute of Management Calcutta and a Master of Science degree in Mathematics and Computing from the Indian Institute of Technology Delhi.</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part of the appointment, the Board has approved a grant, effective as of the date of his appointment, of a restricted stock unit award to Mr. Trivedi representing shares of the Company’s common stock with a targeted delivered value of approximately $250,000. The amount of the award reflects the Company’s standard compensation program for initial equity awards to new directors, based on the date of election by the Board. Provided Mr. Trivedi continues his service on the Board, the restricted stock unit award will vest in four equal installments on August 15, 2026, November 15, 2026, February 15, 2027, and May 15, 2027. In connection with his service on the Board, Mr. Trivedi will also be entitled to the standard non-employee director compensation arrangements as set forth under the heading “Director Compensation” in the Company’s most recent proxy statement filed with the Securities and Exchange Commission (the “SEC”) on April 1, 2026.</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Trivedi and any other person pursuant to which Mr. Trivedi was appointed as a director of the Company, and there is no family relationship between Mr. Trivedi and any of the Company’s other directors or executive officers.</w:t>
      </w:r>
    </w:p>
    <w:p>
      <w:pPr>
        <w:spacing w:after="0" w:line="54"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7"/>
          <w:szCs w:val="17"/>
          <w:color w:val="auto"/>
        </w:rPr>
        <w:t>The Company entered into its standard form of indemnification agreement with Mr. Trivedi (the “Indemnity Agreement”). The Indemnity Agreement provides, among other things, that the Company will indemnify Mr. Trivedi, under the circumstances and to the extent provided for therein, for certain expenses which he may be required to pay in connection with certain claims to which he may be made a party by reason of his service to the Company as a director, and otherwise to the fullest extent under applicable law. The foregoing is only a brief description of the terms of the indemnification arrangements with Mr. Trivedi, does not purport to be complete, and is qualified in its entirety by reference to the form of Indemnification Agreement, previously filed as Exhibit 10.1 to the Company’s Annual Report on Form 10-K for the year ended December 31, 2025 with the SEC on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974725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20"/>
        <w:spacing w:after="0"/>
        <w:tabs>
          <w:tab w:leader="none" w:pos="552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color w:val="auto"/>
        </w:rPr>
        <w:t>ENPHASE ENERGY, INC.</w:t>
      </w:r>
    </w:p>
    <w:p>
      <w:pPr>
        <w:spacing w:after="0" w:line="27"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Mandy Yang</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0760"/>
      </w:cols>
      <w:pgMar w:left="320" w:top="1409"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2026-06-15T15:19:33Z</dcterms:created>
  <dcterms:modified xsi:type="dcterms:W3CDTF">2026-06-15T15:19:33Z</dcterms:modified>
</cp:coreProperties>
</file>