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168910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192405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98" w:lineRule="exact"/>
        <w:rPr>
          <w:sz w:val="24"/>
          <w:szCs w:val="24"/>
          <w:color w:val="auto"/>
        </w:rPr>
      </w:pPr>
    </w:p>
    <w:p>
      <w:pPr>
        <w:ind w:left="3820" w:right="2040" w:hanging="3812"/>
        <w:spacing w:after="0" w:line="487" w:lineRule="auto"/>
        <w:tabs>
          <w:tab w:leader="none" w:pos="49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2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174625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260350</wp:posOffset>
            </wp:positionV>
            <wp:extent cx="2229485"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94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tbl>
      <w:tblPr>
        <w:tblLayout w:type="fixed"/>
        <w:tblInd w:w="1200" w:type="dxa"/>
        <w:tblCellMar>
          <w:top w:w="0" w:type="dxa"/>
          <w:left w:w="0" w:type="dxa"/>
          <w:bottom w:w="0" w:type="dxa"/>
          <w:right w:w="0" w:type="dxa"/>
        </w:tblCellMar>
      </w:tblPr>
      <w:tr>
        <w:trPr>
          <w:trHeight w:val="429"/>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gridSpan w:val="4"/>
          </w:tcPr>
          <w:p>
            <w:pPr>
              <w:jc w:val="center"/>
              <w:ind w:right="2110"/>
              <w:spacing w:after="0"/>
              <w:rPr>
                <w:sz w:val="20"/>
                <w:szCs w:val="20"/>
                <w:color w:val="auto"/>
              </w:rPr>
            </w:pPr>
            <w:r>
              <w:rPr>
                <w:rFonts w:ascii="Arial" w:cs="Arial" w:eastAsia="Arial" w:hAnsi="Arial"/>
                <w:sz w:val="32"/>
                <w:szCs w:val="32"/>
                <w:b w:val="1"/>
                <w:bCs w:val="1"/>
                <w:color w:val="auto"/>
              </w:rPr>
              <w:t>Enphase Energy, Inc.</w:t>
            </w:r>
          </w:p>
        </w:tc>
      </w:tr>
      <w:tr>
        <w:trPr>
          <w:trHeight w:val="185"/>
        </w:trPr>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520" w:type="dxa"/>
            <w:vAlign w:val="bottom"/>
            <w:gridSpan w:val="4"/>
          </w:tcPr>
          <w:p>
            <w:pPr>
              <w:jc w:val="center"/>
              <w:ind w:right="2110"/>
              <w:spacing w:after="0"/>
              <w:rPr>
                <w:sz w:val="20"/>
                <w:szCs w:val="20"/>
                <w:color w:val="auto"/>
              </w:rPr>
            </w:pPr>
            <w:r>
              <w:rPr>
                <w:rFonts w:ascii="Arial" w:cs="Arial" w:eastAsia="Arial" w:hAnsi="Arial"/>
                <w:sz w:val="13"/>
                <w:szCs w:val="13"/>
                <w:color w:val="auto"/>
                <w:w w:val="96"/>
              </w:rPr>
              <w:t>(Exact name of registrant as specified in its charter)</w:t>
            </w:r>
          </w:p>
        </w:tc>
      </w:tr>
      <w:tr>
        <w:trPr>
          <w:trHeight w:val="259"/>
        </w:trPr>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480"/>
        </w:trPr>
        <w:tc>
          <w:tcPr>
            <w:tcW w:w="1020" w:type="dxa"/>
            <w:vAlign w:val="bottom"/>
          </w:tcPr>
          <w:p>
            <w:pPr>
              <w:spacing w:after="0"/>
              <w:rPr>
                <w:sz w:val="24"/>
                <w:szCs w:val="24"/>
                <w:color w:val="auto"/>
              </w:rPr>
            </w:pPr>
          </w:p>
        </w:tc>
        <w:tc>
          <w:tcPr>
            <w:tcW w:w="2400" w:type="dxa"/>
            <w:vAlign w:val="bottom"/>
            <w:gridSpan w:val="3"/>
          </w:tcPr>
          <w:p>
            <w:pPr>
              <w:jc w:val="center"/>
              <w:ind w:right="1032"/>
              <w:spacing w:after="0"/>
              <w:rPr>
                <w:sz w:val="20"/>
                <w:szCs w:val="20"/>
                <w:color w:val="auto"/>
              </w:rPr>
            </w:pPr>
            <w:r>
              <w:rPr>
                <w:rFonts w:ascii="Arial" w:cs="Arial" w:eastAsia="Arial" w:hAnsi="Arial"/>
                <w:sz w:val="18"/>
                <w:szCs w:val="18"/>
                <w:b w:val="1"/>
                <w:bCs w:val="1"/>
                <w:color w:val="auto"/>
              </w:rPr>
              <w:t>Delaware</w:t>
            </w:r>
          </w:p>
        </w:tc>
        <w:tc>
          <w:tcPr>
            <w:tcW w:w="5440" w:type="dxa"/>
            <w:vAlign w:val="bottom"/>
            <w:gridSpan w:val="3"/>
          </w:tcPr>
          <w:p>
            <w:pPr>
              <w:jc w:val="center"/>
              <w:ind w:left="2330"/>
              <w:spacing w:after="0"/>
              <w:rPr>
                <w:sz w:val="20"/>
                <w:szCs w:val="20"/>
                <w:color w:val="auto"/>
              </w:rPr>
            </w:pPr>
            <w:r>
              <w:rPr>
                <w:rFonts w:ascii="Arial" w:cs="Arial" w:eastAsia="Arial" w:hAnsi="Arial"/>
                <w:sz w:val="18"/>
                <w:szCs w:val="18"/>
                <w:b w:val="1"/>
                <w:bCs w:val="1"/>
                <w:color w:val="auto"/>
              </w:rPr>
              <w:t>20-4645388</w:t>
            </w:r>
          </w:p>
        </w:tc>
      </w:tr>
      <w:tr>
        <w:trPr>
          <w:trHeight w:val="170"/>
        </w:trPr>
        <w:tc>
          <w:tcPr>
            <w:tcW w:w="3420" w:type="dxa"/>
            <w:vAlign w:val="bottom"/>
            <w:gridSpan w:val="4"/>
          </w:tcPr>
          <w:p>
            <w:pPr>
              <w:jc w:val="center"/>
              <w:ind w:right="12"/>
              <w:spacing w:after="0"/>
              <w:rPr>
                <w:sz w:val="20"/>
                <w:szCs w:val="20"/>
                <w:color w:val="auto"/>
              </w:rPr>
            </w:pPr>
            <w:r>
              <w:rPr>
                <w:rFonts w:ascii="Arial" w:cs="Arial" w:eastAsia="Arial" w:hAnsi="Arial"/>
                <w:sz w:val="13"/>
                <w:szCs w:val="13"/>
                <w:color w:val="auto"/>
                <w:w w:val="95"/>
              </w:rPr>
              <w:t>(State or other jurisdiction of</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3"/>
                <w:szCs w:val="13"/>
                <w:color w:val="auto"/>
                <w:w w:val="98"/>
              </w:rPr>
              <w:t>(I.R.S. Employer</w:t>
            </w:r>
          </w:p>
        </w:tc>
      </w:tr>
      <w:tr>
        <w:trPr>
          <w:trHeight w:val="145"/>
        </w:trPr>
        <w:tc>
          <w:tcPr>
            <w:tcW w:w="3420" w:type="dxa"/>
            <w:vAlign w:val="bottom"/>
            <w:gridSpan w:val="4"/>
          </w:tcPr>
          <w:p>
            <w:pPr>
              <w:jc w:val="center"/>
              <w:ind w:right="12"/>
              <w:spacing w:after="0" w:line="146" w:lineRule="exact"/>
              <w:rPr>
                <w:sz w:val="20"/>
                <w:szCs w:val="20"/>
                <w:color w:val="auto"/>
              </w:rPr>
            </w:pPr>
            <w:r>
              <w:rPr>
                <w:rFonts w:ascii="Arial" w:cs="Arial" w:eastAsia="Arial" w:hAnsi="Arial"/>
                <w:sz w:val="13"/>
                <w:szCs w:val="13"/>
                <w:color w:val="auto"/>
                <w:w w:val="96"/>
              </w:rPr>
              <w:t>incorporation or organization)</w:t>
            </w: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20" w:type="dxa"/>
            <w:vAlign w:val="bottom"/>
          </w:tcPr>
          <w:p>
            <w:pPr>
              <w:jc w:val="center"/>
              <w:spacing w:after="0" w:line="146" w:lineRule="exact"/>
              <w:rPr>
                <w:sz w:val="20"/>
                <w:szCs w:val="20"/>
                <w:color w:val="auto"/>
              </w:rPr>
            </w:pPr>
            <w:r>
              <w:rPr>
                <w:rFonts w:ascii="Arial" w:cs="Arial" w:eastAsia="Arial" w:hAnsi="Arial"/>
                <w:sz w:val="13"/>
                <w:szCs w:val="13"/>
                <w:color w:val="auto"/>
                <w:w w:val="96"/>
              </w:rPr>
              <w:t>Identification No.)</w:t>
            </w: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40" w:type="dxa"/>
            <w:vAlign w:val="bottom"/>
            <w:gridSpan w:val="3"/>
          </w:tcPr>
          <w:p>
            <w:pPr>
              <w:jc w:val="center"/>
              <w:ind w:right="3190"/>
              <w:spacing w:after="0"/>
              <w:rPr>
                <w:sz w:val="20"/>
                <w:szCs w:val="20"/>
                <w:color w:val="auto"/>
              </w:rPr>
            </w:pPr>
            <w:r>
              <w:rPr>
                <w:rFonts w:ascii="Arial" w:cs="Arial" w:eastAsia="Arial" w:hAnsi="Arial"/>
                <w:sz w:val="18"/>
                <w:szCs w:val="18"/>
                <w:b w:val="1"/>
                <w:bCs w:val="1"/>
                <w:color w:val="auto"/>
                <w:w w:val="99"/>
              </w:rPr>
              <w:t>47281 Bayside Parkway</w:t>
            </w:r>
          </w:p>
        </w:tc>
      </w:tr>
      <w:tr>
        <w:trPr>
          <w:trHeight w:val="233"/>
        </w:trPr>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3"/>
          </w:tcPr>
          <w:p>
            <w:pPr>
              <w:jc w:val="center"/>
              <w:ind w:right="3190"/>
              <w:spacing w:after="0"/>
              <w:rPr>
                <w:sz w:val="20"/>
                <w:szCs w:val="20"/>
                <w:color w:val="auto"/>
              </w:rPr>
            </w:pPr>
            <w:r>
              <w:rPr>
                <w:rFonts w:ascii="Arial" w:cs="Arial" w:eastAsia="Arial" w:hAnsi="Arial"/>
                <w:sz w:val="18"/>
                <w:szCs w:val="18"/>
                <w:b w:val="1"/>
                <w:bCs w:val="1"/>
                <w:color w:val="auto"/>
                <w:w w:val="99"/>
              </w:rPr>
              <w:t>Fremont, CA 94538</w:t>
            </w:r>
          </w:p>
        </w:tc>
      </w:tr>
      <w:tr>
        <w:trPr>
          <w:trHeight w:val="152"/>
        </w:trPr>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20" w:type="dxa"/>
            <w:vAlign w:val="bottom"/>
            <w:gridSpan w:val="4"/>
          </w:tcPr>
          <w:p>
            <w:pPr>
              <w:jc w:val="center"/>
              <w:ind w:right="2110"/>
              <w:spacing w:after="0"/>
              <w:rPr>
                <w:sz w:val="20"/>
                <w:szCs w:val="20"/>
                <w:color w:val="auto"/>
              </w:rPr>
            </w:pPr>
            <w:r>
              <w:rPr>
                <w:rFonts w:ascii="Arial" w:cs="Arial" w:eastAsia="Arial" w:hAnsi="Arial"/>
                <w:sz w:val="13"/>
                <w:szCs w:val="13"/>
                <w:color w:val="auto"/>
                <w:w w:val="96"/>
              </w:rPr>
              <w:t>(Address of principal executive offices) (Zip Code)</w:t>
            </w:r>
          </w:p>
        </w:tc>
      </w:tr>
      <w:tr>
        <w:trPr>
          <w:trHeight w:val="361"/>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(707) 774-7000</w:t>
            </w:r>
          </w:p>
        </w:tc>
        <w:tc>
          <w:tcPr>
            <w:tcW w:w="3020" w:type="dxa"/>
            <w:vAlign w:val="bottom"/>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520" w:type="dxa"/>
            <w:vAlign w:val="bottom"/>
            <w:gridSpan w:val="4"/>
          </w:tcPr>
          <w:p>
            <w:pPr>
              <w:jc w:val="center"/>
              <w:ind w:right="2090"/>
              <w:spacing w:after="0"/>
              <w:rPr>
                <w:sz w:val="20"/>
                <w:szCs w:val="20"/>
                <w:color w:val="auto"/>
              </w:rPr>
            </w:pPr>
            <w:r>
              <w:rPr>
                <w:rFonts w:ascii="Arial" w:cs="Arial" w:eastAsia="Arial" w:hAnsi="Arial"/>
                <w:sz w:val="13"/>
                <w:szCs w:val="13"/>
                <w:color w:val="auto"/>
                <w:w w:val="96"/>
              </w:rPr>
              <w:t>(Registrant’s telephone number, including area code)</w:t>
            </w:r>
          </w:p>
        </w:tc>
      </w:tr>
      <w:tr>
        <w:trPr>
          <w:trHeight w:val="327"/>
        </w:trPr>
        <w:tc>
          <w:tcPr>
            <w:tcW w:w="1020" w:type="dxa"/>
            <w:vAlign w:val="bottom"/>
          </w:tcPr>
          <w:p>
            <w:pPr>
              <w:spacing w:after="0"/>
              <w:rPr>
                <w:sz w:val="24"/>
                <w:szCs w:val="24"/>
                <w:color w:val="auto"/>
              </w:rPr>
            </w:pPr>
          </w:p>
        </w:tc>
        <w:tc>
          <w:tcPr>
            <w:tcW w:w="7840" w:type="dxa"/>
            <w:vAlign w:val="bottom"/>
            <w:gridSpan w:val="6"/>
          </w:tcPr>
          <w:p>
            <w:pPr>
              <w:jc w:val="center"/>
              <w:ind w:right="790"/>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11"/>
        </w:trPr>
        <w:tc>
          <w:tcPr>
            <w:tcW w:w="1020" w:type="dxa"/>
            <w:vAlign w:val="bottom"/>
          </w:tcPr>
          <w:p>
            <w:pPr>
              <w:spacing w:after="0"/>
              <w:rPr>
                <w:sz w:val="24"/>
                <w:szCs w:val="24"/>
                <w:color w:val="auto"/>
              </w:rPr>
            </w:pPr>
          </w:p>
        </w:tc>
        <w:tc>
          <w:tcPr>
            <w:tcW w:w="2400" w:type="dxa"/>
            <w:vAlign w:val="bottom"/>
            <w:gridSpan w:val="3"/>
          </w:tcPr>
          <w:p>
            <w:pPr>
              <w:jc w:val="center"/>
              <w:ind w:right="1032"/>
              <w:spacing w:after="0"/>
              <w:rPr>
                <w:sz w:val="20"/>
                <w:szCs w:val="20"/>
                <w:color w:val="auto"/>
              </w:rPr>
            </w:pPr>
            <w:r>
              <w:rPr>
                <w:rFonts w:ascii="Arial" w:cs="Arial" w:eastAsia="Arial" w:hAnsi="Arial"/>
                <w:sz w:val="14"/>
                <w:szCs w:val="14"/>
                <w:b w:val="1"/>
                <w:bCs w:val="1"/>
                <w:color w:val="auto"/>
              </w:rPr>
              <w:t>Title of each class:</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44"/>
        </w:trPr>
        <w:tc>
          <w:tcPr>
            <w:tcW w:w="3420" w:type="dxa"/>
            <w:vAlign w:val="bottom"/>
            <w:gridSpan w:val="4"/>
          </w:tcPr>
          <w:p>
            <w:pPr>
              <w:jc w:val="center"/>
              <w:ind w:right="12"/>
              <w:spacing w:after="0"/>
              <w:rPr>
                <w:sz w:val="20"/>
                <w:szCs w:val="20"/>
                <w:color w:val="auto"/>
              </w:rPr>
            </w:pPr>
            <w:r>
              <w:rPr>
                <w:rFonts w:ascii="Arial" w:cs="Arial" w:eastAsia="Arial" w:hAnsi="Arial"/>
                <w:sz w:val="16"/>
                <w:szCs w:val="16"/>
                <w:color w:val="auto"/>
              </w:rPr>
              <w:t>Common Stock, par value $0.00001 per share</w:t>
            </w:r>
          </w:p>
        </w:tc>
        <w:tc>
          <w:tcPr>
            <w:tcW w:w="10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2243455</wp:posOffset>
            </wp:positionH>
            <wp:positionV relativeFrom="paragraph">
              <wp:posOffset>180975</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4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63"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95" w:lineRule="exact"/>
        <w:rPr>
          <w:sz w:val="24"/>
          <w:szCs w:val="24"/>
          <w:color w:val="auto"/>
        </w:rPr>
      </w:pPr>
    </w:p>
    <w:p>
      <w:pPr>
        <w:ind w:right="6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6"/>
          <w:szCs w:val="16"/>
          <w:color w:val="auto"/>
        </w:rPr>
        <w:t>☐</w:t>
      </w:r>
    </w:p>
    <w:p>
      <w:pPr>
        <w:sectPr>
          <w:pgSz w:w="11900" w:h="16838" w:orient="portrait"/>
          <w:cols w:equalWidth="0" w:num="1">
            <w:col w:w="11420"/>
          </w:cols>
          <w:pgMar w:left="240" w:top="391" w:right="239" w:bottom="1440" w:gutter="0" w:footer="0" w:header="0"/>
        </w:sectPr>
      </w:pPr>
    </w:p>
    <w:bookmarkStart w:id="1" w:name="page2"/>
    <w:bookmarkEnd w:id="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00" w:hanging="192"/>
        <w:spacing w:after="0" w:line="184" w:lineRule="exact"/>
        <w:tabs>
          <w:tab w:leader="none" w:pos="2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860" w:type="dxa"/>
            <w:vAlign w:val="bottom"/>
          </w:tcPr>
          <w:p>
            <w:pPr>
              <w:jc w:val="center"/>
              <w:ind w:left="619"/>
              <w:spacing w:after="0"/>
              <w:rPr>
                <w:sz w:val="20"/>
                <w:szCs w:val="20"/>
                <w:color w:val="auto"/>
              </w:rPr>
            </w:pPr>
            <w:r>
              <w:rPr>
                <w:rFonts w:ascii="Arial" w:cs="Arial" w:eastAsia="Arial" w:hAnsi="Arial"/>
                <w:sz w:val="16"/>
                <w:szCs w:val="16"/>
                <w:color w:val="auto"/>
                <w:w w:val="99"/>
              </w:rPr>
              <w:t>x</w:t>
            </w:r>
          </w:p>
        </w:tc>
      </w:tr>
      <w:tr>
        <w:trPr>
          <w:trHeight w:val="257"/>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jc w:val="center"/>
              <w:ind w:left="639"/>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4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33" w:lineRule="exact"/>
        <w:rPr>
          <w:sz w:val="20"/>
          <w:szCs w:val="20"/>
          <w:color w:val="auto"/>
        </w:rPr>
      </w:pPr>
    </w:p>
    <w:p>
      <w:pPr>
        <w:spacing w:after="0" w:line="201"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6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aggregate market value of the voting stock held by non-affiliates of the registrant on June 30, 2018, based upon the closing price of $6.73 of the registrant’s common stock as reported on the Nasdaq Global Market, was approximately $588.9 million.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of March 6, 2019, there were 108,519,598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224790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Certain information called for by Part III of this Form 10-K is incorporated by reference to the Proxy Statement for the registrant’s 2019 Annual Meeting of Stockholders, which will be filed with the Securities and Exchange Commission not later than 120 days after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p>
        </w:tc>
        <w:tc>
          <w:tcPr>
            <w:tcW w:w="9620" w:type="dxa"/>
            <w:vAlign w:val="bottom"/>
          </w:tcPr>
          <w:p>
            <w:pPr>
              <w:ind w:left="3800"/>
              <w:spacing w:after="0"/>
              <w:rPr>
                <w:sz w:val="20"/>
                <w:szCs w:val="20"/>
                <w:color w:val="auto"/>
              </w:rPr>
            </w:pPr>
            <w:r>
              <w:rPr>
                <w:rFonts w:ascii="Arial" w:cs="Arial" w:eastAsia="Arial" w:hAnsi="Arial"/>
                <w:sz w:val="18"/>
                <w:szCs w:val="18"/>
                <w:b w:val="1"/>
                <w:bCs w:val="1"/>
                <w:color w:val="auto"/>
              </w:rPr>
              <w:t>ENPHASE ENERGY, INC.</w:t>
            </w:r>
          </w:p>
        </w:tc>
        <w:tc>
          <w:tcPr>
            <w:tcW w:w="9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962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Page</w:t>
            </w:r>
          </w:p>
        </w:tc>
      </w:tr>
      <w:tr>
        <w:trPr>
          <w:trHeight w:val="251"/>
        </w:trPr>
        <w:tc>
          <w:tcPr>
            <w:tcW w:w="820" w:type="dxa"/>
            <w:vAlign w:val="bottom"/>
          </w:tcPr>
          <w:p>
            <w:pPr>
              <w:spacing w:after="0"/>
              <w:rPr>
                <w:sz w:val="21"/>
                <w:szCs w:val="21"/>
                <w:color w:val="auto"/>
              </w:rPr>
            </w:pPr>
          </w:p>
        </w:tc>
        <w:tc>
          <w:tcPr>
            <w:tcW w:w="9620" w:type="dxa"/>
            <w:vAlign w:val="bottom"/>
          </w:tcPr>
          <w:p>
            <w:pPr>
              <w:jc w:val="center"/>
              <w:ind w:left="98"/>
              <w:spacing w:after="0"/>
              <w:rPr>
                <w:rFonts w:ascii="Arial" w:cs="Arial" w:eastAsia="Arial" w:hAnsi="Arial"/>
                <w:sz w:val="16"/>
                <w:szCs w:val="16"/>
                <w:b w:val="1"/>
                <w:bCs w:val="1"/>
                <w:color w:val="auto"/>
                <w:w w:val="99"/>
              </w:rPr>
            </w:pPr>
            <w:hyperlink w:anchor="page4">
              <w:r>
                <w:rPr>
                  <w:rFonts w:ascii="Arial" w:cs="Arial" w:eastAsia="Arial" w:hAnsi="Arial"/>
                  <w:sz w:val="16"/>
                  <w:szCs w:val="16"/>
                  <w:b w:val="1"/>
                  <w:bCs w:val="1"/>
                  <w:color w:val="auto"/>
                  <w:w w:val="99"/>
                </w:rPr>
                <w:t>PART I</w:t>
              </w:r>
            </w:hyperlink>
          </w:p>
        </w:tc>
        <w:tc>
          <w:tcPr>
            <w:tcW w:w="920" w:type="dxa"/>
            <w:vAlign w:val="bottom"/>
          </w:tcPr>
          <w:p>
            <w:pPr>
              <w:spacing w:after="0"/>
              <w:rPr>
                <w:sz w:val="21"/>
                <w:szCs w:val="21"/>
                <w:color w:val="auto"/>
              </w:rPr>
            </w:pPr>
          </w:p>
        </w:tc>
      </w:tr>
      <w:tr>
        <w:trPr>
          <w:trHeight w:val="243"/>
        </w:trPr>
        <w:tc>
          <w:tcPr>
            <w:tcW w:w="820" w:type="dxa"/>
            <w:vAlign w:val="bottom"/>
          </w:tcPr>
          <w:p>
            <w:pPr>
              <w:spacing w:after="0"/>
              <w:rPr>
                <w:rFonts w:ascii="Arial" w:cs="Arial" w:eastAsia="Arial" w:hAnsi="Arial"/>
                <w:sz w:val="16"/>
                <w:szCs w:val="16"/>
                <w:color w:val="auto"/>
              </w:rPr>
            </w:pPr>
            <w:hyperlink w:anchor="page4">
              <w:r>
                <w:rPr>
                  <w:rFonts w:ascii="Arial" w:cs="Arial" w:eastAsia="Arial" w:hAnsi="Arial"/>
                  <w:sz w:val="16"/>
                  <w:szCs w:val="16"/>
                  <w:color w:val="auto"/>
                </w:rPr>
                <w:t>Item 1.</w:t>
              </w:r>
            </w:hyperlink>
          </w:p>
        </w:tc>
        <w:tc>
          <w:tcPr>
            <w:tcW w:w="9620" w:type="dxa"/>
            <w:vAlign w:val="bottom"/>
          </w:tcPr>
          <w:p>
            <w:pPr>
              <w:ind w:left="200"/>
              <w:spacing w:after="0"/>
              <w:rPr>
                <w:rFonts w:ascii="Arial" w:cs="Arial" w:eastAsia="Arial" w:hAnsi="Arial"/>
                <w:sz w:val="16"/>
                <w:szCs w:val="16"/>
                <w:color w:val="auto"/>
              </w:rPr>
            </w:pPr>
            <w:hyperlink w:anchor="page4">
              <w:r>
                <w:rPr>
                  <w:rFonts w:ascii="Arial" w:cs="Arial" w:eastAsia="Arial" w:hAnsi="Arial"/>
                  <w:sz w:val="16"/>
                  <w:szCs w:val="16"/>
                  <w:color w:val="auto"/>
                </w:rPr>
                <w:t>Business</w:t>
              </w:r>
            </w:hyperlink>
          </w:p>
        </w:tc>
        <w:tc>
          <w:tcPr>
            <w:tcW w:w="920" w:type="dxa"/>
            <w:vAlign w:val="bottom"/>
          </w:tcPr>
          <w:p>
            <w:pPr>
              <w:jc w:val="center"/>
              <w:spacing w:after="0"/>
              <w:rPr>
                <w:rFonts w:ascii="Arial" w:cs="Arial" w:eastAsia="Arial" w:hAnsi="Arial"/>
                <w:sz w:val="16"/>
                <w:szCs w:val="16"/>
                <w:color w:val="auto"/>
                <w:w w:val="89"/>
              </w:rPr>
            </w:pPr>
            <w:hyperlink w:anchor="page4">
              <w:r>
                <w:rPr>
                  <w:rFonts w:ascii="Arial" w:cs="Arial" w:eastAsia="Arial" w:hAnsi="Arial"/>
                  <w:sz w:val="16"/>
                  <w:szCs w:val="16"/>
                  <w:color w:val="auto"/>
                  <w:w w:val="89"/>
                </w:rPr>
                <w:t>4</w:t>
              </w:r>
            </w:hyperlink>
          </w:p>
        </w:tc>
      </w:tr>
      <w:tr>
        <w:trPr>
          <w:trHeight w:val="243"/>
        </w:trPr>
        <w:tc>
          <w:tcPr>
            <w:tcW w:w="820" w:type="dxa"/>
            <w:vAlign w:val="bottom"/>
          </w:tcPr>
          <w:p>
            <w:pPr>
              <w:spacing w:after="0"/>
              <w:rPr>
                <w:rFonts w:ascii="Arial" w:cs="Arial" w:eastAsia="Arial" w:hAnsi="Arial"/>
                <w:sz w:val="16"/>
                <w:szCs w:val="16"/>
                <w:color w:val="auto"/>
              </w:rPr>
            </w:pPr>
            <w:hyperlink w:anchor="page11">
              <w:r>
                <w:rPr>
                  <w:rFonts w:ascii="Arial" w:cs="Arial" w:eastAsia="Arial" w:hAnsi="Arial"/>
                  <w:sz w:val="16"/>
                  <w:szCs w:val="16"/>
                  <w:color w:val="auto"/>
                </w:rPr>
                <w:t>Item 1A.</w:t>
              </w:r>
            </w:hyperlink>
          </w:p>
        </w:tc>
        <w:tc>
          <w:tcPr>
            <w:tcW w:w="9620" w:type="dxa"/>
            <w:vAlign w:val="bottom"/>
          </w:tcPr>
          <w:p>
            <w:pPr>
              <w:ind w:left="200"/>
              <w:spacing w:after="0"/>
              <w:rPr>
                <w:rFonts w:ascii="Arial" w:cs="Arial" w:eastAsia="Arial" w:hAnsi="Arial"/>
                <w:sz w:val="16"/>
                <w:szCs w:val="16"/>
                <w:color w:val="auto"/>
              </w:rPr>
            </w:pPr>
            <w:hyperlink w:anchor="page11">
              <w:r>
                <w:rPr>
                  <w:rFonts w:ascii="Arial" w:cs="Arial" w:eastAsia="Arial" w:hAnsi="Arial"/>
                  <w:sz w:val="16"/>
                  <w:szCs w:val="16"/>
                  <w:color w:val="auto"/>
                </w:rPr>
                <w:t>Risk Factors</w:t>
              </w:r>
            </w:hyperlink>
          </w:p>
        </w:tc>
        <w:tc>
          <w:tcPr>
            <w:tcW w:w="920" w:type="dxa"/>
            <w:vAlign w:val="bottom"/>
          </w:tcPr>
          <w:p>
            <w:pPr>
              <w:jc w:val="center"/>
              <w:spacing w:after="0"/>
              <w:rPr>
                <w:rFonts w:ascii="Arial" w:cs="Arial" w:eastAsia="Arial" w:hAnsi="Arial"/>
                <w:sz w:val="16"/>
                <w:szCs w:val="16"/>
                <w:color w:val="auto"/>
              </w:rPr>
            </w:pPr>
            <w:hyperlink w:anchor="page11">
              <w:r>
                <w:rPr>
                  <w:rFonts w:ascii="Arial" w:cs="Arial" w:eastAsia="Arial" w:hAnsi="Arial"/>
                  <w:sz w:val="16"/>
                  <w:szCs w:val="16"/>
                  <w:color w:val="auto"/>
                </w:rPr>
                <w:t>11</w:t>
              </w:r>
            </w:hyperlink>
          </w:p>
        </w:tc>
      </w:tr>
      <w:tr>
        <w:trPr>
          <w:trHeight w:val="243"/>
        </w:trPr>
        <w:tc>
          <w:tcPr>
            <w:tcW w:w="820" w:type="dxa"/>
            <w:vAlign w:val="bottom"/>
          </w:tcPr>
          <w:p>
            <w:pPr>
              <w:spacing w:after="0"/>
              <w:rPr>
                <w:rFonts w:ascii="Arial" w:cs="Arial" w:eastAsia="Arial" w:hAnsi="Arial"/>
                <w:sz w:val="16"/>
                <w:szCs w:val="16"/>
                <w:color w:val="auto"/>
              </w:rPr>
            </w:pPr>
            <w:hyperlink w:anchor="page34">
              <w:r>
                <w:rPr>
                  <w:rFonts w:ascii="Arial" w:cs="Arial" w:eastAsia="Arial" w:hAnsi="Arial"/>
                  <w:sz w:val="16"/>
                  <w:szCs w:val="16"/>
                  <w:color w:val="auto"/>
                </w:rPr>
                <w:t>Item 1B.</w:t>
              </w:r>
            </w:hyperlink>
          </w:p>
        </w:tc>
        <w:tc>
          <w:tcPr>
            <w:tcW w:w="9620" w:type="dxa"/>
            <w:vAlign w:val="bottom"/>
          </w:tcPr>
          <w:p>
            <w:pPr>
              <w:ind w:left="200"/>
              <w:spacing w:after="0"/>
              <w:rPr>
                <w:rFonts w:ascii="Arial" w:cs="Arial" w:eastAsia="Arial" w:hAnsi="Arial"/>
                <w:sz w:val="16"/>
                <w:szCs w:val="16"/>
                <w:color w:val="auto"/>
              </w:rPr>
            </w:pPr>
            <w:hyperlink w:anchor="page34">
              <w:r>
                <w:rPr>
                  <w:rFonts w:ascii="Arial" w:cs="Arial" w:eastAsia="Arial" w:hAnsi="Arial"/>
                  <w:sz w:val="16"/>
                  <w:szCs w:val="16"/>
                  <w:color w:val="auto"/>
                </w:rPr>
                <w:t>Unresolved Staff Comments</w:t>
              </w:r>
            </w:hyperlink>
          </w:p>
        </w:tc>
        <w:tc>
          <w:tcPr>
            <w:tcW w:w="920" w:type="dxa"/>
            <w:vAlign w:val="bottom"/>
          </w:tcPr>
          <w:p>
            <w:pPr>
              <w:jc w:val="center"/>
              <w:spacing w:after="0"/>
              <w:rPr>
                <w:rFonts w:ascii="Arial" w:cs="Arial" w:eastAsia="Arial" w:hAnsi="Arial"/>
                <w:sz w:val="16"/>
                <w:szCs w:val="16"/>
                <w:color w:val="auto"/>
              </w:rPr>
            </w:pPr>
            <w:hyperlink w:anchor="page34">
              <w:r>
                <w:rPr>
                  <w:rFonts w:ascii="Arial" w:cs="Arial" w:eastAsia="Arial" w:hAnsi="Arial"/>
                  <w:sz w:val="16"/>
                  <w:szCs w:val="16"/>
                  <w:color w:val="auto"/>
                </w:rPr>
                <w:t>34</w:t>
              </w:r>
            </w:hyperlink>
          </w:p>
        </w:tc>
      </w:tr>
      <w:tr>
        <w:trPr>
          <w:trHeight w:val="243"/>
        </w:trPr>
        <w:tc>
          <w:tcPr>
            <w:tcW w:w="82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Item 2.</w:t>
              </w:r>
            </w:hyperlink>
          </w:p>
        </w:tc>
        <w:tc>
          <w:tcPr>
            <w:tcW w:w="9620" w:type="dxa"/>
            <w:vAlign w:val="bottom"/>
          </w:tcPr>
          <w:p>
            <w:pPr>
              <w:ind w:left="200"/>
              <w:spacing w:after="0"/>
              <w:rPr>
                <w:rFonts w:ascii="Arial" w:cs="Arial" w:eastAsia="Arial" w:hAnsi="Arial"/>
                <w:sz w:val="16"/>
                <w:szCs w:val="16"/>
                <w:color w:val="auto"/>
              </w:rPr>
            </w:pPr>
            <w:hyperlink w:anchor="page35">
              <w:r>
                <w:rPr>
                  <w:rFonts w:ascii="Arial" w:cs="Arial" w:eastAsia="Arial" w:hAnsi="Arial"/>
                  <w:sz w:val="16"/>
                  <w:szCs w:val="16"/>
                  <w:color w:val="auto"/>
                </w:rPr>
                <w:t>Properties</w:t>
              </w:r>
            </w:hyperlink>
          </w:p>
        </w:tc>
        <w:tc>
          <w:tcPr>
            <w:tcW w:w="920" w:type="dxa"/>
            <w:vAlign w:val="bottom"/>
          </w:tcPr>
          <w:p>
            <w:pPr>
              <w:jc w:val="center"/>
              <w:spacing w:after="0"/>
              <w:rPr>
                <w:rFonts w:ascii="Arial" w:cs="Arial" w:eastAsia="Arial" w:hAnsi="Arial"/>
                <w:sz w:val="16"/>
                <w:szCs w:val="16"/>
                <w:color w:val="auto"/>
              </w:rPr>
            </w:pPr>
            <w:hyperlink w:anchor="page35">
              <w:r>
                <w:rPr>
                  <w:rFonts w:ascii="Arial" w:cs="Arial" w:eastAsia="Arial" w:hAnsi="Arial"/>
                  <w:sz w:val="16"/>
                  <w:szCs w:val="16"/>
                  <w:color w:val="auto"/>
                </w:rPr>
                <w:t>35</w:t>
              </w:r>
            </w:hyperlink>
          </w:p>
        </w:tc>
      </w:tr>
      <w:tr>
        <w:trPr>
          <w:trHeight w:val="243"/>
        </w:trPr>
        <w:tc>
          <w:tcPr>
            <w:tcW w:w="82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Item 3.</w:t>
              </w:r>
            </w:hyperlink>
          </w:p>
        </w:tc>
        <w:tc>
          <w:tcPr>
            <w:tcW w:w="9620" w:type="dxa"/>
            <w:vAlign w:val="bottom"/>
          </w:tcPr>
          <w:p>
            <w:pPr>
              <w:ind w:left="200"/>
              <w:spacing w:after="0"/>
              <w:rPr>
                <w:rFonts w:ascii="Arial" w:cs="Arial" w:eastAsia="Arial" w:hAnsi="Arial"/>
                <w:sz w:val="16"/>
                <w:szCs w:val="16"/>
                <w:color w:val="auto"/>
              </w:rPr>
            </w:pPr>
            <w:hyperlink w:anchor="page35">
              <w:r>
                <w:rPr>
                  <w:rFonts w:ascii="Arial" w:cs="Arial" w:eastAsia="Arial" w:hAnsi="Arial"/>
                  <w:sz w:val="16"/>
                  <w:szCs w:val="16"/>
                  <w:color w:val="auto"/>
                </w:rPr>
                <w:t>Legal Proceedings</w:t>
              </w:r>
            </w:hyperlink>
          </w:p>
        </w:tc>
        <w:tc>
          <w:tcPr>
            <w:tcW w:w="920" w:type="dxa"/>
            <w:vAlign w:val="bottom"/>
          </w:tcPr>
          <w:p>
            <w:pPr>
              <w:jc w:val="center"/>
              <w:spacing w:after="0"/>
              <w:rPr>
                <w:rFonts w:ascii="Arial" w:cs="Arial" w:eastAsia="Arial" w:hAnsi="Arial"/>
                <w:sz w:val="16"/>
                <w:szCs w:val="16"/>
                <w:color w:val="auto"/>
              </w:rPr>
            </w:pPr>
            <w:hyperlink w:anchor="page35">
              <w:r>
                <w:rPr>
                  <w:rFonts w:ascii="Arial" w:cs="Arial" w:eastAsia="Arial" w:hAnsi="Arial"/>
                  <w:sz w:val="16"/>
                  <w:szCs w:val="16"/>
                  <w:color w:val="auto"/>
                </w:rPr>
                <w:t>35</w:t>
              </w:r>
            </w:hyperlink>
          </w:p>
        </w:tc>
      </w:tr>
      <w:tr>
        <w:trPr>
          <w:trHeight w:val="243"/>
        </w:trPr>
        <w:tc>
          <w:tcPr>
            <w:tcW w:w="82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Item 4.</w:t>
              </w:r>
            </w:hyperlink>
          </w:p>
        </w:tc>
        <w:tc>
          <w:tcPr>
            <w:tcW w:w="9620" w:type="dxa"/>
            <w:vAlign w:val="bottom"/>
          </w:tcPr>
          <w:p>
            <w:pPr>
              <w:ind w:left="200"/>
              <w:spacing w:after="0"/>
              <w:rPr>
                <w:rFonts w:ascii="Arial" w:cs="Arial" w:eastAsia="Arial" w:hAnsi="Arial"/>
                <w:sz w:val="16"/>
                <w:szCs w:val="16"/>
                <w:color w:val="auto"/>
              </w:rPr>
            </w:pPr>
            <w:hyperlink w:anchor="page35">
              <w:r>
                <w:rPr>
                  <w:rFonts w:ascii="Arial" w:cs="Arial" w:eastAsia="Arial" w:hAnsi="Arial"/>
                  <w:sz w:val="16"/>
                  <w:szCs w:val="16"/>
                  <w:color w:val="auto"/>
                </w:rPr>
                <w:t>Mine Safety Disclosures</w:t>
              </w:r>
            </w:hyperlink>
          </w:p>
        </w:tc>
        <w:tc>
          <w:tcPr>
            <w:tcW w:w="920" w:type="dxa"/>
            <w:vAlign w:val="bottom"/>
          </w:tcPr>
          <w:p>
            <w:pPr>
              <w:jc w:val="center"/>
              <w:spacing w:after="0"/>
              <w:rPr>
                <w:rFonts w:ascii="Arial" w:cs="Arial" w:eastAsia="Arial" w:hAnsi="Arial"/>
                <w:sz w:val="16"/>
                <w:szCs w:val="16"/>
                <w:color w:val="auto"/>
              </w:rPr>
            </w:pPr>
            <w:hyperlink w:anchor="page35">
              <w:r>
                <w:rPr>
                  <w:rFonts w:ascii="Arial" w:cs="Arial" w:eastAsia="Arial" w:hAnsi="Arial"/>
                  <w:sz w:val="16"/>
                  <w:szCs w:val="16"/>
                  <w:color w:val="auto"/>
                </w:rPr>
                <w:t>35</w:t>
              </w:r>
            </w:hyperlink>
          </w:p>
        </w:tc>
      </w:tr>
      <w:tr>
        <w:trPr>
          <w:trHeight w:val="270"/>
        </w:trPr>
        <w:tc>
          <w:tcPr>
            <w:tcW w:w="820" w:type="dxa"/>
            <w:vAlign w:val="bottom"/>
          </w:tcPr>
          <w:p>
            <w:pPr>
              <w:spacing w:after="0"/>
              <w:rPr>
                <w:sz w:val="23"/>
                <w:szCs w:val="23"/>
                <w:color w:val="auto"/>
              </w:rPr>
            </w:pPr>
          </w:p>
        </w:tc>
        <w:tc>
          <w:tcPr>
            <w:tcW w:w="9620" w:type="dxa"/>
            <w:vAlign w:val="bottom"/>
          </w:tcPr>
          <w:p>
            <w:pPr>
              <w:jc w:val="center"/>
              <w:ind w:left="98"/>
              <w:spacing w:after="0"/>
              <w:rPr>
                <w:rFonts w:ascii="Arial" w:cs="Arial" w:eastAsia="Arial" w:hAnsi="Arial"/>
                <w:sz w:val="16"/>
                <w:szCs w:val="16"/>
                <w:b w:val="1"/>
                <w:bCs w:val="1"/>
                <w:color w:val="auto"/>
                <w:w w:val="98"/>
              </w:rPr>
            </w:pPr>
            <w:hyperlink w:anchor="page35">
              <w:r>
                <w:rPr>
                  <w:rFonts w:ascii="Arial" w:cs="Arial" w:eastAsia="Arial" w:hAnsi="Arial"/>
                  <w:sz w:val="16"/>
                  <w:szCs w:val="16"/>
                  <w:b w:val="1"/>
                  <w:bCs w:val="1"/>
                  <w:color w:val="auto"/>
                  <w:w w:val="98"/>
                </w:rPr>
                <w:t>PART II</w:t>
              </w:r>
            </w:hyperlink>
          </w:p>
        </w:tc>
        <w:tc>
          <w:tcPr>
            <w:tcW w:w="920" w:type="dxa"/>
            <w:vAlign w:val="bottom"/>
          </w:tcPr>
          <w:p>
            <w:pPr>
              <w:spacing w:after="0"/>
              <w:rPr>
                <w:sz w:val="23"/>
                <w:szCs w:val="23"/>
                <w:color w:val="auto"/>
              </w:rPr>
            </w:pPr>
          </w:p>
        </w:tc>
      </w:tr>
      <w:tr>
        <w:trPr>
          <w:trHeight w:val="243"/>
        </w:trPr>
        <w:tc>
          <w:tcPr>
            <w:tcW w:w="82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Item 5.</w:t>
              </w:r>
            </w:hyperlink>
          </w:p>
        </w:tc>
        <w:tc>
          <w:tcPr>
            <w:tcW w:w="9620" w:type="dxa"/>
            <w:vAlign w:val="bottom"/>
          </w:tcPr>
          <w:p>
            <w:pPr>
              <w:ind w:left="200"/>
              <w:spacing w:after="0"/>
              <w:rPr>
                <w:rFonts w:ascii="Arial" w:cs="Arial" w:eastAsia="Arial" w:hAnsi="Arial"/>
                <w:sz w:val="16"/>
                <w:szCs w:val="16"/>
                <w:color w:val="auto"/>
              </w:rPr>
            </w:pPr>
            <w:hyperlink w:anchor="page35">
              <w:r>
                <w:rPr>
                  <w:rFonts w:ascii="Arial" w:cs="Arial" w:eastAsia="Arial" w:hAnsi="Arial"/>
                  <w:sz w:val="16"/>
                  <w:szCs w:val="16"/>
                  <w:color w:val="auto"/>
                </w:rPr>
                <w:t>Market for the Registrant’s Common Equity, Related Stockholder Matters and Issuer Purchases of Equity Securities</w:t>
              </w:r>
            </w:hyperlink>
          </w:p>
        </w:tc>
        <w:tc>
          <w:tcPr>
            <w:tcW w:w="920" w:type="dxa"/>
            <w:vAlign w:val="bottom"/>
          </w:tcPr>
          <w:p>
            <w:pPr>
              <w:jc w:val="center"/>
              <w:spacing w:after="0"/>
              <w:rPr>
                <w:rFonts w:ascii="Arial" w:cs="Arial" w:eastAsia="Arial" w:hAnsi="Arial"/>
                <w:sz w:val="16"/>
                <w:szCs w:val="16"/>
                <w:color w:val="auto"/>
              </w:rPr>
            </w:pPr>
            <w:hyperlink w:anchor="page35">
              <w:r>
                <w:rPr>
                  <w:rFonts w:ascii="Arial" w:cs="Arial" w:eastAsia="Arial" w:hAnsi="Arial"/>
                  <w:sz w:val="16"/>
                  <w:szCs w:val="16"/>
                  <w:color w:val="auto"/>
                </w:rPr>
                <w:t>35</w:t>
              </w:r>
            </w:hyperlink>
          </w:p>
        </w:tc>
      </w:tr>
      <w:tr>
        <w:trPr>
          <w:trHeight w:val="243"/>
        </w:trPr>
        <w:tc>
          <w:tcPr>
            <w:tcW w:w="820" w:type="dxa"/>
            <w:vAlign w:val="bottom"/>
          </w:tcPr>
          <w:p>
            <w:pPr>
              <w:spacing w:after="0"/>
              <w:rPr>
                <w:rFonts w:ascii="Arial" w:cs="Arial" w:eastAsia="Arial" w:hAnsi="Arial"/>
                <w:sz w:val="16"/>
                <w:szCs w:val="16"/>
                <w:color w:val="auto"/>
              </w:rPr>
            </w:pPr>
            <w:hyperlink w:anchor="page37">
              <w:r>
                <w:rPr>
                  <w:rFonts w:ascii="Arial" w:cs="Arial" w:eastAsia="Arial" w:hAnsi="Arial"/>
                  <w:sz w:val="16"/>
                  <w:szCs w:val="16"/>
                  <w:color w:val="auto"/>
                </w:rPr>
                <w:t>Item 6.</w:t>
              </w:r>
            </w:hyperlink>
          </w:p>
        </w:tc>
        <w:tc>
          <w:tcPr>
            <w:tcW w:w="9620" w:type="dxa"/>
            <w:vAlign w:val="bottom"/>
          </w:tcPr>
          <w:p>
            <w:pPr>
              <w:ind w:left="200"/>
              <w:spacing w:after="0"/>
              <w:rPr>
                <w:rFonts w:ascii="Arial" w:cs="Arial" w:eastAsia="Arial" w:hAnsi="Arial"/>
                <w:sz w:val="16"/>
                <w:szCs w:val="16"/>
                <w:color w:val="auto"/>
              </w:rPr>
            </w:pPr>
            <w:hyperlink w:anchor="page37">
              <w:r>
                <w:rPr>
                  <w:rFonts w:ascii="Arial" w:cs="Arial" w:eastAsia="Arial" w:hAnsi="Arial"/>
                  <w:sz w:val="16"/>
                  <w:szCs w:val="16"/>
                  <w:color w:val="auto"/>
                </w:rPr>
                <w:t>Selected Consolidated Financial Data</w:t>
              </w:r>
            </w:hyperlink>
          </w:p>
        </w:tc>
        <w:tc>
          <w:tcPr>
            <w:tcW w:w="920" w:type="dxa"/>
            <w:vAlign w:val="bottom"/>
          </w:tcPr>
          <w:p>
            <w:pPr>
              <w:jc w:val="center"/>
              <w:spacing w:after="0"/>
              <w:rPr>
                <w:rFonts w:ascii="Arial" w:cs="Arial" w:eastAsia="Arial" w:hAnsi="Arial"/>
                <w:sz w:val="16"/>
                <w:szCs w:val="16"/>
                <w:color w:val="auto"/>
              </w:rPr>
            </w:pPr>
            <w:hyperlink w:anchor="page37">
              <w:r>
                <w:rPr>
                  <w:rFonts w:ascii="Arial" w:cs="Arial" w:eastAsia="Arial" w:hAnsi="Arial"/>
                  <w:sz w:val="16"/>
                  <w:szCs w:val="16"/>
                  <w:color w:val="auto"/>
                </w:rPr>
                <w:t>37</w:t>
              </w:r>
            </w:hyperlink>
          </w:p>
        </w:tc>
      </w:tr>
      <w:tr>
        <w:trPr>
          <w:trHeight w:val="243"/>
        </w:trPr>
        <w:tc>
          <w:tcPr>
            <w:tcW w:w="820" w:type="dxa"/>
            <w:vAlign w:val="bottom"/>
          </w:tcPr>
          <w:p>
            <w:pPr>
              <w:spacing w:after="0"/>
              <w:rPr>
                <w:rFonts w:ascii="Arial" w:cs="Arial" w:eastAsia="Arial" w:hAnsi="Arial"/>
                <w:sz w:val="16"/>
                <w:szCs w:val="16"/>
                <w:color w:val="auto"/>
              </w:rPr>
            </w:pPr>
            <w:hyperlink w:anchor="page38">
              <w:r>
                <w:rPr>
                  <w:rFonts w:ascii="Arial" w:cs="Arial" w:eastAsia="Arial" w:hAnsi="Arial"/>
                  <w:sz w:val="16"/>
                  <w:szCs w:val="16"/>
                  <w:color w:val="auto"/>
                </w:rPr>
                <w:t>Item 7.</w:t>
              </w:r>
            </w:hyperlink>
          </w:p>
        </w:tc>
        <w:tc>
          <w:tcPr>
            <w:tcW w:w="9620" w:type="dxa"/>
            <w:vAlign w:val="bottom"/>
          </w:tcPr>
          <w:p>
            <w:pPr>
              <w:ind w:left="200"/>
              <w:spacing w:after="0"/>
              <w:rPr>
                <w:rFonts w:ascii="Arial" w:cs="Arial" w:eastAsia="Arial" w:hAnsi="Arial"/>
                <w:sz w:val="16"/>
                <w:szCs w:val="16"/>
                <w:color w:val="auto"/>
              </w:rPr>
            </w:pPr>
            <w:hyperlink w:anchor="page38">
              <w:r>
                <w:rPr>
                  <w:rFonts w:ascii="Arial" w:cs="Arial" w:eastAsia="Arial" w:hAnsi="Arial"/>
                  <w:sz w:val="16"/>
                  <w:szCs w:val="16"/>
                  <w:color w:val="auto"/>
                </w:rPr>
                <w:t>Management’s Discussion and Analysis of Financial Condition and Results of Operations</w:t>
              </w:r>
            </w:hyperlink>
          </w:p>
        </w:tc>
        <w:tc>
          <w:tcPr>
            <w:tcW w:w="920" w:type="dxa"/>
            <w:vAlign w:val="bottom"/>
          </w:tcPr>
          <w:p>
            <w:pPr>
              <w:jc w:val="center"/>
              <w:spacing w:after="0"/>
              <w:rPr>
                <w:rFonts w:ascii="Arial" w:cs="Arial" w:eastAsia="Arial" w:hAnsi="Arial"/>
                <w:sz w:val="16"/>
                <w:szCs w:val="16"/>
                <w:color w:val="auto"/>
              </w:rPr>
            </w:pPr>
            <w:hyperlink w:anchor="page38">
              <w:r>
                <w:rPr>
                  <w:rFonts w:ascii="Arial" w:cs="Arial" w:eastAsia="Arial" w:hAnsi="Arial"/>
                  <w:sz w:val="16"/>
                  <w:szCs w:val="16"/>
                  <w:color w:val="auto"/>
                </w:rPr>
                <w:t>38</w:t>
              </w:r>
            </w:hyperlink>
          </w:p>
        </w:tc>
      </w:tr>
      <w:tr>
        <w:trPr>
          <w:trHeight w:val="243"/>
        </w:trPr>
        <w:tc>
          <w:tcPr>
            <w:tcW w:w="820" w:type="dxa"/>
            <w:vAlign w:val="bottom"/>
          </w:tcPr>
          <w:p>
            <w:pPr>
              <w:spacing w:after="0"/>
              <w:rPr>
                <w:rFonts w:ascii="Arial" w:cs="Arial" w:eastAsia="Arial" w:hAnsi="Arial"/>
                <w:sz w:val="16"/>
                <w:szCs w:val="16"/>
                <w:color w:val="auto"/>
              </w:rPr>
            </w:pPr>
            <w:hyperlink w:anchor="page51">
              <w:r>
                <w:rPr>
                  <w:rFonts w:ascii="Arial" w:cs="Arial" w:eastAsia="Arial" w:hAnsi="Arial"/>
                  <w:sz w:val="16"/>
                  <w:szCs w:val="16"/>
                  <w:color w:val="auto"/>
                </w:rPr>
                <w:t>Item 7A.</w:t>
              </w:r>
            </w:hyperlink>
          </w:p>
        </w:tc>
        <w:tc>
          <w:tcPr>
            <w:tcW w:w="9620" w:type="dxa"/>
            <w:vAlign w:val="bottom"/>
          </w:tcPr>
          <w:p>
            <w:pPr>
              <w:ind w:left="200"/>
              <w:spacing w:after="0"/>
              <w:rPr>
                <w:rFonts w:ascii="Arial" w:cs="Arial" w:eastAsia="Arial" w:hAnsi="Arial"/>
                <w:sz w:val="16"/>
                <w:szCs w:val="16"/>
                <w:color w:val="auto"/>
              </w:rPr>
            </w:pPr>
            <w:hyperlink w:anchor="page51">
              <w:r>
                <w:rPr>
                  <w:rFonts w:ascii="Arial" w:cs="Arial" w:eastAsia="Arial" w:hAnsi="Arial"/>
                  <w:sz w:val="16"/>
                  <w:szCs w:val="16"/>
                  <w:color w:val="auto"/>
                </w:rPr>
                <w:t>Quantitative and Qualitative Disclosures About Market Risk</w:t>
              </w:r>
            </w:hyperlink>
          </w:p>
        </w:tc>
        <w:tc>
          <w:tcPr>
            <w:tcW w:w="920" w:type="dxa"/>
            <w:vAlign w:val="bottom"/>
          </w:tcPr>
          <w:p>
            <w:pPr>
              <w:jc w:val="center"/>
              <w:spacing w:after="0"/>
              <w:rPr>
                <w:rFonts w:ascii="Arial" w:cs="Arial" w:eastAsia="Arial" w:hAnsi="Arial"/>
                <w:sz w:val="16"/>
                <w:szCs w:val="16"/>
                <w:color w:val="auto"/>
              </w:rPr>
            </w:pPr>
            <w:hyperlink w:anchor="page51">
              <w:r>
                <w:rPr>
                  <w:rFonts w:ascii="Arial" w:cs="Arial" w:eastAsia="Arial" w:hAnsi="Arial"/>
                  <w:sz w:val="16"/>
                  <w:szCs w:val="16"/>
                  <w:color w:val="auto"/>
                </w:rPr>
                <w:t>51</w:t>
              </w:r>
            </w:hyperlink>
          </w:p>
        </w:tc>
      </w:tr>
      <w:tr>
        <w:trPr>
          <w:trHeight w:val="243"/>
        </w:trPr>
        <w:tc>
          <w:tcPr>
            <w:tcW w:w="820" w:type="dxa"/>
            <w:vAlign w:val="bottom"/>
          </w:tcPr>
          <w:p>
            <w:pPr>
              <w:spacing w:after="0"/>
              <w:rPr>
                <w:rFonts w:ascii="Arial" w:cs="Arial" w:eastAsia="Arial" w:hAnsi="Arial"/>
                <w:sz w:val="16"/>
                <w:szCs w:val="16"/>
                <w:color w:val="auto"/>
              </w:rPr>
            </w:pPr>
            <w:hyperlink w:anchor="page53">
              <w:r>
                <w:rPr>
                  <w:rFonts w:ascii="Arial" w:cs="Arial" w:eastAsia="Arial" w:hAnsi="Arial"/>
                  <w:sz w:val="16"/>
                  <w:szCs w:val="16"/>
                  <w:color w:val="auto"/>
                </w:rPr>
                <w:t>Item 8.</w:t>
              </w:r>
            </w:hyperlink>
          </w:p>
        </w:tc>
        <w:tc>
          <w:tcPr>
            <w:tcW w:w="9620" w:type="dxa"/>
            <w:vAlign w:val="bottom"/>
          </w:tcPr>
          <w:p>
            <w:pPr>
              <w:ind w:left="200"/>
              <w:spacing w:after="0"/>
              <w:rPr>
                <w:rFonts w:ascii="Arial" w:cs="Arial" w:eastAsia="Arial" w:hAnsi="Arial"/>
                <w:sz w:val="16"/>
                <w:szCs w:val="16"/>
                <w:color w:val="auto"/>
              </w:rPr>
            </w:pPr>
            <w:hyperlink w:anchor="page53">
              <w:r>
                <w:rPr>
                  <w:rFonts w:ascii="Arial" w:cs="Arial" w:eastAsia="Arial" w:hAnsi="Arial"/>
                  <w:sz w:val="16"/>
                  <w:szCs w:val="16"/>
                  <w:color w:val="auto"/>
                </w:rPr>
                <w:t>Financial Statements and Supplementary Data</w:t>
              </w:r>
            </w:hyperlink>
          </w:p>
        </w:tc>
        <w:tc>
          <w:tcPr>
            <w:tcW w:w="920" w:type="dxa"/>
            <w:vAlign w:val="bottom"/>
          </w:tcPr>
          <w:p>
            <w:pPr>
              <w:jc w:val="center"/>
              <w:spacing w:after="0"/>
              <w:rPr>
                <w:rFonts w:ascii="Arial" w:cs="Arial" w:eastAsia="Arial" w:hAnsi="Arial"/>
                <w:sz w:val="16"/>
                <w:szCs w:val="16"/>
                <w:color w:val="auto"/>
              </w:rPr>
            </w:pPr>
            <w:hyperlink w:anchor="page53">
              <w:r>
                <w:rPr>
                  <w:rFonts w:ascii="Arial" w:cs="Arial" w:eastAsia="Arial" w:hAnsi="Arial"/>
                  <w:sz w:val="16"/>
                  <w:szCs w:val="16"/>
                  <w:color w:val="auto"/>
                </w:rPr>
                <w:t>53</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rFonts w:ascii="Arial" w:cs="Arial" w:eastAsia="Arial" w:hAnsi="Arial"/>
                <w:sz w:val="16"/>
                <w:szCs w:val="16"/>
                <w:color w:val="auto"/>
              </w:rPr>
            </w:pPr>
            <w:hyperlink w:anchor="page56">
              <w:r>
                <w:rPr>
                  <w:rFonts w:ascii="Arial" w:cs="Arial" w:eastAsia="Arial" w:hAnsi="Arial"/>
                  <w:sz w:val="16"/>
                  <w:szCs w:val="16"/>
                  <w:color w:val="auto"/>
                </w:rPr>
                <w:t>Consolidated Balance Sheets</w:t>
              </w:r>
            </w:hyperlink>
          </w:p>
        </w:tc>
        <w:tc>
          <w:tcPr>
            <w:tcW w:w="920" w:type="dxa"/>
            <w:vAlign w:val="bottom"/>
          </w:tcPr>
          <w:p>
            <w:pPr>
              <w:jc w:val="center"/>
              <w:spacing w:after="0"/>
              <w:rPr>
                <w:rFonts w:ascii="Arial" w:cs="Arial" w:eastAsia="Arial" w:hAnsi="Arial"/>
                <w:sz w:val="16"/>
                <w:szCs w:val="16"/>
                <w:color w:val="auto"/>
              </w:rPr>
            </w:pPr>
            <w:hyperlink w:anchor="page56">
              <w:r>
                <w:rPr>
                  <w:rFonts w:ascii="Arial" w:cs="Arial" w:eastAsia="Arial" w:hAnsi="Arial"/>
                  <w:sz w:val="16"/>
                  <w:szCs w:val="16"/>
                  <w:color w:val="auto"/>
                </w:rPr>
                <w:t>56</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rFonts w:ascii="Arial" w:cs="Arial" w:eastAsia="Arial" w:hAnsi="Arial"/>
                <w:sz w:val="16"/>
                <w:szCs w:val="16"/>
                <w:color w:val="auto"/>
              </w:rPr>
            </w:pPr>
            <w:hyperlink w:anchor="page57">
              <w:r>
                <w:rPr>
                  <w:rFonts w:ascii="Arial" w:cs="Arial" w:eastAsia="Arial" w:hAnsi="Arial"/>
                  <w:sz w:val="16"/>
                  <w:szCs w:val="16"/>
                  <w:color w:val="auto"/>
                </w:rPr>
                <w:t>Consolidated Statements of Operations</w:t>
              </w:r>
            </w:hyperlink>
          </w:p>
        </w:tc>
        <w:tc>
          <w:tcPr>
            <w:tcW w:w="920" w:type="dxa"/>
            <w:vAlign w:val="bottom"/>
          </w:tcPr>
          <w:p>
            <w:pPr>
              <w:jc w:val="center"/>
              <w:spacing w:after="0"/>
              <w:rPr>
                <w:rFonts w:ascii="Arial" w:cs="Arial" w:eastAsia="Arial" w:hAnsi="Arial"/>
                <w:sz w:val="16"/>
                <w:szCs w:val="16"/>
                <w:color w:val="auto"/>
              </w:rPr>
            </w:pPr>
            <w:hyperlink w:anchor="page57">
              <w:r>
                <w:rPr>
                  <w:rFonts w:ascii="Arial" w:cs="Arial" w:eastAsia="Arial" w:hAnsi="Arial"/>
                  <w:sz w:val="16"/>
                  <w:szCs w:val="16"/>
                  <w:color w:val="auto"/>
                </w:rPr>
                <w:t>57</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sz w:val="20"/>
                <w:szCs w:val="20"/>
                <w:color w:val="auto"/>
              </w:rPr>
            </w:pPr>
            <w:r>
              <w:rPr>
                <w:rFonts w:ascii="Arial" w:cs="Arial" w:eastAsia="Arial" w:hAnsi="Arial"/>
                <w:sz w:val="16"/>
                <w:szCs w:val="16"/>
                <w:color w:val="auto"/>
              </w:rPr>
              <w:t>Consolidated Statements of Comprehensive Loss</w:t>
            </w:r>
          </w:p>
        </w:tc>
        <w:tc>
          <w:tcPr>
            <w:tcW w:w="920" w:type="dxa"/>
            <w:vAlign w:val="bottom"/>
          </w:tcPr>
          <w:p>
            <w:pPr>
              <w:jc w:val="center"/>
              <w:spacing w:after="0"/>
              <w:rPr>
                <w:rFonts w:ascii="Arial" w:cs="Arial" w:eastAsia="Arial" w:hAnsi="Arial"/>
                <w:sz w:val="16"/>
                <w:szCs w:val="16"/>
                <w:color w:val="auto"/>
              </w:rPr>
            </w:pPr>
            <w:hyperlink w:anchor="page58">
              <w:r>
                <w:rPr>
                  <w:rFonts w:ascii="Arial" w:cs="Arial" w:eastAsia="Arial" w:hAnsi="Arial"/>
                  <w:sz w:val="16"/>
                  <w:szCs w:val="16"/>
                  <w:color w:val="auto"/>
                </w:rPr>
                <w:t>58</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rFonts w:ascii="Arial" w:cs="Arial" w:eastAsia="Arial" w:hAnsi="Arial"/>
                <w:sz w:val="16"/>
                <w:szCs w:val="16"/>
                <w:color w:val="auto"/>
              </w:rPr>
            </w:pPr>
            <w:hyperlink w:anchor="page59">
              <w:r>
                <w:rPr>
                  <w:rFonts w:ascii="Arial" w:cs="Arial" w:eastAsia="Arial" w:hAnsi="Arial"/>
                  <w:sz w:val="16"/>
                  <w:szCs w:val="16"/>
                  <w:color w:val="auto"/>
                </w:rPr>
                <w:t>Consolidated Statements of Cash Flows</w:t>
              </w:r>
            </w:hyperlink>
          </w:p>
        </w:tc>
        <w:tc>
          <w:tcPr>
            <w:tcW w:w="920" w:type="dxa"/>
            <w:vAlign w:val="bottom"/>
          </w:tcPr>
          <w:p>
            <w:pPr>
              <w:jc w:val="center"/>
              <w:spacing w:after="0"/>
              <w:rPr>
                <w:rFonts w:ascii="Arial" w:cs="Arial" w:eastAsia="Arial" w:hAnsi="Arial"/>
                <w:sz w:val="16"/>
                <w:szCs w:val="16"/>
                <w:color w:val="auto"/>
              </w:rPr>
            </w:pPr>
            <w:hyperlink w:anchor="page59">
              <w:r>
                <w:rPr>
                  <w:rFonts w:ascii="Arial" w:cs="Arial" w:eastAsia="Arial" w:hAnsi="Arial"/>
                  <w:sz w:val="16"/>
                  <w:szCs w:val="16"/>
                  <w:color w:val="auto"/>
                </w:rPr>
                <w:t>59</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rFonts w:ascii="Arial" w:cs="Arial" w:eastAsia="Arial" w:hAnsi="Arial"/>
                <w:sz w:val="16"/>
                <w:szCs w:val="16"/>
                <w:color w:val="auto"/>
              </w:rPr>
            </w:pPr>
            <w:hyperlink w:anchor="page60">
              <w:r>
                <w:rPr>
                  <w:rFonts w:ascii="Arial" w:cs="Arial" w:eastAsia="Arial" w:hAnsi="Arial"/>
                  <w:sz w:val="16"/>
                  <w:szCs w:val="16"/>
                  <w:color w:val="auto"/>
                </w:rPr>
                <w:t>Consolidated Statements of Stockholders’ Equity (Deficit)</w:t>
              </w:r>
            </w:hyperlink>
          </w:p>
        </w:tc>
        <w:tc>
          <w:tcPr>
            <w:tcW w:w="920" w:type="dxa"/>
            <w:vAlign w:val="bottom"/>
          </w:tcPr>
          <w:p>
            <w:pPr>
              <w:jc w:val="center"/>
              <w:spacing w:after="0"/>
              <w:rPr>
                <w:rFonts w:ascii="Arial" w:cs="Arial" w:eastAsia="Arial" w:hAnsi="Arial"/>
                <w:sz w:val="16"/>
                <w:szCs w:val="16"/>
                <w:color w:val="auto"/>
              </w:rPr>
            </w:pPr>
            <w:hyperlink w:anchor="page60">
              <w:r>
                <w:rPr>
                  <w:rFonts w:ascii="Arial" w:cs="Arial" w:eastAsia="Arial" w:hAnsi="Arial"/>
                  <w:sz w:val="16"/>
                  <w:szCs w:val="16"/>
                  <w:color w:val="auto"/>
                </w:rPr>
                <w:t>60</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rFonts w:ascii="Arial" w:cs="Arial" w:eastAsia="Arial" w:hAnsi="Arial"/>
                <w:sz w:val="16"/>
                <w:szCs w:val="16"/>
                <w:color w:val="auto"/>
              </w:rPr>
            </w:pPr>
            <w:hyperlink w:anchor="page61">
              <w:r>
                <w:rPr>
                  <w:rFonts w:ascii="Arial" w:cs="Arial" w:eastAsia="Arial" w:hAnsi="Arial"/>
                  <w:sz w:val="16"/>
                  <w:szCs w:val="16"/>
                  <w:color w:val="auto"/>
                </w:rPr>
                <w:t>Notes to Consolidated Financial Statements</w:t>
              </w:r>
            </w:hyperlink>
          </w:p>
        </w:tc>
        <w:tc>
          <w:tcPr>
            <w:tcW w:w="920" w:type="dxa"/>
            <w:vAlign w:val="bottom"/>
          </w:tcPr>
          <w:p>
            <w:pPr>
              <w:jc w:val="center"/>
              <w:spacing w:after="0"/>
              <w:rPr>
                <w:rFonts w:ascii="Arial" w:cs="Arial" w:eastAsia="Arial" w:hAnsi="Arial"/>
                <w:sz w:val="16"/>
                <w:szCs w:val="16"/>
                <w:color w:val="auto"/>
              </w:rPr>
            </w:pPr>
            <w:hyperlink w:anchor="page61">
              <w:r>
                <w:rPr>
                  <w:rFonts w:ascii="Arial" w:cs="Arial" w:eastAsia="Arial" w:hAnsi="Arial"/>
                  <w:sz w:val="16"/>
                  <w:szCs w:val="16"/>
                  <w:color w:val="auto"/>
                </w:rPr>
                <w:t>61</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rFonts w:ascii="Arial" w:cs="Arial" w:eastAsia="Arial" w:hAnsi="Arial"/>
                <w:sz w:val="16"/>
                <w:szCs w:val="16"/>
                <w:color w:val="auto"/>
              </w:rPr>
            </w:pPr>
            <w:hyperlink w:anchor="page96">
              <w:r>
                <w:rPr>
                  <w:rFonts w:ascii="Arial" w:cs="Arial" w:eastAsia="Arial" w:hAnsi="Arial"/>
                  <w:sz w:val="16"/>
                  <w:szCs w:val="16"/>
                  <w:color w:val="auto"/>
                </w:rPr>
                <w:t>Selected Unaudited Quarterly Financial Information</w:t>
              </w:r>
            </w:hyperlink>
          </w:p>
        </w:tc>
        <w:tc>
          <w:tcPr>
            <w:tcW w:w="920" w:type="dxa"/>
            <w:vAlign w:val="bottom"/>
          </w:tcPr>
          <w:p>
            <w:pPr>
              <w:jc w:val="center"/>
              <w:spacing w:after="0"/>
              <w:rPr>
                <w:rFonts w:ascii="Arial" w:cs="Arial" w:eastAsia="Arial" w:hAnsi="Arial"/>
                <w:sz w:val="16"/>
                <w:szCs w:val="16"/>
                <w:color w:val="auto"/>
              </w:rPr>
            </w:pPr>
            <w:hyperlink w:anchor="page96">
              <w:r>
                <w:rPr>
                  <w:rFonts w:ascii="Arial" w:cs="Arial" w:eastAsia="Arial" w:hAnsi="Arial"/>
                  <w:sz w:val="16"/>
                  <w:szCs w:val="16"/>
                  <w:color w:val="auto"/>
                </w:rPr>
                <w:t>96</w:t>
              </w:r>
            </w:hyperlink>
          </w:p>
        </w:tc>
      </w:tr>
      <w:tr>
        <w:trPr>
          <w:trHeight w:val="243"/>
        </w:trPr>
        <w:tc>
          <w:tcPr>
            <w:tcW w:w="820" w:type="dxa"/>
            <w:vAlign w:val="bottom"/>
          </w:tcPr>
          <w:p>
            <w:pPr>
              <w:spacing w:after="0"/>
              <w:rPr>
                <w:rFonts w:ascii="Arial" w:cs="Arial" w:eastAsia="Arial" w:hAnsi="Arial"/>
                <w:sz w:val="16"/>
                <w:szCs w:val="16"/>
                <w:color w:val="auto"/>
              </w:rPr>
            </w:pPr>
            <w:hyperlink w:anchor="page97">
              <w:r>
                <w:rPr>
                  <w:rFonts w:ascii="Arial" w:cs="Arial" w:eastAsia="Arial" w:hAnsi="Arial"/>
                  <w:sz w:val="16"/>
                  <w:szCs w:val="16"/>
                  <w:color w:val="auto"/>
                </w:rPr>
                <w:t>Item 9.</w:t>
              </w:r>
            </w:hyperlink>
          </w:p>
        </w:tc>
        <w:tc>
          <w:tcPr>
            <w:tcW w:w="9620" w:type="dxa"/>
            <w:vAlign w:val="bottom"/>
          </w:tcPr>
          <w:p>
            <w:pPr>
              <w:ind w:left="200"/>
              <w:spacing w:after="0"/>
              <w:rPr>
                <w:rFonts w:ascii="Arial" w:cs="Arial" w:eastAsia="Arial" w:hAnsi="Arial"/>
                <w:sz w:val="16"/>
                <w:szCs w:val="16"/>
                <w:color w:val="auto"/>
              </w:rPr>
            </w:pPr>
            <w:hyperlink w:anchor="page97">
              <w:r>
                <w:rPr>
                  <w:rFonts w:ascii="Arial" w:cs="Arial" w:eastAsia="Arial" w:hAnsi="Arial"/>
                  <w:sz w:val="16"/>
                  <w:szCs w:val="16"/>
                  <w:color w:val="auto"/>
                </w:rPr>
                <w:t>Changes in and Disagreements with Accountants on Accounting and Financial Disclosure</w:t>
              </w:r>
            </w:hyperlink>
          </w:p>
        </w:tc>
        <w:tc>
          <w:tcPr>
            <w:tcW w:w="920" w:type="dxa"/>
            <w:vAlign w:val="bottom"/>
          </w:tcPr>
          <w:p>
            <w:pPr>
              <w:jc w:val="center"/>
              <w:spacing w:after="0"/>
              <w:rPr>
                <w:rFonts w:ascii="Arial" w:cs="Arial" w:eastAsia="Arial" w:hAnsi="Arial"/>
                <w:sz w:val="16"/>
                <w:szCs w:val="16"/>
                <w:color w:val="auto"/>
              </w:rPr>
            </w:pPr>
            <w:hyperlink w:anchor="page97">
              <w:r>
                <w:rPr>
                  <w:rFonts w:ascii="Arial" w:cs="Arial" w:eastAsia="Arial" w:hAnsi="Arial"/>
                  <w:sz w:val="16"/>
                  <w:szCs w:val="16"/>
                  <w:color w:val="auto"/>
                </w:rPr>
                <w:t>97</w:t>
              </w:r>
            </w:hyperlink>
          </w:p>
        </w:tc>
      </w:tr>
      <w:tr>
        <w:trPr>
          <w:trHeight w:val="243"/>
        </w:trPr>
        <w:tc>
          <w:tcPr>
            <w:tcW w:w="820" w:type="dxa"/>
            <w:vAlign w:val="bottom"/>
          </w:tcPr>
          <w:p>
            <w:pPr>
              <w:spacing w:after="0"/>
              <w:rPr>
                <w:rFonts w:ascii="Arial" w:cs="Arial" w:eastAsia="Arial" w:hAnsi="Arial"/>
                <w:sz w:val="16"/>
                <w:szCs w:val="16"/>
                <w:color w:val="auto"/>
              </w:rPr>
            </w:pPr>
            <w:hyperlink w:anchor="page97">
              <w:r>
                <w:rPr>
                  <w:rFonts w:ascii="Arial" w:cs="Arial" w:eastAsia="Arial" w:hAnsi="Arial"/>
                  <w:sz w:val="16"/>
                  <w:szCs w:val="16"/>
                  <w:color w:val="auto"/>
                </w:rPr>
                <w:t>Item 9A.</w:t>
              </w:r>
            </w:hyperlink>
          </w:p>
        </w:tc>
        <w:tc>
          <w:tcPr>
            <w:tcW w:w="9620" w:type="dxa"/>
            <w:vAlign w:val="bottom"/>
          </w:tcPr>
          <w:p>
            <w:pPr>
              <w:ind w:left="200"/>
              <w:spacing w:after="0"/>
              <w:rPr>
                <w:rFonts w:ascii="Arial" w:cs="Arial" w:eastAsia="Arial" w:hAnsi="Arial"/>
                <w:sz w:val="16"/>
                <w:szCs w:val="16"/>
                <w:color w:val="auto"/>
              </w:rPr>
            </w:pPr>
            <w:hyperlink w:anchor="page97">
              <w:r>
                <w:rPr>
                  <w:rFonts w:ascii="Arial" w:cs="Arial" w:eastAsia="Arial" w:hAnsi="Arial"/>
                  <w:sz w:val="16"/>
                  <w:szCs w:val="16"/>
                  <w:color w:val="auto"/>
                </w:rPr>
                <w:t>Controls and Procedures</w:t>
              </w:r>
            </w:hyperlink>
          </w:p>
        </w:tc>
        <w:tc>
          <w:tcPr>
            <w:tcW w:w="920" w:type="dxa"/>
            <w:vAlign w:val="bottom"/>
          </w:tcPr>
          <w:p>
            <w:pPr>
              <w:jc w:val="center"/>
              <w:spacing w:after="0"/>
              <w:rPr>
                <w:rFonts w:ascii="Arial" w:cs="Arial" w:eastAsia="Arial" w:hAnsi="Arial"/>
                <w:sz w:val="16"/>
                <w:szCs w:val="16"/>
                <w:color w:val="auto"/>
              </w:rPr>
            </w:pPr>
            <w:hyperlink w:anchor="page97">
              <w:r>
                <w:rPr>
                  <w:rFonts w:ascii="Arial" w:cs="Arial" w:eastAsia="Arial" w:hAnsi="Arial"/>
                  <w:sz w:val="16"/>
                  <w:szCs w:val="16"/>
                  <w:color w:val="auto"/>
                </w:rPr>
                <w:t>97</w:t>
              </w:r>
            </w:hyperlink>
          </w:p>
        </w:tc>
      </w:tr>
      <w:tr>
        <w:trPr>
          <w:trHeight w:val="243"/>
        </w:trPr>
        <w:tc>
          <w:tcPr>
            <w:tcW w:w="820" w:type="dxa"/>
            <w:vAlign w:val="bottom"/>
          </w:tcPr>
          <w:p>
            <w:pPr>
              <w:spacing w:after="0"/>
              <w:rPr>
                <w:rFonts w:ascii="Arial" w:cs="Arial" w:eastAsia="Arial" w:hAnsi="Arial"/>
                <w:sz w:val="16"/>
                <w:szCs w:val="16"/>
                <w:color w:val="auto"/>
              </w:rPr>
            </w:pPr>
            <w:hyperlink w:anchor="page97">
              <w:r>
                <w:rPr>
                  <w:rFonts w:ascii="Arial" w:cs="Arial" w:eastAsia="Arial" w:hAnsi="Arial"/>
                  <w:sz w:val="16"/>
                  <w:szCs w:val="16"/>
                  <w:color w:val="auto"/>
                </w:rPr>
                <w:t>Item 9B.</w:t>
              </w:r>
            </w:hyperlink>
          </w:p>
        </w:tc>
        <w:tc>
          <w:tcPr>
            <w:tcW w:w="9620" w:type="dxa"/>
            <w:vAlign w:val="bottom"/>
          </w:tcPr>
          <w:p>
            <w:pPr>
              <w:ind w:left="200"/>
              <w:spacing w:after="0"/>
              <w:rPr>
                <w:rFonts w:ascii="Arial" w:cs="Arial" w:eastAsia="Arial" w:hAnsi="Arial"/>
                <w:sz w:val="16"/>
                <w:szCs w:val="16"/>
                <w:color w:val="auto"/>
              </w:rPr>
            </w:pPr>
            <w:hyperlink w:anchor="page97">
              <w:r>
                <w:rPr>
                  <w:rFonts w:ascii="Arial" w:cs="Arial" w:eastAsia="Arial" w:hAnsi="Arial"/>
                  <w:sz w:val="16"/>
                  <w:szCs w:val="16"/>
                  <w:color w:val="auto"/>
                </w:rPr>
                <w:t>Other Information</w:t>
              </w:r>
            </w:hyperlink>
          </w:p>
        </w:tc>
        <w:tc>
          <w:tcPr>
            <w:tcW w:w="920" w:type="dxa"/>
            <w:vAlign w:val="bottom"/>
          </w:tcPr>
          <w:p>
            <w:pPr>
              <w:jc w:val="center"/>
              <w:spacing w:after="0"/>
              <w:rPr>
                <w:rFonts w:ascii="Arial" w:cs="Arial" w:eastAsia="Arial" w:hAnsi="Arial"/>
                <w:sz w:val="16"/>
                <w:szCs w:val="16"/>
                <w:color w:val="auto"/>
              </w:rPr>
            </w:pPr>
            <w:hyperlink w:anchor="page97">
              <w:r>
                <w:rPr>
                  <w:rFonts w:ascii="Arial" w:cs="Arial" w:eastAsia="Arial" w:hAnsi="Arial"/>
                  <w:sz w:val="16"/>
                  <w:szCs w:val="16"/>
                  <w:color w:val="auto"/>
                </w:rPr>
                <w:t>97</w:t>
              </w:r>
            </w:hyperlink>
          </w:p>
        </w:tc>
      </w:tr>
      <w:tr>
        <w:trPr>
          <w:trHeight w:val="270"/>
        </w:trPr>
        <w:tc>
          <w:tcPr>
            <w:tcW w:w="820" w:type="dxa"/>
            <w:vAlign w:val="bottom"/>
          </w:tcPr>
          <w:p>
            <w:pPr>
              <w:spacing w:after="0"/>
              <w:rPr>
                <w:sz w:val="23"/>
                <w:szCs w:val="23"/>
                <w:color w:val="auto"/>
              </w:rPr>
            </w:pPr>
          </w:p>
        </w:tc>
        <w:tc>
          <w:tcPr>
            <w:tcW w:w="9620" w:type="dxa"/>
            <w:vAlign w:val="bottom"/>
          </w:tcPr>
          <w:p>
            <w:pPr>
              <w:jc w:val="center"/>
              <w:ind w:left="98"/>
              <w:spacing w:after="0"/>
              <w:rPr>
                <w:rFonts w:ascii="Arial" w:cs="Arial" w:eastAsia="Arial" w:hAnsi="Arial"/>
                <w:sz w:val="16"/>
                <w:szCs w:val="16"/>
                <w:b w:val="1"/>
                <w:bCs w:val="1"/>
                <w:color w:val="auto"/>
                <w:w w:val="97"/>
              </w:rPr>
            </w:pPr>
            <w:hyperlink w:anchor="page98">
              <w:r>
                <w:rPr>
                  <w:rFonts w:ascii="Arial" w:cs="Arial" w:eastAsia="Arial" w:hAnsi="Arial"/>
                  <w:sz w:val="16"/>
                  <w:szCs w:val="16"/>
                  <w:b w:val="1"/>
                  <w:bCs w:val="1"/>
                  <w:color w:val="auto"/>
                  <w:w w:val="97"/>
                </w:rPr>
                <w:t>PART III</w:t>
              </w:r>
            </w:hyperlink>
          </w:p>
        </w:tc>
        <w:tc>
          <w:tcPr>
            <w:tcW w:w="920" w:type="dxa"/>
            <w:vAlign w:val="bottom"/>
          </w:tcPr>
          <w:p>
            <w:pPr>
              <w:spacing w:after="0"/>
              <w:rPr>
                <w:sz w:val="23"/>
                <w:szCs w:val="23"/>
                <w:color w:val="auto"/>
              </w:rPr>
            </w:pPr>
          </w:p>
        </w:tc>
      </w:tr>
      <w:tr>
        <w:trPr>
          <w:trHeight w:val="243"/>
        </w:trPr>
        <w:tc>
          <w:tcPr>
            <w:tcW w:w="820" w:type="dxa"/>
            <w:vAlign w:val="bottom"/>
          </w:tcPr>
          <w:p>
            <w:pPr>
              <w:spacing w:after="0"/>
              <w:rPr>
                <w:rFonts w:ascii="Arial" w:cs="Arial" w:eastAsia="Arial" w:hAnsi="Arial"/>
                <w:sz w:val="16"/>
                <w:szCs w:val="16"/>
                <w:color w:val="auto"/>
              </w:rPr>
            </w:pPr>
            <w:hyperlink w:anchor="page98">
              <w:r>
                <w:rPr>
                  <w:rFonts w:ascii="Arial" w:cs="Arial" w:eastAsia="Arial" w:hAnsi="Arial"/>
                  <w:sz w:val="16"/>
                  <w:szCs w:val="16"/>
                  <w:color w:val="auto"/>
                </w:rPr>
                <w:t>Item 10.</w:t>
              </w:r>
            </w:hyperlink>
          </w:p>
        </w:tc>
        <w:tc>
          <w:tcPr>
            <w:tcW w:w="9620" w:type="dxa"/>
            <w:vAlign w:val="bottom"/>
          </w:tcPr>
          <w:p>
            <w:pPr>
              <w:ind w:left="200"/>
              <w:spacing w:after="0"/>
              <w:rPr>
                <w:rFonts w:ascii="Arial" w:cs="Arial" w:eastAsia="Arial" w:hAnsi="Arial"/>
                <w:sz w:val="16"/>
                <w:szCs w:val="16"/>
                <w:color w:val="auto"/>
              </w:rPr>
            </w:pPr>
            <w:hyperlink w:anchor="page98">
              <w:r>
                <w:rPr>
                  <w:rFonts w:ascii="Arial" w:cs="Arial" w:eastAsia="Arial" w:hAnsi="Arial"/>
                  <w:sz w:val="16"/>
                  <w:szCs w:val="16"/>
                  <w:color w:val="auto"/>
                </w:rPr>
                <w:t>Directors, Executive Officers and Corporate Governance</w:t>
              </w:r>
            </w:hyperlink>
          </w:p>
        </w:tc>
        <w:tc>
          <w:tcPr>
            <w:tcW w:w="92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98</w:t>
              </w:r>
            </w:hyperlink>
          </w:p>
        </w:tc>
      </w:tr>
      <w:tr>
        <w:trPr>
          <w:trHeight w:val="243"/>
        </w:trPr>
        <w:tc>
          <w:tcPr>
            <w:tcW w:w="820" w:type="dxa"/>
            <w:vAlign w:val="bottom"/>
          </w:tcPr>
          <w:p>
            <w:pPr>
              <w:spacing w:after="0"/>
              <w:rPr>
                <w:rFonts w:ascii="Arial" w:cs="Arial" w:eastAsia="Arial" w:hAnsi="Arial"/>
                <w:sz w:val="16"/>
                <w:szCs w:val="16"/>
                <w:color w:val="auto"/>
              </w:rPr>
            </w:pPr>
            <w:hyperlink w:anchor="page98">
              <w:r>
                <w:rPr>
                  <w:rFonts w:ascii="Arial" w:cs="Arial" w:eastAsia="Arial" w:hAnsi="Arial"/>
                  <w:sz w:val="16"/>
                  <w:szCs w:val="16"/>
                  <w:color w:val="auto"/>
                </w:rPr>
                <w:t>Item 11.</w:t>
              </w:r>
            </w:hyperlink>
          </w:p>
        </w:tc>
        <w:tc>
          <w:tcPr>
            <w:tcW w:w="9620" w:type="dxa"/>
            <w:vAlign w:val="bottom"/>
          </w:tcPr>
          <w:p>
            <w:pPr>
              <w:ind w:left="200"/>
              <w:spacing w:after="0"/>
              <w:rPr>
                <w:rFonts w:ascii="Arial" w:cs="Arial" w:eastAsia="Arial" w:hAnsi="Arial"/>
                <w:sz w:val="16"/>
                <w:szCs w:val="16"/>
                <w:color w:val="auto"/>
              </w:rPr>
            </w:pPr>
            <w:hyperlink w:anchor="page98">
              <w:r>
                <w:rPr>
                  <w:rFonts w:ascii="Arial" w:cs="Arial" w:eastAsia="Arial" w:hAnsi="Arial"/>
                  <w:sz w:val="16"/>
                  <w:szCs w:val="16"/>
                  <w:color w:val="auto"/>
                </w:rPr>
                <w:t>Executive Compensation</w:t>
              </w:r>
            </w:hyperlink>
          </w:p>
        </w:tc>
        <w:tc>
          <w:tcPr>
            <w:tcW w:w="92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98</w:t>
              </w:r>
            </w:hyperlink>
          </w:p>
        </w:tc>
      </w:tr>
      <w:tr>
        <w:trPr>
          <w:trHeight w:val="243"/>
        </w:trPr>
        <w:tc>
          <w:tcPr>
            <w:tcW w:w="820" w:type="dxa"/>
            <w:vAlign w:val="bottom"/>
          </w:tcPr>
          <w:p>
            <w:pPr>
              <w:spacing w:after="0"/>
              <w:rPr>
                <w:rFonts w:ascii="Arial" w:cs="Arial" w:eastAsia="Arial" w:hAnsi="Arial"/>
                <w:sz w:val="16"/>
                <w:szCs w:val="16"/>
                <w:color w:val="auto"/>
              </w:rPr>
            </w:pPr>
            <w:hyperlink w:anchor="page98">
              <w:r>
                <w:rPr>
                  <w:rFonts w:ascii="Arial" w:cs="Arial" w:eastAsia="Arial" w:hAnsi="Arial"/>
                  <w:sz w:val="16"/>
                  <w:szCs w:val="16"/>
                  <w:color w:val="auto"/>
                </w:rPr>
                <w:t>Item 12.</w:t>
              </w:r>
            </w:hyperlink>
          </w:p>
        </w:tc>
        <w:tc>
          <w:tcPr>
            <w:tcW w:w="9620" w:type="dxa"/>
            <w:vAlign w:val="bottom"/>
          </w:tcPr>
          <w:p>
            <w:pPr>
              <w:ind w:left="200"/>
              <w:spacing w:after="0"/>
              <w:rPr>
                <w:rFonts w:ascii="Arial" w:cs="Arial" w:eastAsia="Arial" w:hAnsi="Arial"/>
                <w:sz w:val="16"/>
                <w:szCs w:val="16"/>
                <w:color w:val="auto"/>
              </w:rPr>
            </w:pPr>
            <w:hyperlink w:anchor="page98">
              <w:r>
                <w:rPr>
                  <w:rFonts w:ascii="Arial" w:cs="Arial" w:eastAsia="Arial" w:hAnsi="Arial"/>
                  <w:sz w:val="16"/>
                  <w:szCs w:val="16"/>
                  <w:color w:val="auto"/>
                </w:rPr>
                <w:t>Security Ownership of Certain Beneficial Owners and Management and Related Stockholder Matters</w:t>
              </w:r>
            </w:hyperlink>
          </w:p>
        </w:tc>
        <w:tc>
          <w:tcPr>
            <w:tcW w:w="92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98</w:t>
              </w:r>
            </w:hyperlink>
          </w:p>
        </w:tc>
      </w:tr>
      <w:tr>
        <w:trPr>
          <w:trHeight w:val="243"/>
        </w:trPr>
        <w:tc>
          <w:tcPr>
            <w:tcW w:w="820" w:type="dxa"/>
            <w:vAlign w:val="bottom"/>
          </w:tcPr>
          <w:p>
            <w:pPr>
              <w:spacing w:after="0"/>
              <w:rPr>
                <w:rFonts w:ascii="Arial" w:cs="Arial" w:eastAsia="Arial" w:hAnsi="Arial"/>
                <w:sz w:val="16"/>
                <w:szCs w:val="16"/>
                <w:color w:val="auto"/>
              </w:rPr>
            </w:pPr>
            <w:hyperlink w:anchor="page98">
              <w:r>
                <w:rPr>
                  <w:rFonts w:ascii="Arial" w:cs="Arial" w:eastAsia="Arial" w:hAnsi="Arial"/>
                  <w:sz w:val="16"/>
                  <w:szCs w:val="16"/>
                  <w:color w:val="auto"/>
                </w:rPr>
                <w:t>Item 13.</w:t>
              </w:r>
            </w:hyperlink>
          </w:p>
        </w:tc>
        <w:tc>
          <w:tcPr>
            <w:tcW w:w="9620" w:type="dxa"/>
            <w:vAlign w:val="bottom"/>
          </w:tcPr>
          <w:p>
            <w:pPr>
              <w:ind w:left="200"/>
              <w:spacing w:after="0"/>
              <w:rPr>
                <w:rFonts w:ascii="Arial" w:cs="Arial" w:eastAsia="Arial" w:hAnsi="Arial"/>
                <w:sz w:val="16"/>
                <w:szCs w:val="16"/>
                <w:color w:val="auto"/>
              </w:rPr>
            </w:pPr>
            <w:hyperlink w:anchor="page98">
              <w:r>
                <w:rPr>
                  <w:rFonts w:ascii="Arial" w:cs="Arial" w:eastAsia="Arial" w:hAnsi="Arial"/>
                  <w:sz w:val="16"/>
                  <w:szCs w:val="16"/>
                  <w:color w:val="auto"/>
                </w:rPr>
                <w:t>Certain Relationships and Related Transactions, and Director Independence</w:t>
              </w:r>
            </w:hyperlink>
          </w:p>
        </w:tc>
        <w:tc>
          <w:tcPr>
            <w:tcW w:w="92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98</w:t>
              </w:r>
            </w:hyperlink>
          </w:p>
        </w:tc>
      </w:tr>
      <w:tr>
        <w:trPr>
          <w:trHeight w:val="243"/>
        </w:trPr>
        <w:tc>
          <w:tcPr>
            <w:tcW w:w="820" w:type="dxa"/>
            <w:vAlign w:val="bottom"/>
          </w:tcPr>
          <w:p>
            <w:pPr>
              <w:spacing w:after="0"/>
              <w:rPr>
                <w:rFonts w:ascii="Arial" w:cs="Arial" w:eastAsia="Arial" w:hAnsi="Arial"/>
                <w:sz w:val="16"/>
                <w:szCs w:val="16"/>
                <w:color w:val="auto"/>
              </w:rPr>
            </w:pPr>
            <w:hyperlink w:anchor="page98">
              <w:r>
                <w:rPr>
                  <w:rFonts w:ascii="Arial" w:cs="Arial" w:eastAsia="Arial" w:hAnsi="Arial"/>
                  <w:sz w:val="16"/>
                  <w:szCs w:val="16"/>
                  <w:color w:val="auto"/>
                </w:rPr>
                <w:t>Item 14.</w:t>
              </w:r>
            </w:hyperlink>
          </w:p>
        </w:tc>
        <w:tc>
          <w:tcPr>
            <w:tcW w:w="9620" w:type="dxa"/>
            <w:vAlign w:val="bottom"/>
          </w:tcPr>
          <w:p>
            <w:pPr>
              <w:ind w:left="200"/>
              <w:spacing w:after="0"/>
              <w:rPr>
                <w:rFonts w:ascii="Arial" w:cs="Arial" w:eastAsia="Arial" w:hAnsi="Arial"/>
                <w:sz w:val="16"/>
                <w:szCs w:val="16"/>
                <w:color w:val="auto"/>
              </w:rPr>
            </w:pPr>
            <w:hyperlink w:anchor="page98">
              <w:r>
                <w:rPr>
                  <w:rFonts w:ascii="Arial" w:cs="Arial" w:eastAsia="Arial" w:hAnsi="Arial"/>
                  <w:sz w:val="16"/>
                  <w:szCs w:val="16"/>
                  <w:color w:val="auto"/>
                </w:rPr>
                <w:t>Principal Accounting Fees and Services</w:t>
              </w:r>
            </w:hyperlink>
          </w:p>
        </w:tc>
        <w:tc>
          <w:tcPr>
            <w:tcW w:w="92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98</w:t>
              </w:r>
            </w:hyperlink>
          </w:p>
        </w:tc>
      </w:tr>
      <w:tr>
        <w:trPr>
          <w:trHeight w:val="270"/>
        </w:trPr>
        <w:tc>
          <w:tcPr>
            <w:tcW w:w="820" w:type="dxa"/>
            <w:vAlign w:val="bottom"/>
          </w:tcPr>
          <w:p>
            <w:pPr>
              <w:spacing w:after="0"/>
              <w:rPr>
                <w:sz w:val="23"/>
                <w:szCs w:val="23"/>
                <w:color w:val="auto"/>
              </w:rPr>
            </w:pPr>
          </w:p>
        </w:tc>
        <w:tc>
          <w:tcPr>
            <w:tcW w:w="9620" w:type="dxa"/>
            <w:vAlign w:val="bottom"/>
          </w:tcPr>
          <w:p>
            <w:pPr>
              <w:jc w:val="center"/>
              <w:ind w:left="98"/>
              <w:spacing w:after="0"/>
              <w:rPr>
                <w:rFonts w:ascii="Arial" w:cs="Arial" w:eastAsia="Arial" w:hAnsi="Arial"/>
                <w:sz w:val="16"/>
                <w:szCs w:val="16"/>
                <w:b w:val="1"/>
                <w:bCs w:val="1"/>
                <w:color w:val="auto"/>
              </w:rPr>
            </w:pPr>
            <w:hyperlink w:anchor="page99">
              <w:r>
                <w:rPr>
                  <w:rFonts w:ascii="Arial" w:cs="Arial" w:eastAsia="Arial" w:hAnsi="Arial"/>
                  <w:sz w:val="16"/>
                  <w:szCs w:val="16"/>
                  <w:b w:val="1"/>
                  <w:bCs w:val="1"/>
                  <w:color w:val="auto"/>
                </w:rPr>
                <w:t>PART IV</w:t>
              </w:r>
            </w:hyperlink>
          </w:p>
        </w:tc>
        <w:tc>
          <w:tcPr>
            <w:tcW w:w="920" w:type="dxa"/>
            <w:vAlign w:val="bottom"/>
          </w:tcPr>
          <w:p>
            <w:pPr>
              <w:spacing w:after="0"/>
              <w:rPr>
                <w:sz w:val="23"/>
                <w:szCs w:val="23"/>
                <w:color w:val="auto"/>
              </w:rPr>
            </w:pPr>
          </w:p>
        </w:tc>
      </w:tr>
      <w:tr>
        <w:trPr>
          <w:trHeight w:val="243"/>
        </w:trPr>
        <w:tc>
          <w:tcPr>
            <w:tcW w:w="820" w:type="dxa"/>
            <w:vAlign w:val="bottom"/>
          </w:tcPr>
          <w:p>
            <w:pPr>
              <w:spacing w:after="0"/>
              <w:rPr>
                <w:rFonts w:ascii="Arial" w:cs="Arial" w:eastAsia="Arial" w:hAnsi="Arial"/>
                <w:sz w:val="16"/>
                <w:szCs w:val="16"/>
                <w:color w:val="auto"/>
              </w:rPr>
            </w:pPr>
            <w:hyperlink w:anchor="page99">
              <w:r>
                <w:rPr>
                  <w:rFonts w:ascii="Arial" w:cs="Arial" w:eastAsia="Arial" w:hAnsi="Arial"/>
                  <w:sz w:val="16"/>
                  <w:szCs w:val="16"/>
                  <w:color w:val="auto"/>
                </w:rPr>
                <w:t>Item 15.</w:t>
              </w:r>
            </w:hyperlink>
          </w:p>
        </w:tc>
        <w:tc>
          <w:tcPr>
            <w:tcW w:w="9620" w:type="dxa"/>
            <w:vAlign w:val="bottom"/>
          </w:tcPr>
          <w:p>
            <w:pPr>
              <w:ind w:left="200"/>
              <w:spacing w:after="0"/>
              <w:rPr>
                <w:rFonts w:ascii="Arial" w:cs="Arial" w:eastAsia="Arial" w:hAnsi="Arial"/>
                <w:sz w:val="16"/>
                <w:szCs w:val="16"/>
                <w:color w:val="auto"/>
              </w:rPr>
            </w:pPr>
            <w:hyperlink w:anchor="page99">
              <w:r>
                <w:rPr>
                  <w:rFonts w:ascii="Arial" w:cs="Arial" w:eastAsia="Arial" w:hAnsi="Arial"/>
                  <w:sz w:val="16"/>
                  <w:szCs w:val="16"/>
                  <w:color w:val="auto"/>
                </w:rPr>
                <w:t>Exhibits, Financial Statement Schedules</w:t>
              </w:r>
            </w:hyperlink>
          </w:p>
        </w:tc>
        <w:tc>
          <w:tcPr>
            <w:tcW w:w="920" w:type="dxa"/>
            <w:vAlign w:val="bottom"/>
          </w:tcPr>
          <w:p>
            <w:pPr>
              <w:jc w:val="center"/>
              <w:spacing w:after="0"/>
              <w:rPr>
                <w:rFonts w:ascii="Arial" w:cs="Arial" w:eastAsia="Arial" w:hAnsi="Arial"/>
                <w:sz w:val="16"/>
                <w:szCs w:val="16"/>
                <w:color w:val="auto"/>
              </w:rPr>
            </w:pPr>
            <w:hyperlink w:anchor="page99">
              <w:r>
                <w:rPr>
                  <w:rFonts w:ascii="Arial" w:cs="Arial" w:eastAsia="Arial" w:hAnsi="Arial"/>
                  <w:sz w:val="16"/>
                  <w:szCs w:val="16"/>
                  <w:color w:val="auto"/>
                </w:rPr>
                <w:t>99</w:t>
              </w:r>
            </w:hyperlink>
          </w:p>
        </w:tc>
      </w:tr>
      <w:tr>
        <w:trPr>
          <w:trHeight w:val="243"/>
        </w:trPr>
        <w:tc>
          <w:tcPr>
            <w:tcW w:w="820" w:type="dxa"/>
            <w:vAlign w:val="bottom"/>
          </w:tcPr>
          <w:p>
            <w:pPr>
              <w:spacing w:after="0"/>
              <w:rPr>
                <w:rFonts w:ascii="Arial" w:cs="Arial" w:eastAsia="Arial" w:hAnsi="Arial"/>
                <w:sz w:val="16"/>
                <w:szCs w:val="16"/>
                <w:color w:val="auto"/>
              </w:rPr>
            </w:pPr>
            <w:hyperlink w:anchor="page102">
              <w:r>
                <w:rPr>
                  <w:rFonts w:ascii="Arial" w:cs="Arial" w:eastAsia="Arial" w:hAnsi="Arial"/>
                  <w:sz w:val="16"/>
                  <w:szCs w:val="16"/>
                  <w:color w:val="auto"/>
                </w:rPr>
                <w:t>Item 16.</w:t>
              </w:r>
            </w:hyperlink>
          </w:p>
        </w:tc>
        <w:tc>
          <w:tcPr>
            <w:tcW w:w="9620" w:type="dxa"/>
            <w:vAlign w:val="bottom"/>
          </w:tcPr>
          <w:p>
            <w:pPr>
              <w:ind w:left="200"/>
              <w:spacing w:after="0"/>
              <w:rPr>
                <w:rFonts w:ascii="Arial" w:cs="Arial" w:eastAsia="Arial" w:hAnsi="Arial"/>
                <w:sz w:val="16"/>
                <w:szCs w:val="16"/>
                <w:color w:val="auto"/>
              </w:rPr>
            </w:pPr>
            <w:hyperlink w:anchor="page102">
              <w:r>
                <w:rPr>
                  <w:rFonts w:ascii="Arial" w:cs="Arial" w:eastAsia="Arial" w:hAnsi="Arial"/>
                  <w:sz w:val="16"/>
                  <w:szCs w:val="16"/>
                  <w:color w:val="auto"/>
                </w:rPr>
                <w:t>Form 10-K Summary</w:t>
              </w:r>
            </w:hyperlink>
          </w:p>
        </w:tc>
        <w:tc>
          <w:tcPr>
            <w:tcW w:w="920" w:type="dxa"/>
            <w:vAlign w:val="bottom"/>
          </w:tcPr>
          <w:p>
            <w:pPr>
              <w:jc w:val="center"/>
              <w:spacing w:after="0"/>
              <w:rPr>
                <w:rFonts w:ascii="Arial" w:cs="Arial" w:eastAsia="Arial" w:hAnsi="Arial"/>
                <w:sz w:val="16"/>
                <w:szCs w:val="16"/>
                <w:color w:val="auto"/>
              </w:rPr>
            </w:pPr>
            <w:hyperlink w:anchor="page102">
              <w:r>
                <w:rPr>
                  <w:rFonts w:ascii="Arial" w:cs="Arial" w:eastAsia="Arial" w:hAnsi="Arial"/>
                  <w:sz w:val="16"/>
                  <w:szCs w:val="16"/>
                  <w:color w:val="auto"/>
                </w:rPr>
                <w:t>102</w:t>
              </w:r>
            </w:hyperlink>
          </w:p>
        </w:tc>
      </w:tr>
    </w:tbl>
    <w:p>
      <w:pPr>
        <w:sectPr>
          <w:pgSz w:w="11900" w:h="16838" w:orient="portrait"/>
          <w:cols w:equalWidth="0" w:num="1">
            <w:col w:w="11360"/>
          </w:cols>
          <w:pgMar w:left="280" w:top="468" w:right="259" w:bottom="1440" w:gutter="0" w:footer="0" w:header="0"/>
        </w:sectPr>
      </w:pPr>
    </w:p>
    <w:bookmarkStart w:id="3" w:name="page4"/>
    <w:bookmarkEnd w:id="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189"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7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In this report, unless otherwise indicated or the context otherwise requires, “Enphase Energy,” “Enphase,” “the Company,” “we,” “us,” and “our” refer to Enphase Energy, Inc., a Delaware corporation, and its subsidiaries.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We are a global energy technology company, delivering smart, easy-to-use solutions that connect solar generation, storage and communications management on one intelligent platform. We revolutionized solar with our microinverter technology and produce the world’s only truly integrated solar-plus-storage solution. We have shipped more than 19 million microinverters, representing over 4 gigawatts of solar photovoltaic (“PV”) generating capacity, and more than 855,000 Enphase residential and commercial systems have been deployed in over 125 countries.</w:t>
      </w:r>
    </w:p>
    <w:p>
      <w:pPr>
        <w:spacing w:after="0" w:line="206"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were incorporated as PVI Solutions, Inc. in March 2006 in the State of Delaware and changed our name to Enphase Energy, Inc. in July 2007.</w:t>
      </w:r>
    </w:p>
    <w:p>
      <w:pPr>
        <w:spacing w:after="0" w:line="19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August 9, 2018, we completed the purchase of assets primarily relating to SunPower Corporation’s (“SunPower”) microinverter business. We acquired intellectual property, technology and other assets primarily relating to the microinverter business and assumed certain intellectual property and customer relationships for the following consideration: (i) $25 million payable in cash; and (ii) 7.5 million shares of our common stock issued to SunPower at closing. In addition, we and SunPower entered into (i) a Master Supply Agreement (“MSA”) under which SunPower is obligated to exclusively procure module level power electronics and related equipment for use in the United States (“U.S.”) residential market from us for a period of five years and (ii) a stockholders agreement to establish certain SunPower rights and obligations related to the shares issued, including SunPower’s right to appoint one person to our board of directors, certain additional transfer restrictions on the shares, and voting, standstill and other undertakings by SunPower.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Historically, traditional central inverters were the only inverter technology used for solar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As compared to microinverter systems, we believe that traditional central inverters have a number of design and performance challenges limiting innovation and their ability to reduce the cost of solar systems, including the following:</w:t>
      </w:r>
    </w:p>
    <w:p>
      <w:pPr>
        <w:spacing w:after="0" w:line="188" w:lineRule="exact"/>
        <w:rPr>
          <w:sz w:val="20"/>
          <w:szCs w:val="20"/>
          <w:color w:val="auto"/>
        </w:rPr>
      </w:pPr>
    </w:p>
    <w:p>
      <w:pPr>
        <w:ind w:left="820" w:right="20" w:hanging="326"/>
        <w:spacing w:after="0" w:line="26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Productivity limits</w:t>
      </w:r>
      <w:r>
        <w:rPr>
          <w:rFonts w:ascii="Arial" w:cs="Arial" w:eastAsia="Arial" w:hAnsi="Arial"/>
          <w:sz w:val="18"/>
          <w:szCs w:val="18"/>
          <w:color w:val="auto"/>
        </w:rPr>
        <w:t>. If solar modules are wired using a traditional central inverter—group or “string” of modules are wired in series—an</w:t>
      </w:r>
      <w:r>
        <w:rPr>
          <w:rFonts w:ascii="Arial" w:cs="Arial" w:eastAsia="Arial" w:hAnsi="Arial"/>
          <w:sz w:val="18"/>
          <w:szCs w:val="18"/>
          <w:i w:val="1"/>
          <w:iCs w:val="1"/>
          <w:color w:val="auto"/>
        </w:rPr>
        <w:t xml:space="preserve"> </w:t>
      </w:r>
      <w:r>
        <w:rPr>
          <w:rFonts w:ascii="Arial" w:cs="Arial" w:eastAsia="Arial" w:hAnsi="Arial"/>
          <w:sz w:val="18"/>
          <w:szCs w:val="18"/>
          <w:color w:val="auto"/>
        </w:rPr>
        <w:t>entire string’s output is limited by the output of the lowest-performing module. Because of its string design, there is a single point of failure risk with the traditional central inverter approach.</w:t>
      </w:r>
    </w:p>
    <w:p>
      <w:pPr>
        <w:sectPr>
          <w:pgSz w:w="11900" w:h="16838" w:orient="portrait"/>
          <w:cols w:equalWidth="0" w:num="1">
            <w:col w:w="11380"/>
          </w:cols>
          <w:pgMar w:left="240" w:top="283" w:right="2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380"/>
          </w:cols>
          <w:pgMar w:left="240" w:top="283" w:right="279" w:bottom="1440" w:gutter="0" w:footer="0" w:header="0"/>
          <w:type w:val="continuous"/>
        </w:sectPr>
      </w:pPr>
    </w:p>
    <w:bookmarkStart w:id="4" w:name="page5"/>
    <w:bookmarkEnd w:id="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20" w:hanging="326"/>
        <w:spacing w:after="0" w:line="313"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Reli</w:t>
      </w:r>
      <w:r>
        <w:rPr>
          <w:rFonts w:ascii="Arial" w:cs="Arial" w:eastAsia="Arial" w:hAnsi="Arial"/>
          <w:sz w:val="17"/>
          <w:szCs w:val="17"/>
          <w:color w:val="auto"/>
        </w:rPr>
        <w:t>a</w:t>
      </w:r>
      <w:r>
        <w:rPr>
          <w:rFonts w:ascii="Arial" w:cs="Arial" w:eastAsia="Arial" w:hAnsi="Arial"/>
          <w:sz w:val="17"/>
          <w:szCs w:val="17"/>
          <w:i w:val="1"/>
          <w:iCs w:val="1"/>
          <w:color w:val="auto"/>
        </w:rPr>
        <w:t>bility issues</w:t>
      </w:r>
      <w:r>
        <w:rPr>
          <w:rFonts w:ascii="Arial" w:cs="Arial" w:eastAsia="Arial" w:hAnsi="Arial"/>
          <w:sz w:val="17"/>
          <w:szCs w:val="17"/>
          <w:color w:val="auto"/>
        </w:rPr>
        <w:t>. Traditional central inverters are the single most common component of solar installations to fail, resulting in system</w:t>
      </w:r>
      <w:r>
        <w:rPr>
          <w:rFonts w:ascii="Arial" w:cs="Arial" w:eastAsia="Arial" w:hAnsi="Arial"/>
          <w:sz w:val="17"/>
          <w:szCs w:val="17"/>
          <w:i w:val="1"/>
          <w:iCs w:val="1"/>
          <w:color w:val="auto"/>
        </w:rPr>
        <w:t xml:space="preserve"> </w:t>
      </w:r>
      <w:r>
        <w:rPr>
          <w:rFonts w:ascii="Arial" w:cs="Arial" w:eastAsia="Arial" w:hAnsi="Arial"/>
          <w:sz w:val="17"/>
          <w:szCs w:val="17"/>
          <w:color w:val="auto"/>
        </w:rPr>
        <w:t>downtime and adversely impacting total energy output. As a result, central inverters typically carry warranties of only 5 to 10 years.</w:t>
      </w:r>
    </w:p>
    <w:p>
      <w:pPr>
        <w:spacing w:after="0" w:line="138" w:lineRule="exact"/>
        <w:rPr>
          <w:rFonts w:ascii="Arial" w:cs="Arial" w:eastAsia="Arial" w:hAnsi="Arial"/>
          <w:sz w:val="17"/>
          <w:szCs w:val="17"/>
          <w:color w:val="auto"/>
        </w:rPr>
      </w:pPr>
    </w:p>
    <w:p>
      <w:pPr>
        <w:ind w:left="820" w:hanging="326"/>
        <w:spacing w:after="0" w:line="281"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Complex design and installation requirements</w:t>
      </w:r>
      <w:r>
        <w:rPr>
          <w:rFonts w:ascii="Arial" w:cs="Arial" w:eastAsia="Arial" w:hAnsi="Arial"/>
          <w:sz w:val="17"/>
          <w:szCs w:val="17"/>
          <w:color w:val="auto"/>
        </w:rPr>
        <w:t>. The central inverter-based solar PV installation requires greater effort on the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installer, both in terms of design and on-site labor. Central inverter installations require string design and calculations for safe and reliable operation, as well as specialized equipment such as DC combiners, conduits and disconnects. In addition, the use of high-voltage direct current (“DC”) requires specialized knowledge and training and safety precautions to install central inverter technology.</w:t>
      </w:r>
    </w:p>
    <w:p>
      <w:pPr>
        <w:spacing w:after="0" w:line="164" w:lineRule="exact"/>
        <w:rPr>
          <w:rFonts w:ascii="Arial" w:cs="Arial" w:eastAsia="Arial" w:hAnsi="Arial"/>
          <w:sz w:val="17"/>
          <w:szCs w:val="17"/>
          <w:color w:val="auto"/>
        </w:rPr>
      </w:pPr>
    </w:p>
    <w:p>
      <w:pPr>
        <w:jc w:val="both"/>
        <w:ind w:left="820" w:right="60" w:hanging="326"/>
        <w:spacing w:after="0" w:line="26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Lack of monitoring</w:t>
      </w:r>
      <w:r>
        <w:rPr>
          <w:rFonts w:ascii="Arial" w:cs="Arial" w:eastAsia="Arial" w:hAnsi="Arial"/>
          <w:sz w:val="18"/>
          <w:szCs w:val="18"/>
          <w:color w:val="auto"/>
        </w:rPr>
        <w:t>. The majority of solar installations with central inverter technology offer limited monitoring capabilities. A failure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central inverter will often go unnoticed for days or even weeks. If a module fails or is not performing to specification, the resulting loss of energy can go unnoticed for an extended period of time.</w:t>
      </w:r>
    </w:p>
    <w:p>
      <w:pPr>
        <w:spacing w:after="0" w:line="176" w:lineRule="exact"/>
        <w:rPr>
          <w:rFonts w:ascii="Arial" w:cs="Arial" w:eastAsia="Arial" w:hAnsi="Arial"/>
          <w:sz w:val="18"/>
          <w:szCs w:val="18"/>
          <w:color w:val="auto"/>
        </w:rPr>
      </w:pPr>
    </w:p>
    <w:p>
      <w:pPr>
        <w:ind w:left="820" w:right="20" w:hanging="326"/>
        <w:spacing w:after="0" w:line="26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Safety issues</w:t>
      </w:r>
      <w:r>
        <w:rPr>
          <w:rFonts w:ascii="Arial" w:cs="Arial" w:eastAsia="Arial" w:hAnsi="Arial"/>
          <w:sz w:val="18"/>
          <w:szCs w:val="18"/>
          <w:color w:val="auto"/>
        </w:rPr>
        <w:t>. Central inverter solar PV installations have a wide distribution of high-voltage (600 volts to 1,000 volts) DC wiring. If</w:t>
      </w:r>
      <w:r>
        <w:rPr>
          <w:rFonts w:ascii="Arial" w:cs="Arial" w:eastAsia="Arial" w:hAnsi="Arial"/>
          <w:sz w:val="18"/>
          <w:szCs w:val="18"/>
          <w:i w:val="1"/>
          <w:iCs w:val="1"/>
          <w:color w:val="auto"/>
        </w:rPr>
        <w:t xml:space="preserve"> </w:t>
      </w:r>
      <w:r>
        <w:rPr>
          <w:rFonts w:ascii="Arial" w:cs="Arial" w:eastAsia="Arial" w:hAnsi="Arial"/>
          <w:sz w:val="18"/>
          <w:szCs w:val="18"/>
          <w:color w:val="auto"/>
        </w:rPr>
        <w:t>damaged, DC wires can generate sustained electrical arcs, reaching temperatures of more than 5,000 °F. This creates the risk of fire for solar PV installation owners and injury for installers and maintenance personnel.</w:t>
      </w:r>
    </w:p>
    <w:p>
      <w:pPr>
        <w:spacing w:after="0" w:line="194"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These challenges of traditional central inverters have a direct impact on the cost and expected return on investment of solar installations to both installers and system owners:</w:t>
      </w:r>
    </w:p>
    <w:p>
      <w:pPr>
        <w:spacing w:after="0" w:line="178" w:lineRule="exact"/>
        <w:rPr>
          <w:sz w:val="20"/>
          <w:szCs w:val="20"/>
          <w:color w:val="auto"/>
        </w:rPr>
      </w:pPr>
    </w:p>
    <w:p>
      <w:pPr>
        <w:ind w:left="820" w:right="40" w:hanging="326"/>
        <w:spacing w:after="0" w:line="25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Installer</w:t>
      </w:r>
      <w:r>
        <w:rPr>
          <w:rFonts w:ascii="Arial" w:cs="Arial" w:eastAsia="Arial" w:hAnsi="Arial"/>
          <w:sz w:val="18"/>
          <w:szCs w:val="18"/>
          <w:color w:val="auto"/>
        </w:rPr>
        <w:t>. Solar PV installers aim for simple installation design, fast installation times and maximum system performance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predictability. The installation of high-voltage 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183" w:lineRule="exact"/>
        <w:rPr>
          <w:rFonts w:ascii="Arial" w:cs="Arial" w:eastAsia="Arial" w:hAnsi="Arial"/>
          <w:sz w:val="18"/>
          <w:szCs w:val="18"/>
          <w:color w:val="auto"/>
        </w:rPr>
      </w:pPr>
    </w:p>
    <w:p>
      <w:pPr>
        <w:ind w:left="820" w:right="60" w:hanging="326"/>
        <w:spacing w:after="0" w:line="25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System owner</w:t>
      </w:r>
      <w:r>
        <w:rPr>
          <w:rFonts w:ascii="Arial" w:cs="Arial" w:eastAsia="Arial" w:hAnsi="Arial"/>
          <w:sz w:val="18"/>
          <w:szCs w:val="18"/>
          <w:color w:val="auto"/>
        </w:rPr>
        <w:t>. Solar system owners aim for high energy production, low cost, high reliability, and low maintenance requirements,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reduced fire risks. With 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design, develop, manufacture and sell home energy solutions that connect energy generation, energy storage and control and communications management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the string inverter approach that only converts energy of the entire array of solar modules from a single high voltage electrical unit and lacks intelligence about the energy producing capacity of the solar array. The IQ platform, which is our current generation integrated solar, storage and energy management offering, enables self-consumption and delivers our core value proposition of yielding more energy, simplifying design and installation, and improving system uptime and reliability. The IQ family of microinverters, like all of our previous microinverters, is fully compliant with NEC 2014 and 2017 rapid shutdown requirements. Unlike string inverters, this capability is built-in, with no additional equipment necessary.</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3" w:right="279" w:bottom="1440" w:gutter="0" w:footer="0" w:header="0"/>
        </w:sectPr>
      </w:pPr>
    </w:p>
    <w:bookmarkStart w:id="5" w:name="page6"/>
    <w:bookmarkEnd w:id="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Enphase Home Energy Solution with IQ™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Home Energy Solution with IQ uses a single technology platform for seamless management of the whole solution, enabling rapid commissioning of the Installer Toolkit™; consumption monitoring with a metered Envoy™ and a consumption tracker; and energy insights from the Enphase Enlighten Software™, or Enlighten, platform’s easy-to-use interface. Unlike our core competitors, who utilize a single-point or traditional inverter, or offer separate components of solutions, we have built-in system redundancy in both PV generation and energy storage, eliminating the risk that comes with a single-point of failure. Further, the nature of our cloud-based, monitored system allows for remote firmware and software updates, enabling cost-effective remote maintenance and ongoing utility compliance.</w:t>
      </w:r>
    </w:p>
    <w:p>
      <w:pPr>
        <w:spacing w:after="0" w:line="21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 Enphase Home Energy Solution with IQ consists of four key components — Enphase microinverters, the AC Battery™, an Envoy gateway, and Enlighten cloud-based software:</w:t>
      </w:r>
    </w:p>
    <w:p>
      <w:pPr>
        <w:spacing w:after="0" w:line="196" w:lineRule="exact"/>
        <w:rPr>
          <w:sz w:val="20"/>
          <w:szCs w:val="20"/>
          <w:color w:val="auto"/>
        </w:rPr>
      </w:pPr>
    </w:p>
    <w:p>
      <w:pPr>
        <w:ind w:left="820" w:right="20" w:hanging="326"/>
        <w:spacing w:after="0" w:line="253"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Enphase microinverters provide highly reliable power conversion at the individual solar module level by introducing a digital architecture that incorporates custom application specific integrated circuits, or ASICs, specialized power electronics devices, and an embedded software subsystem that maximizes energy production from each module. The Enphase IQ microinverters provide a path to substantially lower unit cost, a simplified installation process, and higher performance and enhanced features. In addition, they offer advanced grid functions that are capable of meeting worldwide regulatory requirements.</w:t>
      </w:r>
    </w:p>
    <w:p>
      <w:pPr>
        <w:spacing w:after="0" w:line="205" w:lineRule="exact"/>
        <w:rPr>
          <w:rFonts w:ascii="Arial" w:cs="Arial" w:eastAsia="Arial" w:hAnsi="Arial"/>
          <w:sz w:val="18"/>
          <w:szCs w:val="18"/>
          <w:color w:val="auto"/>
        </w:rPr>
      </w:pPr>
    </w:p>
    <w:p>
      <w:pPr>
        <w:ind w:left="820"/>
        <w:spacing w:after="0" w:line="252" w:lineRule="auto"/>
        <w:rPr>
          <w:rFonts w:ascii="Arial" w:cs="Arial" w:eastAsia="Arial" w:hAnsi="Arial"/>
          <w:sz w:val="18"/>
          <w:szCs w:val="18"/>
          <w:color w:val="auto"/>
        </w:rPr>
      </w:pPr>
      <w:r>
        <w:rPr>
          <w:rFonts w:ascii="Arial" w:cs="Arial" w:eastAsia="Arial" w:hAnsi="Arial"/>
          <w:sz w:val="18"/>
          <w:szCs w:val="18"/>
          <w:color w:val="auto"/>
        </w:rPr>
        <w:t>In the first quarter of 2018, we began shipping IQ 7, our seventh-generation Enphase microinverters for the Enphase Home Energy Solution with IQ, our next-generation integrated solar, storage and energy management system, to distributors in the U.S. In the second quarter of 2018, we began shipping IQ 7 to Europe, representing our entry into the German and Austrian solar markets, while expanding our presence in other solar markets such as France, Benelux, United Kingdom, and Switzerland. We also began selling IQ 7, which has a single worldwide stock keeping unit (commonly referred to as “SKU”), in Australia and New Zealand during the second quarter of 2018.</w:t>
      </w:r>
    </w:p>
    <w:p>
      <w:pPr>
        <w:spacing w:after="0" w:line="208" w:lineRule="exact"/>
        <w:rPr>
          <w:rFonts w:ascii="Arial" w:cs="Arial" w:eastAsia="Arial" w:hAnsi="Arial"/>
          <w:sz w:val="18"/>
          <w:szCs w:val="18"/>
          <w:color w:val="auto"/>
        </w:rPr>
      </w:pPr>
    </w:p>
    <w:p>
      <w:pPr>
        <w:ind w:left="820" w:right="120"/>
        <w:spacing w:after="0" w:line="252" w:lineRule="auto"/>
        <w:rPr>
          <w:rFonts w:ascii="Arial" w:cs="Arial" w:eastAsia="Arial" w:hAnsi="Arial"/>
          <w:sz w:val="18"/>
          <w:szCs w:val="18"/>
          <w:color w:val="auto"/>
        </w:rPr>
      </w:pPr>
      <w:r>
        <w:rPr>
          <w:rFonts w:ascii="Arial" w:cs="Arial" w:eastAsia="Arial" w:hAnsi="Arial"/>
          <w:sz w:val="18"/>
          <w:szCs w:val="18"/>
          <w:color w:val="auto"/>
        </w:rPr>
        <w:t>The Enphase IQ 7 Micro™ and Enphase IQ 7+ Micro™ support high-powered 60-cell and 72-cell solar modules and integrate with alternating current (“AC”) modules. During the second quarter of 2018, we began shipping the Enphase IQ 7X Micro™ to solar distributors in the U.S. The Enphase IQ 7X Micro, the higher power and higher efficiency variant of our seventh-generation family of microinverters, supports and can be integrated with 96-cell modules. In addition, during the fourth quarter of 2018, we began shipping in limited quantities, IQ 7A™, which addresses up to 450W DC modules. In addition, as the result of the completion of our acquisition of SunPower’s microinverter business in August 2018, we began volume shipments of our IQ 7XS microinverters for use in SunPower’s modules in the fourth quarter of 2018.</w:t>
      </w:r>
    </w:p>
    <w:p>
      <w:pPr>
        <w:spacing w:after="0" w:line="207" w:lineRule="exact"/>
        <w:rPr>
          <w:rFonts w:ascii="Arial" w:cs="Arial" w:eastAsia="Arial" w:hAnsi="Arial"/>
          <w:sz w:val="18"/>
          <w:szCs w:val="18"/>
          <w:color w:val="auto"/>
        </w:rPr>
      </w:pPr>
    </w:p>
    <w:p>
      <w:pPr>
        <w:ind w:left="820" w:right="140"/>
        <w:spacing w:after="0" w:line="253" w:lineRule="auto"/>
        <w:rPr>
          <w:rFonts w:ascii="Arial" w:cs="Arial" w:eastAsia="Arial" w:hAnsi="Arial"/>
          <w:sz w:val="18"/>
          <w:szCs w:val="18"/>
          <w:color w:val="auto"/>
        </w:rPr>
      </w:pPr>
      <w:r>
        <w:rPr>
          <w:rFonts w:ascii="Arial" w:cs="Arial" w:eastAsia="Arial" w:hAnsi="Arial"/>
          <w:sz w:val="18"/>
          <w:szCs w:val="18"/>
          <w:color w:val="auto"/>
        </w:rPr>
        <w:t>AC Module products are integrated systems which allow installers to be more competitive through improved logistics, reduced installation times, faster inspection and training. We began shipping Enphase Energized™ AC Modules in North America in 2017. Enphase Energized AC Modules with IQ were previously produced through our AC module partnerships with LG Electronics, Inc., Jinko Solar Technology and Waaree Energies Ltd. In 2018, we announced new AC module partnerships with SunPower, Panasonic Corporation of North America, LONGi Green Energy Technology Co., Ltd. and Solaria Corporation.</w:t>
      </w:r>
    </w:p>
    <w:p>
      <w:pPr>
        <w:spacing w:after="0" w:line="205" w:lineRule="exact"/>
        <w:rPr>
          <w:rFonts w:ascii="Arial" w:cs="Arial" w:eastAsia="Arial" w:hAnsi="Arial"/>
          <w:sz w:val="18"/>
          <w:szCs w:val="18"/>
          <w:color w:val="auto"/>
        </w:rPr>
      </w:pPr>
    </w:p>
    <w:p>
      <w:pPr>
        <w:ind w:left="820" w:right="180"/>
        <w:spacing w:after="0" w:line="252" w:lineRule="auto"/>
        <w:rPr>
          <w:rFonts w:ascii="Arial" w:cs="Arial" w:eastAsia="Arial" w:hAnsi="Arial"/>
          <w:sz w:val="18"/>
          <w:szCs w:val="18"/>
          <w:color w:val="auto"/>
        </w:rPr>
      </w:pPr>
      <w:r>
        <w:rPr>
          <w:rFonts w:ascii="Arial" w:cs="Arial" w:eastAsia="Arial" w:hAnsi="Arial"/>
          <w:sz w:val="18"/>
          <w:szCs w:val="18"/>
          <w:color w:val="auto"/>
        </w:rPr>
        <w:t>Our next-generation microinverter system, IQ 8™, is based upon our grid-agnostic “always on” Ensemble™ technology, which will allow a solar system to operate independently of the power grid is expected to be introduced in the fourth quarter of 2019. This system has four components: (i) energy generation, which is accomplished with the grid-agnostic microinverter IQ 8; (ii) energy storage, which is achieved by the Encharge™ battery with capacities of 3.3 kWh, 10 kWh and 13.2 kWh; (iii) communication and control called Enpower™, which consists of the Automatic Transfer Switch that provides fine-grained load control and the combiner box with the Envoy gateway; and (iv) Enlighten, which is the internet of things, or IoT, cloud software.</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 6 –</w:t>
      </w:r>
    </w:p>
    <w:p>
      <w:pPr>
        <w:sectPr>
          <w:pgSz w:w="11900" w:h="16838" w:orient="portrait"/>
          <w:cols w:equalWidth="0" w:num="1">
            <w:col w:w="11400"/>
          </w:cols>
          <w:pgMar w:left="240" w:top="283" w:right="259" w:bottom="1440" w:gutter="0" w:footer="0" w:header="0"/>
        </w:sectPr>
      </w:pPr>
    </w:p>
    <w:bookmarkStart w:id="6" w:name="page7"/>
    <w:bookmarkEnd w:id="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820" w:right="320"/>
        <w:spacing w:after="0" w:line="262" w:lineRule="auto"/>
        <w:rPr>
          <w:sz w:val="20"/>
          <w:szCs w:val="20"/>
          <w:color w:val="auto"/>
        </w:rPr>
      </w:pPr>
      <w:r>
        <w:rPr>
          <w:rFonts w:ascii="Arial" w:cs="Arial" w:eastAsia="Arial" w:hAnsi="Arial"/>
          <w:sz w:val="18"/>
          <w:szCs w:val="18"/>
          <w:color w:val="auto"/>
        </w:rPr>
        <w:t>The pure off-grid solution that Ensemble technology also addresses shipped in limited quantities to our partner on IQ 8 during the fourth quarter of 2018 and we expect to ramp production in the first half of 2019.</w:t>
      </w:r>
    </w:p>
    <w:p>
      <w:pPr>
        <w:spacing w:after="0" w:line="196" w:lineRule="exact"/>
        <w:rPr>
          <w:sz w:val="20"/>
          <w:szCs w:val="20"/>
          <w:color w:val="auto"/>
        </w:rPr>
      </w:pPr>
    </w:p>
    <w:p>
      <w:pPr>
        <w:ind w:left="820" w:right="220" w:hanging="326"/>
        <w:spacing w:after="0" w:line="25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Enphase AC Battery™, a key part of the Enphase Home Energy Solution, applies the modular architecture developed for our microinverter to energy storage. Solar-plus-storage, which includes our AC Battery product, is central to our product strategy. Our approach delivers low up-front costs resulting from the AC Battery’s system design and the ease and speed of installation. The AC battery balances safety and performance and is warranted for 10 years.</w:t>
      </w:r>
    </w:p>
    <w:p>
      <w:pPr>
        <w:spacing w:after="0" w:line="204" w:lineRule="exact"/>
        <w:rPr>
          <w:rFonts w:ascii="Arial" w:cs="Arial" w:eastAsia="Arial" w:hAnsi="Arial"/>
          <w:sz w:val="18"/>
          <w:szCs w:val="18"/>
          <w:color w:val="auto"/>
        </w:rPr>
      </w:pPr>
    </w:p>
    <w:p>
      <w:pPr>
        <w:ind w:left="820" w:right="20" w:hanging="326"/>
        <w:spacing w:after="0" w:line="25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Envoy™ Communications Gateway with IQ Combiner+ is installed at the system location and serves as a hub providing three critical roles: collecting and sending data to Enlighten software, receiving and distributing microinverter firmware or software updates, and managing the use of energy within the system. Homeowners can maximize the value of their solar PV system, taking advantage of self-consumption and time-of-use tariff management opportunities with an expandable platform for evolving uses of energy storage, such as residential peak shaving and grid services. One Envoy is typically sold with each solar installation and can support up to 600 Enphase microinverters, making it compatible for both residential and commercial applications.</w:t>
      </w:r>
    </w:p>
    <w:p>
      <w:pPr>
        <w:spacing w:after="0" w:line="208" w:lineRule="exact"/>
        <w:rPr>
          <w:rFonts w:ascii="Arial" w:cs="Arial" w:eastAsia="Arial" w:hAnsi="Arial"/>
          <w:sz w:val="18"/>
          <w:szCs w:val="18"/>
          <w:color w:val="auto"/>
        </w:rPr>
      </w:pPr>
    </w:p>
    <w:p>
      <w:pPr>
        <w:ind w:left="820" w:right="220" w:hanging="326"/>
        <w:spacing w:after="0" w:line="25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Enlighten cloud-based software provides the capabilities to remotely monitor, manage, and maintain an individual system or a fleet of systems. System owners can use Enphase Enlighten to monitor their home’s solar generation, energy storage and consumption from any web-enabled device. The software collects and analyzes system performance information to enable owners and operators to realize the highest performance of their solar PV system. Two versions of the monitoring software are available: MyEnlighten™, designed for consumers, which provides performance assurance and Enlighten Manager™, available for the solar professional, which provides detailed diagnostic capabilities, as well as fleet management tools.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benefits of our Home Energy Solution with IQ include:</w:t>
      </w:r>
    </w:p>
    <w:p>
      <w:pPr>
        <w:spacing w:after="0" w:line="207" w:lineRule="exact"/>
        <w:rPr>
          <w:sz w:val="20"/>
          <w:szCs w:val="20"/>
          <w:color w:val="auto"/>
        </w:rPr>
      </w:pPr>
    </w:p>
    <w:p>
      <w:pPr>
        <w:ind w:left="820" w:hanging="326"/>
        <w:spacing w:after="0" w:line="26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Truly Integrated. </w:t>
      </w:r>
      <w:r>
        <w:rPr>
          <w:rFonts w:ascii="Arial" w:cs="Arial" w:eastAsia="Arial" w:hAnsi="Arial"/>
          <w:sz w:val="18"/>
          <w:szCs w:val="18"/>
          <w:color w:val="auto"/>
        </w:rPr>
        <w:t>The Enphase Home Energy Solution with IQ is a fully integrated solar generation plus storage offering from one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Designed and manufactured to work together, the Enphase Home Energy Solution with IQ is a truly integrated home energy solution.</w:t>
      </w:r>
    </w:p>
    <w:p>
      <w:pPr>
        <w:spacing w:after="0" w:line="176" w:lineRule="exact"/>
        <w:rPr>
          <w:rFonts w:ascii="Arial" w:cs="Arial" w:eastAsia="Arial" w:hAnsi="Arial"/>
          <w:sz w:val="18"/>
          <w:szCs w:val="18"/>
          <w:color w:val="auto"/>
        </w:rPr>
      </w:pPr>
    </w:p>
    <w:p>
      <w:pPr>
        <w:ind w:left="820" w:right="40" w:hanging="326"/>
        <w:spacing w:after="0" w:line="25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Higher Performance. </w:t>
      </w:r>
      <w:r>
        <w:rPr>
          <w:rFonts w:ascii="Arial" w:cs="Arial" w:eastAsia="Arial" w:hAnsi="Arial"/>
          <w:sz w:val="18"/>
          <w:szCs w:val="18"/>
          <w:color w:val="auto"/>
        </w:rPr>
        <w:t>Our microinverter system delivers higher performance by maximizing the energy production of each module. A</w:t>
      </w:r>
      <w:r>
        <w:rPr>
          <w:rFonts w:ascii="Arial" w:cs="Arial" w:eastAsia="Arial" w:hAnsi="Arial"/>
          <w:sz w:val="18"/>
          <w:szCs w:val="18"/>
          <w:i w:val="1"/>
          <w:iCs w:val="1"/>
          <w:color w:val="auto"/>
        </w:rPr>
        <w:t xml:space="preserve"> </w:t>
      </w:r>
      <w:r>
        <w:rPr>
          <w:rFonts w:ascii="Arial" w:cs="Arial" w:eastAsia="Arial" w:hAnsi="Arial"/>
          <w:sz w:val="18"/>
          <w:szCs w:val="18"/>
          <w:color w:val="auto"/>
        </w:rPr>
        <w:t>microinverter at each module overcomes issues such as module-mismatch and soiling or shading which can have a significant impact on string inverter systems. Our microinverters also provide greater system availability with no single-point of failure. An independent analysis from PV Evolution Labs has concluded that an Enphase microinverter system yields higher performance over systems with string inverters or traditional inverters. We believe that our microinverter systems achieve higher energy production and can generate superior returns on investment relative to competitive solutions for system owners.</w:t>
      </w:r>
    </w:p>
    <w:p>
      <w:pPr>
        <w:spacing w:after="0" w:line="182" w:lineRule="exact"/>
        <w:rPr>
          <w:rFonts w:ascii="Arial" w:cs="Arial" w:eastAsia="Arial" w:hAnsi="Arial"/>
          <w:sz w:val="18"/>
          <w:szCs w:val="18"/>
          <w:color w:val="auto"/>
        </w:rPr>
      </w:pPr>
    </w:p>
    <w:p>
      <w:pPr>
        <w:ind w:left="820" w:right="80" w:hanging="326"/>
        <w:spacing w:after="0" w:line="25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Simplified Design and Installation. </w:t>
      </w:r>
      <w:r>
        <w:rPr>
          <w:rFonts w:ascii="Arial" w:cs="Arial" w:eastAsia="Arial" w:hAnsi="Arial"/>
          <w:sz w:val="18"/>
          <w:szCs w:val="18"/>
          <w:color w:val="auto"/>
        </w:rPr>
        <w:t>Our all-AC infrastructure simplifies the design process and eliminates the typical costs of a</w:t>
      </w:r>
      <w:r>
        <w:rPr>
          <w:rFonts w:ascii="Arial" w:cs="Arial" w:eastAsia="Arial" w:hAnsi="Arial"/>
          <w:sz w:val="18"/>
          <w:szCs w:val="18"/>
          <w:i w:val="1"/>
          <w:iCs w:val="1"/>
          <w:color w:val="auto"/>
        </w:rPr>
        <w:t xml:space="preserve"> </w:t>
      </w:r>
      <w:r>
        <w:rPr>
          <w:rFonts w:ascii="Arial" w:cs="Arial" w:eastAsia="Arial" w:hAnsi="Arial"/>
          <w:sz w:val="18"/>
          <w:szCs w:val="18"/>
          <w:color w:val="auto"/>
        </w:rPr>
        <w:t>complicated DC voltage system for PV or storage. In addition, our microinverters are installed on the roof and hidden from view, with minimal impact to the aesthetics of a home or building. We also offer additional tools, such as the Enphase Installer Toolkit mobile app or the Enphase IQ Combiner+™ with Enphase IQ Envoy™, which offer unmatched simplicity, reliability and ease of installation for solar installers.</w:t>
      </w:r>
    </w:p>
    <w:p>
      <w:pPr>
        <w:spacing w:after="0" w:line="183" w:lineRule="exact"/>
        <w:rPr>
          <w:rFonts w:ascii="Arial" w:cs="Arial" w:eastAsia="Arial" w:hAnsi="Arial"/>
          <w:sz w:val="18"/>
          <w:szCs w:val="18"/>
          <w:color w:val="auto"/>
        </w:rPr>
      </w:pPr>
    </w:p>
    <w:p>
      <w:pPr>
        <w:ind w:left="820" w:right="40" w:hanging="326"/>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Enhanced Safety. </w:t>
      </w:r>
      <w:r>
        <w:rPr>
          <w:rFonts w:ascii="Arial" w:cs="Arial" w:eastAsia="Arial" w:hAnsi="Arial"/>
          <w:sz w:val="18"/>
          <w:szCs w:val="18"/>
          <w:color w:val="auto"/>
        </w:rPr>
        <w:t>Microinverters and AC Batteries are safer because they process low voltage DC and are isolated to the module</w:t>
      </w:r>
      <w:r>
        <w:rPr>
          <w:rFonts w:ascii="Arial" w:cs="Arial" w:eastAsia="Arial" w:hAnsi="Arial"/>
          <w:sz w:val="18"/>
          <w:szCs w:val="18"/>
          <w:i w:val="1"/>
          <w:iCs w:val="1"/>
          <w:color w:val="auto"/>
        </w:rPr>
        <w:t xml:space="preserve"> </w:t>
      </w:r>
      <w:r>
        <w:rPr>
          <w:rFonts w:ascii="Arial" w:cs="Arial" w:eastAsia="Arial" w:hAnsi="Arial"/>
          <w:sz w:val="18"/>
          <w:szCs w:val="18"/>
          <w:color w:val="auto"/>
        </w:rPr>
        <w:t>level, leading to an all-AC architecture. Our microinverter system does not contain any of the high voltages common to string inverter systems. High voltage arc faults associated with string or traditional inverters are the leading cause of fires in solar PV installations. Microinverter technology mitigates this safety risk.</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 7 –</w:t>
      </w:r>
    </w:p>
    <w:p>
      <w:pPr>
        <w:sectPr>
          <w:pgSz w:w="11900" w:h="16838" w:orient="portrait"/>
          <w:cols w:equalWidth="0" w:num="1">
            <w:col w:w="11400"/>
          </w:cols>
          <w:pgMar w:left="240" w:top="283" w:right="259" w:bottom="1440" w:gutter="0" w:footer="0" w:header="0"/>
        </w:sectPr>
      </w:pPr>
    </w:p>
    <w:bookmarkStart w:id="7" w:name="page8"/>
    <w:bookmarkEnd w:id="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180" w:hanging="326"/>
        <w:spacing w:after="0" w:line="25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Reduced Operations and Maintenance Costs. </w:t>
      </w:r>
      <w:r>
        <w:rPr>
          <w:rFonts w:ascii="Arial" w:cs="Arial" w:eastAsia="Arial" w:hAnsi="Arial"/>
          <w:sz w:val="18"/>
          <w:szCs w:val="18"/>
          <w:color w:val="auto"/>
        </w:rPr>
        <w:t>Our microinverter system is highly reliable with one million power-on hours of testing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into our microinverter design. This high reliability, plus a distributed architecture means ongoing operations and maintenance do not require emergency truck rolls, unlike string inverter or traditional inverters which have a 100% probability of failure leading to full replacement within 10 to 12 years. In addition, with module-level monitoring capabilities, remote maintenance can pinpoint issues, thus reducing any time on site. Finally, the networked-nature of our system enables us to remotely update the firmware and software of the microinverters, reducing ongoing utility compliance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Our objective is to be the leading provider of energy management solutions for the solar industry worldwide. Key elements of our strategy include:</w:t>
      </w:r>
    </w:p>
    <w:p>
      <w:pPr>
        <w:spacing w:after="0" w:line="178" w:lineRule="exact"/>
        <w:rPr>
          <w:sz w:val="20"/>
          <w:szCs w:val="20"/>
          <w:color w:val="auto"/>
        </w:rPr>
      </w:pPr>
    </w:p>
    <w:p>
      <w:pPr>
        <w:ind w:left="820" w:right="540" w:hanging="326"/>
        <w:spacing w:after="0" w:line="28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Grow market share in our core markets. </w:t>
      </w:r>
      <w:r>
        <w:rPr>
          <w:rFonts w:ascii="Arial" w:cs="Arial" w:eastAsia="Arial" w:hAnsi="Arial"/>
          <w:sz w:val="18"/>
          <w:szCs w:val="18"/>
          <w:color w:val="auto"/>
        </w:rPr>
        <w:t>We intend to capitalize on our market leadership in the microinverter category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momentum with installers and owners to expand our market share position in our core markets.</w:t>
      </w:r>
    </w:p>
    <w:p>
      <w:pPr>
        <w:spacing w:after="0" w:line="161" w:lineRule="exact"/>
        <w:rPr>
          <w:rFonts w:ascii="Arial" w:cs="Arial" w:eastAsia="Arial" w:hAnsi="Arial"/>
          <w:sz w:val="18"/>
          <w:szCs w:val="18"/>
          <w:color w:val="auto"/>
        </w:rPr>
      </w:pPr>
    </w:p>
    <w:p>
      <w:pPr>
        <w:ind w:left="820" w:right="80" w:hanging="326"/>
        <w:spacing w:after="0" w:line="28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Enter new geographic markets. </w:t>
      </w:r>
      <w:r>
        <w:rPr>
          <w:rFonts w:ascii="Arial" w:cs="Arial" w:eastAsia="Arial" w:hAnsi="Arial"/>
          <w:sz w:val="18"/>
          <w:szCs w:val="18"/>
          <w:color w:val="auto"/>
        </w:rPr>
        <w:t>We intend to further increase our market share in Europe, Asia Pacific and Latin America regions.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intend to expand into new markets with new and existing products and local go-to-market capabilities.</w:t>
      </w:r>
    </w:p>
    <w:p>
      <w:pPr>
        <w:spacing w:after="0" w:line="161" w:lineRule="exact"/>
        <w:rPr>
          <w:rFonts w:ascii="Arial" w:cs="Arial" w:eastAsia="Arial" w:hAnsi="Arial"/>
          <w:sz w:val="18"/>
          <w:szCs w:val="18"/>
          <w:color w:val="auto"/>
        </w:rPr>
      </w:pPr>
    </w:p>
    <w:p>
      <w:pPr>
        <w:ind w:left="820" w:right="220" w:hanging="326"/>
        <w:spacing w:after="0" w:line="26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Expand our product offerings. </w:t>
      </w:r>
      <w:r>
        <w:rPr>
          <w:rFonts w:ascii="Arial" w:cs="Arial" w:eastAsia="Arial" w:hAnsi="Arial"/>
          <w:sz w:val="18"/>
          <w:szCs w:val="18"/>
          <w:color w:val="auto"/>
        </w:rPr>
        <w:t>We continue to invest in research and development to develop all components of our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solution and remain committed to providing our customers and partners with best-in-class power electronics, storage solutions, communications, and load control all managed by a cloud-based energy management system.</w:t>
      </w:r>
    </w:p>
    <w:p>
      <w:pPr>
        <w:spacing w:after="0" w:line="176" w:lineRule="exact"/>
        <w:rPr>
          <w:rFonts w:ascii="Arial" w:cs="Arial" w:eastAsia="Arial" w:hAnsi="Arial"/>
          <w:sz w:val="18"/>
          <w:szCs w:val="18"/>
          <w:color w:val="auto"/>
        </w:rPr>
      </w:pPr>
    </w:p>
    <w:p>
      <w:pPr>
        <w:ind w:left="820" w:right="180" w:hanging="326"/>
        <w:spacing w:after="0" w:line="26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Increase power and efficiency and reduce cost per watt. </w:t>
      </w:r>
      <w:r>
        <w:rPr>
          <w:rFonts w:ascii="Arial" w:cs="Arial" w:eastAsia="Arial" w:hAnsi="Arial"/>
          <w:sz w:val="18"/>
          <w:szCs w:val="18"/>
          <w:color w:val="auto"/>
        </w:rPr>
        <w:t>Our engineering team is focused on continuing to increase average power</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efficiency above 97% and AC output power beyond 280 watts. We intend to continue to leverage our semiconductor integration, power electronics expertise and manufacturing economies of scale to further reduce cost per watt.</w:t>
      </w:r>
    </w:p>
    <w:p>
      <w:pPr>
        <w:spacing w:after="0" w:line="176" w:lineRule="exact"/>
        <w:rPr>
          <w:rFonts w:ascii="Arial" w:cs="Arial" w:eastAsia="Arial" w:hAnsi="Arial"/>
          <w:sz w:val="18"/>
          <w:szCs w:val="18"/>
          <w:color w:val="auto"/>
        </w:rPr>
      </w:pPr>
    </w:p>
    <w:p>
      <w:pPr>
        <w:ind w:left="820" w:right="520" w:hanging="326"/>
        <w:spacing w:after="0" w:line="28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Extend our technological innovation. </w:t>
      </w:r>
      <w:r>
        <w:rPr>
          <w:rFonts w:ascii="Arial" w:cs="Arial" w:eastAsia="Arial" w:hAnsi="Arial"/>
          <w:sz w:val="18"/>
          <w:szCs w:val="18"/>
          <w:color w:val="auto"/>
        </w:rPr>
        <w:t>We distinguish ourselves from other inverter companies with our systems-based and high</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approach, and the ability to leverage strong research and development capabilities.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currently offer solutions targeting the residential and commercial markets in the U.S., Canada, Mexico and Central American markets, Europe, Australia, New Zealand, India and certain other Asian markets. We sell our solutions primarily to solar distributors who resell to installers and integrators, who in turn integrate our products into complete solar PV installations for residential and commercial system owners. We work with many of the leading solar and electrical distributors. In addition to our distributors, we sell directly to large installers, original equipment manufacturers (“OEM”), strategic partners and homeowners. Our OEM customers include solar module manufacturers who bundle our products and solutions with their solar module products and resell to both distributors and installers. Strategic partners include a variety of companies including industrial equipment suppliers and providers of solar financing solutions. In 2018, one customer accounted for approximately 19% of total net revenues. Over the last three years, revenues generated from the U.S. market have represented 69% to 80% of our total revenue.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Quality Control and Key Suppliers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outsource the manufacturing of our products to manufacturing partners. Flex Ltd. and affiliates (“Flex”) assemble and test our microinverter, AC Battery and Envoy products. Prices for such services are agreed to by the parties on a quarterly basis, and we are obligated to purchase manufactured products and raw materials that cannot be resold upon the termination of the agreement. Flex also provides receiving, kitting, storage, transportation, inventory visibility and other value-added logistics services at locations managed by Flex. Hong Kong Sinbon Industrial Limited manufactures our custom AC cables. In addition, we rely on several unaffiliated companies to supply certain components used in the fabrication of our products.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83" w:right="259" w:bottom="1440" w:gutter="0" w:footer="0" w:header="0"/>
        </w:sectPr>
      </w:pPr>
    </w:p>
    <w:bookmarkStart w:id="8" w:name="page9"/>
    <w:bookmarkEnd w:id="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ind w:right="220" w:firstLine="486"/>
        <w:spacing w:after="0" w:line="254" w:lineRule="auto"/>
        <w:rPr>
          <w:sz w:val="20"/>
          <w:szCs w:val="20"/>
          <w:color w:val="auto"/>
        </w:rPr>
      </w:pPr>
      <w:r>
        <w:rPr>
          <w:rFonts w:ascii="Arial" w:cs="Arial" w:eastAsia="Arial" w:hAnsi="Arial"/>
          <w:sz w:val="18"/>
          <w:szCs w:val="18"/>
          <w:color w:val="auto"/>
        </w:rPr>
        <w:t>Our partnership with Flex provides us with strategic manufacturing capabilities and flexibility. We announced in 2018 that starting in the second quarter of 2019, Flex is expected to begin producing our products in Mexico to serve the markets in the Americas. We anticipate that this additional manufacturing capacity in Mexico could help us to not only mitigate tariffs, but also better serve our customers by cutting down delivery times.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continue to cultivate an organizational focus on customer satisfaction and are committed to providing a best-in-class customer experience. We maintain high levels of customer engagement through our customer support group and the Enlighten cloud-based software portal. During 2018, we introduced self-service support tools to help installers and homeowners solve their problems quickly. We launched Service-on-the-Go™, which installers can use from their mobile devices to get service instantly. We also started tracking our Net Promoter Score (commonly referred to as “NPS”) as another tool to measure how our customers perceive us and how likely they are to recommend us to a friend or colleague.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devote substantial resources to research and development with the objective of developing new products and systems, adding new features to existing products and systems and reducing unit costs. Our development strategy is to identify features, products and systems for both software and hardware that reduce the cost and optimize the effectiveness of our energy management solutions for our customers. We measure the effectiveness of our research and development against metrics, including product unit cost, efficiency, reliability, power output and ease-of-use.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operate in an industry in which innovation, investment in new ideas and protection of our intellectual property, or IP, rights are critical for success. We protect our technology through a variety of means, including through patent, trademark, copyright and trade secrets laws in the U.S. and similar laws in other countries, confidentiality agreements and other contractual arrangements. As of December 31, 2018, we had 220 issued U.S. patents, 118 issued foreign patents, 71 pending U.S. patent applications and 70 pending foreign counterpart patent applications. Our issued patents are scheduled to expire between years 2020 and 2037.</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license certain power line communications technology and software for integration into our ASICs under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third-party manufacturer of electronic components or systems for use in the solar energy market. The license carries a 75-year term, subject to earlier termination upon agreement of the parties, or by us in connection with the insolvency of the licensor.</w:t>
      </w:r>
    </w:p>
    <w:p>
      <w:pPr>
        <w:spacing w:after="0" w:line="20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also license digital intellectual property cores, or IP blocks, for integration into and distribution with certain electronic components built into our products, including our ASICs, complex programmable logic devices, or CPLDs, and field -programmable gate arrays, or FPGAs. This is a fully-paid, non-exclusive, non-transferable,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21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continually assess the need for patent protection for those aspects of our technology, designs and methodologies and processes that we believe provide significant competitive advantages. A majority of our patents relate to DC to AC power conversion for alternative energy power systems, as well as power system monitoring, control and management systems.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3" w:right="239" w:bottom="1440" w:gutter="0" w:footer="0" w:header="0"/>
        </w:sectPr>
      </w:pPr>
    </w:p>
    <w:bookmarkStart w:id="9" w:name="page10"/>
    <w:bookmarkEnd w:id="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With respect to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204"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202"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technology or business plans.</w:t>
      </w:r>
    </w:p>
    <w:p>
      <w:pPr>
        <w:spacing w:after="0" w:line="1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As part of our overall strategy to protect our intellectual property, we may take legal actions to prevent third parties from infringing upon or misappropriating our intellectual property or from otherwise gaining access to our technology.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Historically, the majority of our revenues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Although these seasonal factors are common in the solar sector, historical patterns should not be considered a reliable indicator of our future sales activity or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markets for our products are highly competitive, and we compete with traditional inverter manufacturers and new technology start-ups. The principal areas in which we compete with other companies include:</w:t>
      </w:r>
    </w:p>
    <w:p>
      <w:pPr>
        <w:spacing w:after="0" w:line="196"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sales and distribution capabilities;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Module compatibility and interoperability;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Reliability and duration of product warranty;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current and planned local electrical codes;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with storage offerings;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Size and financial stability of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Size of installed base;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manufacturing and product content.</w:t>
      </w:r>
    </w:p>
    <w:p>
      <w:pPr>
        <w:sectPr>
          <w:pgSz w:w="11900" w:h="16838" w:orient="portrait"/>
          <w:cols w:equalWidth="0" w:num="1">
            <w:col w:w="11400"/>
          </w:cols>
          <w:pgMar w:left="240" w:top="283" w:right="2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ectPr>
          <w:pgSz w:w="11900" w:h="16838" w:orient="portrait"/>
          <w:cols w:equalWidth="0" w:num="1">
            <w:col w:w="11400"/>
          </w:cols>
          <w:pgMar w:left="240" w:top="283" w:right="259" w:bottom="1440" w:gutter="0" w:footer="0" w:header="0"/>
          <w:type w:val="continuous"/>
        </w:sectPr>
      </w:pPr>
    </w:p>
    <w:bookmarkStart w:id="10" w:name="page11"/>
    <w:bookmarkEnd w:id="1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Competitors in the inverter market include, among others, SolarEdge Technologies, Inc., SMA Solar Technology AG, Huawei Technologies Co. Ltd., Fronius International GmbH and ABB Ltd., and other companies offering alternative microinverter, DC-to-DC optimizer and other power electronic solutions.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or string inverter technology, even when supplemented by DC-to-DC optimizers. Competitors in the storage market include producers of battery cells and other integrated storage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As of December 31, 2018, we had 427 full-time employees. Of the full-time employees, 179 were engaged in research and development, 157 in sales and marketing, 51 in general and administration and 40 in manufacturing and operations. Of these employees, 195 were in the United States, 140 in India, 48 in New Zealand, 21 in Europe, 16 in Australia, 6 in China and 1 in Canada.</w:t>
      </w:r>
    </w:p>
    <w:p>
      <w:pPr>
        <w:spacing w:after="0" w:line="202" w:lineRule="exact"/>
        <w:rPr>
          <w:sz w:val="20"/>
          <w:szCs w:val="20"/>
          <w:color w:val="auto"/>
        </w:rPr>
      </w:pPr>
    </w:p>
    <w:p>
      <w:pPr>
        <w:jc w:val="both"/>
        <w:ind w:right="80" w:firstLine="486"/>
        <w:spacing w:after="0" w:line="262" w:lineRule="auto"/>
        <w:rPr>
          <w:sz w:val="20"/>
          <w:szCs w:val="20"/>
          <w:color w:val="auto"/>
        </w:rPr>
      </w:pPr>
      <w:r>
        <w:rPr>
          <w:rFonts w:ascii="Arial" w:cs="Arial" w:eastAsia="Arial" w:hAnsi="Arial"/>
          <w:sz w:val="18"/>
          <w:szCs w:val="18"/>
          <w:color w:val="auto"/>
        </w:rPr>
        <w:t>None of our employees are represented by a labor union; however, our employees in France are represented by a collective bargaining agreement. We have not experienced any employment-related work stoppages, and we consider our relations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file electronically with the U.S. Securities and Exchange Commission, or SEC, our annual reports on Form 10-K, quarterly reports on Form 10-Q, current reports on Form 8-K, and amendments to those reports filed pursuant to Section 13(a) or 15(d) of the Securities Exchange Act of 1934, as amended, or the Exchange Act. We make available on our website at www.enphase.com (under “Company-Investors-Financials-SEC Filings”), free of charge, copies of these reports as soon as reasonably practicable after filing these reports with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w:t>
      </w:r>
    </w:p>
    <w:p>
      <w:pPr>
        <w:spacing w:after="0" w:line="17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175" w:lineRule="exact"/>
        <w:rPr>
          <w:sz w:val="20"/>
          <w:szCs w:val="20"/>
          <w:color w:val="auto"/>
        </w:rPr>
      </w:pPr>
    </w:p>
    <w:p>
      <w:pPr>
        <w:jc w:val="both"/>
        <w:ind w:right="320" w:firstLine="486"/>
        <w:spacing w:after="0" w:line="254" w:lineRule="auto"/>
        <w:rPr>
          <w:sz w:val="20"/>
          <w:szCs w:val="20"/>
          <w:color w:val="auto"/>
        </w:rPr>
      </w:pPr>
      <w:r>
        <w:rPr>
          <w:rFonts w:ascii="Arial" w:cs="Arial" w:eastAsia="Arial" w:hAnsi="Arial"/>
          <w:sz w:val="18"/>
          <w:szCs w:val="18"/>
          <w:color w:val="auto"/>
        </w:rPr>
        <w:t>The current U.S. presidential administration has created and may continue to create regulatory uncertainty in the clean energy sector generally and the solar energy sector in particular. If the administration or the U.S. Congress takes action to eliminate or reduce legislation, regulations and incentives supporting solar energy, such actions may result in a decrease in demand for solar energy in the U.S. and other geographical markets, which could materially harm our business, financial condition and results of operations.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83" w:right="279" w:bottom="1440" w:gutter="0" w:footer="0" w:header="0"/>
        </w:sectPr>
      </w:pPr>
    </w:p>
    <w:bookmarkStart w:id="11" w:name="page12"/>
    <w:bookmarkEnd w:id="1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On September 24, 2018 the U.S. began assessing 10% tariffs on our microinverter products and related accessories which are manufactured in China. These tariffs are expected to increase to 25% on March 1, 2019. Such tariffs could have a negative impact on the overall demand for solar products in the U.S., and for our products in particular. Unless we obtain exemptions or take other actions to avoid them, such tariffs will continue to apply to our microinverters and other products. Such tariffs could hurt the demand for these products and materially harm our business, financial condition and results of operations. There is no guarantee that we will be successful in obtaining exemptions or that any actions that we may pursue with respect to the organization and operation of our business will effectively mitigate the effects of any tariffs that apply to our business. If we are not able to avoid or mitigate the effects of such tariffs, the tariffs (or mitigating actions we might take) could result in material additional costs to us and our suppliers, and our results of operations could be negatively impacted as a result.</w:t>
      </w:r>
    </w:p>
    <w:p>
      <w:pPr>
        <w:spacing w:after="0" w:line="21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elsewhere. The U.S., Mexico and Canada are in the process of replacing the North American Free Trade Agreement (“NAFTA”) with the United States-Mexico-Canada Agreement (“USMCA”). At this time, the final version of the USMCA remains unclear. If the USMCA, or any other trade action taken by the administration, imposes any additional border tariff or takes any other actions making it more difficult for us to sell our products across international boundaries,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204"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microinverter and AC Battery storage systems are utilized in solar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PV systems as an alternative energy source at levels sufficient to continue to grow our business. Traditional electricity distribution is based on the regulated industry model under which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06"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225" w:lineRule="exact"/>
        <w:rPr>
          <w:rFonts w:ascii="Arial" w:cs="Arial" w:eastAsia="Arial" w:hAnsi="Arial"/>
          <w:sz w:val="18"/>
          <w:szCs w:val="18"/>
          <w:color w:val="auto"/>
        </w:rPr>
      </w:pPr>
    </w:p>
    <w:p>
      <w:pPr>
        <w:ind w:left="820" w:right="30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196" w:lineRule="exact"/>
        <w:rPr>
          <w:rFonts w:ascii="Arial" w:cs="Arial" w:eastAsia="Arial" w:hAnsi="Arial"/>
          <w:sz w:val="18"/>
          <w:szCs w:val="18"/>
          <w:color w:val="auto"/>
        </w:rPr>
      </w:pPr>
    </w:p>
    <w:p>
      <w:pPr>
        <w:ind w:left="820" w:right="72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196" w:lineRule="exact"/>
        <w:rPr>
          <w:rFonts w:ascii="Arial" w:cs="Arial" w:eastAsia="Arial" w:hAnsi="Arial"/>
          <w:sz w:val="18"/>
          <w:szCs w:val="18"/>
          <w:color w:val="auto"/>
        </w:rPr>
      </w:pPr>
    </w:p>
    <w:p>
      <w:pPr>
        <w:ind w:left="820" w:right="36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ectPr>
          <w:pgSz w:w="11900" w:h="16838" w:orient="portrait"/>
          <w:cols w:equalWidth="0" w:num="1">
            <w:col w:w="11380"/>
          </w:cols>
          <w:pgMar w:left="240" w:top="283" w:right="2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12 –</w:t>
      </w:r>
    </w:p>
    <w:p>
      <w:pPr>
        <w:sectPr>
          <w:pgSz w:w="11900" w:h="16838" w:orient="portrait"/>
          <w:cols w:equalWidth="0" w:num="1">
            <w:col w:w="11380"/>
          </w:cols>
          <w:pgMar w:left="240" w:top="283" w:right="279" w:bottom="1440" w:gutter="0" w:footer="0" w:header="0"/>
          <w:type w:val="continuous"/>
        </w:sectPr>
      </w:pPr>
    </w:p>
    <w:bookmarkStart w:id="12" w:name="page13"/>
    <w:bookmarkEnd w:id="1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820" w:right="280" w:hanging="326"/>
        <w:spacing w:after="0" w:line="26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96"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19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8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75"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In 2018, one customer accounted for approximately 19% of total net revenues.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We may also be affected by events impacting our large customers that result in their decreasing their orders with us or impairing their ability to pay for our products. The loss of, or events affecting, one or more of our large customers have had, could have and could continue to have a material adverse effect on our business, financial condition and results of operations.</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The failure to successfully integrate our products with those of SunPower could have a material adverse effect on our business, financial condition and results of operations.</w:t>
      </w:r>
    </w:p>
    <w:p>
      <w:pPr>
        <w:spacing w:after="0" w:line="17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August 9, 2018, we entered into a MSA with SunPower, from whom we also purchased certain intellectual property and other assets as part of the Asset Purchase Agreement (“APA”) transaction. Our failure to successfully integrate our microinverter products and software with SunPower’s solar modules could frustrate the purposes of our acquisition of SunPower’s assets, negatively impact our revenue projections, and otherwise have a material adverse effect on our business, financial condition and results of operations.</w:t>
      </w:r>
    </w:p>
    <w:p>
      <w:pPr>
        <w:spacing w:after="0" w:line="18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may fail to realize some or all of the anticipated benefits of the SunPower transaction which may result in conflicts between us and SunPower.</w:t>
      </w:r>
    </w:p>
    <w:p>
      <w:pPr>
        <w:spacing w:after="0" w:line="175"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Our ability to realize the anticipated benefits of the SunPower transaction will depend, to a large extent, on our ability to successfully execute the terms of the MSA, which could be a complex and time-consuming process. Any delay, failure or breach of obligations under the MSA could adversely impact the expected benefits of the transaction and could otherwise have a material adverse effect on our business, financial condition and results of operations.</w:t>
      </w:r>
    </w:p>
    <w:p>
      <w:pPr>
        <w:spacing w:after="0" w:line="204"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auto"/>
        </w:rPr>
        <w:t>Additionally, in connection with the APA transaction, SunPower acquired 7.5 million shares of our common stock and has the right to designate one member of our board of directors. Through its share ownership and board seat, SunPower may have the ability to directly or indirectly influence our business, and conflicts may arise between us and SunPower regarding corporate priorities and strategic objectives.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and our operations could be disrupted if we encounter problems with these contract manufacturers.</w:t>
      </w:r>
    </w:p>
    <w:p>
      <w:pPr>
        <w:spacing w:after="0" w:line="17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Our reliance on a small number of contract manufacturers makes us vulnerable to possible capacity constraints and reduced control over component availability, delivery schedules, manufacturing yields and costs. We do not have long-term supply contracts with our contract manufacturing partners. Consequently, these manufacturers are not obligated to supply products to us for any period, in any specified quantity or at any certain price.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3" w:right="239" w:bottom="1440" w:gutter="0" w:footer="0" w:header="0"/>
        </w:sectPr>
      </w:pPr>
    </w:p>
    <w:bookmarkStart w:id="13" w:name="page14"/>
    <w:bookmarkEnd w:id="1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products are manufactured are located outside of the U.S. We believe that the location of these facilities outside of the U.S. increases supply risk, including the risk of supply interruptions or reductions in manufacturing quality or controls.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Any significant interruption in manufacturing would require us to reduce our supply of products to our customers, which in turn would reduce our revenues, harm our relationships with our customers and cause us to forgo potential revenue opportunities.</w:t>
      </w:r>
    </w:p>
    <w:p>
      <w:pPr>
        <w:spacing w:after="0" w:line="18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7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20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 disruption could also occur in our contract manufacturer’s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schedules requested, which would negatively affect our revenue, competitive position and reputation.</w:t>
      </w:r>
    </w:p>
    <w:p>
      <w:pPr>
        <w:spacing w:after="0" w:line="204"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20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Component shortages have required us and may continue to require us to incur expedited shipping costs to meet delivery schedules, which impacts our revenue and gross profit.</w:t>
      </w:r>
    </w:p>
    <w:p>
      <w:pPr>
        <w:spacing w:after="0" w:line="19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 lines while problems are addressed or corrected. Since our business is substantially dependent on a limited number of product lines, any prolonged or substantial suspension could result in a material adverse effect on our revenue, gross profit, competitive position, and distributor and customer relationships.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80"/>
          </w:cols>
          <w:pgMar w:left="240" w:top="283" w:right="279" w:bottom="1440" w:gutter="0" w:footer="0" w:header="0"/>
        </w:sectPr>
      </w:pPr>
    </w:p>
    <w:bookmarkStart w:id="14" w:name="page15"/>
    <w:bookmarkEnd w:id="1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We depend on sole-source and limited-source suppliers for key components and products. If we are unable to source these components on a timely basis, we will not be able to deliver our products to our customers.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depend on sole-source and limited-source suppliers for key components of our products. For example, our ASICs are purchased from a sole source supplier or developed for us by sole source suppliers. Any of the sole-source and limited-source suppliers upon whom we rely could experience quality and reliability issues,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19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7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89"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7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any of whom would be difficult to replace. All of our employees, including our senior management, are free to terminate their employment relationships with us at any time. Competition for highly skilled personnel is extremely intense, and we face challenges identifying, hiring and retaining qualified personnel in many areas of our business. If we fail to retain existing or recruit new senior management and other key personnel or if we fail to attract additional qualified personnel, we may not be able to achieve our strategic objectives and our business could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could materially and adversely affect our results of operations.</w:t>
      </w:r>
    </w:p>
    <w:p>
      <w:pPr>
        <w:spacing w:after="0" w:line="247" w:lineRule="exact"/>
        <w:rPr>
          <w:sz w:val="20"/>
          <w:szCs w:val="20"/>
          <w:color w:val="auto"/>
        </w:rPr>
      </w:pPr>
    </w:p>
    <w:p>
      <w:pPr>
        <w:ind w:right="300" w:firstLine="486"/>
        <w:spacing w:after="0" w:line="252" w:lineRule="auto"/>
        <w:rPr>
          <w:sz w:val="20"/>
          <w:szCs w:val="20"/>
          <w:color w:val="auto"/>
        </w:rPr>
      </w:pPr>
      <w:r>
        <w:rPr>
          <w:rFonts w:ascii="Arial" w:cs="Arial" w:eastAsia="Arial" w:hAnsi="Arial"/>
          <w:sz w:val="18"/>
          <w:szCs w:val="18"/>
          <w:color w:val="auto"/>
        </w:rPr>
        <w:t>We may in the future seek to expand our business through further acquisitions and strategic transactions. Such transactions involve a number of risks that could harm our business or result in us not achieving anticipated benefits, including issues with integrating acquired businesses, the diversion of management time and attention, failures in due diligence or in identifying financial and legal liabilities and other risks, transaction related impairments or financial charges and the assumption of liabilities. In our future transactions, we may also decide to pay all or a portion of the transaction consideration through dilutive equity issuances, and our future acquisitions may require significant reductions in our available cash or the incurrence of indebtedness, all of which could harm our operating results.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83" w:right="239" w:bottom="1440" w:gutter="0" w:footer="0" w:header="0"/>
        </w:sectPr>
      </w:pPr>
    </w:p>
    <w:bookmarkStart w:id="15" w:name="page16"/>
    <w:bookmarkEnd w:id="1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247"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196"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225" w:lineRule="exact"/>
        <w:rPr>
          <w:rFonts w:ascii="Arial" w:cs="Arial" w:eastAsia="Arial" w:hAnsi="Arial"/>
          <w:sz w:val="18"/>
          <w:szCs w:val="18"/>
          <w:color w:val="auto"/>
        </w:rPr>
      </w:pPr>
    </w:p>
    <w:p>
      <w:pPr>
        <w:ind w:left="820" w:right="50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196" w:lineRule="exact"/>
        <w:rPr>
          <w:rFonts w:ascii="Arial" w:cs="Arial" w:eastAsia="Arial" w:hAnsi="Arial"/>
          <w:sz w:val="18"/>
          <w:szCs w:val="18"/>
          <w:color w:val="auto"/>
        </w:rPr>
      </w:pPr>
    </w:p>
    <w:p>
      <w:pPr>
        <w:ind w:left="820" w:right="42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196" w:lineRule="exact"/>
        <w:rPr>
          <w:rFonts w:ascii="Arial" w:cs="Arial" w:eastAsia="Arial" w:hAnsi="Arial"/>
          <w:sz w:val="18"/>
          <w:szCs w:val="18"/>
          <w:color w:val="auto"/>
        </w:rPr>
      </w:pPr>
    </w:p>
    <w:p>
      <w:pPr>
        <w:ind w:left="820" w:right="44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component shortages and related expedited shipping costs;</w:t>
      </w:r>
    </w:p>
    <w:p>
      <w:pPr>
        <w:spacing w:after="0" w:line="225" w:lineRule="exact"/>
        <w:rPr>
          <w:rFonts w:ascii="Arial" w:cs="Arial" w:eastAsia="Arial" w:hAnsi="Arial"/>
          <w:sz w:val="18"/>
          <w:szCs w:val="18"/>
          <w:color w:val="auto"/>
        </w:rPr>
      </w:pPr>
    </w:p>
    <w:p>
      <w:pPr>
        <w:ind w:left="820" w:right="20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assessed on our products imported to the U.S. and elsewhere;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incurred substantial net losses since our inception and we may continue to incur additional losses in the future. For the years ended December 31, 2018, 2017 and 2016, we incurred net losses of $11.6 million, $45.2 million and $ 67.5 million, respectively. At December 31, 2018, we had an accumulated deficit of $346.3 million. Our revenue growth may slow or revenue may decline for a number of reasons, many of which are outside our control, including a decline in demand for our offerings, increased competition, a decrease in the growth of the solar industry or our market share, future declines in average selling prices of our products, the impact of U.S. trade tariffs established in 2018 and expected to increase in 2019, the imposition of additional tariffs applicable to our industry or our products, or our failure to capitalize on growth opportunities. If we fail to generate sufficient revenue to support our operations, we may not be able to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83" w:right="259" w:bottom="1440" w:gutter="0" w:footer="0" w:header="0"/>
        </w:sectPr>
      </w:pPr>
    </w:p>
    <w:bookmarkStart w:id="16" w:name="page17"/>
    <w:bookmarkEnd w:id="1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The solar industry is highly competitive, and we expect to face increased competition as new and existing competitors introduce products, which could negatively impact our results of operations and market share.</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market for solar power solutions is highly competitive. To date, we have competed primarily against central and string inverter manufacturers, but as the solar industry rapidly grows, new solutions and technologies are emerging that will directly compete with our business. A number of companies have developed or are developing microinverters and other products that will compete directly with our solutions in the module-level power electronics market. Competitors in the inverter market include, among others, SolarEdge Technologies, Inc., SMA Solar Technology AG, Huawei Technologies Co. Ltd., Fronius International GmbH and ABB Ltd. Other existing or emerging companies may also begin offering alternative microinverter, DC-to-DC optimizer, energy storage, monitoring and other solutions that compete with our products.</w:t>
      </w:r>
    </w:p>
    <w:p>
      <w:pPr>
        <w:spacing w:after="0" w:line="20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or if we are unable to offset any future reductions in our average selling prices by increasing our sales volume, reducing our costs and expenses or introducing new products, our revenues and gross profit would suffer.</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DC-to-AC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systems or sell products that compete with our systems, which would negatively impact our revenue and gross profit.</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283" w:right="279" w:bottom="1440" w:gutter="0" w:footer="0" w:header="0"/>
        </w:sectPr>
      </w:pPr>
    </w:p>
    <w:bookmarkStart w:id="17" w:name="page18"/>
    <w:bookmarkEnd w:id="1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7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84"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b w:val="1"/>
          <w:bCs w:val="1"/>
          <w:i w:val="1"/>
          <w:iCs w:val="1"/>
          <w:color w:val="auto"/>
        </w:rPr>
        <w:t>Our PV systems, including our storage solution, integrated AC Module, eighth-generation IQ microinverters and Ensemble technology, may not achieve broader market acceptance, which would prevent us from increasing our revenue and market share.</w:t>
      </w:r>
    </w:p>
    <w:p>
      <w:pPr>
        <w:spacing w:after="0" w:line="152"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If we fail to achieve broader market acceptance of our products, including international acceptance of our anticipated eighth-generation IQ microinverters and Ensemble technology,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204" w:lineRule="exact"/>
        <w:rPr>
          <w:sz w:val="20"/>
          <w:szCs w:val="20"/>
          <w:color w:val="auto"/>
        </w:rPr>
      </w:pPr>
    </w:p>
    <w:p>
      <w:pPr>
        <w:ind w:left="820" w:right="78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produce PV systems that compete favorably against other solutions on the basis of price, quality, reliability and performance;</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225" w:lineRule="exact"/>
        <w:rPr>
          <w:rFonts w:ascii="Arial" w:cs="Arial" w:eastAsia="Arial" w:hAnsi="Arial"/>
          <w:sz w:val="18"/>
          <w:szCs w:val="18"/>
          <w:color w:val="auto"/>
        </w:rPr>
      </w:pPr>
    </w:p>
    <w:p>
      <w:pPr>
        <w:ind w:left="820" w:right="32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systems, which have a relatively limited history with respect to reliability and performance;</w:t>
      </w:r>
    </w:p>
    <w:p>
      <w:pPr>
        <w:spacing w:after="0" w:line="196" w:lineRule="exact"/>
        <w:rPr>
          <w:rFonts w:ascii="Arial" w:cs="Arial" w:eastAsia="Arial" w:hAnsi="Arial"/>
          <w:sz w:val="18"/>
          <w:szCs w:val="18"/>
          <w:color w:val="auto"/>
        </w:rPr>
      </w:pPr>
    </w:p>
    <w:p>
      <w:pPr>
        <w:ind w:left="820" w:right="16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storage solution, which is a relatively new technology with a limited history with respect to reliability and performance;</w:t>
      </w:r>
    </w:p>
    <w:p>
      <w:pPr>
        <w:spacing w:after="0" w:line="196" w:lineRule="exact"/>
        <w:rPr>
          <w:rFonts w:ascii="Arial" w:cs="Arial" w:eastAsia="Arial" w:hAnsi="Arial"/>
          <w:sz w:val="18"/>
          <w:szCs w:val="18"/>
          <w:color w:val="auto"/>
        </w:rPr>
      </w:pPr>
    </w:p>
    <w:p>
      <w:pPr>
        <w:ind w:left="820" w:right="42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196" w:lineRule="exact"/>
        <w:rPr>
          <w:rFonts w:ascii="Arial" w:cs="Arial" w:eastAsia="Arial" w:hAnsi="Arial"/>
          <w:sz w:val="18"/>
          <w:szCs w:val="18"/>
          <w:color w:val="auto"/>
        </w:rPr>
      </w:pPr>
    </w:p>
    <w:p>
      <w:pPr>
        <w:ind w:left="820" w:right="84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solutions.</w:t>
      </w:r>
    </w:p>
    <w:p>
      <w:pPr>
        <w:spacing w:after="0" w:line="1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7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including the U.S.,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w:t>
      </w:r>
    </w:p>
    <w:p>
      <w:pPr>
        <w:sectPr>
          <w:pgSz w:w="11900" w:h="16838" w:orient="portrait"/>
          <w:cols w:equalWidth="0" w:num="1">
            <w:col w:w="11420"/>
          </w:cols>
          <w:pgMar w:left="240" w:top="283" w:right="239" w:bottom="1440" w:gutter="0" w:footer="0" w:header="0"/>
          <w:type w:val="continuous"/>
        </w:sectPr>
      </w:pPr>
    </w:p>
    <w:bookmarkStart w:id="18" w:name="page19"/>
    <w:bookmarkEnd w:id="1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spacing w:after="0" w:line="190"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21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8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7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 These tax credits could be reduced or eliminated as part of tax code changes or regulatory reform initiatives by the current Congress and presidential administration.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3" w:right="239" w:bottom="1440" w:gutter="0" w:footer="0" w:header="0"/>
        </w:sectPr>
      </w:pPr>
    </w:p>
    <w:bookmarkStart w:id="19" w:name="page20"/>
    <w:bookmarkEnd w:id="1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Future legislative or regulatory changes in California may discourage further growth in the residential solar market.</w:t>
      </w:r>
    </w:p>
    <w:p>
      <w:pPr>
        <w:spacing w:after="0" w:line="204"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A number of European countries, including Germany, Belgium, Italy and the United Kingdom have adopted reductions in or concluded their net energy metering or FiT programs. Certain countries have proposed or enacted taxes levied on renewable energy. These and related developments have significantly impacted the solar industry in Europe and may adversely affect the future demand for the solar energy solutions in Europe.</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This policy supports both the installation of large-scale centralized renewable generation projects, along with small-scale systems of under 100kW each for residential and small business customers. 2018 saw the introduction of state-based incentive schemes, aimed at solar customers in the state of Victoria and battery storage in the state of South Australia. Other Australian states and territories are expected to introduce similar programs in 2019. Any change in, or failure to implement, these programs may adversely affect the demand for solar energy solutions in Australia.</w:t>
      </w:r>
    </w:p>
    <w:p>
      <w:pPr>
        <w:spacing w:after="0" w:line="20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U.S. federal and state tax credits, grants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8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75"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Changes in current laws or regulations, or the imposition of new laws and regulations around the world, could materially and adversely affect our business, financial condition and results of operations. In addition, changes in our products or further changes in tariffs,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206"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For example, several states or territories, including California, Hawaii and Queensland, Australia, have either implemented or are considering implementing new restrictions on incentives or rules regulating the installation of solar systems with which we may not be able to comply.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83" w:right="239" w:bottom="1440" w:gutter="0" w:footer="0" w:header="0"/>
        </w:sectPr>
      </w:pPr>
    </w:p>
    <w:bookmarkStart w:id="20" w:name="page21"/>
    <w:bookmarkEnd w:id="2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threat of global economic, capital markets and credit disruptions, including sovereign debt issues, pose risks for our business.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threat of global economic, capital markets and credit disruptions pose risks for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cyber-attacks, or other catastrophic events could harm our operations.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 fires. Further, a terrorist attack or cyber-attack, including one aimed at energy or communications infrastructure suppliers or our cloud-based monitoring service, could hinder or delay the development and sale or performance of our products. In the event that an earthquake, fire, tsunami, typhoon, terrorist or cyber-attack, or other natural, manmade or technical catastrophe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We could be subject to breaches of our information technology systems, which could cause significant reputational, legal and financial damages.</w:t>
      </w:r>
    </w:p>
    <w:p>
      <w:pPr>
        <w:spacing w:after="0" w:line="17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Like many companies, we use and store a wide variety of confidential and proprietary information relating to our business. Although we make significant efforts to maintain the security and integrity of our information technology and related systems, and have implemented measures to manage the risk of a security breach or disruption, there can be no assurance that our security efforts and measures will be effective, or that attempted security breaches or disruptions would not be successful or damaging.</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devote substantial resources to network security, data encryption, and other security measures to protect our systems and data, but these security measures cannot provide absolute security. The techniques used in attempted cyber-attacks and intrusions are sophisticated and constantly evolving, and may be difficult to detect for long periods of time. We may be unable to anticipate these techniques or implement adequate preventative measures. Although to date we have not experienced breaches of our systems that have had a material adverse effect on our business, attacks and intrusions on our systems will continue and we may experience a breach of our systems that compromises sensitive company information or customer data. In addition, hardware, software, or applications we develop or procure from third parties may contain defects in design or manufacture or other problems that could unexpectedly compromise information security. If we experience a significant data security breach, we could be exposed to reputational damage and significant costs, including to rebuild our systems, modify our products and services, defend litigation, respond to government enforcement actions, pay damages or take other remedial steps, any of which could adversely affect our business, results of operations, and financial condition.</w:t>
      </w:r>
    </w:p>
    <w:p>
      <w:pPr>
        <w:spacing w:after="0" w:line="21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may also share information with contractors and third-party providers to conduct our business. Although such contractors and third-party providers typically implement encryption and authentication technologies to secure the transmission and storage of data, those third-party providers may experience a significant data security breach, which may also detrimentally affect our business, results of operations, and financial condition.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283" w:right="239" w:bottom="1440" w:gutter="0" w:footer="0" w:header="0"/>
        </w:sectPr>
      </w:pPr>
    </w:p>
    <w:bookmarkStart w:id="21" w:name="page22"/>
    <w:bookmarkEnd w:id="2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207" w:lineRule="exact"/>
        <w:rPr>
          <w:sz w:val="20"/>
          <w:szCs w:val="20"/>
          <w:color w:val="auto"/>
        </w:rPr>
      </w:pPr>
    </w:p>
    <w:p>
      <w:pPr>
        <w:ind w:right="300" w:firstLine="486"/>
        <w:spacing w:after="0" w:line="252" w:lineRule="auto"/>
        <w:rPr>
          <w:sz w:val="20"/>
          <w:szCs w:val="20"/>
          <w:color w:val="auto"/>
        </w:rPr>
      </w:pPr>
      <w:r>
        <w:rPr>
          <w:rFonts w:ascii="Arial" w:cs="Arial" w:eastAsia="Arial" w:hAnsi="Arial"/>
          <w:sz w:val="18"/>
          <w:szCs w:val="18"/>
          <w:color w:val="auto"/>
        </w:rPr>
        <w:t>Effective May 25, 2018, the European Union, or EU, implemented the General Data Protection Regulation, or GDPR, a broad data protection framework that expands the scope of current EU data protection law to non-European Union entities that process, or control the processing of, the personal information of EU subjects. The GDPR allows for the imposition of fines and corrective action on entities that improperly use or disclose the personal information of EU subjects, including through a data security breach. On June 27, 2018, the state of California enacted the California Consumer Privacy Act of 2018 or CCPA, which contains requirements similar to GDPR for the handling of personal information of California residents, commencing on January 1, 2020.</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and our collaborators’ and contractors’ failure to fully comply with GDPR, CCPA and other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personally identifiable information (including sensitive personal information) of our employees, customers, collaborators and others.</w:t>
      </w:r>
    </w:p>
    <w:p>
      <w:pPr>
        <w:spacing w:after="0" w:line="204"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9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In addition, our Enlighten web-based monitoring service, which our installers and end-user customers use to track and monitor the performance of their solar PV systems, is dependent on cloud-based hosting services, along with the availability of WiFi or mobile data services at end-user premises. A disruption, infiltration or failure of our information technology systems, third-party cloud hosting platforms or end-user data services as a result of software or hardware malfunctions, system implementations or upgrades, computer viruses, cyber-attacks, third-party security breaches, employee error, theft or misuse, malfeasance, power disruptions, natural disasters or accidents could cause breaches of data security, failure of our Enlighten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83" w:right="259" w:bottom="1440" w:gutter="0" w:footer="0" w:header="0"/>
        </w:sectPr>
      </w:pPr>
    </w:p>
    <w:bookmarkStart w:id="22" w:name="page23"/>
    <w:bookmarkEnd w:id="2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depressing sales of our products. In addition, energy conservation technologies and public initiatives to reduce demand for electricity also could cause a fall in the retail price of electricity from the utility grid. Moreover, technological developments by our competitors in the solar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increase the cost of installation or operation of solar distributed generation. Such measures can include grid access fees, costly or lengthy interconnection studies, limitations on distributed generation penetration levels, or other measures. If the cost of electricity generated by solar PV installations incorporating our solutions is high relative to the cost of electricity from other sources, our business, financial condition and results of operations may be harmed.</w:t>
      </w:r>
    </w:p>
    <w:p>
      <w:pPr>
        <w:spacing w:after="0" w:line="18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offered 15-year limited warranties for our first and second generation microinverters and have offered a limited warranty of up to</w:t>
      </w:r>
    </w:p>
    <w:p>
      <w:pPr>
        <w:spacing w:after="0" w:line="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25 years on each subsequent generation microinverters, including the current generation.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depending on a number of factors, including failure rates and cost of providing replacement products.</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solutions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83" w:right="259" w:bottom="1440" w:gutter="0" w:footer="0" w:header="0"/>
        </w:sectPr>
      </w:pPr>
    </w:p>
    <w:bookmarkStart w:id="23" w:name="page24"/>
    <w:bookmarkEnd w:id="2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increases in warranty, indemnity and product liability claims arising from defective products.</w:t>
      </w:r>
    </w:p>
    <w:p>
      <w:pPr>
        <w:spacing w:after="0" w:line="17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207"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Our Enlighten web-based monitoring service, which our installers and end-user customers use to track and monitor the performance of their solar PV systems,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operations, our business and operating results may suffer.</w:t>
      </w:r>
    </w:p>
    <w:p>
      <w:pPr>
        <w:spacing w:after="0" w:line="247"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202"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acquired businesses or technologies and integration efforts related to acquisitions;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train and manage a dynamic and increasingly international employee base;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24 –</w:t>
      </w:r>
    </w:p>
    <w:p>
      <w:pPr>
        <w:sectPr>
          <w:pgSz w:w="11900" w:h="16838" w:orient="portrait"/>
          <w:cols w:equalWidth="0" w:num="1">
            <w:col w:w="11420"/>
          </w:cols>
          <w:pgMar w:left="240" w:top="283" w:right="239" w:bottom="1440" w:gutter="0" w:footer="0" w:header="0"/>
          <w:type w:val="continuous"/>
        </w:sectPr>
      </w:pPr>
    </w:p>
    <w:bookmarkStart w:id="24" w:name="page25"/>
    <w:bookmarkEnd w:id="2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currently offer solar PV systems targeting the residential and commercial markets throughout the world, and we intend to expand into other international markets. Our success in new geographic and product markets will depend on a number of factors, such as:</w:t>
      </w:r>
    </w:p>
    <w:p>
      <w:pPr>
        <w:spacing w:after="0" w:line="196"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Further, new geographic markets and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202" w:lineRule="exact"/>
        <w:rPr>
          <w:sz w:val="20"/>
          <w:szCs w:val="20"/>
          <w:color w:val="auto"/>
        </w:rPr>
      </w:pPr>
    </w:p>
    <w:p>
      <w:pPr>
        <w:ind w:left="820" w:right="560" w:hanging="326"/>
        <w:spacing w:after="0" w:line="262"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820" w:right="240" w:hanging="326"/>
        <w:spacing w:after="0" w:line="262"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Failure to address these new markets successfully, to generate sufficient revenue from these markets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ectPr>
          <w:pgSz w:w="11900" w:h="16838" w:orient="portrait"/>
          <w:cols w:equalWidth="0" w:num="1">
            <w:col w:w="11400"/>
          </w:cols>
          <w:pgMar w:left="240" w:top="283" w:right="2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25 –</w:t>
      </w:r>
    </w:p>
    <w:p>
      <w:pPr>
        <w:sectPr>
          <w:pgSz w:w="11900" w:h="16838" w:orient="portrait"/>
          <w:cols w:equalWidth="0" w:num="1">
            <w:col w:w="11400"/>
          </w:cols>
          <w:pgMar w:left="240" w:top="283" w:right="259" w:bottom="1440" w:gutter="0" w:footer="0" w:header="0"/>
          <w:type w:val="continuous"/>
        </w:sectPr>
      </w:pPr>
    </w:p>
    <w:bookmarkStart w:id="25" w:name="page26"/>
    <w:bookmarkEnd w:id="2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may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third-party financing structures, such as power purchase or lease agreements. Our sales growth may depend on sales to developers of third-party solar finance offerings who provide solar as a service via power purchase agreements or leasing structures. The third-party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18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installers and providers of solar financing to assist in selling our products, and the failure of these customers to perform as expected could reduce our future revenue.</w:t>
      </w:r>
    </w:p>
    <w:p>
      <w:pPr>
        <w:spacing w:after="0" w:line="17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We sell our solutions primarily through distributors, as well as through direct sales to solar equipment installers and sales to developers of third-party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20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customers to perform as expected, or failure by us to cultivate new customer relationships, could hinder our ability to expand our operations and harm our revenue and operating results.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83" w:right="239" w:bottom="1440" w:gutter="0" w:footer="0" w:header="0"/>
        </w:sectPr>
      </w:pPr>
    </w:p>
    <w:bookmarkStart w:id="26" w:name="page27"/>
    <w:bookmarkEnd w:id="2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w:t>
      </w:r>
    </w:p>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success in “AC module” versions of our microinverter system will depend in part upon our ability to continue to work closely with leading solar module manufacturers.</w:t>
      </w:r>
    </w:p>
    <w:p>
      <w:pPr>
        <w:spacing w:after="0" w:line="17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We continue to work on variants of our microinverter systems that enable direct attachment of a microinverter to solar modules. The market success of such “AC Module” solutions will depend in part on our ability to continue to work closely with SunPower and other solar module manufacturers to design microinverters that are compatible with such direct attachment to solar modules. We may not be able to encourage solar module manufacturers to work with us on the development of such compatible solutions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tariffs in the U.S.</w:t>
      </w:r>
    </w:p>
    <w:p>
      <w:pPr>
        <w:spacing w:after="0" w:line="1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U.S. and 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213"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contractors.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21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283" w:right="259" w:bottom="1440" w:gutter="0" w:footer="0" w:header="0"/>
        </w:sectPr>
      </w:pPr>
    </w:p>
    <w:bookmarkStart w:id="27" w:name="page28"/>
    <w:bookmarkEnd w:id="2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our competitors.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upon any intellectual property rights of third parties, we cannot be certain that we would be successful in defending against any such claims. Furthermore, patent applications in the U.S.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206" w:lineRule="exact"/>
        <w:rPr>
          <w:sz w:val="20"/>
          <w:szCs w:val="20"/>
          <w:color w:val="auto"/>
        </w:rPr>
      </w:pPr>
    </w:p>
    <w:p>
      <w:pPr>
        <w:ind w:left="820" w:right="660" w:hanging="326"/>
        <w:spacing w:after="0" w:line="262"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a third-party claiming infringement a license to sell or use the relevant technology, which may not be available on reasonable terms, or at all;</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products that embody the asserted intellectual property;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indemnify our customers under some of our customer contracts; or</w:t>
      </w:r>
    </w:p>
    <w:p>
      <w:pPr>
        <w:spacing w:after="0" w:line="225" w:lineRule="exact"/>
        <w:rPr>
          <w:rFonts w:ascii="Arial" w:cs="Arial" w:eastAsia="Arial" w:hAnsi="Arial"/>
          <w:sz w:val="18"/>
          <w:szCs w:val="18"/>
          <w:color w:val="auto"/>
        </w:rPr>
      </w:pPr>
    </w:p>
    <w:p>
      <w:pPr>
        <w:ind w:left="820" w:right="480" w:hanging="326"/>
        <w:spacing w:after="0" w:line="262"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or to develop or acquire non-infringing technology.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7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We have licensed, and in the future we may choose or be required to license, technology or intellectual property from third parties in connection with the development and marketing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 party claims of intellectual property infringement or ownership of our proprietary source code. Any of the above could harm our business and put us at a competitive disadvantage.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80"/>
          </w:cols>
          <w:pgMar w:left="240" w:top="283" w:right="279" w:bottom="1440" w:gutter="0" w:footer="0" w:header="0"/>
        </w:sectPr>
      </w:pPr>
    </w:p>
    <w:bookmarkStart w:id="28" w:name="page29"/>
    <w:bookmarkEnd w:id="2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or rainier weather during the winter months, such as northern Europe, Canada, and the U.S. In general, we expect our products in the second, third, and fourth quarters will be positively affected by seasonal customer demand trends, including solar economic incentives, weather patterns and construction cycles, preceded by a seasonally softer first quarter. In the U.S.,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9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Conversion of our Convertible Notes may dilute the ownership interest of existing stockholders or may otherwise depress the price of our common stock.</w:t>
      </w:r>
    </w:p>
    <w:p>
      <w:pPr>
        <w:spacing w:after="0" w:line="17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 August 2018, we issued and sold a total of $65 million convertible senior notes due 2023 (the “Convertible Notes”) in a private placement to qualified institutional buyers and an affiliate of the Company. 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7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Servicing our debt requires a significant amount of cash, and we may not have sufficient cash flow from our business to pay our debt.</w:t>
      </w:r>
    </w:p>
    <w:p>
      <w:pPr>
        <w:spacing w:after="0" w:line="17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Convertible Notes upon a fundamental change or to repay the Convertible Notes at maturity.</w:t>
      </w:r>
    </w:p>
    <w:p>
      <w:pPr>
        <w:spacing w:after="0" w:line="17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Holders of our Convertible Notes will have the right to require us to repurchase all or a portion of their Convertible Notes upon the occurrence of a fundamental change at 100% of the principal amount of the Convertible Notes, plus accrued and unpaid interest. Fundamental change is defined in the Indenture entered into in connection with the Convertible Note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the Nasdaq Global Market or the New York Stock Exchange. Moreover, we will be required to repay the Convertible Notes in cash at their maturity in August 2023, unless earlier converted or repurchased. However, we may not have enough available cash or be able to obtain financing at the time we are required to make repurchases of Convertible Notes surrendered or repay the Convertible Notes at maturity.</w:t>
      </w:r>
    </w:p>
    <w:p>
      <w:pPr>
        <w:spacing w:after="0" w:line="7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75"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202"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additional cash reserves to support our operations;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29 –</w:t>
      </w:r>
    </w:p>
    <w:p>
      <w:pPr>
        <w:sectPr>
          <w:pgSz w:w="11900" w:h="16838" w:orient="portrait"/>
          <w:cols w:equalWidth="0" w:num="1">
            <w:col w:w="11420"/>
          </w:cols>
          <w:pgMar w:left="240" w:top="283" w:right="239" w:bottom="1440" w:gutter="0" w:footer="0" w:header="0"/>
        </w:sectPr>
      </w:pPr>
    </w:p>
    <w:bookmarkStart w:id="29" w:name="page30"/>
    <w:bookmarkEnd w:id="2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225" w:lineRule="exact"/>
        <w:rPr>
          <w:rFonts w:ascii="Arial" w:cs="Arial" w:eastAsia="Arial" w:hAnsi="Arial"/>
          <w:sz w:val="18"/>
          <w:szCs w:val="18"/>
          <w:color w:val="auto"/>
        </w:rPr>
      </w:pPr>
    </w:p>
    <w:p>
      <w:pPr>
        <w:ind w:left="820" w:right="380" w:hanging="326"/>
        <w:spacing w:after="0" w:line="26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 including adjustments to our business to mitigate the effects of any tariffs that might apply to us or our industry.</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85"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90"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We are required to provide an auditor’s attestation report on management’s assessment of the effectiveness of our internal control over financial reporting, under Section 404(b) of the Sarbanes-Oxley Act, in conjunction with this Annual Report on Form 10 -K. If we or our independent registered public accounting firm discover a material weakness in our internal controls over financial reporting, the disclosure of that fact, even if quickly remedied, could reduce the market’s confidence in our financial statements and harm our stock price. To the extent any material weaknesses in our internal control over financial reporting are identified, we could be required to expend significant management time and financial resources to correct such material weaknesses or to respond to any resulting regulatory investigations or proceedings.</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75" w:lineRule="exact"/>
        <w:rPr>
          <w:sz w:val="20"/>
          <w:szCs w:val="20"/>
          <w:color w:val="auto"/>
        </w:rPr>
      </w:pPr>
    </w:p>
    <w:p>
      <w:pPr>
        <w:ind w:right="80" w:firstLine="486"/>
        <w:spacing w:after="0" w:line="250"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tax-exempt rate and the value of the company’s stock immediately before the ownership change. If these limitations apply, we may be unable to offset our taxable income with net operating losses, or our tax liability with credits, before these losses and credits expire. We have performed a study under Section 382 of the Code for fiscal year 2018 to assess whether an ownership change has occurred or whether there have been multiple ownership changes since we became a loss corporation under</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382 of the Code. Based on the study, we do not anticipate these limitations will significantly impact our ability to utilize the net operating losses and tax credit carryforwards. However, it is possible that future transactions (including issuances of new shares of our common stock and sales of shares of our common stock or other equity-linked securities)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of the Code, and those attributes that are already subject to limitations (as a result of our prior ownership changes) may be subject to more stringent limitations.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283" w:right="239" w:bottom="1440" w:gutter="0" w:footer="0" w:header="0"/>
        </w:sectPr>
      </w:pPr>
    </w:p>
    <w:bookmarkStart w:id="30" w:name="page31"/>
    <w:bookmarkEnd w:id="3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laws could adversely affect our business and financial condition.</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U.S. government enacted comprehensive tax legislation in 2017 (the Tax Cuts and Jobs Act of 2017, or Tax Reform Act) that includes significant changes to the taxation of business entities. These changes include (i) a permanent reduction to the corporate income tax rate from 35% to 21%,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On December 22, 2017, the SEC issued Staff Accounting Bulletin (“SAB”) No. 118 (“SAB 118”) which provides a measurement period of no more than a year from the Tax Act enactment date for companies to complete the accounting under Accounting Standards Codification (“ASC”) 740 (“ASC 740”), “Income Taxes.” If our current taxable loss position should change, the Tax Reform Act could adversely affect our business and financial condition.</w:t>
      </w:r>
    </w:p>
    <w:p>
      <w:pPr>
        <w:spacing w:after="0" w:line="191" w:lineRule="exact"/>
        <w:rPr>
          <w:sz w:val="20"/>
          <w:szCs w:val="20"/>
          <w:color w:val="auto"/>
        </w:rPr>
      </w:pPr>
    </w:p>
    <w:p>
      <w:pPr>
        <w:ind w:right="880"/>
        <w:spacing w:after="0" w:line="318"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cost-efficient manner. If we are unable to use ocean transportation to deliver our products, our business and financial condition could be materially and adversely impacted.</w:t>
      </w:r>
    </w:p>
    <w:p>
      <w:pPr>
        <w:spacing w:after="0" w:line="15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or are otherwise required to continue to substitute more expensive air transportation to meet delivery time requirements,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9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175"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202"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and other fluctuations in demand for our products;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820" w:right="7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31 –</w:t>
      </w:r>
    </w:p>
    <w:p>
      <w:pPr>
        <w:sectPr>
          <w:pgSz w:w="11900" w:h="16838" w:orient="portrait"/>
          <w:cols w:equalWidth="0" w:num="1">
            <w:col w:w="11380"/>
          </w:cols>
          <w:pgMar w:left="240" w:top="283" w:right="279" w:bottom="1440" w:gutter="0" w:footer="0" w:header="0"/>
        </w:sectPr>
      </w:pPr>
    </w:p>
    <w:bookmarkStart w:id="31" w:name="page32"/>
    <w:bookmarkEnd w:id="3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225" w:lineRule="exact"/>
        <w:rPr>
          <w:rFonts w:ascii="Arial" w:cs="Arial" w:eastAsia="Arial" w:hAnsi="Arial"/>
          <w:sz w:val="18"/>
          <w:szCs w:val="18"/>
          <w:color w:val="auto"/>
        </w:rPr>
      </w:pPr>
    </w:p>
    <w:p>
      <w:pPr>
        <w:ind w:left="820" w:right="78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tariffs on the solar industry in general and our products in particular;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820" w:right="64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225" w:lineRule="exact"/>
        <w:rPr>
          <w:rFonts w:ascii="Arial" w:cs="Arial" w:eastAsia="Arial" w:hAnsi="Arial"/>
          <w:sz w:val="18"/>
          <w:szCs w:val="18"/>
          <w:color w:val="auto"/>
        </w:rPr>
      </w:pPr>
    </w:p>
    <w:p>
      <w:pPr>
        <w:ind w:left="820" w:right="64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of acquisitions or dispositions of our assets or business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management;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analyst reports or other news articles.</w:t>
      </w:r>
    </w:p>
    <w:p>
      <w:pPr>
        <w:spacing w:after="0" w:line="22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80"/>
          </w:cols>
          <w:pgMar w:left="240" w:top="283" w:right="279" w:bottom="1440" w:gutter="0" w:footer="0" w:header="0"/>
        </w:sectPr>
      </w:pPr>
    </w:p>
    <w:bookmarkStart w:id="32" w:name="page33"/>
    <w:bookmarkEnd w:id="3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Techniques employed by manipulative short sellers may drive down the market price of our common stock.</w:t>
      </w:r>
    </w:p>
    <w:p>
      <w:pPr>
        <w:spacing w:after="0" w:line="247"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some short sellers publish, or arrange for the publication of, negative opinions regarding the issuer and its business prospects in order to create negative market momentum and generate profits for themselves after selling a stock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These short attacks have in the past led to stock price declines and significant selling activity in our common stock. Issuers with limited trading volumes or substantial retail shareholder bases can be particularly susceptible to higher volatility levels, and can be particularly vulnerable to such short attacks.</w:t>
      </w:r>
    </w:p>
    <w:p>
      <w:pPr>
        <w:spacing w:after="0" w:line="21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Short seller publications are not regulated by any governmental, self-regulatory organization or other official authority in the U.S., are not subject to the certification requirements imposed by the SEC in Regulation AC (Regulation Analyst Certification) and,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Such short-seller attacks may cause our stock to suffer a decline in market price.</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we fail to meet the continued listing standards of Nasdaq, our common stock may be delisted, which could have a material adverse effect on the liquidity and market price of our common stock.</w:t>
      </w:r>
    </w:p>
    <w:p>
      <w:pPr>
        <w:spacing w:after="0" w:line="17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common stock is currently traded on the Nasdaq Global Market. The Nasdaq Stock Market LLC (“Nasdaq”) has requirements that a company must meet in order to remain listed. There can be no assurance that we will continue to meet these requirements in the future. If we fail to meet any such requirements, Nasdaq may initiate delisting processes. If our common stock were to be delisted, the liquidity of our common stock would be adversely affected, and the market price of our common stock could decrease.</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of the outstanding shares of our common stock are eligible for sale in the public market, subject in some cases to agreed limits on sale volumes and the volume limitations and manner of sale requirements of Rule 144 under the Securities Act. Sales of stock by our stockholders could have a material adverse effect on the trading price of our common stock.</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83" w:right="239" w:bottom="1440" w:gutter="0" w:footer="0" w:header="0"/>
        </w:sectPr>
      </w:pPr>
    </w:p>
    <w:bookmarkStart w:id="33" w:name="page34"/>
    <w:bookmarkEnd w:id="3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For instance, in December, we filed a resale registration statement related to 7.5 million shares of our common stock that were issued to SunPower upon the closing of the APA transaction. Any sales of securities by SunPower or other stockholders with registration rights could have a material adverse effect on the trading price of our common stock.</w:t>
      </w:r>
    </w:p>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5" w:lineRule="exact"/>
        <w:rPr>
          <w:sz w:val="20"/>
          <w:szCs w:val="20"/>
          <w:color w:val="auto"/>
        </w:rPr>
      </w:pPr>
    </w:p>
    <w:p>
      <w:pPr>
        <w:jc w:val="both"/>
        <w:ind w:right="600" w:firstLine="486"/>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75"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202" w:lineRule="exact"/>
        <w:rPr>
          <w:sz w:val="20"/>
          <w:szCs w:val="20"/>
          <w:color w:val="auto"/>
        </w:rPr>
      </w:pPr>
    </w:p>
    <w:p>
      <w:pPr>
        <w:ind w:left="820" w:right="10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196" w:lineRule="exact"/>
        <w:rPr>
          <w:rFonts w:ascii="Arial" w:cs="Arial" w:eastAsia="Arial" w:hAnsi="Arial"/>
          <w:sz w:val="18"/>
          <w:szCs w:val="18"/>
          <w:color w:val="auto"/>
        </w:rPr>
      </w:pPr>
    </w:p>
    <w:p>
      <w:pPr>
        <w:ind w:left="820" w:right="68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196" w:lineRule="exact"/>
        <w:rPr>
          <w:rFonts w:ascii="Arial" w:cs="Arial" w:eastAsia="Arial" w:hAnsi="Arial"/>
          <w:sz w:val="18"/>
          <w:szCs w:val="18"/>
          <w:color w:val="auto"/>
        </w:rPr>
      </w:pPr>
    </w:p>
    <w:p>
      <w:pPr>
        <w:ind w:left="820" w:right="38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196" w:lineRule="exact"/>
        <w:rPr>
          <w:rFonts w:ascii="Arial" w:cs="Arial" w:eastAsia="Arial" w:hAnsi="Arial"/>
          <w:sz w:val="18"/>
          <w:szCs w:val="18"/>
          <w:color w:val="auto"/>
        </w:rPr>
      </w:pPr>
    </w:p>
    <w:p>
      <w:pPr>
        <w:ind w:left="820" w:right="12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ind w:left="820" w:hanging="326"/>
        <w:spacing w:after="0" w:line="253"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205" w:lineRule="exact"/>
        <w:rPr>
          <w:rFonts w:ascii="Arial" w:cs="Arial" w:eastAsia="Arial" w:hAnsi="Arial"/>
          <w:sz w:val="18"/>
          <w:szCs w:val="18"/>
          <w:color w:val="auto"/>
        </w:rPr>
      </w:pPr>
    </w:p>
    <w:p>
      <w:pPr>
        <w:ind w:left="820" w:right="60" w:hanging="326"/>
        <w:spacing w:after="0" w:line="256"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201" w:lineRule="exact"/>
        <w:rPr>
          <w:rFonts w:ascii="Arial" w:cs="Arial" w:eastAsia="Arial" w:hAnsi="Arial"/>
          <w:sz w:val="18"/>
          <w:szCs w:val="18"/>
          <w:color w:val="auto"/>
        </w:rPr>
      </w:pPr>
    </w:p>
    <w:p>
      <w:pPr>
        <w:ind w:left="820" w:right="30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9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202"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80"/>
          </w:cols>
          <w:pgMar w:left="240" w:top="283" w:right="2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34 –</w:t>
      </w:r>
    </w:p>
    <w:p>
      <w:pPr>
        <w:sectPr>
          <w:pgSz w:w="11900" w:h="16838" w:orient="portrait"/>
          <w:cols w:equalWidth="0" w:num="1">
            <w:col w:w="11380"/>
          </w:cols>
          <w:pgMar w:left="240" w:top="283" w:right="279" w:bottom="1440" w:gutter="0" w:footer="0" w:header="0"/>
          <w:type w:val="continuous"/>
        </w:sectPr>
      </w:pPr>
    </w:p>
    <w:bookmarkStart w:id="34" w:name="page35"/>
    <w:bookmarkEnd w:id="3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corporate headquarters occupy approximately 23,000 square feet in Fremont, California under a lease that expires in November 2023 and accommodates our executive offices, sales, marketing, operations, finance and administrative activities. We also occupy office buildings in Petaluma, California under leases that expires in April 2022 and accommodate our principal engineering activities. In addition, we occupy office space in Boise, Idaho, France, the Netherlands, Australia, New Zealand and India. At this time, we believe our facilities are adequate for our near term operational and business needs.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780"/>
        <w:spacing w:after="0" w:line="545"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 Common Stock</w:t>
      </w:r>
    </w:p>
    <w:p>
      <w:pPr>
        <w:ind w:left="500"/>
        <w:spacing w:after="0"/>
        <w:rPr>
          <w:sz w:val="20"/>
          <w:szCs w:val="20"/>
          <w:color w:val="auto"/>
        </w:rPr>
      </w:pPr>
      <w:r>
        <w:rPr>
          <w:rFonts w:ascii="Arial" w:cs="Arial" w:eastAsia="Arial" w:hAnsi="Arial"/>
          <w:sz w:val="18"/>
          <w:szCs w:val="18"/>
          <w:color w:val="auto"/>
        </w:rPr>
        <w:t>Our common stock has been traded on The Nasdaq Global Market under the symbol “ENPH” since March 30, 2012.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As of March 6, 2019, there were approximately 26 holders of record of our common stock,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have never paid any cash dividends on our common stock. We currently anticipate that we will retain any available funds to finance the growth and operation of our business and we do not anticipate paying any cash dividends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 during the year ended December 31, 2018, there were no unregistered sales of equity securities by us during the year ended December 31, 2018.</w:t>
      </w: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280"/>
          </w:cols>
          <w:pgMar w:left="240" w:top="283" w:right="379" w:bottom="1440" w:gutter="0" w:footer="0" w:header="0"/>
        </w:sectPr>
      </w:pPr>
    </w:p>
    <w:bookmarkStart w:id="35" w:name="page36"/>
    <w:bookmarkEnd w:id="3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4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This section is not “soliciting material” and is not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2"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graph depicted below shows a comparison of cumulative total stockholder returns for our common stock, the Russell 2000 and the Guggenheim Solar Index for the period from December 31, 2013 to December 31, 2018. An investment of $100 is assumed to have been made in our common stock and in each index on December 31, 2013, all dividends were reinvested, and the relative performance of the investments are tracked through December 31, 2018. The information shown is historical and stockholder returns over the indicated period should not be considered indicative of future stockholder returns or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848985" cy="3395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6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220" w:type="dxa"/>
            <w:vAlign w:val="bottom"/>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6"/>
                <w:szCs w:val="16"/>
                <w:color w:val="auto"/>
              </w:rPr>
            </w:pPr>
          </w:p>
        </w:tc>
        <w:tc>
          <w:tcPr>
            <w:tcW w:w="1220" w:type="dxa"/>
            <w:vAlign w:val="bottom"/>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1220" w:type="dxa"/>
            <w:vAlign w:val="bottom"/>
          </w:tcPr>
          <w:p>
            <w:pPr>
              <w:jc w:val="right"/>
              <w:ind w:right="443"/>
              <w:spacing w:after="0"/>
              <w:rPr>
                <w:sz w:val="20"/>
                <w:szCs w:val="20"/>
                <w:color w:val="auto"/>
              </w:rPr>
            </w:pPr>
            <w:r>
              <w:rPr>
                <w:rFonts w:ascii="Arial" w:cs="Arial" w:eastAsia="Arial" w:hAnsi="Arial"/>
                <w:sz w:val="14"/>
                <w:szCs w:val="14"/>
                <w:b w:val="1"/>
                <w:bCs w:val="1"/>
                <w:color w:val="auto"/>
              </w:rPr>
              <w:t>2018</w:t>
            </w:r>
          </w:p>
        </w:tc>
      </w:tr>
      <w:tr>
        <w:trPr>
          <w:trHeight w:val="26"/>
        </w:trPr>
        <w:tc>
          <w:tcPr>
            <w:tcW w:w="2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Inc.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75</w:t>
            </w:r>
          </w:p>
        </w:tc>
      </w:tr>
      <w:tr>
        <w:trPr>
          <w:trHeight w:val="260"/>
        </w:trPr>
        <w:tc>
          <w:tcPr>
            <w:tcW w:w="2620" w:type="dxa"/>
            <w:vAlign w:val="bottom"/>
          </w:tcPr>
          <w:p>
            <w:pPr>
              <w:ind w:left="20"/>
              <w:spacing w:after="0"/>
              <w:rPr>
                <w:sz w:val="20"/>
                <w:szCs w:val="20"/>
                <w:color w:val="auto"/>
              </w:rPr>
            </w:pPr>
            <w:r>
              <w:rPr>
                <w:rFonts w:ascii="Arial" w:cs="Arial" w:eastAsia="Arial" w:hAnsi="Arial"/>
                <w:sz w:val="16"/>
                <w:szCs w:val="16"/>
                <w:color w:val="auto"/>
              </w:rPr>
              <w:t>Russell 2000 Index</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3"/>
              <w:spacing w:after="0"/>
              <w:rPr>
                <w:sz w:val="20"/>
                <w:szCs w:val="20"/>
                <w:color w:val="auto"/>
              </w:rPr>
            </w:pPr>
            <w:r>
              <w:rPr>
                <w:rFonts w:ascii="Arial" w:cs="Arial" w:eastAsia="Arial" w:hAnsi="Arial"/>
                <w:sz w:val="16"/>
                <w:szCs w:val="16"/>
                <w:color w:val="auto"/>
              </w:rPr>
              <w:t>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116</w:t>
            </w:r>
          </w:p>
        </w:tc>
      </w:tr>
      <w:tr>
        <w:trPr>
          <w:trHeight w:val="28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Guggenheim Solar Index</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88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55</w:t>
            </w: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283" w:right="259" w:bottom="1440" w:gutter="0" w:footer="0" w:header="0"/>
        </w:sectPr>
      </w:pPr>
    </w:p>
    <w:bookmarkStart w:id="36" w:name="page37"/>
    <w:bookmarkEnd w:id="3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information set forth below for the five years ended December 31, 2018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“Financial Statements and Supplementary Data,” of this Annual Report on Form 10-K to fully understand the factors that may affect the comparability of the information presented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7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 of Operations Data:</w:t>
            </w:r>
          </w:p>
        </w:tc>
        <w:tc>
          <w:tcPr>
            <w:tcW w:w="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60" w:type="dxa"/>
            <w:vAlign w:val="bottom"/>
            <w:gridSpan w:val="2"/>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22"/>
                <w:szCs w:val="22"/>
                <w:color w:val="auto"/>
              </w:rPr>
            </w:pPr>
          </w:p>
        </w:tc>
        <w:tc>
          <w:tcPr>
            <w:tcW w:w="86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316,159</w:t>
            </w:r>
          </w:p>
        </w:tc>
        <w:tc>
          <w:tcPr>
            <w:tcW w:w="680" w:type="dxa"/>
            <w:vAlign w:val="bottom"/>
            <w:gridSpan w:val="3"/>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286,166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322,591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357,249</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343,904</w:t>
            </w:r>
          </w:p>
        </w:tc>
        <w:tc>
          <w:tcPr>
            <w:tcW w:w="0" w:type="dxa"/>
            <w:vAlign w:val="bottom"/>
          </w:tcPr>
          <w:p>
            <w:pPr>
              <w:spacing w:after="0"/>
              <w:rPr>
                <w:sz w:val="1"/>
                <w:szCs w:val="1"/>
                <w:color w:val="auto"/>
              </w:rPr>
            </w:pPr>
          </w:p>
        </w:tc>
      </w:tr>
      <w:tr>
        <w:trPr>
          <w:trHeight w:val="273"/>
        </w:trPr>
        <w:tc>
          <w:tcPr>
            <w:tcW w:w="3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221,714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230,123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264,583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249,032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230,861</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94,445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56,043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108,217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113,043</w:t>
            </w:r>
          </w:p>
        </w:tc>
        <w:tc>
          <w:tcPr>
            <w:tcW w:w="0" w:type="dxa"/>
            <w:vAlign w:val="bottom"/>
          </w:tcPr>
          <w:p>
            <w:pPr>
              <w:spacing w:after="0"/>
              <w:rPr>
                <w:sz w:val="1"/>
                <w:szCs w:val="1"/>
                <w:color w:val="auto"/>
              </w:rPr>
            </w:pPr>
          </w:p>
        </w:tc>
      </w:tr>
      <w:tr>
        <w:trPr>
          <w:trHeight w:val="270"/>
        </w:trPr>
        <w:tc>
          <w:tcPr>
            <w:tcW w:w="3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360" w:type="dxa"/>
            <w:vAlign w:val="bottom"/>
            <w:gridSpan w:val="2"/>
          </w:tcPr>
          <w:p>
            <w:pPr>
              <w:ind w:left="28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32,587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33,157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50,703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50,819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45,386</w:t>
            </w:r>
          </w:p>
        </w:tc>
        <w:tc>
          <w:tcPr>
            <w:tcW w:w="0" w:type="dxa"/>
            <w:vAlign w:val="bottom"/>
          </w:tcPr>
          <w:p>
            <w:pPr>
              <w:spacing w:after="0"/>
              <w:rPr>
                <w:sz w:val="1"/>
                <w:szCs w:val="1"/>
                <w:color w:val="auto"/>
              </w:rPr>
            </w:pPr>
          </w:p>
        </w:tc>
      </w:tr>
      <w:tr>
        <w:trPr>
          <w:trHeight w:val="280"/>
        </w:trPr>
        <w:tc>
          <w:tcPr>
            <w:tcW w:w="3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23,126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38,810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45,877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41,003</w:t>
            </w:r>
          </w:p>
        </w:tc>
        <w:tc>
          <w:tcPr>
            <w:tcW w:w="0" w:type="dxa"/>
            <w:vAlign w:val="bottom"/>
          </w:tcPr>
          <w:p>
            <w:pPr>
              <w:spacing w:after="0"/>
              <w:rPr>
                <w:sz w:val="1"/>
                <w:szCs w:val="1"/>
                <w:color w:val="auto"/>
              </w:rPr>
            </w:pPr>
          </w:p>
        </w:tc>
      </w:tr>
      <w:tr>
        <w:trPr>
          <w:trHeight w:val="260"/>
        </w:trPr>
        <w:tc>
          <w:tcPr>
            <w:tcW w:w="33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29,086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22,221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27,418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30,830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31,083</w:t>
            </w:r>
          </w:p>
        </w:tc>
        <w:tc>
          <w:tcPr>
            <w:tcW w:w="0" w:type="dxa"/>
            <w:vAlign w:val="bottom"/>
          </w:tcPr>
          <w:p>
            <w:pPr>
              <w:spacing w:after="0"/>
              <w:rPr>
                <w:sz w:val="1"/>
                <w:szCs w:val="1"/>
                <w:color w:val="auto"/>
              </w:rPr>
            </w:pPr>
          </w:p>
        </w:tc>
      </w:tr>
      <w:tr>
        <w:trPr>
          <w:trHeight w:val="273"/>
        </w:trPr>
        <w:tc>
          <w:tcPr>
            <w:tcW w:w="3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and other charges</w:t>
            </w: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16,917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3,777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92,849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95,421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120,708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127,526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117,472</w:t>
            </w:r>
          </w:p>
        </w:tc>
        <w:tc>
          <w:tcPr>
            <w:tcW w:w="0" w:type="dxa"/>
            <w:vAlign w:val="bottom"/>
          </w:tcPr>
          <w:p>
            <w:pPr>
              <w:spacing w:after="0"/>
              <w:rPr>
                <w:sz w:val="1"/>
                <w:szCs w:val="1"/>
                <w:color w:val="auto"/>
              </w:rPr>
            </w:pPr>
          </w:p>
        </w:tc>
      </w:tr>
      <w:tr>
        <w:trPr>
          <w:trHeight w:val="257"/>
        </w:trPr>
        <w:tc>
          <w:tcPr>
            <w:tcW w:w="3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0" w:type="dxa"/>
            <w:vAlign w:val="bottom"/>
          </w:tcPr>
          <w:p>
            <w:pPr>
              <w:spacing w:after="0"/>
              <w:rPr>
                <w:sz w:val="1"/>
                <w:szCs w:val="1"/>
                <w:color w:val="auto"/>
              </w:rPr>
            </w:pPr>
          </w:p>
        </w:tc>
      </w:tr>
      <w:tr>
        <w:trPr>
          <w:trHeight w:val="260"/>
        </w:trPr>
        <w:tc>
          <w:tcPr>
            <w:tcW w:w="336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1,973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50"/>
        </w:trPr>
        <w:tc>
          <w:tcPr>
            <w:tcW w:w="33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other expense, net</w:t>
            </w:r>
          </w:p>
        </w:tc>
        <w:tc>
          <w:tcPr>
            <w:tcW w:w="3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47"/>
        </w:trPr>
        <w:tc>
          <w:tcPr>
            <w:tcW w:w="3360" w:type="dxa"/>
            <w:vAlign w:val="bottom"/>
            <w:gridSpan w:val="2"/>
          </w:tcPr>
          <w:p>
            <w:pPr>
              <w:ind w:left="40"/>
              <w:spacing w:after="0"/>
              <w:rPr>
                <w:sz w:val="20"/>
                <w:szCs w:val="20"/>
                <w:color w:val="auto"/>
              </w:rPr>
            </w:pPr>
            <w:r>
              <w:rPr>
                <w:rFonts w:ascii="Arial" w:cs="Arial" w:eastAsia="Arial" w:hAnsi="Arial"/>
                <w:sz w:val="16"/>
                <w:szCs w:val="16"/>
                <w:color w:val="auto"/>
              </w:rPr>
              <w:t>Loss before income taxes</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(7,286)</w:t>
            </w:r>
          </w:p>
        </w:tc>
        <w:tc>
          <w:tcPr>
            <w:tcW w:w="0" w:type="dxa"/>
            <w:vAlign w:val="bottom"/>
          </w:tcPr>
          <w:p>
            <w:pPr>
              <w:spacing w:after="0"/>
              <w:rPr>
                <w:sz w:val="1"/>
                <w:szCs w:val="1"/>
                <w:color w:val="auto"/>
              </w:rPr>
            </w:pPr>
          </w:p>
        </w:tc>
      </w:tr>
      <w:tr>
        <w:trPr>
          <w:trHeight w:val="273"/>
        </w:trPr>
        <w:tc>
          <w:tcPr>
            <w:tcW w:w="3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94"/>
        </w:trPr>
        <w:tc>
          <w:tcPr>
            <w:tcW w:w="3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(8,052)</w:t>
            </w:r>
          </w:p>
        </w:tc>
        <w:tc>
          <w:tcPr>
            <w:tcW w:w="0" w:type="dxa"/>
            <w:vAlign w:val="bottom"/>
          </w:tcPr>
          <w:p>
            <w:pPr>
              <w:spacing w:after="0"/>
              <w:rPr>
                <w:sz w:val="1"/>
                <w:szCs w:val="1"/>
                <w:color w:val="auto"/>
              </w:rPr>
            </w:pPr>
          </w:p>
        </w:tc>
      </w:tr>
      <w:tr>
        <w:trPr>
          <w:trHeight w:val="161"/>
        </w:trPr>
        <w:tc>
          <w:tcPr>
            <w:tcW w:w="4540" w:type="dxa"/>
            <w:vAlign w:val="bottom"/>
            <w:gridSpan w:val="5"/>
            <w:shd w:val="clear" w:color="auto" w:fill="CCEEFF"/>
          </w:tcPr>
          <w:p>
            <w:pPr>
              <w:ind w:left="40"/>
              <w:spacing w:after="0" w:line="161" w:lineRule="exact"/>
              <w:rPr>
                <w:sz w:val="20"/>
                <w:szCs w:val="20"/>
                <w:color w:val="auto"/>
              </w:rPr>
            </w:pPr>
            <w:r>
              <w:rPr>
                <w:rFonts w:ascii="Arial" w:cs="Arial" w:eastAsia="Arial" w:hAnsi="Arial"/>
                <w:sz w:val="16"/>
                <w:szCs w:val="16"/>
                <w:color w:val="auto"/>
              </w:rPr>
              <w:t>Net loss per share attributable to common stockholders,</w:t>
            </w: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40" w:type="dxa"/>
            <w:vAlign w:val="bottom"/>
            <w:gridSpan w:val="5"/>
          </w:tcPr>
          <w:p>
            <w:pPr>
              <w:ind w:left="40"/>
              <w:spacing w:after="0" w:line="175" w:lineRule="exact"/>
              <w:rPr>
                <w:sz w:val="20"/>
                <w:szCs w:val="20"/>
                <w:color w:val="auto"/>
              </w:rPr>
            </w:pPr>
            <w:r>
              <w:rPr>
                <w:rFonts w:ascii="Arial" w:cs="Arial" w:eastAsia="Arial" w:hAnsi="Arial"/>
                <w:sz w:val="16"/>
                <w:szCs w:val="16"/>
                <w:color w:val="auto"/>
              </w:rPr>
              <w:t>Shares used in computing net loss per share attributable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99,619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restart"/>
          </w:tcPr>
          <w:p>
            <w:pPr>
              <w:jc w:val="right"/>
              <w:ind w:right="21"/>
              <w:spacing w:after="0"/>
              <w:rPr>
                <w:sz w:val="20"/>
                <w:szCs w:val="20"/>
                <w:color w:val="auto"/>
              </w:rPr>
            </w:pPr>
            <w:r>
              <w:rPr>
                <w:rFonts w:ascii="Arial" w:cs="Arial" w:eastAsia="Arial" w:hAnsi="Arial"/>
                <w:sz w:val="16"/>
                <w:szCs w:val="16"/>
                <w:color w:val="auto"/>
              </w:rPr>
              <w:t>82,939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50,519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6"/>
                <w:szCs w:val="16"/>
                <w:color w:val="auto"/>
              </w:rPr>
              <w:t>44,632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20"/>
              <w:spacing w:after="0"/>
              <w:rPr>
                <w:sz w:val="20"/>
                <w:szCs w:val="20"/>
                <w:color w:val="auto"/>
              </w:rPr>
            </w:pPr>
            <w:r>
              <w:rPr>
                <w:rFonts w:ascii="Arial" w:cs="Arial" w:eastAsia="Arial" w:hAnsi="Arial"/>
                <w:sz w:val="16"/>
                <w:szCs w:val="16"/>
                <w:color w:val="auto"/>
              </w:rPr>
              <w:t>42,903</w:t>
            </w:r>
          </w:p>
        </w:tc>
        <w:tc>
          <w:tcPr>
            <w:tcW w:w="0" w:type="dxa"/>
            <w:vAlign w:val="bottom"/>
          </w:tcPr>
          <w:p>
            <w:pPr>
              <w:spacing w:after="0"/>
              <w:rPr>
                <w:sz w:val="1"/>
                <w:szCs w:val="1"/>
                <w:color w:val="auto"/>
              </w:rPr>
            </w:pPr>
          </w:p>
        </w:tc>
      </w:tr>
      <w:tr>
        <w:trPr>
          <w:trHeight w:val="198"/>
        </w:trPr>
        <w:tc>
          <w:tcPr>
            <w:tcW w:w="3360" w:type="dxa"/>
            <w:vAlign w:val="bottom"/>
            <w:gridSpan w:val="2"/>
          </w:tcPr>
          <w:p>
            <w:pPr>
              <w:ind w:left="120"/>
              <w:spacing w:after="0"/>
              <w:rPr>
                <w:sz w:val="20"/>
                <w:szCs w:val="20"/>
                <w:color w:val="auto"/>
              </w:rPr>
            </w:pPr>
            <w:r>
              <w:rPr>
                <w:rFonts w:ascii="Arial" w:cs="Arial" w:eastAsia="Arial" w:hAnsi="Arial"/>
                <w:sz w:val="16"/>
                <w:szCs w:val="16"/>
                <w:color w:val="auto"/>
              </w:rPr>
              <w:t>to common stockholders, basic and diluted</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20" w:type="dxa"/>
            <w:vAlign w:val="bottom"/>
            <w:gridSpan w:val="6"/>
          </w:tcPr>
          <w:p>
            <w:pPr>
              <w:jc w:val="cente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60" w:type="dxa"/>
            <w:vAlign w:val="bottom"/>
            <w:gridSpan w:val="2"/>
          </w:tcPr>
          <w:p>
            <w:pPr>
              <w:ind w:left="28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106,237</w:t>
            </w:r>
          </w:p>
        </w:tc>
        <w:tc>
          <w:tcPr>
            <w:tcW w:w="9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29,144</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17,764</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00"/>
              <w:spacing w:after="0"/>
              <w:rPr>
                <w:sz w:val="20"/>
                <w:szCs w:val="20"/>
                <w:color w:val="auto"/>
              </w:rPr>
            </w:pPr>
            <w:r>
              <w:rPr>
                <w:rFonts w:ascii="Arial" w:cs="Arial" w:eastAsia="Arial" w:hAnsi="Arial"/>
                <w:sz w:val="16"/>
                <w:szCs w:val="16"/>
                <w:color w:val="auto"/>
              </w:rPr>
              <w:t>28,452</w:t>
            </w:r>
          </w:p>
        </w:tc>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0"/>
              <w:spacing w:after="0"/>
              <w:rPr>
                <w:sz w:val="20"/>
                <w:szCs w:val="20"/>
                <w:color w:val="auto"/>
              </w:rPr>
            </w:pPr>
            <w:r>
              <w:rPr>
                <w:rFonts w:ascii="Arial" w:cs="Arial" w:eastAsia="Arial" w:hAnsi="Arial"/>
                <w:sz w:val="16"/>
                <w:szCs w:val="16"/>
                <w:color w:val="auto"/>
              </w:rPr>
              <w:t>42,032</w:t>
            </w:r>
          </w:p>
        </w:tc>
        <w:tc>
          <w:tcPr>
            <w:tcW w:w="0" w:type="dxa"/>
            <w:vAlign w:val="bottom"/>
          </w:tcPr>
          <w:p>
            <w:pPr>
              <w:spacing w:after="0"/>
              <w:rPr>
                <w:sz w:val="1"/>
                <w:szCs w:val="1"/>
                <w:color w:val="auto"/>
              </w:rPr>
            </w:pPr>
          </w:p>
        </w:tc>
      </w:tr>
      <w:tr>
        <w:trPr>
          <w:trHeight w:val="280"/>
        </w:trPr>
        <w:tc>
          <w:tcPr>
            <w:tcW w:w="3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339,937</w:t>
            </w:r>
          </w:p>
        </w:tc>
        <w:tc>
          <w:tcPr>
            <w:tcW w:w="94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169,147</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163,576</w:t>
            </w: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165,528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152,192</w:t>
            </w:r>
          </w:p>
        </w:tc>
        <w:tc>
          <w:tcPr>
            <w:tcW w:w="0" w:type="dxa"/>
            <w:vAlign w:val="bottom"/>
          </w:tcPr>
          <w:p>
            <w:pPr>
              <w:spacing w:after="0"/>
              <w:rPr>
                <w:sz w:val="1"/>
                <w:szCs w:val="1"/>
                <w:color w:val="auto"/>
              </w:rPr>
            </w:pPr>
          </w:p>
        </w:tc>
      </w:tr>
      <w:tr>
        <w:trPr>
          <w:trHeight w:val="260"/>
        </w:trPr>
        <w:tc>
          <w:tcPr>
            <w:tcW w:w="3360" w:type="dxa"/>
            <w:vAlign w:val="bottom"/>
            <w:gridSpan w:val="2"/>
          </w:tcPr>
          <w:p>
            <w:pPr>
              <w:ind w:left="28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31,294</w:t>
            </w:r>
          </w:p>
        </w:tc>
        <w:tc>
          <w:tcPr>
            <w:tcW w:w="94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29,816</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31,414</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00"/>
              <w:spacing w:after="0"/>
              <w:rPr>
                <w:sz w:val="20"/>
                <w:szCs w:val="20"/>
                <w:color w:val="auto"/>
              </w:rPr>
            </w:pPr>
            <w:r>
              <w:rPr>
                <w:rFonts w:ascii="Arial" w:cs="Arial" w:eastAsia="Arial" w:hAnsi="Arial"/>
                <w:sz w:val="16"/>
                <w:szCs w:val="16"/>
                <w:color w:val="auto"/>
              </w:rPr>
              <w:t>30,547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auto"/>
              </w:rPr>
              <w:t>33,940</w:t>
            </w:r>
          </w:p>
        </w:tc>
        <w:tc>
          <w:tcPr>
            <w:tcW w:w="0" w:type="dxa"/>
            <w:vAlign w:val="bottom"/>
          </w:tcPr>
          <w:p>
            <w:pPr>
              <w:spacing w:after="0"/>
              <w:rPr>
                <w:sz w:val="1"/>
                <w:szCs w:val="1"/>
                <w:color w:val="auto"/>
              </w:rPr>
            </w:pPr>
          </w:p>
        </w:tc>
      </w:tr>
      <w:tr>
        <w:trPr>
          <w:trHeight w:val="280"/>
        </w:trPr>
        <w:tc>
          <w:tcPr>
            <w:tcW w:w="3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Debt</w:t>
            </w:r>
          </w:p>
        </w:tc>
        <w:tc>
          <w:tcPr>
            <w:tcW w:w="3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109,783</w:t>
            </w:r>
          </w:p>
        </w:tc>
        <w:tc>
          <w:tcPr>
            <w:tcW w:w="94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49,751</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33,900</w:t>
            </w: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360" w:type="dxa"/>
            <w:vAlign w:val="bottom"/>
            <w:gridSpan w:val="2"/>
          </w:tcPr>
          <w:p>
            <w:pPr>
              <w:ind w:left="280"/>
              <w:spacing w:after="0"/>
              <w:rPr>
                <w:sz w:val="20"/>
                <w:szCs w:val="20"/>
                <w:color w:val="auto"/>
              </w:rPr>
            </w:pPr>
            <w:r>
              <w:rPr>
                <w:rFonts w:ascii="Arial" w:cs="Arial" w:eastAsia="Arial" w:hAnsi="Arial"/>
                <w:sz w:val="16"/>
                <w:szCs w:val="16"/>
                <w:color w:val="auto"/>
              </w:rPr>
              <w:t>Total stockholders’ equity (deficit)</w:t>
            </w:r>
          </w:p>
        </w:tc>
        <w:tc>
          <w:tcPr>
            <w:tcW w:w="3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7,776</w:t>
            </w:r>
          </w:p>
        </w:tc>
        <w:tc>
          <w:tcPr>
            <w:tcW w:w="940" w:type="dxa"/>
            <w:vAlign w:val="bottom"/>
          </w:tcPr>
          <w:p>
            <w:pPr>
              <w:spacing w:after="0"/>
              <w:rPr>
                <w:sz w:val="22"/>
                <w:szCs w:val="22"/>
                <w:color w:val="auto"/>
              </w:rPr>
            </w:pPr>
          </w:p>
        </w:tc>
        <w:tc>
          <w:tcPr>
            <w:tcW w:w="1520" w:type="dxa"/>
            <w:vAlign w:val="bottom"/>
            <w:gridSpan w:val="4"/>
          </w:tcPr>
          <w:p>
            <w:pPr>
              <w:jc w:val="right"/>
              <w:ind w:right="721"/>
              <w:spacing w:after="0"/>
              <w:rPr>
                <w:sz w:val="20"/>
                <w:szCs w:val="20"/>
                <w:color w:val="auto"/>
              </w:rPr>
            </w:pPr>
            <w:r>
              <w:rPr>
                <w:rFonts w:ascii="Arial" w:cs="Arial" w:eastAsia="Arial" w:hAnsi="Arial"/>
                <w:sz w:val="16"/>
                <w:szCs w:val="16"/>
                <w:color w:val="auto"/>
              </w:rPr>
              <w:t>(9,126)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1,300</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00"/>
              <w:spacing w:after="0"/>
              <w:rPr>
                <w:sz w:val="20"/>
                <w:szCs w:val="20"/>
                <w:color w:val="auto"/>
              </w:rPr>
            </w:pPr>
            <w:r>
              <w:rPr>
                <w:rFonts w:ascii="Arial" w:cs="Arial" w:eastAsia="Arial" w:hAnsi="Arial"/>
                <w:sz w:val="16"/>
                <w:szCs w:val="16"/>
                <w:color w:val="auto"/>
              </w:rPr>
              <w:t>41,449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20"/>
              <w:spacing w:after="0"/>
              <w:rPr>
                <w:sz w:val="20"/>
                <w:szCs w:val="20"/>
                <w:color w:val="auto"/>
              </w:rPr>
            </w:pPr>
            <w:r>
              <w:rPr>
                <w:rFonts w:ascii="Arial" w:cs="Arial" w:eastAsia="Arial" w:hAnsi="Arial"/>
                <w:sz w:val="16"/>
                <w:szCs w:val="16"/>
                <w:color w:val="auto"/>
              </w:rPr>
              <w:t>46,952</w:t>
            </w:r>
          </w:p>
        </w:tc>
        <w:tc>
          <w:tcPr>
            <w:tcW w:w="0" w:type="dxa"/>
            <w:vAlign w:val="bottom"/>
          </w:tcPr>
          <w:p>
            <w:pPr>
              <w:spacing w:after="0"/>
              <w:rPr>
                <w:sz w:val="1"/>
                <w:szCs w:val="1"/>
                <w:color w:val="auto"/>
              </w:rPr>
            </w:pPr>
          </w:p>
        </w:tc>
      </w:tr>
      <w:tr>
        <w:trPr>
          <w:trHeight w:val="253"/>
        </w:trPr>
        <w:tc>
          <w:tcPr>
            <w:tcW w:w="90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360" w:type="dxa"/>
            <w:vAlign w:val="bottom"/>
            <w:gridSpan w:val="2"/>
          </w:tcPr>
          <w:p>
            <w:pPr>
              <w:ind w:left="40"/>
              <w:spacing w:after="0"/>
              <w:rPr>
                <w:sz w:val="20"/>
                <w:szCs w:val="20"/>
                <w:color w:val="auto"/>
              </w:rPr>
            </w:pPr>
            <w:r>
              <w:rPr>
                <w:rFonts w:ascii="Arial" w:cs="Arial" w:eastAsia="Arial" w:hAnsi="Arial"/>
                <w:sz w:val="16"/>
                <w:szCs w:val="16"/>
                <w:b w:val="1"/>
                <w:bCs w:val="1"/>
                <w:color w:val="auto"/>
              </w:rPr>
              <w:t>Additional Data:</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Working capital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75,141</w:t>
            </w:r>
          </w:p>
        </w:tc>
        <w:tc>
          <w:tcPr>
            <w:tcW w:w="9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38,705</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48,920</w:t>
            </w:r>
          </w:p>
        </w:tc>
        <w:tc>
          <w:tcPr>
            <w:tcW w:w="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56,190</w:t>
            </w:r>
          </w:p>
        </w:tc>
        <w:tc>
          <w:tcPr>
            <w:tcW w:w="0" w:type="dxa"/>
            <w:vAlign w:val="bottom"/>
          </w:tcPr>
          <w:p>
            <w:pPr>
              <w:spacing w:after="0"/>
              <w:rPr>
                <w:sz w:val="1"/>
                <w:szCs w:val="1"/>
                <w:color w:val="auto"/>
              </w:rPr>
            </w:pPr>
          </w:p>
        </w:tc>
      </w:tr>
      <w:tr>
        <w:trPr>
          <w:trHeight w:val="251"/>
        </w:trPr>
        <w:tc>
          <w:tcPr>
            <w:tcW w:w="3360" w:type="dxa"/>
            <w:vAlign w:val="bottom"/>
            <w:gridSpan w:val="2"/>
          </w:tcPr>
          <w:p>
            <w:pPr>
              <w:ind w:left="280"/>
              <w:spacing w:after="0"/>
              <w:rPr>
                <w:sz w:val="20"/>
                <w:szCs w:val="20"/>
                <w:color w:val="auto"/>
              </w:rPr>
            </w:pPr>
            <w:r>
              <w:rPr>
                <w:rFonts w:ascii="Arial" w:cs="Arial" w:eastAsia="Arial" w:hAnsi="Arial"/>
                <w:sz w:val="16"/>
                <w:szCs w:val="16"/>
                <w:color w:val="auto"/>
              </w:rPr>
              <w:t>Gross margin percentage</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29.9</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19.6</w:t>
            </w:r>
          </w:p>
        </w:tc>
        <w:tc>
          <w:tcPr>
            <w:tcW w:w="84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18.0</w:t>
            </w:r>
          </w:p>
        </w:tc>
        <w:tc>
          <w:tcPr>
            <w:tcW w:w="6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30.3  %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155"/>
        </w:trPr>
        <w:tc>
          <w:tcPr>
            <w:tcW w:w="900" w:type="dxa"/>
            <w:vAlign w:val="bottom"/>
            <w:tcBorders>
              <w:bottom w:val="single" w:sz="8" w:color="auto"/>
            </w:tcBorders>
          </w:tcPr>
          <w:p>
            <w:pPr>
              <w:spacing w:after="0"/>
              <w:rPr>
                <w:sz w:val="13"/>
                <w:szCs w:val="13"/>
                <w:color w:val="auto"/>
              </w:rPr>
            </w:pPr>
          </w:p>
        </w:tc>
        <w:tc>
          <w:tcPr>
            <w:tcW w:w="2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include the impact of the adoption of Accounting Standards Codification (“ASC”) No. 606, “Revenue Recognition,” on January 1, 2018. See Note 3, “Revenue Recognition” (“ASC 606” or “Topic 606”) of the notes to consolidated financial statements included in Item 8 of this Form 10-K.</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37 –</w:t>
      </w:r>
    </w:p>
    <w:p>
      <w:pPr>
        <w:sectPr>
          <w:pgSz w:w="11900" w:h="16838" w:orient="portrait"/>
          <w:cols w:equalWidth="0" w:num="1">
            <w:col w:w="11420"/>
          </w:cols>
          <w:pgMar w:left="240" w:top="283" w:right="239" w:bottom="1440" w:gutter="0" w:footer="0" w:header="0"/>
          <w:type w:val="continuous"/>
        </w:sectPr>
      </w:pPr>
    </w:p>
    <w:bookmarkStart w:id="37" w:name="page38"/>
    <w:bookmarkEnd w:id="3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and elsewhere in this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2018 Highlights</w:t>
      </w:r>
    </w:p>
    <w:p>
      <w:pPr>
        <w:spacing w:after="0" w:line="247"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are a global energy technology company, delivering smart, easy-to-use solutions that connect solar generation, storage and communications management on one intelligent platform. We revolutionized solar with our microinverter technology and produce the world’s only truly integrated solar-plus-storage solution. We have shipped more than 19 million microinverters, representing over 4 gigawatts of solar PV generating capacity, and more than 855,000 Enphase residential and commercial systems have been deployed in over 125 countries.</w:t>
      </w:r>
    </w:p>
    <w:p>
      <w:pPr>
        <w:spacing w:after="0" w:line="20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sell our solutions primarily to distributors who resell them to solar installers. We also sell directly to large installers, OEMs, strategic partners and homeowners. Over the last three years, revenues generated from the U.S. market have represented 69% to 80% of our total revenue.</w:t>
      </w:r>
    </w:p>
    <w:p>
      <w:pPr>
        <w:spacing w:after="0" w:line="17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Our first commercial shipment occurred in mid-2008. Our net revenues were $316.2 million, $286.2 million and $322.6 million for 2018, 2017 and 2016, respectively. We incurred net losses of $11.6 million, $45.2 million and $ 67.5 million for 2018, 2017 and 2016, respectively. As of December 31, 2018, we had $106.2 million in cash and cash equivalents and working capital of $75.1 million.</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2018 priorities included focusing on customer service and achieving our financial operating model. Quality and customer service are the cornerstones of our strategy and were instrumental in our turnaround in financial performance in 2018. We began by focusing on call center metrics in the U.S., Europe and Australia, and reduced the average wait time from over 10 minutes in 2017 to approximately 2 minutes by the end of 2018. We introduced self-service tools such as the Service-On-The-Go™ that allow our installers and partners to submit requests from their phone in less than 60 seconds.</w:t>
      </w:r>
    </w:p>
    <w:p>
      <w:pPr>
        <w:spacing w:after="0" w:line="20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financial operating model sets gross margin, operating expense and operating income targets expressed as a percentage of net revenue. Our financial operating model explicitly focuses on profitability rather than market share. We are pleased with the progress towards achieving our financial operating model targets for gross margin, operating expenses and operating income, which we achieved through a combination of disciplined planning and rigorous execution.</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launch of IQ 7 worldwide, the smallest, lightest and most powerful microinverter we have ever made, was a key factor in improving gross margin. Every region of the world where our products are sold is now using this seventh-generation microinverter. In the fourth quarter of 2018, 84% of our microinverter shipments were IQ 7. We systematically rolled out high-power and high-efficiency variants of the IQ 7 microinverters in 2018. Selling these variants simultaneously improved gross margin and delivered a better price per watt for the installer.</w:t>
      </w:r>
    </w:p>
    <w:p>
      <w:pPr>
        <w:spacing w:after="0" w:line="17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of December 31, 2018, we had $106.2 million in cash, as compared to $29.1 million as of December 31, 2017. In February 2018, we raised $20.0 million through a private placement of common stock and also reached an agreement with our lender to defer approximately 50% of the principal payments due in 2018 under our term loans. The amount deferred in 2018 was amortized over the remaining term of the loan. On January 28, 2019, we repaid in full the remaining principal amount of the term loans of $39.5 million plus accrued interest and fees. In August 2018, we sold $65.0 million aggregate principal amount of convertible senior notes due 2023 in a private placement and received net proceeds of $ 62.4 million, after deducting the underwriters’ fees and other issuance costs. See Note 11. “Debt,” and Note 13. “Sale of Common Stock,” of the notes to consolidated financial statements included in Item 8 of this Form 10-K for further information.</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283" w:right="259" w:bottom="1440" w:gutter="0" w:footer="0" w:header="0"/>
        </w:sectPr>
      </w:pPr>
    </w:p>
    <w:bookmarkStart w:id="38" w:name="page39"/>
    <w:bookmarkEnd w:id="3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80" w:firstLine="486"/>
        <w:spacing w:after="0" w:line="265" w:lineRule="auto"/>
        <w:rPr>
          <w:sz w:val="20"/>
          <w:szCs w:val="20"/>
          <w:color w:val="auto"/>
        </w:rPr>
      </w:pPr>
      <w:r>
        <w:rPr>
          <w:rFonts w:ascii="Arial" w:cs="Arial" w:eastAsia="Arial" w:hAnsi="Arial"/>
          <w:sz w:val="17"/>
          <w:szCs w:val="17"/>
          <w:color w:val="auto"/>
        </w:rPr>
        <w:t>On August 9, 2018, we completed the purchase of assets primarily relating to SunPower’s microinverter business (the “Business”). Upon the closing of the transactions under the APA on August 9, 2018, we acquired intellectual property, technology and other assets primarily relating to the Business and assumed certain intellectual property and customer relationship of the Business for the following consideration:</w:t>
      </w:r>
    </w:p>
    <w:p>
      <w:pPr>
        <w:spacing w:after="0" w:line="1" w:lineRule="exact"/>
        <w:rPr>
          <w:sz w:val="20"/>
          <w:szCs w:val="20"/>
          <w:color w:val="auto"/>
        </w:rPr>
      </w:pPr>
    </w:p>
    <w:p>
      <w:pPr>
        <w:ind w:right="20" w:firstLine="8"/>
        <w:spacing w:after="0" w:line="252"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$25.0 million payable in cash; and (ii) 7.5 million shares of our common stock issued to SunPower at closing. In addition, as conditions to the closing, we and SunPower entered into (i) a MSA under which SunPower is obligated to exclusively procure module level power electronics and related equipment for use in the U.S. residential market from us for a period of five years and (ii) a stockholders agreement to establish certain SunPower rights and obligations related to the shares issued, including SunPower’s right to appoint one person to our board of directors, certain additional transfer restrictions on the shares, and voting, standstill and other undertakings by SunPower. See Note 20. “Acquisition,” of the notes to consolidated financial statements included in Item 8 of this Form 10-K for further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Outlook</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We believe our solid execution in 2018 positions us well to take advantage of future growth opportunities, and we need to maintain our focus in order to capitalize on such opportunities. Our top three priorities for 2019 are customer experience, improvement of internal business processes and continued focus on the vectors for profitable top line growth.</w:t>
      </w:r>
    </w:p>
    <w:p>
      <w:pPr>
        <w:spacing w:after="0" w:line="184"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Quality and Customer Service constitute customer experience. On the service front, our installer, distributor and</w:t>
      </w:r>
      <w:r>
        <w:rPr>
          <w:rFonts w:ascii="Arial" w:cs="Arial" w:eastAsia="Arial" w:hAnsi="Arial"/>
          <w:sz w:val="18"/>
          <w:szCs w:val="18"/>
          <w:i w:val="1"/>
          <w:iCs w:val="1"/>
          <w:color w:val="auto"/>
        </w:rPr>
        <w:t xml:space="preserve"> </w:t>
      </w:r>
      <w:r>
        <w:rPr>
          <w:rFonts w:ascii="Arial" w:cs="Arial" w:eastAsia="Arial" w:hAnsi="Arial"/>
          <w:sz w:val="18"/>
          <w:szCs w:val="18"/>
          <w:color w:val="auto"/>
        </w:rPr>
        <w:t>module partners are our first line of association with our ultimate customer, the homeowner and business user. Our goals are to partner better with these service providers so that we can provide exceptional serve to our homeowner. We are convinced that continued customer experience improvements can be a competitive advantage for us.</w:t>
      </w:r>
    </w:p>
    <w:p>
      <w:pPr>
        <w:spacing w:after="0" w:line="180" w:lineRule="exact"/>
        <w:rPr>
          <w:sz w:val="20"/>
          <w:szCs w:val="20"/>
          <w:color w:val="auto"/>
        </w:rPr>
      </w:pPr>
    </w:p>
    <w:p>
      <w:pPr>
        <w:ind w:right="320" w:firstLine="486"/>
        <w:spacing w:after="0" w:line="261" w:lineRule="auto"/>
        <w:rPr>
          <w:sz w:val="20"/>
          <w:szCs w:val="20"/>
          <w:color w:val="auto"/>
        </w:rPr>
      </w:pPr>
      <w:r>
        <w:rPr>
          <w:rFonts w:ascii="Arial" w:cs="Arial" w:eastAsia="Arial" w:hAnsi="Arial"/>
          <w:sz w:val="18"/>
          <w:szCs w:val="18"/>
          <w:i w:val="1"/>
          <w:iCs w:val="1"/>
          <w:color w:val="auto"/>
        </w:rPr>
        <w:t xml:space="preserve">Improve Internal Business Processes. </w:t>
      </w:r>
      <w:r>
        <w:rPr>
          <w:rFonts w:ascii="Arial" w:cs="Arial" w:eastAsia="Arial" w:hAnsi="Arial"/>
          <w:sz w:val="18"/>
          <w:szCs w:val="18"/>
          <w:color w:val="auto"/>
        </w:rPr>
        <w:t>There are three critical business processes we are focusing on this year: Operational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for streamlining the Quote to Cash Cycle; New Product Business Process for launching new product predictably; and Human Resource Business Process for talent management. These processes are critical in improving every aspect of our company for sustainable long-term profitable growth.</w:t>
      </w:r>
    </w:p>
    <w:p>
      <w:pPr>
        <w:spacing w:after="0" w:line="180" w:lineRule="exact"/>
        <w:rPr>
          <w:sz w:val="20"/>
          <w:szCs w:val="20"/>
          <w:color w:val="auto"/>
        </w:rPr>
      </w:pPr>
    </w:p>
    <w:p>
      <w:pPr>
        <w:ind w:right="180" w:firstLine="486"/>
        <w:spacing w:after="0" w:line="282" w:lineRule="auto"/>
        <w:rPr>
          <w:sz w:val="20"/>
          <w:szCs w:val="20"/>
          <w:color w:val="auto"/>
        </w:rPr>
      </w:pPr>
      <w:r>
        <w:rPr>
          <w:rFonts w:ascii="Arial" w:cs="Arial" w:eastAsia="Arial" w:hAnsi="Arial"/>
          <w:sz w:val="18"/>
          <w:szCs w:val="18"/>
          <w:i w:val="1"/>
          <w:iCs w:val="1"/>
          <w:color w:val="auto"/>
        </w:rPr>
        <w:t xml:space="preserve">Profitable Top Line Growth. </w:t>
      </w:r>
      <w:r>
        <w:rPr>
          <w:rFonts w:ascii="Arial" w:cs="Arial" w:eastAsia="Arial" w:hAnsi="Arial"/>
          <w:sz w:val="18"/>
          <w:szCs w:val="18"/>
          <w:color w:val="auto"/>
        </w:rPr>
        <w:t>Our four vectors for our goal of achieving profitable top line growth are IQ 7 regional expansion, high-power</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high-performance products, ACMs, and Ensemble Solar and Storage technology.</w:t>
      </w:r>
    </w:p>
    <w:p>
      <w:pPr>
        <w:spacing w:after="0" w:line="180" w:lineRule="exact"/>
        <w:rPr>
          <w:sz w:val="20"/>
          <w:szCs w:val="20"/>
          <w:color w:val="auto"/>
        </w:rPr>
      </w:pPr>
    </w:p>
    <w:p>
      <w:pPr>
        <w:ind w:left="820" w:right="320" w:hanging="326"/>
        <w:spacing w:after="0" w:line="262"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IQ 7 transition is nearly complete. Component shortages in 2018 limited our ability to meet customer demand, and we expect these shortages to alleviate in 2019 allowing us to fully realize the financial benefits of this product in the second half of 2019.</w:t>
      </w:r>
    </w:p>
    <w:p>
      <w:pPr>
        <w:spacing w:after="0" w:line="196" w:lineRule="exact"/>
        <w:rPr>
          <w:rFonts w:ascii="Arial" w:cs="Arial" w:eastAsia="Arial" w:hAnsi="Arial"/>
          <w:sz w:val="18"/>
          <w:szCs w:val="18"/>
          <w:color w:val="auto"/>
        </w:rPr>
      </w:pPr>
    </w:p>
    <w:p>
      <w:pPr>
        <w:ind w:left="820" w:hanging="326"/>
        <w:spacing w:after="0" w:line="256"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expect to introduce high-power products, including IQ 7A, which cater to 375-450W DC panels, much like the IQ 7+ and IQ 7X which cater to 325-400W DC panels in 2019. In early 2019, we have started sampling the IQ 7A product in limited quantities to one of our lead customers.</w:t>
      </w:r>
    </w:p>
    <w:p>
      <w:pPr>
        <w:spacing w:after="0" w:line="201" w:lineRule="exact"/>
        <w:rPr>
          <w:rFonts w:ascii="Arial" w:cs="Arial" w:eastAsia="Arial" w:hAnsi="Arial"/>
          <w:sz w:val="18"/>
          <w:szCs w:val="18"/>
          <w:color w:val="auto"/>
        </w:rPr>
      </w:pPr>
    </w:p>
    <w:p>
      <w:pPr>
        <w:ind w:left="820" w:hanging="326"/>
        <w:spacing w:after="0" w:line="256"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Enphase Energized ACMs represent a significant part of our strategy to achieve profitable top line growth. This plug and play solution allow installers to be more competitive through improved logistics, reduced installation time, faster inspection and training. In the fourth quarter of 2018, we began volume shipments of our IQ 7XS™, with a continued ramp in 2019.</w:t>
      </w:r>
    </w:p>
    <w:p>
      <w:pPr>
        <w:spacing w:after="0" w:line="201" w:lineRule="exact"/>
        <w:rPr>
          <w:rFonts w:ascii="Arial" w:cs="Arial" w:eastAsia="Arial" w:hAnsi="Arial"/>
          <w:sz w:val="18"/>
          <w:szCs w:val="18"/>
          <w:color w:val="auto"/>
        </w:rPr>
      </w:pPr>
    </w:p>
    <w:p>
      <w:pPr>
        <w:ind w:left="820" w:right="280" w:hanging="326"/>
        <w:spacing w:after="0" w:line="25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Ensemble Solar and Storage technology represents a complete system that provides homeowners with new levels of choice and energy independence. We expect to release Ensemble grid-agnostic products in a phased manner starting in the fourth quarter of 2019. While there will be limited financial contribution from Ensemble in 2019, we will be preparing the market, aligning customers and educating homeowners for an expected robust 2020 with this technology.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47" w:lineRule="exact"/>
        <w:rPr>
          <w:sz w:val="20"/>
          <w:szCs w:val="20"/>
          <w:color w:val="auto"/>
        </w:rPr>
      </w:pPr>
    </w:p>
    <w:p>
      <w:pPr>
        <w:ind w:right="580" w:firstLine="486"/>
        <w:spacing w:after="0" w:line="262" w:lineRule="auto"/>
        <w:rPr>
          <w:sz w:val="20"/>
          <w:szCs w:val="20"/>
          <w:color w:val="auto"/>
        </w:rPr>
      </w:pPr>
      <w:r>
        <w:rPr>
          <w:rFonts w:ascii="Arial" w:cs="Arial" w:eastAsia="Arial" w:hAnsi="Arial"/>
          <w:sz w:val="18"/>
          <w:szCs w:val="18"/>
          <w:color w:val="auto"/>
        </w:rPr>
        <w:t>We primarily generate net revenues from sales of our solutions and related accessories, which can include our AC Battery storage systems, our Envoy communications gateway and Enlighten cloud-based monitoring service as well as other accessories.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83" w:right="239" w:bottom="1440" w:gutter="0" w:footer="0" w:header="0"/>
        </w:sectPr>
      </w:pPr>
    </w:p>
    <w:bookmarkStart w:id="39" w:name="page40"/>
    <w:bookmarkEnd w:id="3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Our revenue is affected by changes in the volume and average selling prices of our solutions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206"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U.S., Europe and Asia.</w:t>
      </w:r>
    </w:p>
    <w:p>
      <w:pPr>
        <w:spacing w:after="0" w:line="206"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Research and development expense include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20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Sales and marketing expense include personnel-related expenses,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solutions targeting the residential and commercial markets in the U.S., Canada, Mexico and Central American markets, Europe, Australia, New Zealand, India and certain other Asian markets. We expect to continue to expand the geographic reach of our product offerings and explore new sales channels in addressable markets in the future.</w:t>
      </w:r>
    </w:p>
    <w:p>
      <w:pPr>
        <w:spacing w:after="0" w:line="20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General and administrative expense include personnel-related expenses for our executive, finance, human resources, information technology and legal organization, facilities costs, and fees for professional services. Fees for professional services consist primarily of outside legal, accounting and information technology consulting costs.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283" w:right="259" w:bottom="1440" w:gutter="0" w:footer="0" w:header="0"/>
        </w:sectPr>
      </w:pPr>
    </w:p>
    <w:bookmarkStart w:id="40" w:name="page41"/>
    <w:bookmarkEnd w:id="4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40" w:firstLine="486"/>
        <w:spacing w:after="0" w:line="216" w:lineRule="exact"/>
        <w:rPr>
          <w:sz w:val="20"/>
          <w:szCs w:val="20"/>
          <w:color w:val="auto"/>
        </w:rPr>
      </w:pPr>
      <w:r>
        <w:rPr>
          <w:rFonts w:ascii="Arial" w:cs="Arial" w:eastAsia="Arial" w:hAnsi="Arial"/>
          <w:sz w:val="18"/>
          <w:szCs w:val="18"/>
          <w:color w:val="auto"/>
        </w:rPr>
        <w:t>Restructuring charges are the net charges resulting from restructuring initiatives implemented in 2016</w:t>
      </w:r>
      <w:r>
        <w:rPr>
          <w:rFonts w:ascii="MS PGothic" w:cs="MS PGothic" w:eastAsia="MS PGothic" w:hAnsi="MS PGothic"/>
          <w:sz w:val="18"/>
          <w:szCs w:val="18"/>
          <w:color w:val="auto"/>
        </w:rPr>
        <w:t>‑</w:t>
      </w:r>
      <w:r>
        <w:rPr>
          <w:rFonts w:ascii="Arial" w:cs="Arial" w:eastAsia="Arial" w:hAnsi="Arial"/>
          <w:sz w:val="18"/>
          <w:szCs w:val="18"/>
          <w:color w:val="auto"/>
        </w:rPr>
        <w:t>2017 (the “2016 Plan”) and 2018 (the “2018 Plan”) to improve operational performance and reduce overall operating expenses. Under the 2016 Plan, costs included in restructuring primarily consisted of fees paid to management consultants engaged to assist us in making organizational and structural changes to improve operational efficiencies and reduce expenses, severance for workforce reduction actions, non-cash charges related to the disposition of assets and impairment of property and equipment, and the establishment of lease loss reserves. The net charge for the 2016 Plan included a gain on the divestiture of our services business. Charges related to our 2016 Plan were largely completed in 2017. Under the 2018 Plan, costs included in restructuring primarily consisted of employee severance and one-time benefits, workforce reorganization charges, non-cash charges related to impairment of property and equipment, and the establishment of lease loss reserves. See Note 10. “Restructuring,” of the notes to consolidated financial statements included in Item 8 of this Form 10-K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Other expense, net primarily consists of interest expense and commitment fees under our term loans and convertible notes, and non-cash interest expense related to the amortization of deferred financing costs. Other expense, net also includes gains or losses upon conversion of foreign currency transactions into U.S. dollars.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U.S. because we have sold the majority of our products to customers in the U.S. As we have expanded the sale of products to customers outside the U.S., we have become subject to taxation based on the foreign statutory rates in the countries where these sales took place. As sales in foreign jurisdictions increase in the future, our effective tax rate may fluctuate accordingly. As of December 31, 2018, due to the history of losses we have generated in the U.S. since inception, we believe that it is more-likely-than-not that all of our U.S. and state deferred tax assets will not be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Consolidated Statements of Operations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58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316,159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286,166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322,591</w:t>
            </w:r>
          </w:p>
        </w:tc>
      </w:tr>
      <w:tr>
        <w:trPr>
          <w:trHeight w:val="264"/>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221,714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230,123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264,583</w:t>
            </w:r>
          </w:p>
        </w:tc>
      </w:tr>
      <w:tr>
        <w:trPr>
          <w:trHeight w:val="25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94,445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56,043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58,008</w:t>
            </w:r>
          </w:p>
        </w:tc>
      </w:tr>
      <w:tr>
        <w:trPr>
          <w:trHeight w:val="254"/>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32,587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50,703</w:t>
            </w:r>
          </w:p>
        </w:tc>
      </w:tr>
      <w:tr>
        <w:trPr>
          <w:trHeight w:val="260"/>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27,047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23,126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38,810</w:t>
            </w:r>
          </w:p>
        </w:tc>
      </w:tr>
      <w:tr>
        <w:trPr>
          <w:trHeight w:val="280"/>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29,086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22,221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27,418</w:t>
            </w:r>
          </w:p>
        </w:tc>
      </w:tr>
      <w:tr>
        <w:trPr>
          <w:trHeight w:val="264"/>
        </w:trPr>
        <w:tc>
          <w:tcPr>
            <w:tcW w:w="6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Restructuring charges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16,917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3,777</w:t>
            </w:r>
          </w:p>
        </w:tc>
      </w:tr>
      <w:tr>
        <w:trPr>
          <w:trHeight w:val="25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92,849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95,421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120,708</w:t>
            </w:r>
          </w:p>
        </w:tc>
      </w:tr>
      <w:tr>
        <w:trPr>
          <w:trHeight w:val="24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Income (loss) from operations</w:t>
            </w:r>
          </w:p>
        </w:tc>
        <w:tc>
          <w:tcPr>
            <w:tcW w:w="34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(62,700)</w:t>
            </w:r>
          </w:p>
        </w:tc>
      </w:tr>
      <w:tr>
        <w:trPr>
          <w:trHeight w:val="273"/>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r>
      <w:tr>
        <w:trPr>
          <w:trHeight w:val="24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Loss before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(65,987)</w:t>
            </w:r>
          </w:p>
        </w:tc>
      </w:tr>
      <w:tr>
        <w:trPr>
          <w:trHeight w:val="273"/>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40"/>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(67,462)</w:t>
            </w:r>
          </w:p>
        </w:tc>
      </w:tr>
      <w:tr>
        <w:trPr>
          <w:trHeight w:val="20"/>
        </w:trPr>
        <w:tc>
          <w:tcPr>
            <w:tcW w:w="9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5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121" w:lineRule="exact"/>
        <w:rPr>
          <w:sz w:val="20"/>
          <w:szCs w:val="20"/>
          <w:color w:val="auto"/>
        </w:rPr>
      </w:pPr>
    </w:p>
    <w:p>
      <w:pPr>
        <w:ind w:left="340" w:right="2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include the impact of the adoption of Accounting Standards Codification (“ASC”) No. 606, “Revenue Recognition,” on January 1, 2018. See Note 3, “Revenue Recognition” (“ASC 606” or “Topic 606”) of the notes to consolidated financial statements included in Item 8 of this Form 10-K.</w:t>
      </w:r>
    </w:p>
    <w:p>
      <w:pPr>
        <w:spacing w:after="0" w:line="391"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41 –</w:t>
      </w:r>
    </w:p>
    <w:p>
      <w:pPr>
        <w:sectPr>
          <w:pgSz w:w="11900" w:h="16838" w:orient="portrait"/>
          <w:cols w:equalWidth="0" w:num="1">
            <w:col w:w="11400"/>
          </w:cols>
          <w:pgMar w:left="240" w:top="283" w:right="259" w:bottom="1440" w:gutter="0" w:footer="0" w:header="0"/>
        </w:sectPr>
      </w:pPr>
    </w:p>
    <w:bookmarkStart w:id="41" w:name="page42"/>
    <w:bookmarkEnd w:id="4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2018,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left="44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left="406"/>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7"/>
                <w:szCs w:val="17"/>
                <w:color w:val="auto"/>
              </w:rPr>
            </w:pPr>
          </w:p>
        </w:tc>
        <w:tc>
          <w:tcPr>
            <w:tcW w:w="1240" w:type="dxa"/>
            <w:vAlign w:val="bottom"/>
          </w:tcPr>
          <w:p>
            <w:pPr>
              <w:ind w:left="44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128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r>
      <w:tr>
        <w:trPr>
          <w:trHeight w:val="264"/>
        </w:trPr>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2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6"/>
        </w:trPr>
        <w:tc>
          <w:tcPr>
            <w:tcW w:w="1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316,159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286,166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29,993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  $</w:t>
            </w:r>
          </w:p>
        </w:tc>
        <w:tc>
          <w:tcPr>
            <w:tcW w:w="98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286,166</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322,591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(36,425)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135"/>
        </w:trPr>
        <w:tc>
          <w:tcPr>
            <w:tcW w:w="90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121" w:lineRule="exact"/>
        <w:rPr>
          <w:sz w:val="20"/>
          <w:szCs w:val="20"/>
          <w:color w:val="auto"/>
        </w:rPr>
      </w:pPr>
    </w:p>
    <w:p>
      <w:pPr>
        <w:ind w:left="340" w:right="2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include the impact of the adoption of Accounting Standards Codification (“ASC”) No. 606, “Revenue Recognition,” on January 1, 2018. See Note 3, “Revenue Recognition” (“ASC 606” or “Topic 606”) of the notes to consolidated financial statements included in Item 8 of this Form 10-K.</w:t>
      </w:r>
    </w:p>
    <w:p>
      <w:pPr>
        <w:spacing w:after="0" w:line="7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Net revenues increased by 10% in 2018, as compared to 2017, due primarily to an increase in the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price per inverter combined with $ 5.3 million of revenue earned under a joint development agreement. We sold 2.8 million microinverter units in 2018, as compared to 2.9 million units in the same period in 2017. The impact of the lower sales volume was more than offset by an increase in average selling price per microinverter due to the transition to our IQ series of microinverters and pricing management. See Note 3. “Revenue Recognition,” of the notes to consolidated financial statements.</w:t>
      </w:r>
    </w:p>
    <w:p>
      <w:pPr>
        <w:spacing w:after="0" w:line="1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Net revenues decreased by 11% to $286.2 million in 2017, as compared to 2016. The number of microinverter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sold decreased by 6% to approximately 2.9 million units in 2017 in part due to our efforts to improve gross margins, which included foregoing low-margin sales. Net revenues decreased year-over-year primarily due to the lower volume combined with a decline in the average selling prices of our products. The decrease in net revenues was partially offset by the recognition of $2.2 million of deferred revenue resulting from a change in estimate of the service period related to sales of our Envoy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483"/>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463"/>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280" w:type="dxa"/>
            <w:vAlign w:val="bottom"/>
          </w:tcPr>
          <w:p>
            <w:pPr>
              <w:jc w:val="right"/>
              <w:ind w:right="23"/>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r>
      <w:tr>
        <w:trPr>
          <w:trHeight w:val="264"/>
        </w:trPr>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r>
      <w:tr>
        <w:trPr>
          <w:trHeight w:val="250"/>
        </w:trPr>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6"/>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221,714</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230,123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(8,409)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  $</w:t>
            </w:r>
          </w:p>
        </w:tc>
        <w:tc>
          <w:tcPr>
            <w:tcW w:w="9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230,123</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264,583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(34,460)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0"/>
        </w:trPr>
        <w:tc>
          <w:tcPr>
            <w:tcW w:w="176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2"/>
                <w:szCs w:val="22"/>
                <w:color w:val="auto"/>
              </w:rPr>
            </w:pPr>
          </w:p>
        </w:tc>
        <w:tc>
          <w:tcPr>
            <w:tcW w:w="980" w:type="dxa"/>
            <w:vAlign w:val="bottom"/>
          </w:tcPr>
          <w:p>
            <w:pPr>
              <w:jc w:val="right"/>
              <w:ind w:right="163"/>
              <w:spacing w:after="0"/>
              <w:rPr>
                <w:sz w:val="20"/>
                <w:szCs w:val="20"/>
                <w:color w:val="auto"/>
              </w:rPr>
            </w:pPr>
            <w:r>
              <w:rPr>
                <w:rFonts w:ascii="Arial" w:cs="Arial" w:eastAsia="Arial" w:hAnsi="Arial"/>
                <w:sz w:val="16"/>
                <w:szCs w:val="16"/>
                <w:color w:val="auto"/>
              </w:rPr>
              <w:t>94,445</w:t>
            </w:r>
          </w:p>
        </w:tc>
        <w:tc>
          <w:tcPr>
            <w:tcW w:w="440" w:type="dxa"/>
            <w:vAlign w:val="bottom"/>
          </w:tcPr>
          <w:p>
            <w:pPr>
              <w:spacing w:after="0"/>
              <w:rPr>
                <w:sz w:val="22"/>
                <w:szCs w:val="22"/>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56,043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ind w:right="464"/>
              <w:spacing w:after="0"/>
              <w:rPr>
                <w:sz w:val="20"/>
                <w:szCs w:val="20"/>
                <w:color w:val="auto"/>
              </w:rPr>
            </w:pPr>
            <w:r>
              <w:rPr>
                <w:rFonts w:ascii="Arial" w:cs="Arial" w:eastAsia="Arial" w:hAnsi="Arial"/>
                <w:sz w:val="16"/>
                <w:szCs w:val="16"/>
                <w:color w:val="auto"/>
              </w:rPr>
              <w:t>38,402</w:t>
            </w:r>
          </w:p>
        </w:tc>
        <w:tc>
          <w:tcPr>
            <w:tcW w:w="64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63"/>
              <w:spacing w:after="0"/>
              <w:rPr>
                <w:sz w:val="20"/>
                <w:szCs w:val="20"/>
                <w:color w:val="auto"/>
              </w:rPr>
            </w:pPr>
            <w:r>
              <w:rPr>
                <w:rFonts w:ascii="Arial" w:cs="Arial" w:eastAsia="Arial" w:hAnsi="Arial"/>
                <w:sz w:val="16"/>
                <w:szCs w:val="16"/>
                <w:color w:val="auto"/>
              </w:rPr>
              <w:t>56,043</w:t>
            </w:r>
          </w:p>
        </w:tc>
        <w:tc>
          <w:tcPr>
            <w:tcW w:w="440" w:type="dxa"/>
            <w:vAlign w:val="bottom"/>
          </w:tcPr>
          <w:p>
            <w:pPr>
              <w:spacing w:after="0"/>
              <w:rPr>
                <w:sz w:val="22"/>
                <w:szCs w:val="22"/>
                <w:color w:val="auto"/>
              </w:rPr>
            </w:pPr>
          </w:p>
        </w:tc>
        <w:tc>
          <w:tcPr>
            <w:tcW w:w="780" w:type="dxa"/>
            <w:vAlign w:val="bottom"/>
          </w:tcPr>
          <w:p>
            <w:pPr>
              <w:jc w:val="right"/>
              <w:ind w:right="101"/>
              <w:spacing w:after="0"/>
              <w:rPr>
                <w:sz w:val="20"/>
                <w:szCs w:val="20"/>
                <w:color w:val="auto"/>
              </w:rPr>
            </w:pPr>
            <w:r>
              <w:rPr>
                <w:rFonts w:ascii="Arial" w:cs="Arial" w:eastAsia="Arial" w:hAnsi="Arial"/>
                <w:sz w:val="16"/>
                <w:szCs w:val="16"/>
                <w:color w:val="auto"/>
              </w:rPr>
              <w:t>58,008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423"/>
              <w:spacing w:after="0"/>
              <w:rPr>
                <w:sz w:val="20"/>
                <w:szCs w:val="20"/>
                <w:color w:val="auto"/>
              </w:rPr>
            </w:pPr>
            <w:r>
              <w:rPr>
                <w:rFonts w:ascii="Arial" w:cs="Arial" w:eastAsia="Arial" w:hAnsi="Arial"/>
                <w:sz w:val="16"/>
                <w:szCs w:val="16"/>
                <w:color w:val="auto"/>
              </w:rPr>
              <w:t>(1,965)</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0"/>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29.9%</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19.6%</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135"/>
        </w:trPr>
        <w:tc>
          <w:tcPr>
            <w:tcW w:w="9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40" w:type="dxa"/>
            <w:vAlign w:val="bottom"/>
          </w:tcPr>
          <w:p>
            <w:pPr>
              <w:spacing w:after="0"/>
              <w:rPr>
                <w:sz w:val="11"/>
                <w:szCs w:val="11"/>
                <w:color w:val="auto"/>
              </w:rPr>
            </w:pPr>
          </w:p>
        </w:tc>
      </w:tr>
    </w:tbl>
    <w:p>
      <w:pPr>
        <w:spacing w:after="0" w:line="121" w:lineRule="exact"/>
        <w:rPr>
          <w:sz w:val="20"/>
          <w:szCs w:val="20"/>
          <w:color w:val="auto"/>
        </w:rPr>
      </w:pPr>
    </w:p>
    <w:p>
      <w:pPr>
        <w:ind w:left="340" w:right="2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include the impact of the adoption of Accounting Standards Codification (“ASC”) No. 606, “Revenue Recognition,” on January 1, 2018. See Note 3, “Revenue Recognition” (“ASC 606” or “Topic 606”) of the notes to consolidated financial statements included in Item 8 of this Form 10-K.</w:t>
      </w:r>
    </w:p>
    <w:p>
      <w:pPr>
        <w:spacing w:after="0" w:line="7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Cost of revenues decreased by 4% in 2018, as compared to 2017, primarily due to an 11% decrease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product cost. Gross margin increased by 10.3 percentage points for 2018, as compared to 2017. The increase in gross margin was primarily attributable to increased product margins as a result of the transition to our IQ 7 microinverter as well as our other product cost management efforts. The improvement in margin due to the $5.3 million in revenue under a joint development arrangement was offset by an increase in other cost of goods sold, including increased expedite fees and logistics costs associated with supply constraints due to industry wide component shortages. Our ability to reduce product costs and the timing of product cost reductions relative to declines in the selling prices of our products can have a significant impact on our gross margin.</w:t>
      </w:r>
    </w:p>
    <w:p>
      <w:pPr>
        <w:spacing w:after="0" w:line="18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Cost of revenues decreased by 13% in 2017, as compared to 2016, and was primarily attributable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in 2017 to our next generation IQ microinverters, which have a lower cost profile than the previous generation, as well as the decline in sales volume. Gross margin increased by 1.6 percentage points to 19.6% in 2017, as compared to 18.0% in 2016. The primary drivers of the gross margin increase were lower warranty expense and logistics costs as a percentage of net revenues in 2017 as compared to 2016.</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283" w:right="259" w:bottom="1440" w:gutter="0" w:footer="0" w:header="0"/>
        </w:sectPr>
      </w:pPr>
    </w:p>
    <w:bookmarkStart w:id="42" w:name="page43"/>
    <w:bookmarkEnd w:id="4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Years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28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r>
      <w:tr>
        <w:trPr>
          <w:trHeight w:val="250"/>
        </w:trPr>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24"/>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4"/>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development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32,587</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33,157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(570)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  $</w:t>
            </w:r>
          </w:p>
        </w:tc>
        <w:tc>
          <w:tcPr>
            <w:tcW w:w="98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33,157</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50,703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(17,546)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8"/>
        </w:trPr>
        <w:tc>
          <w:tcPr>
            <w:tcW w:w="1820" w:type="dxa"/>
            <w:vAlign w:val="bottom"/>
          </w:tcPr>
          <w:p>
            <w:pPr>
              <w:ind w:left="40"/>
              <w:spacing w:after="0"/>
              <w:rPr>
                <w:sz w:val="20"/>
                <w:szCs w:val="20"/>
                <w:color w:val="auto"/>
              </w:rPr>
            </w:pPr>
            <w:r>
              <w:rPr>
                <w:rFonts w:ascii="Arial" w:cs="Arial" w:eastAsia="Arial" w:hAnsi="Arial"/>
                <w:sz w:val="16"/>
                <w:szCs w:val="16"/>
                <w:color w:val="auto"/>
              </w:rPr>
              <w:t>Percentage of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5"/>
        </w:trPr>
        <w:tc>
          <w:tcPr>
            <w:tcW w:w="18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Research and development expense decreased by $0.6 million in 2018, as compared to the same period in</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2017. The decrease is due to lower personnel-related expenses, equipment costs and professional expenses associated with the development, introduction and qualification of new products. The decrease was partially offset by higher engineering expenses. The decrease in personnel-related expenses was primarily due to a cumulative decrease in labor costs associated with moving certain functions to lower cost locations as part of restructuring actions taken in 2017 and 2018. The decrease in personnel-related expenses was partially offset by higher bonus compensation, stock-based compensation expense and travel expenses. The amount of research and development expenses may fluctuate from period to period due to the differing levels and stages of development activity.</w:t>
      </w:r>
    </w:p>
    <w:p>
      <w:pPr>
        <w:spacing w:after="0" w:line="18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Research and development expenses decreased by $17.5 million in 2017, as compared to 2016.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was primarily due to the implementation of our restructuring initiative that eliminated non-core projects resulting in an $11.5 million reduction in research and development personnel related expenses and a $5.9 million reduction in lab parts, product prototypes and professional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Years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Years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27,047</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23,126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3,921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17%  $</w:t>
            </w:r>
          </w:p>
        </w:tc>
        <w:tc>
          <w:tcPr>
            <w:tcW w:w="10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23,126</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38,810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rPr>
              <w:t>(15,684)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8"/>
        </w:trPr>
        <w:tc>
          <w:tcPr>
            <w:tcW w:w="1820" w:type="dxa"/>
            <w:vAlign w:val="bottom"/>
          </w:tcPr>
          <w:p>
            <w:pPr>
              <w:ind w:left="20"/>
              <w:spacing w:after="0"/>
              <w:rPr>
                <w:sz w:val="20"/>
                <w:szCs w:val="20"/>
                <w:color w:val="auto"/>
              </w:rPr>
            </w:pPr>
            <w:r>
              <w:rPr>
                <w:rFonts w:ascii="Arial" w:cs="Arial" w:eastAsia="Arial" w:hAnsi="Arial"/>
                <w:sz w:val="16"/>
                <w:szCs w:val="16"/>
                <w:color w:val="auto"/>
              </w:rPr>
              <w:t>Percentage of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1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13"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Sales and marketing expense increased by $3.9 million in 2018, as compared to 2017.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personnel related expenses, professional fees, equipment costs, advertising and marketing expenses and bad debt expenses. The increase was partially offset by lower facilities costs. The increase in personnel-related expenses include higher stock-based compensation expense, payroll expenses due to increasing our sales team and recruiting fees. The increase in personnel-related expenses was partially offset by lower spending on contractors and temporary employees, bonus compensation and benefits.</w:t>
      </w:r>
    </w:p>
    <w:p>
      <w:pPr>
        <w:spacing w:after="0" w:line="180"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Sales and marketing expenses decreased by $15.7 million in 2017, as compared to 2016. The decrease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implementation of our restructuring initiative resulting in an $ 8.5 million decrease in compensation costs as a result of lower headcount and a $1.2 million decrease in travel and entertainment expenses as a result of cost savings initiatives. Bad debt expense was reduced by $2.6 million in 2017 as compared to 2016, and advertising and professional fees were reduced by $2.8 million.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00"/>
          </w:cols>
          <w:pgMar w:left="240" w:top="283" w:right="259" w:bottom="1440" w:gutter="0" w:footer="0" w:header="0"/>
        </w:sectPr>
      </w:pPr>
    </w:p>
    <w:bookmarkStart w:id="43" w:name="page44"/>
    <w:bookmarkEnd w:id="4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Years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Years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r>
      <w:tr>
        <w:trPr>
          <w:trHeight w:val="264"/>
        </w:trPr>
        <w:tc>
          <w:tcPr>
            <w:tcW w:w="18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r>
      <w:tr>
        <w:trPr>
          <w:trHeight w:val="250"/>
        </w:trPr>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24"/>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4"/>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administrative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29,086</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22,221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6,865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31%  $</w:t>
            </w:r>
          </w:p>
        </w:tc>
        <w:tc>
          <w:tcPr>
            <w:tcW w:w="98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22,221</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27,418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(5,197)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8"/>
        </w:trPr>
        <w:tc>
          <w:tcPr>
            <w:tcW w:w="1840" w:type="dxa"/>
            <w:vAlign w:val="bottom"/>
          </w:tcPr>
          <w:p>
            <w:pPr>
              <w:ind w:left="40"/>
              <w:spacing w:after="0"/>
              <w:rPr>
                <w:sz w:val="20"/>
                <w:szCs w:val="20"/>
                <w:color w:val="auto"/>
              </w:rPr>
            </w:pPr>
            <w:r>
              <w:rPr>
                <w:rFonts w:ascii="Arial" w:cs="Arial" w:eastAsia="Arial" w:hAnsi="Arial"/>
                <w:sz w:val="16"/>
                <w:szCs w:val="16"/>
                <w:color w:val="auto"/>
              </w:rPr>
              <w:t>Percentage of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5"/>
        </w:trPr>
        <w:tc>
          <w:tcPr>
            <w:tcW w:w="184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1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General and administrative expense increased by $6.9 million in 2018, as compared to 2017.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higher personnel-related expenses, additional consulting and advisory fees due to our first year of SOX compliance efforts, $1.8 million paid to resolve a dispute with a supplier, and $0.8 million of acquisition-related expenses. The increase was partially offset by lower legal fees and equipment costs. The increase in personnel-related expenses was primarily attributable to higher stock-based compensation expense, higher spending on contractors and temporary employees, salary and bonus compensation and travel expenses. The increase in personnel-related expenses was partially offset by lower employee recruitment costs.</w:t>
      </w:r>
    </w:p>
    <w:p>
      <w:pPr>
        <w:spacing w:after="0" w:line="18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General and administrative expenses decreased by $5.2 million in 2017, as compared to 2016.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the implementation of our restructuring initiative that eliminated non-core projects resulting in a $4.9 million reduction in general and administrative personnel related expenses, a $0.8 million reduction in facilities related expenses and a $1.0 million reduction in depreciation expense as a result of a lower fixed asset base. These decreases were partially offset by a $1.7 million increase in accounting and legal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Charges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6"/>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7"/>
                <w:szCs w:val="17"/>
                <w:color w:val="auto"/>
              </w:rPr>
            </w:pPr>
          </w:p>
        </w:tc>
        <w:tc>
          <w:tcPr>
            <w:tcW w:w="1260" w:type="dxa"/>
            <w:vAlign w:val="bottom"/>
          </w:tcPr>
          <w:p>
            <w:pPr>
              <w:jc w:val="right"/>
              <w:ind w:right="6"/>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ind w:left="42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r>
      <w:tr>
        <w:trPr>
          <w:trHeight w:val="250"/>
        </w:trPr>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5"/>
          </w:tcPr>
          <w:p>
            <w:pPr>
              <w:jc w:val="right"/>
              <w:ind w:right="4"/>
              <w:spacing w:after="0"/>
              <w:rPr>
                <w:sz w:val="20"/>
                <w:szCs w:val="20"/>
                <w:color w:val="auto"/>
              </w:rPr>
            </w:pPr>
            <w:r>
              <w:rPr>
                <w:rFonts w:ascii="Arial" w:cs="Arial" w:eastAsia="Arial" w:hAnsi="Arial"/>
                <w:sz w:val="14"/>
                <w:szCs w:val="14"/>
                <w:b w:val="1"/>
                <w:bCs w:val="1"/>
                <w:color w:val="auto"/>
              </w:rPr>
              <w:t>(In thousands, except percentages)</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Restructuring charges   $</w:t>
            </w:r>
          </w:p>
        </w:tc>
        <w:tc>
          <w:tcPr>
            <w:tcW w:w="9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4,129</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16,917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6"/>
              <w:spacing w:after="0"/>
              <w:rPr>
                <w:sz w:val="20"/>
                <w:szCs w:val="20"/>
                <w:color w:val="auto"/>
              </w:rPr>
            </w:pPr>
            <w:r>
              <w:rPr>
                <w:rFonts w:ascii="Arial" w:cs="Arial" w:eastAsia="Arial" w:hAnsi="Arial"/>
                <w:sz w:val="16"/>
                <w:szCs w:val="16"/>
                <w:color w:val="auto"/>
              </w:rPr>
              <w:t>(12,788)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(76)%  $</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16,917</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3,777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13,140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18"/>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Percentage of net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5"/>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6%</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21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We implemented a restructuring plan in the third quarter of 2018 to lower our operating expenses. This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a realignment of our global workforce to lower cost locations and a relocation of our corporate headquarters. Restructuring charges for 2018 primarily included $2.2 million in cash-based severance and related benefits, $1.6 million in charges for assets impairment, and $0.3 million for lease loss reserves. We expect to incur additional restructuring charges in the near-term under this restructuring plan.</w:t>
      </w:r>
    </w:p>
    <w:p>
      <w:pPr>
        <w:spacing w:after="0" w:line="177"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We implemented a restructuring plan in the third quarter of 2016 to lower our operating expenses and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that included reductions in our global workforce and the elimination of certain non-core projects. In 2017 we engaged a management consulting firm to assist us in making organizational and structural changes to improve operational efficiencies and reduce expenses.</w:t>
      </w:r>
    </w:p>
    <w:p>
      <w:pPr>
        <w:ind w:right="520"/>
        <w:spacing w:after="0" w:line="262" w:lineRule="auto"/>
        <w:rPr>
          <w:sz w:val="20"/>
          <w:szCs w:val="20"/>
          <w:color w:val="auto"/>
        </w:rPr>
      </w:pPr>
      <w:r>
        <w:rPr>
          <w:rFonts w:ascii="Arial" w:cs="Arial" w:eastAsia="Arial" w:hAnsi="Arial"/>
          <w:sz w:val="18"/>
          <w:szCs w:val="18"/>
          <w:color w:val="auto"/>
        </w:rPr>
        <w:t>Restructuring charges in 2017 include $12.1 million of consulting services, $2.8 million in cash-based severance and related benefits and $2.0 million in charges for asset impairments and lease loss reserves.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283" w:right="239" w:bottom="1440" w:gutter="0" w:footer="0" w:header="0"/>
        </w:sectPr>
      </w:pPr>
    </w:p>
    <w:bookmarkStart w:id="44" w:name="page45"/>
    <w:bookmarkEnd w:id="4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left="406"/>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left="44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7"/>
                <w:szCs w:val="17"/>
                <w:color w:val="auto"/>
              </w:rPr>
            </w:pPr>
          </w:p>
        </w:tc>
        <w:tc>
          <w:tcPr>
            <w:tcW w:w="124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r>
      <w:tr>
        <w:trPr>
          <w:trHeight w:val="250"/>
        </w:trPr>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6"/>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(11,825)</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6"/>
                <w:szCs w:val="16"/>
                <w:color w:val="auto"/>
              </w:rPr>
              <w:t>(5,862)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98%  $</w:t>
            </w: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(5,963)</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rPr>
              <w:t>(2,676)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bl>
    <w:p>
      <w:pPr>
        <w:spacing w:after="0" w:line="193"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Other expense, net for 2018 includes $10.7 million of interest expense related to our term loan and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and a $2.5 million loss due foreign currency exchange and remeasurement, partially offset by $1.1 million of interest income related to higher cash balances and $0.4 million of valuation adjustments on our term loan.</w:t>
      </w:r>
    </w:p>
    <w:p>
      <w:pPr>
        <w:spacing w:after="0" w:line="168"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Other expense increased by $2.7 million in 2017, as compared to 2016, primarily due to a $5.2 million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net interest expense, which was partially offset by a $2.5 million increase in other income related to foreign exchange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rPr>
              <w:t>Years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ind w:left="38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r>
      <w:tr>
        <w:trPr>
          <w:trHeight w:val="250"/>
        </w:trPr>
        <w:tc>
          <w:tcPr>
            <w:tcW w:w="1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4"/>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4"/>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(1,398)</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(1,547)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149</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1,624</w:t>
            </w:r>
          </w:p>
        </w:tc>
        <w:tc>
          <w:tcPr>
            <w:tcW w:w="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(110)%</w:t>
            </w:r>
          </w:p>
        </w:tc>
      </w:tr>
      <w:tr>
        <w:trPr>
          <w:trHeight w:val="251"/>
        </w:trPr>
        <w:tc>
          <w:tcPr>
            <w:tcW w:w="18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80" w:type="dxa"/>
            <w:vAlign w:val="bottom"/>
          </w:tcPr>
          <w:p>
            <w:pPr>
              <w:spacing w:after="0"/>
              <w:rPr>
                <w:sz w:val="21"/>
                <w:szCs w:val="21"/>
                <w:color w:val="auto"/>
              </w:rPr>
            </w:pPr>
          </w:p>
        </w:tc>
        <w:tc>
          <w:tcPr>
            <w:tcW w:w="980" w:type="dxa"/>
            <w:vAlign w:val="bottom"/>
          </w:tcPr>
          <w:p>
            <w:pPr>
              <w:ind w:left="240"/>
              <w:spacing w:after="0"/>
              <w:rPr>
                <w:sz w:val="20"/>
                <w:szCs w:val="20"/>
                <w:color w:val="auto"/>
              </w:rPr>
            </w:pPr>
            <w:r>
              <w:rPr>
                <w:rFonts w:ascii="Arial" w:cs="Arial" w:eastAsia="Arial" w:hAnsi="Arial"/>
                <w:sz w:val="16"/>
                <w:szCs w:val="16"/>
                <w:color w:val="auto"/>
              </w:rPr>
              <w:t>(13.67)%</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0.33%</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5657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6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95"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b w:val="1"/>
          <w:bCs w:val="1"/>
          <w:i w:val="1"/>
          <w:iCs w:val="1"/>
          <w:color w:val="auto"/>
        </w:rPr>
        <w:t xml:space="preserve">2018 Compared to 2017. </w:t>
      </w:r>
      <w:r>
        <w:rPr>
          <w:rFonts w:ascii="Arial" w:cs="Arial" w:eastAsia="Arial" w:hAnsi="Arial"/>
          <w:sz w:val="18"/>
          <w:szCs w:val="18"/>
          <w:color w:val="auto"/>
        </w:rPr>
        <w:t>On December 22, 2017, the U.S. enacted the Tax Cuts and Jobs Act (the “Act”), which significantly changed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tax law. The Act lowered our U.S. statutory federal income tax rate from 35% to 21% effective January 1, 2018, while also imposing a deemed repatriation tax on previously deferred foreign income. By operation of law, we applied a U.S. statutory federal income tax rate of 21% for 2018. The effective tax rate in 2018 of (13.67)% was lower than the 2018 statutory U.S. federal income tax rate due primarily to Global Low-Taxed Intangible Income (“GILTI”) inclusion, foreign taxes and compensation deduction limitations. The change in effective tax rate in 2018, compared to 2017, was primarily due to changes in valuation allowances, and foreign taxes having a greater impact on the effective tax rate and an increase in non-deductible expenses, both a result of the Act.</w:t>
      </w:r>
    </w:p>
    <w:p>
      <w:pPr>
        <w:spacing w:after="0" w:line="205"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 income tax provision of $1.4 million in 2018, compared to the income tax benefit of $0.1 million in 2017, was primarily due to increased foreign taxes and decreased benefit from tax reform.</w:t>
      </w:r>
    </w:p>
    <w:p>
      <w:pPr>
        <w:spacing w:after="0" w:line="17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2017 Compared to 2016. </w:t>
      </w:r>
      <w:r>
        <w:rPr>
          <w:rFonts w:ascii="Arial" w:cs="Arial" w:eastAsia="Arial" w:hAnsi="Arial"/>
          <w:sz w:val="18"/>
          <w:szCs w:val="18"/>
          <w:color w:val="auto"/>
        </w:rPr>
        <w:t>The Company’s effective tax rates of 0.33% and (2.24)% in 2017 and 2016, respectively, differed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statutory rate of 34% in 2017 and 2016, due primarily to changes in valuation allowance needs, foreign taxes and impact of tax reform in 2017. The income tax benefit of $0.1 million in 2017, compared to the income tax provision of $1.5 million in 2016, was primarily due to changes in foreign taxes and benefit from tax reform in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As of December 31, 2018, we had $106.2 million in cash and cash equivalents and working capital of $75.1 million. Cash and cash equivalents held in the U.S. were $93.7 million and consisted primarily of U.S. Government money market mutual funds and non-interest-bearing checking deposits, with the remainder held in various foreign subsidiaries. We consider amounts held outside the U.S. to be accessible and have provided for the estimated U.S. income tax liability associated with our foreign earnings.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283" w:right="239" w:bottom="1440" w:gutter="0" w:footer="0" w:header="0"/>
        </w:sectPr>
      </w:pPr>
    </w:p>
    <w:bookmarkStart w:id="45" w:name="page46"/>
    <w:bookmarkEnd w:id="4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i w:val="1"/>
          <w:iCs w:val="1"/>
          <w:color w:val="auto"/>
        </w:rPr>
        <w:t xml:space="preserve">Convertible Debt. </w:t>
      </w:r>
      <w:r>
        <w:rPr>
          <w:rFonts w:ascii="Arial" w:cs="Arial" w:eastAsia="Arial" w:hAnsi="Arial"/>
          <w:sz w:val="18"/>
          <w:szCs w:val="18"/>
          <w:color w:val="auto"/>
        </w:rPr>
        <w:t>In August 2018, we sold $65.0 million aggregate principal amount of convertible senior notes due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Notes are senior, unsecured and bear interest at a rate of 4.0% per year, payable semi-annually on February 1 and August 1 of each year, beginning on February 1, 2019. The Convertible Notes will mature on August 1, 2023, unless earlier repurchased by us or converted at the option of the holders. We may not redeem the Convertible Notes prior to the maturity date, and no sinking fund is provided for the Notes. As of December 31, 2018, $ 65.0 million aggregate principal amount of the Notes was outstanding. See Note 11. “Debt,” of the notes to consolidated financial statements included in Item 8 of this Form 10-K.</w:t>
      </w:r>
    </w:p>
    <w:p>
      <w:pPr>
        <w:spacing w:after="0" w:line="201"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In February 2018, we entered into a securities purchase agreement with an investor pursuant to which we, in a private placement, issued and sold to the investor 9,523,809 shares of our common stock, at a price per share of $2.10, resulting in gross proceeds of $20.0 million.</w:t>
      </w:r>
    </w:p>
    <w:p>
      <w:pPr>
        <w:spacing w:after="0" w:line="178" w:lineRule="exact"/>
        <w:rPr>
          <w:sz w:val="20"/>
          <w:szCs w:val="20"/>
          <w:color w:val="auto"/>
        </w:rPr>
      </w:pPr>
    </w:p>
    <w:p>
      <w:pPr>
        <w:ind w:right="780" w:firstLine="486"/>
        <w:spacing w:after="0" w:line="276" w:lineRule="auto"/>
        <w:rPr>
          <w:sz w:val="20"/>
          <w:szCs w:val="20"/>
          <w:color w:val="auto"/>
        </w:rPr>
      </w:pPr>
      <w:r>
        <w:rPr>
          <w:rFonts w:ascii="Arial" w:cs="Arial" w:eastAsia="Arial" w:hAnsi="Arial"/>
          <w:sz w:val="17"/>
          <w:szCs w:val="17"/>
          <w:i w:val="1"/>
          <w:iCs w:val="1"/>
          <w:color w:val="auto"/>
        </w:rPr>
        <w:t xml:space="preserve">Term Loans. </w:t>
      </w:r>
      <w:r>
        <w:rPr>
          <w:rFonts w:ascii="Arial" w:cs="Arial" w:eastAsia="Arial" w:hAnsi="Arial"/>
          <w:sz w:val="17"/>
          <w:szCs w:val="17"/>
          <w:color w:val="auto"/>
        </w:rPr>
        <w:t>In July 2016, we entered into a loan and security agreement with lenders that are affiliates of Tennenbaum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LLC, which was subsequently amended and modified in 2017 and 2018 (“Term Loans”). As of December 31, 2018, we have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$41.5 million outstanding on our term loans. As of December 31, 2018, we were in compliance with all financial and other covenants under the term loan agreement. On January 28, 2019, we repaid in full the remaining principal amount of the Term Loans of $39.5 million plus accrued interest and fees. See Note 11. “Debt,” of the notes to consolidated financial statements included in Item 8 of this Form 10-K for further discussion on the Term Loans.</w:t>
      </w:r>
    </w:p>
    <w:p>
      <w:pPr>
        <w:spacing w:after="0" w:line="204"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at least the next 12 months.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The following table summarizes our cash flows for the periods presented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16,132</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(19,151)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(11,795)</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43,297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34,375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For 2018, net cash provided by operating activities of $ 16.1 million was primarily due to adjustments for non-cash items more than offsetting the net loss of $11.6 million. The net cash provided from changes in operating assets and liabilities in 2018 was a $23.1 million increase in accounts payable and accrued liabilities, a $9.7 million decrease in inventory and a $ 1.5 million increase in warranty obligations. Offsetting the cash provided was a $13.5 million increase in accounts receivable, a $10.0 million increase in intangible assets related to our acquisition of SunPower’s microinverter business, a $6.1 million decrease in deferred revenues and a $3.1 million increase in contract assets.</w:t>
      </w:r>
    </w:p>
    <w:p>
      <w:pPr>
        <w:spacing w:after="0" w:line="20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For 2017, net cash used in operating activities was $28.4 million, primarily resulted from a net loss of $45.2 million. The net loss was partially offset by non-cash charges including stock-based compensation of $6.7 million, depreciation and amortization of $9.0 million, asset impairment and non-cash restructuring charges of $1.1 million, and a provision for doubtful accounts of $0.5 million. Changes in net operating assets and liabilities used cash of $1.4 million.</w:t>
      </w:r>
    </w:p>
    <w:p>
      <w:pPr>
        <w:spacing w:after="0" w:line="204"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primary uses of cash from changes in net operating assets and liabilities in 2017 were a $6.5 million decrease in accounts payable and accrued liabilities, a $4.8 million increase in accounts receivable and a $1.6 million decrease in warranty obligations. Offsetting these uses of cash was a decrease in inventory of $6.0 million and an increase in deferred revenue of $5.3 million.</w:t>
      </w:r>
    </w:p>
    <w:p>
      <w:pPr>
        <w:spacing w:after="0" w:line="20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For 2016, net cash used in operating activities was $33.0 million, primarily resulted from a net loss of $67.5 million. The net loss was partially offset by non-cash charges including stock-based compensation of $10.3 million, depreciation and amortization of $10.6 million, asset impairment and restructuring charges of $3.2 million, and an increase in the provision for doubtful accounts of $3.1 million. In addition, the effect of changes in net operating assets and liabilities provided cash of $7.2 million.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283" w:right="259" w:bottom="1440" w:gutter="0" w:footer="0" w:header="0"/>
        </w:sectPr>
      </w:pPr>
    </w:p>
    <w:bookmarkStart w:id="46" w:name="page47"/>
    <w:bookmarkEnd w:id="4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primary sources of cash from changes in net operating assets and liabilities in 2016 were an $11.3 million increase in deferred revenue related to our Enlighten service and deferred product revenue, an $8.8 million decrease in inventory, and an $8.9 million increase in accounts payable and accrued liabilities. Offsetting these sources of cash was an increase in accounts receivable of $18.0 million and an increase in other assets of $4.8 million. The increase in accounts receivable was due to higher sales in the fourth quarter of 2016 as compared to the same period in 2015, and the increase in other assets was primarily attributable to an increase in customer financing receivables.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2018, net cash used in investing activities of $19.2 million primarily resulted from a $15.0 million payment related to the acquisition of SunPower’s microinverter business and $4.2 million for purchases of test and assembly equipment and capitalized costs related to internal-use software.</w:t>
      </w:r>
    </w:p>
    <w:p>
      <w:pPr>
        <w:spacing w:after="0" w:line="202"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For 2017, net cash used in investing activities of $ 4.1 million primarily resulted from purchases of test and assembly equipment, license fees for certain technology related to ASIC development and capitalized costs related to internal-use software.</w:t>
      </w:r>
    </w:p>
    <w:p>
      <w:pPr>
        <w:spacing w:after="0" w:line="196" w:lineRule="exact"/>
        <w:rPr>
          <w:sz w:val="20"/>
          <w:szCs w:val="20"/>
          <w:color w:val="auto"/>
        </w:rPr>
      </w:pPr>
    </w:p>
    <w:p>
      <w:pPr>
        <w:jc w:val="both"/>
        <w:ind w:right="600" w:firstLine="486"/>
        <w:spacing w:after="0" w:line="256" w:lineRule="auto"/>
        <w:rPr>
          <w:sz w:val="20"/>
          <w:szCs w:val="20"/>
          <w:color w:val="auto"/>
        </w:rPr>
      </w:pPr>
      <w:r>
        <w:rPr>
          <w:rFonts w:ascii="Arial" w:cs="Arial" w:eastAsia="Arial" w:hAnsi="Arial"/>
          <w:sz w:val="18"/>
          <w:szCs w:val="18"/>
          <w:color w:val="auto"/>
        </w:rPr>
        <w:t>For 2016, net cash used in investing activities of $11.8 million primarily resulted from purchases of test and assembly equipment, capitalized costs related to internal-use software and license fees for certain technology related to ASIC development, partially offset by $1.1 million in proceeds from the sale of our services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For 2018, net cash provided by financing activities of $ 80.6 million primarily consisted of $62.4 million in net proceeds from issuance of convertible debt, $19.8 million in net proceeds from a private securities placement, $5.6 million in net proceeds from the sale of certain long-term financing receivables and $2.8 million in proceeds from exercises of stock options, partially offset by debt payments totaling $10.0 million.</w:t>
      </w:r>
    </w:p>
    <w:p>
      <w:pPr>
        <w:spacing w:after="0" w:line="20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For 2017, net cash provided by financing activities of $43.3 million primarily consisted of $24.2 million additional net proceeds from amending our term loan with TCP and $27.0 million in net proceeds from the issuance of common stock and $2.8 million in proceeds from the sale of certain financing receivables offset by the $10.1 million repayment associated with the termination of our revolving credit facility with Wells Fargo Bank.</w:t>
      </w:r>
    </w:p>
    <w:p>
      <w:pPr>
        <w:spacing w:after="0" w:line="20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For 2016, net cash provided by financing activities of $34.4 million primarily consisted of $24.2 million net proceeds from our term loan and $17.8 million in proceeds from the issuance of common stock offset by $6.9 million net reduction in borrowings under our Revolver and $0.7 million in debt issuance and equity offering costs.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80"/>
          </w:cols>
          <w:pgMar w:left="240" w:top="283" w:right="279" w:bottom="1440" w:gutter="0" w:footer="0" w:header="0"/>
        </w:sectPr>
      </w:pPr>
    </w:p>
    <w:bookmarkStart w:id="47" w:name="page48"/>
    <w:bookmarkEnd w:id="4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contractual obligations as of December 31,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9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Less Than 1 Year</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2-3 Years</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4-5 Years</w:t>
            </w:r>
          </w:p>
        </w:tc>
        <w:tc>
          <w:tcPr>
            <w:tcW w:w="1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9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6"/>
        </w:trPr>
        <w:tc>
          <w:tcPr>
            <w:tcW w:w="354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Operating leases</w:t>
            </w:r>
          </w:p>
        </w:tc>
        <w:tc>
          <w:tcPr>
            <w:tcW w:w="36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13,631</w:t>
            </w:r>
          </w:p>
        </w:tc>
        <w:tc>
          <w:tcPr>
            <w:tcW w:w="12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3,284</w:t>
            </w:r>
          </w:p>
        </w:tc>
        <w:tc>
          <w:tcPr>
            <w:tcW w:w="340" w:type="dxa"/>
            <w:vAlign w:val="bottom"/>
            <w:gridSpan w:val="3"/>
            <w:shd w:val="clear" w:color="auto" w:fill="BFE4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41"/>
              <w:spacing w:after="0"/>
              <w:rPr>
                <w:sz w:val="20"/>
                <w:szCs w:val="20"/>
                <w:color w:val="auto"/>
              </w:rPr>
            </w:pPr>
            <w:r>
              <w:rPr>
                <w:rFonts w:ascii="Arial" w:cs="Arial" w:eastAsia="Arial" w:hAnsi="Arial"/>
                <w:sz w:val="16"/>
                <w:szCs w:val="16"/>
                <w:color w:val="auto"/>
              </w:rPr>
              <w:t>6,340</w:t>
            </w:r>
          </w:p>
        </w:tc>
        <w:tc>
          <w:tcPr>
            <w:tcW w:w="100" w:type="dxa"/>
            <w:vAlign w:val="bottom"/>
            <w:shd w:val="clear" w:color="auto" w:fill="BFE4FF"/>
          </w:tcPr>
          <w:p>
            <w:pPr>
              <w:spacing w:after="0"/>
              <w:rPr>
                <w:sz w:val="24"/>
                <w:szCs w:val="24"/>
                <w:color w:val="auto"/>
              </w:rPr>
            </w:pPr>
          </w:p>
        </w:tc>
        <w:tc>
          <w:tcPr>
            <w:tcW w:w="2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2,755</w:t>
            </w:r>
          </w:p>
        </w:tc>
        <w:tc>
          <w:tcPr>
            <w:tcW w:w="100" w:type="dxa"/>
            <w:vAlign w:val="bottom"/>
            <w:shd w:val="clear" w:color="auto" w:fill="BFE4FF"/>
          </w:tcPr>
          <w:p>
            <w:pPr>
              <w:spacing w:after="0"/>
              <w:rPr>
                <w:sz w:val="24"/>
                <w:szCs w:val="24"/>
                <w:color w:val="auto"/>
              </w:rPr>
            </w:pPr>
          </w:p>
        </w:tc>
        <w:tc>
          <w:tcPr>
            <w:tcW w:w="540" w:type="dxa"/>
            <w:vAlign w:val="bottom"/>
            <w:shd w:val="clear" w:color="auto" w:fill="BFE4FF"/>
          </w:tcPr>
          <w:p>
            <w:pPr>
              <w:jc w:val="right"/>
              <w:ind w:right="342"/>
              <w:spacing w:after="0"/>
              <w:rPr>
                <w:sz w:val="20"/>
                <w:szCs w:val="20"/>
                <w:color w:val="auto"/>
              </w:rPr>
            </w:pPr>
            <w:r>
              <w:rPr>
                <w:rFonts w:ascii="Arial" w:cs="Arial" w:eastAsia="Arial" w:hAnsi="Arial"/>
                <w:sz w:val="16"/>
                <w:szCs w:val="16"/>
                <w:color w:val="auto"/>
              </w:rPr>
              <w:t>$</w:t>
            </w:r>
          </w:p>
        </w:tc>
        <w:tc>
          <w:tcPr>
            <w:tcW w:w="94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1,252</w:t>
            </w:r>
          </w:p>
        </w:tc>
      </w:tr>
      <w:tr>
        <w:trPr>
          <w:trHeight w:val="27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 xml:space="preserve">Term loans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41,524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25,317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16,207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Estimated interest and fees related to term</w:t>
            </w:r>
          </w:p>
        </w:tc>
        <w:tc>
          <w:tcPr>
            <w:tcW w:w="36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280" w:type="dxa"/>
            <w:vAlign w:val="bottom"/>
            <w:shd w:val="clear" w:color="auto" w:fill="BFE4FF"/>
          </w:tcPr>
          <w:p>
            <w:pPr>
              <w:spacing w:after="0"/>
              <w:rPr>
                <w:sz w:val="18"/>
                <w:szCs w:val="18"/>
                <w:color w:val="auto"/>
              </w:rPr>
            </w:pPr>
          </w:p>
        </w:tc>
        <w:tc>
          <w:tcPr>
            <w:tcW w:w="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13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940" w:type="dxa"/>
            <w:vAlign w:val="bottom"/>
            <w:shd w:val="clear" w:color="auto" w:fill="BFE4FF"/>
          </w:tcPr>
          <w:p>
            <w:pPr>
              <w:spacing w:after="0"/>
              <w:rPr>
                <w:sz w:val="18"/>
                <w:szCs w:val="18"/>
                <w:color w:val="auto"/>
              </w:rPr>
            </w:pPr>
          </w:p>
        </w:tc>
      </w:tr>
      <w:tr>
        <w:trPr>
          <w:trHeight w:val="219"/>
        </w:trPr>
        <w:tc>
          <w:tcPr>
            <w:tcW w:w="3540" w:type="dxa"/>
            <w:vAlign w:val="bottom"/>
            <w:gridSpan w:val="2"/>
            <w:shd w:val="clear" w:color="auto" w:fill="BFE4FF"/>
          </w:tcPr>
          <w:p>
            <w:pPr>
              <w:ind w:left="40"/>
              <w:spacing w:after="0" w:line="219" w:lineRule="exact"/>
              <w:rPr>
                <w:sz w:val="20"/>
                <w:szCs w:val="20"/>
                <w:color w:val="auto"/>
              </w:rPr>
            </w:pPr>
            <w:r>
              <w:rPr>
                <w:rFonts w:ascii="Arial" w:cs="Arial" w:eastAsia="Arial" w:hAnsi="Arial"/>
                <w:sz w:val="16"/>
                <w:szCs w:val="16"/>
                <w:color w:val="auto"/>
              </w:rPr>
              <w:t xml:space="preserve">loans </w:t>
            </w:r>
            <w:r>
              <w:rPr>
                <w:rFonts w:ascii="Arial" w:cs="Arial" w:eastAsia="Arial" w:hAnsi="Arial"/>
                <w:sz w:val="21"/>
                <w:szCs w:val="21"/>
                <w:color w:val="auto"/>
                <w:vertAlign w:val="superscript"/>
              </w:rPr>
              <w:t>(1)</w:t>
            </w: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5,965</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w:t>
            </w: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300" w:type="dxa"/>
            <w:vAlign w:val="bottom"/>
            <w:shd w:val="clear" w:color="auto" w:fill="BFE4FF"/>
          </w:tcPr>
          <w:p>
            <w:pPr>
              <w:jc w:val="right"/>
              <w:ind w:right="41"/>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32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BFE4FF"/>
          </w:tcPr>
          <w:p>
            <w:pPr>
              <w:spacing w:after="0"/>
              <w:rPr>
                <w:sz w:val="19"/>
                <w:szCs w:val="19"/>
                <w:color w:val="auto"/>
              </w:rPr>
            </w:pPr>
          </w:p>
        </w:tc>
        <w:tc>
          <w:tcPr>
            <w:tcW w:w="94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Convertible Note due 2023 principal and interest</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78,000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70,200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BFE4FF"/>
          </w:tcPr>
          <w:p>
            <w:pPr>
              <w:spacing w:after="0"/>
              <w:rPr>
                <w:sz w:val="24"/>
                <w:szCs w:val="24"/>
                <w:color w:val="auto"/>
              </w:rPr>
            </w:pPr>
          </w:p>
        </w:tc>
        <w:tc>
          <w:tcPr>
            <w:tcW w:w="1160" w:type="dxa"/>
            <w:vAlign w:val="bottom"/>
            <w:tcBorders>
              <w:bottom w:val="single" w:sz="8" w:color="auto"/>
            </w:tcBorders>
            <w:shd w:val="clear" w:color="auto" w:fill="BFE4FF"/>
          </w:tcPr>
          <w:p>
            <w:pPr>
              <w:jc w:val="right"/>
              <w:ind w:right="40"/>
              <w:spacing w:after="0"/>
              <w:rPr>
                <w:sz w:val="20"/>
                <w:szCs w:val="20"/>
                <w:color w:val="auto"/>
              </w:rPr>
            </w:pPr>
            <w:r>
              <w:rPr>
                <w:rFonts w:ascii="Arial" w:cs="Arial" w:eastAsia="Arial" w:hAnsi="Arial"/>
                <w:sz w:val="16"/>
                <w:szCs w:val="16"/>
                <w:color w:val="auto"/>
              </w:rPr>
              <w:t>41,104</w:t>
            </w:r>
          </w:p>
        </w:tc>
        <w:tc>
          <w:tcPr>
            <w:tcW w:w="120" w:type="dxa"/>
            <w:vAlign w:val="bottom"/>
            <w:shd w:val="clear" w:color="auto" w:fill="BFE4FF"/>
          </w:tcPr>
          <w:p>
            <w:pPr>
              <w:spacing w:after="0"/>
              <w:rPr>
                <w:sz w:val="24"/>
                <w:szCs w:val="24"/>
                <w:color w:val="auto"/>
              </w:rPr>
            </w:pPr>
          </w:p>
        </w:tc>
        <w:tc>
          <w:tcPr>
            <w:tcW w:w="140" w:type="dxa"/>
            <w:vAlign w:val="bottom"/>
            <w:tcBorders>
              <w:bottom w:val="single" w:sz="8" w:color="auto"/>
            </w:tcBorders>
            <w:shd w:val="clear" w:color="auto" w:fill="BFE4FF"/>
          </w:tcPr>
          <w:p>
            <w:pPr>
              <w:spacing w:after="0"/>
              <w:rPr>
                <w:sz w:val="24"/>
                <w:szCs w:val="24"/>
                <w:color w:val="auto"/>
              </w:rPr>
            </w:pP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41,104</w:t>
            </w:r>
          </w:p>
        </w:tc>
        <w:tc>
          <w:tcPr>
            <w:tcW w:w="60" w:type="dxa"/>
            <w:vAlign w:val="bottom"/>
            <w:tcBorders>
              <w:bottom w:val="single" w:sz="8" w:color="auto"/>
            </w:tcBorders>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80" w:type="dxa"/>
            <w:vAlign w:val="bottom"/>
            <w:tcBorders>
              <w:bottom w:val="single" w:sz="8" w:color="auto"/>
            </w:tcBorders>
            <w:shd w:val="clear" w:color="auto" w:fill="BFE4FF"/>
          </w:tcPr>
          <w:p>
            <w:pPr>
              <w:spacing w:after="0"/>
              <w:rPr>
                <w:sz w:val="24"/>
                <w:szCs w:val="24"/>
                <w:color w:val="auto"/>
              </w:rPr>
            </w:pPr>
          </w:p>
        </w:tc>
        <w:tc>
          <w:tcPr>
            <w:tcW w:w="1300" w:type="dxa"/>
            <w:vAlign w:val="bottom"/>
            <w:tcBorders>
              <w:bottom w:val="single" w:sz="8" w:color="auto"/>
            </w:tcBorders>
            <w:shd w:val="clear" w:color="auto" w:fill="BFE4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BFE4FF"/>
          </w:tcPr>
          <w:p>
            <w:pPr>
              <w:spacing w:after="0"/>
              <w:rPr>
                <w:sz w:val="24"/>
                <w:szCs w:val="24"/>
                <w:color w:val="auto"/>
              </w:rPr>
            </w:pPr>
          </w:p>
        </w:tc>
        <w:tc>
          <w:tcPr>
            <w:tcW w:w="260" w:type="dxa"/>
            <w:vAlign w:val="bottom"/>
            <w:tcBorders>
              <w:bottom w:val="single" w:sz="8" w:color="auto"/>
            </w:tcBorders>
            <w:shd w:val="clear" w:color="auto" w:fill="BFE4FF"/>
          </w:tcPr>
          <w:p>
            <w:pPr>
              <w:spacing w:after="0"/>
              <w:rPr>
                <w:sz w:val="24"/>
                <w:szCs w:val="24"/>
                <w:color w:val="auto"/>
              </w:rPr>
            </w:pPr>
          </w:p>
        </w:tc>
        <w:tc>
          <w:tcPr>
            <w:tcW w:w="1220" w:type="dxa"/>
            <w:vAlign w:val="bottom"/>
            <w:tcBorders>
              <w:bottom w:val="single" w:sz="8" w:color="auto"/>
            </w:tcBorders>
            <w:shd w:val="clear" w:color="auto" w:fill="BFE4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BFE4FF"/>
          </w:tcPr>
          <w:p>
            <w:pPr>
              <w:spacing w:after="0"/>
              <w:rPr>
                <w:sz w:val="24"/>
                <w:szCs w:val="24"/>
                <w:color w:val="auto"/>
              </w:rPr>
            </w:pPr>
          </w:p>
        </w:tc>
        <w:tc>
          <w:tcPr>
            <w:tcW w:w="540" w:type="dxa"/>
            <w:vAlign w:val="bottom"/>
            <w:tcBorders>
              <w:bottom w:val="single" w:sz="8" w:color="auto"/>
            </w:tcBorders>
            <w:shd w:val="clear" w:color="auto" w:fill="BFE4FF"/>
          </w:tcPr>
          <w:p>
            <w:pPr>
              <w:spacing w:after="0"/>
              <w:rPr>
                <w:sz w:val="24"/>
                <w:szCs w:val="24"/>
                <w:color w:val="auto"/>
              </w:rPr>
            </w:pPr>
          </w:p>
        </w:tc>
        <w:tc>
          <w:tcPr>
            <w:tcW w:w="94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r>
      <w:tr>
        <w:trPr>
          <w:trHeight w:val="234"/>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180,224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76,750</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29,267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72,955</w:t>
            </w:r>
          </w:p>
        </w:tc>
        <w:tc>
          <w:tcPr>
            <w:tcW w:w="100" w:type="dxa"/>
            <w:vAlign w:val="bottom"/>
          </w:tcPr>
          <w:p>
            <w:pPr>
              <w:spacing w:after="0"/>
              <w:rPr>
                <w:sz w:val="20"/>
                <w:szCs w:val="20"/>
                <w:color w:val="auto"/>
              </w:rPr>
            </w:pPr>
          </w:p>
        </w:tc>
        <w:tc>
          <w:tcPr>
            <w:tcW w:w="5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1,252</w:t>
            </w:r>
          </w:p>
        </w:tc>
      </w:tr>
      <w:tr>
        <w:trPr>
          <w:trHeight w:val="20"/>
        </w:trPr>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2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spacing w:after="0" w:line="121" w:lineRule="exact"/>
        <w:rPr>
          <w:sz w:val="20"/>
          <w:szCs w:val="20"/>
          <w:color w:val="auto"/>
        </w:rPr>
      </w:pPr>
    </w:p>
    <w:p>
      <w:pPr>
        <w:ind w:left="500" w:right="100" w:hanging="492"/>
        <w:spacing w:after="0" w:line="262"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January 28, 2019, we repaid in full the remaining principal amount of the Term Loans of $39.5 million plus accrued interest and fees. See Note 11. “Debt,” of the notes to consolidated financial statements included in Item 8 of this Form 10-K.</w:t>
      </w:r>
    </w:p>
    <w:p>
      <w:pPr>
        <w:spacing w:after="0" w:line="142" w:lineRule="exact"/>
        <w:rPr>
          <w:rFonts w:ascii="Arial" w:cs="Arial" w:eastAsia="Arial" w:hAnsi="Arial"/>
          <w:sz w:val="18"/>
          <w:szCs w:val="18"/>
          <w:color w:val="auto"/>
        </w:rPr>
      </w:pPr>
    </w:p>
    <w:p>
      <w:pPr>
        <w:ind w:left="500" w:right="40" w:hanging="492"/>
        <w:spacing w:after="0" w:line="25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 obligations include amounts related to component inventory that our primary contract manufacturer procures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20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As of 2018, the liability recorded for uncertain tax positions, including associated interest and penalties, was approximately $1.3 million. Since the ultimate amount and timing of cash settlements cannot be predicted due to the high degree of uncertainty, liabilities for uncertain tax positions are excluded from the contractual obligations table. See Note 15. “Income Taxes,” of the notes to consolidated financial statements included in Item 8 of this Form 10-K.</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we did not have any off-balance sheet arrangements, as defined in Item 303(a)(4)(ii) of SEC Regulation S-K.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For a description of our significant accounting policies, see Note 2. “Summary of Significant Accounting Policies,” of the notes to consolidated financial statements included in Item 8 of this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We generate revenue from sales of our solutions, which include microinverter units and related accessories, an Envoy communications gateway, the cloud-based Enlighten monitoring service, and AC Battery storage solutions to distributors, large installers, OEMs and strategic partners.</w:t>
      </w:r>
    </w:p>
    <w:p>
      <w:pPr>
        <w:sectPr>
          <w:pgSz w:w="11900" w:h="16838" w:orient="portrait"/>
          <w:cols w:equalWidth="0" w:num="1">
            <w:col w:w="11400"/>
          </w:cols>
          <w:pgMar w:left="240" w:top="283" w:right="2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48 –</w:t>
      </w:r>
    </w:p>
    <w:p>
      <w:pPr>
        <w:sectPr>
          <w:pgSz w:w="11900" w:h="16838" w:orient="portrait"/>
          <w:cols w:equalWidth="0" w:num="1">
            <w:col w:w="11400"/>
          </w:cols>
          <w:pgMar w:left="240" w:top="283" w:right="259" w:bottom="1440" w:gutter="0" w:footer="0" w:header="0"/>
          <w:type w:val="continuous"/>
        </w:sectPr>
      </w:pPr>
    </w:p>
    <w:bookmarkStart w:id="48" w:name="page49"/>
    <w:bookmarkEnd w:id="4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January 1, 2018, we adopted Accounting Standards Codification (“ASC”) No. 606, “Revenue Recognition” (“ASC 606” or “Topic 606”) and applied the modified retrospective method to all contracts that were not completed as of January 1, 2018. The most significant impacts upon adoption of Topic 606 were how we account for revenue related to our Envoy communications device and related Enlighten service and the timing of when certain sales incentives are recognized. The full consideration for these products represents a single performance obligation and is deferred and recognized over the estimated service period.</w:t>
      </w:r>
    </w:p>
    <w:p>
      <w:pPr>
        <w:spacing w:after="0" w:line="20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our customers in an amount that reflects the consideration that is expected to be received in exchange for those goods or services. We generate all of our revenues from contracts with our customers. A description of principal activities from which we generate revenues are as follows.</w:t>
      </w:r>
    </w:p>
    <w:p>
      <w:pPr>
        <w:spacing w:after="0" w:line="184" w:lineRule="exact"/>
        <w:rPr>
          <w:sz w:val="20"/>
          <w:szCs w:val="20"/>
          <w:color w:val="auto"/>
        </w:rPr>
      </w:pPr>
    </w:p>
    <w:p>
      <w:pPr>
        <w:ind w:left="820" w:right="40" w:hanging="326"/>
        <w:spacing w:after="0" w:line="257" w:lineRule="auto"/>
        <w:tabs>
          <w:tab w:leader="none" w:pos="8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at a Point in Time. </w:t>
      </w:r>
      <w:r>
        <w:rPr>
          <w:rFonts w:ascii="Arial" w:cs="Arial" w:eastAsia="Arial" w:hAnsi="Arial"/>
          <w:sz w:val="18"/>
          <w:szCs w:val="18"/>
          <w:color w:val="auto"/>
        </w:rPr>
        <w:t>We sell our products to customers in accordance with the terms of the related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 generate revenues from sales of our solutions,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we recognize revenue for these products when we transfer control of the product to the customer, which is generally upon shipment.</w:t>
      </w:r>
    </w:p>
    <w:p>
      <w:pPr>
        <w:spacing w:after="0" w:line="182" w:lineRule="exact"/>
        <w:rPr>
          <w:rFonts w:ascii="Arial" w:cs="Arial" w:eastAsia="Arial" w:hAnsi="Arial"/>
          <w:sz w:val="18"/>
          <w:szCs w:val="18"/>
          <w:i w:val="1"/>
          <w:iCs w:val="1"/>
          <w:color w:val="auto"/>
        </w:rPr>
      </w:pPr>
    </w:p>
    <w:p>
      <w:pPr>
        <w:ind w:left="820" w:right="380" w:hanging="326"/>
        <w:spacing w:after="0" w:line="261" w:lineRule="auto"/>
        <w:tabs>
          <w:tab w:leader="none" w:pos="8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Over Time. </w:t>
      </w:r>
      <w:r>
        <w:rPr>
          <w:rFonts w:ascii="Arial" w:cs="Arial" w:eastAsia="Arial" w:hAnsi="Arial"/>
          <w:sz w:val="18"/>
          <w:szCs w:val="18"/>
          <w:color w:val="auto"/>
        </w:rPr>
        <w:t>The sale of an Envoy communications gateway includes our Enlighten cloud-based monitoring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The full consideration for these products represents a single performance obligation and is deferred at the sale date and recognized over the estimated service period. We also sell certain communication accessories that are delivered over time. The revenue from these products is recognized over the related service period.</w:t>
      </w:r>
    </w:p>
    <w:p>
      <w:pPr>
        <w:spacing w:after="0" w:line="198"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We previously sold Envoy communications device to certain customers under a long-term financing arrangement. Under this financing arrangement, we net the unbilled receivables against deferred revenue.</w:t>
      </w:r>
    </w:p>
    <w:p>
      <w:pPr>
        <w:spacing w:after="0" w:line="19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record certain contra revenue promotions as variable consideration and recognizes these promotions at the time the related revenue is recorded.</w:t>
      </w:r>
    </w:p>
    <w:p>
      <w:pPr>
        <w:spacing w:after="0" w:line="19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We record upfront contract acquisition costs, such as sales commissions, to be capitalized and amortized over the estimated life of the asset. For contracts that have a duration of less than one year, we follow the Topic 606 practical expedient and expense these costs when incurred. Commissions related to our sale of monitoring hardware and service are capitalized and amortized over the period of the associated revenue.</w:t>
      </w:r>
    </w:p>
    <w:p>
      <w:pPr>
        <w:spacing w:after="0" w:line="204"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See Note 3. “Revenue Recognition,” of the notes to consolidated financial statements included in Item 8 of this Form 10-K for additional information related to revenue recognition.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8"/>
          <w:szCs w:val="18"/>
          <w:i w:val="1"/>
          <w:iCs w:val="1"/>
          <w:color w:val="auto"/>
        </w:rPr>
        <w:t>i.e.</w:t>
      </w:r>
      <w:r>
        <w:rPr>
          <w:rFonts w:ascii="Arial" w:cs="Arial" w:eastAsia="Arial" w:hAnsi="Arial"/>
          <w:sz w:val="18"/>
          <w:szCs w:val="18"/>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 The impact of changes in the inventory valuation allowance for 2018, 2017 and 2016 were not material.</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00"/>
          </w:cols>
          <w:pgMar w:left="240" w:top="283" w:right="259" w:bottom="1440" w:gutter="0" w:footer="0" w:header="0"/>
        </w:sectPr>
      </w:pPr>
    </w:p>
    <w:bookmarkStart w:id="49" w:name="page50"/>
    <w:bookmarkEnd w:id="4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warranty accrual provides for the replacement of microinverter units that fail during the product’s warranty term (15 years for first and second generation microinverters and up to 25 years for third and fourth generation microinverters). On a quarterly basis, we employ a consistent, systematic and rational methodology to assess the adequacy of our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our warranty liability are: (1) the number of units expected to fail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failure rate); (2) the number of failed units expected to result in warranty claims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claim rate); and (3) the per unit cost of replacement units, including outbound shipping and limited labor costs, expected to be incurred to replace failed units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replacement cost).</w:t>
      </w:r>
    </w:p>
    <w:p>
      <w:pPr>
        <w:spacing w:after="0" w:line="18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b w:val="1"/>
          <w:bCs w:val="1"/>
          <w:i w:val="1"/>
          <w:iCs w:val="1"/>
          <w:color w:val="auto"/>
        </w:rPr>
        <w:t xml:space="preserve">Estimated Failure Rates — </w:t>
      </w:r>
      <w:r>
        <w:rPr>
          <w:rFonts w:ascii="Arial" w:cs="Arial" w:eastAsia="Arial" w:hAnsi="Arial"/>
          <w:sz w:val="18"/>
          <w:szCs w:val="18"/>
          <w:color w:val="auto"/>
        </w:rPr>
        <w:t>Our Quality and Reliability department has primary responsibility to determine the estimated failure rates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generation of microinverter. To establish initial failure rate estimates for each generation of microinverter, our quality engineers use a combination of industry standard Mean Time Between Failure (“MTFB”) estimates for individual components contained in that generation of microinverters, third party data collected on similar equipment deployed in outdoor environments similar to those in which our microinverters are installed, and rigorous long term reliability and accelerated life cycle testing which simulates the service life of the microinverter in a short period of time. As units are deployed into operating environments, we continue to monitor product performance through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18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Estimated Claim Rates — </w:t>
      </w:r>
      <w:r>
        <w:rPr>
          <w:rFonts w:ascii="Arial" w:cs="Arial" w:eastAsia="Arial" w:hAnsi="Arial"/>
          <w:sz w:val="18"/>
          <w:szCs w:val="18"/>
          <w:color w:val="auto"/>
        </w:rPr>
        <w:t>Warranty claim rate estimates are based upon assumptions with respect to expected customer behavior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warranty period. As the vast majority of our microinverters have been sold to end users for residential applications, we believe that warranty claim rates will be affected by changes over time in residential home ownership because we expect that subsequent homeowners are less likely to file claims than the homeowners who originally purchase the microinverters.</w:t>
      </w:r>
    </w:p>
    <w:p>
      <w:pPr>
        <w:spacing w:after="0" w:line="17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 xml:space="preserve">Estimated Replacement Costs — </w:t>
      </w:r>
      <w:r>
        <w:rPr>
          <w:rFonts w:ascii="Arial" w:cs="Arial" w:eastAsia="Arial" w:hAnsi="Arial"/>
          <w:sz w:val="18"/>
          <w:szCs w:val="18"/>
          <w:color w:val="auto"/>
        </w:rPr>
        <w:t>Three factors are considered in our analysis of estimated replacement cost: (1) the estimated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replacement microinverters; (2) the estimated cost to ship replacement microinverters to end users; and (3) the estimated labor reimbursement expected to be paid to third party installers performing replacement services for the end user. Because our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204"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In addition to the key estimates noted above, we also compare actual warranty results to expected results and evaluate any significant differences. We may make additional adjustments to the warranty provision based on performance trends or other qualitative factors. If actual failure rates, claim rates, or replacement costs differ from our estimates in future periods, changes to these estimates may be required, resulting in increases or decreases in our warranty obligations. Such increases or decreases could be material.</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283" w:right="259" w:bottom="1440" w:gutter="0" w:footer="0" w:header="0"/>
        </w:sectPr>
      </w:pPr>
    </w:p>
    <w:bookmarkStart w:id="50" w:name="page51"/>
    <w:bookmarkEnd w:id="5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Our warranty obligations related to microinverters sold since January 1, 2014 provide us the right, but not the requirement, to assign our warranty obligations to a third-party. Under ASC 825, “Financial Instruments” (also referred to as the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See Note 9. “Fair Value Measurements,” of the notes to consolidated financial statements included in Item 8 of this Form 10-K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us to make estimates, which are based on all available information and in some cases assumptions with respect to the timing and amount of future revenues and expenses associated with an asset. Accounting for business acquisitions requires us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Recently Issued Accounting Pronouncements</w:t>
      </w:r>
    </w:p>
    <w:p>
      <w:pPr>
        <w:spacing w:after="0" w:line="24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Refer to Note 2. “Summary of Significant Accounting Policies” of the notes to consolidated financial statements included in Item 8 of this Form 10-K for a discussion of adoption of new and recently issued accounting pronouncements.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primarily from the effect of fluctuating exchange rates on payables and receivables relating to transactions that are denominated in Euros, Indian Rupee and Australian and New Zealand Dollars. These payables and receivables primarily arise from sales to customers and intercompany transactions. We also face currency exposure that arises from translating the results of our European, Indian, Australian and New Zealand operations, including sales and marketing and research and development expenses, to the U.S. dollar at exchange rates that have fluctuated from the beginning of a reporting period.</w:t>
      </w:r>
    </w:p>
    <w:p>
      <w:pPr>
        <w:spacing w:after="0" w:line="18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utilized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Any foreign currency forward contracts are accounted for as derivatives whereby the fair value of the contracts is reported as other current assets or current liabilities, and gains and losses resulting from changes in the fair value are reported in other income (expense), net, in the accompanying consolidated statements of operations. We were not party to any foreign currency contracts as of December 31, 2017, and we did not enter into any foreign currency forward contracts during 2018.</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283" w:right="239" w:bottom="1440" w:gutter="0" w:footer="0" w:header="0"/>
        </w:sectPr>
      </w:pPr>
    </w:p>
    <w:bookmarkStart w:id="51" w:name="page52"/>
    <w:bookmarkEnd w:id="5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As of December 31, 2018 and 2017, we had no outstanding foreign currency forward contracts with maturities of less than one year. In each year ended December 31, 2018 and 2017, we recorded no net gains related to foreign currency forward contracts. In year ended December 31, 2016, we recorded $0.1 million net gains related to foreign currency forward contracts.</w:t>
      </w: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180"/>
          </w:cols>
          <w:pgMar w:left="240" w:top="283" w:right="479" w:bottom="1440" w:gutter="0" w:footer="0" w:header="0"/>
        </w:sectPr>
      </w:pPr>
    </w:p>
    <w:bookmarkStart w:id="52" w:name="page53"/>
    <w:bookmarkEnd w:id="5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2018 AND 2017,</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FOR THE YEARS ENDED DECEMBER 31, 2018, 2017 AND 2016</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243"/>
        </w:trPr>
        <w:tc>
          <w:tcPr>
            <w:tcW w:w="10380" w:type="dxa"/>
            <w:vAlign w:val="bottom"/>
            <w:shd w:val="clear" w:color="auto" w:fill="CCEEFF"/>
          </w:tcPr>
          <w:p>
            <w:pPr>
              <w:ind w:left="40"/>
              <w:spacing w:after="0"/>
              <w:rPr>
                <w:rFonts w:ascii="Arial" w:cs="Arial" w:eastAsia="Arial" w:hAnsi="Arial"/>
                <w:sz w:val="16"/>
                <w:szCs w:val="16"/>
                <w:color w:val="auto"/>
              </w:rPr>
            </w:pPr>
            <w:hyperlink w:anchor="page54">
              <w:r>
                <w:rPr>
                  <w:rFonts w:ascii="Arial" w:cs="Arial" w:eastAsia="Arial" w:hAnsi="Arial"/>
                  <w:sz w:val="16"/>
                  <w:szCs w:val="16"/>
                  <w:color w:val="auto"/>
                </w:rPr>
                <w:t>Report of Independent Registered Public Accounting Firm</w:t>
              </w:r>
            </w:hyperlink>
          </w:p>
        </w:tc>
        <w:tc>
          <w:tcPr>
            <w:tcW w:w="1020" w:type="dxa"/>
            <w:vAlign w:val="bottom"/>
            <w:shd w:val="clear" w:color="auto" w:fill="CCEEFF"/>
          </w:tcPr>
          <w:p>
            <w:pPr>
              <w:jc w:val="right"/>
              <w:ind w:right="280"/>
              <w:spacing w:after="0"/>
              <w:rPr>
                <w:rFonts w:ascii="Arial" w:cs="Arial" w:eastAsia="Arial" w:hAnsi="Arial"/>
                <w:sz w:val="16"/>
                <w:szCs w:val="16"/>
                <w:color w:val="auto"/>
              </w:rPr>
            </w:pPr>
            <w:hyperlink w:anchor="page54">
              <w:r>
                <w:rPr>
                  <w:rFonts w:ascii="Arial" w:cs="Arial" w:eastAsia="Arial" w:hAnsi="Arial"/>
                  <w:sz w:val="16"/>
                  <w:szCs w:val="16"/>
                  <w:color w:val="auto"/>
                </w:rPr>
                <w:t>54</w:t>
              </w:r>
            </w:hyperlink>
          </w:p>
        </w:tc>
      </w:tr>
      <w:tr>
        <w:trPr>
          <w:trHeight w:val="233"/>
        </w:trPr>
        <w:tc>
          <w:tcPr>
            <w:tcW w:w="10380" w:type="dxa"/>
            <w:vAlign w:val="bottom"/>
          </w:tcPr>
          <w:p>
            <w:pPr>
              <w:ind w:left="40"/>
              <w:spacing w:after="0"/>
              <w:rPr>
                <w:rFonts w:ascii="Arial" w:cs="Arial" w:eastAsia="Arial" w:hAnsi="Arial"/>
                <w:sz w:val="16"/>
                <w:szCs w:val="16"/>
                <w:color w:val="auto"/>
              </w:rPr>
            </w:pPr>
            <w:hyperlink w:anchor="page56">
              <w:r>
                <w:rPr>
                  <w:rFonts w:ascii="Arial" w:cs="Arial" w:eastAsia="Arial" w:hAnsi="Arial"/>
                  <w:sz w:val="16"/>
                  <w:szCs w:val="16"/>
                  <w:color w:val="auto"/>
                </w:rPr>
                <w:t>Consolidated Balance Sheets</w:t>
              </w:r>
            </w:hyperlink>
          </w:p>
        </w:tc>
        <w:tc>
          <w:tcPr>
            <w:tcW w:w="1020" w:type="dxa"/>
            <w:vAlign w:val="bottom"/>
          </w:tcPr>
          <w:p>
            <w:pPr>
              <w:jc w:val="right"/>
              <w:ind w:right="280"/>
              <w:spacing w:after="0"/>
              <w:rPr>
                <w:rFonts w:ascii="Arial" w:cs="Arial" w:eastAsia="Arial" w:hAnsi="Arial"/>
                <w:sz w:val="16"/>
                <w:szCs w:val="16"/>
                <w:color w:val="auto"/>
              </w:rPr>
            </w:pPr>
            <w:hyperlink w:anchor="page56">
              <w:r>
                <w:rPr>
                  <w:rFonts w:ascii="Arial" w:cs="Arial" w:eastAsia="Arial" w:hAnsi="Arial"/>
                  <w:sz w:val="16"/>
                  <w:szCs w:val="16"/>
                  <w:color w:val="auto"/>
                </w:rPr>
                <w:t>56</w:t>
              </w:r>
            </w:hyperlink>
          </w:p>
        </w:tc>
      </w:tr>
      <w:tr>
        <w:trPr>
          <w:trHeight w:val="253"/>
        </w:trPr>
        <w:tc>
          <w:tcPr>
            <w:tcW w:w="10380" w:type="dxa"/>
            <w:vAlign w:val="bottom"/>
            <w:shd w:val="clear" w:color="auto" w:fill="CCEEFF"/>
          </w:tcPr>
          <w:p>
            <w:pPr>
              <w:ind w:left="40"/>
              <w:spacing w:after="0"/>
              <w:rPr>
                <w:rFonts w:ascii="Arial" w:cs="Arial" w:eastAsia="Arial" w:hAnsi="Arial"/>
                <w:sz w:val="16"/>
                <w:szCs w:val="16"/>
                <w:color w:val="auto"/>
              </w:rPr>
            </w:pPr>
            <w:hyperlink w:anchor="page57">
              <w:r>
                <w:rPr>
                  <w:rFonts w:ascii="Arial" w:cs="Arial" w:eastAsia="Arial" w:hAnsi="Arial"/>
                  <w:sz w:val="16"/>
                  <w:szCs w:val="16"/>
                  <w:color w:val="auto"/>
                </w:rPr>
                <w:t>Consolidated Statements of Operations</w:t>
              </w:r>
            </w:hyperlink>
          </w:p>
        </w:tc>
        <w:tc>
          <w:tcPr>
            <w:tcW w:w="1020" w:type="dxa"/>
            <w:vAlign w:val="bottom"/>
            <w:shd w:val="clear" w:color="auto" w:fill="CCEEFF"/>
          </w:tcPr>
          <w:p>
            <w:pPr>
              <w:jc w:val="right"/>
              <w:ind w:right="280"/>
              <w:spacing w:after="0"/>
              <w:rPr>
                <w:rFonts w:ascii="Arial" w:cs="Arial" w:eastAsia="Arial" w:hAnsi="Arial"/>
                <w:sz w:val="16"/>
                <w:szCs w:val="16"/>
                <w:color w:val="auto"/>
              </w:rPr>
            </w:pPr>
            <w:hyperlink w:anchor="page57">
              <w:r>
                <w:rPr>
                  <w:rFonts w:ascii="Arial" w:cs="Arial" w:eastAsia="Arial" w:hAnsi="Arial"/>
                  <w:sz w:val="16"/>
                  <w:szCs w:val="16"/>
                  <w:color w:val="auto"/>
                </w:rPr>
                <w:t>57</w:t>
              </w:r>
            </w:hyperlink>
          </w:p>
        </w:tc>
      </w:tr>
      <w:tr>
        <w:trPr>
          <w:trHeight w:val="233"/>
        </w:trPr>
        <w:tc>
          <w:tcPr>
            <w:tcW w:w="10380" w:type="dxa"/>
            <w:vAlign w:val="bottom"/>
          </w:tcPr>
          <w:p>
            <w:pPr>
              <w:ind w:left="40"/>
              <w:spacing w:after="0"/>
              <w:rPr>
                <w:rFonts w:ascii="Arial" w:cs="Arial" w:eastAsia="Arial" w:hAnsi="Arial"/>
                <w:sz w:val="16"/>
                <w:szCs w:val="16"/>
                <w:color w:val="auto"/>
              </w:rPr>
            </w:pPr>
            <w:hyperlink w:anchor="page58">
              <w:r>
                <w:rPr>
                  <w:rFonts w:ascii="Arial" w:cs="Arial" w:eastAsia="Arial" w:hAnsi="Arial"/>
                  <w:sz w:val="16"/>
                  <w:szCs w:val="16"/>
                  <w:color w:val="auto"/>
                </w:rPr>
                <w:t>Consolidated Statements of Comprehensive Loss</w:t>
              </w:r>
            </w:hyperlink>
          </w:p>
        </w:tc>
        <w:tc>
          <w:tcPr>
            <w:tcW w:w="1020" w:type="dxa"/>
            <w:vAlign w:val="bottom"/>
          </w:tcPr>
          <w:p>
            <w:pPr>
              <w:jc w:val="right"/>
              <w:ind w:right="280"/>
              <w:spacing w:after="0"/>
              <w:rPr>
                <w:rFonts w:ascii="Arial" w:cs="Arial" w:eastAsia="Arial" w:hAnsi="Arial"/>
                <w:sz w:val="16"/>
                <w:szCs w:val="16"/>
                <w:color w:val="auto"/>
              </w:rPr>
            </w:pPr>
            <w:hyperlink w:anchor="page58">
              <w:r>
                <w:rPr>
                  <w:rFonts w:ascii="Arial" w:cs="Arial" w:eastAsia="Arial" w:hAnsi="Arial"/>
                  <w:sz w:val="16"/>
                  <w:szCs w:val="16"/>
                  <w:color w:val="auto"/>
                </w:rPr>
                <w:t>58</w:t>
              </w:r>
            </w:hyperlink>
          </w:p>
        </w:tc>
      </w:tr>
      <w:tr>
        <w:trPr>
          <w:trHeight w:val="253"/>
        </w:trPr>
        <w:tc>
          <w:tcPr>
            <w:tcW w:w="10380" w:type="dxa"/>
            <w:vAlign w:val="bottom"/>
            <w:shd w:val="clear" w:color="auto" w:fill="CCEEFF"/>
          </w:tcPr>
          <w:p>
            <w:pPr>
              <w:ind w:left="40"/>
              <w:spacing w:after="0"/>
              <w:rPr>
                <w:rFonts w:ascii="Arial" w:cs="Arial" w:eastAsia="Arial" w:hAnsi="Arial"/>
                <w:sz w:val="16"/>
                <w:szCs w:val="16"/>
                <w:color w:val="auto"/>
              </w:rPr>
            </w:pPr>
            <w:hyperlink w:anchor="page59">
              <w:r>
                <w:rPr>
                  <w:rFonts w:ascii="Arial" w:cs="Arial" w:eastAsia="Arial" w:hAnsi="Arial"/>
                  <w:sz w:val="16"/>
                  <w:szCs w:val="16"/>
                  <w:color w:val="auto"/>
                </w:rPr>
                <w:t>Consolidated Statements of Cash Flows</w:t>
              </w:r>
            </w:hyperlink>
          </w:p>
        </w:tc>
        <w:tc>
          <w:tcPr>
            <w:tcW w:w="1020" w:type="dxa"/>
            <w:vAlign w:val="bottom"/>
            <w:shd w:val="clear" w:color="auto" w:fill="CCEEFF"/>
          </w:tcPr>
          <w:p>
            <w:pPr>
              <w:jc w:val="right"/>
              <w:ind w:right="280"/>
              <w:spacing w:after="0"/>
              <w:rPr>
                <w:rFonts w:ascii="Arial" w:cs="Arial" w:eastAsia="Arial" w:hAnsi="Arial"/>
                <w:sz w:val="16"/>
                <w:szCs w:val="16"/>
                <w:color w:val="auto"/>
              </w:rPr>
            </w:pPr>
            <w:hyperlink w:anchor="page59">
              <w:r>
                <w:rPr>
                  <w:rFonts w:ascii="Arial" w:cs="Arial" w:eastAsia="Arial" w:hAnsi="Arial"/>
                  <w:sz w:val="16"/>
                  <w:szCs w:val="16"/>
                  <w:color w:val="auto"/>
                </w:rPr>
                <w:t>59</w:t>
              </w:r>
            </w:hyperlink>
          </w:p>
        </w:tc>
      </w:tr>
      <w:tr>
        <w:trPr>
          <w:trHeight w:val="233"/>
        </w:trPr>
        <w:tc>
          <w:tcPr>
            <w:tcW w:w="10380" w:type="dxa"/>
            <w:vAlign w:val="bottom"/>
          </w:tcPr>
          <w:p>
            <w:pPr>
              <w:ind w:left="40"/>
              <w:spacing w:after="0"/>
              <w:rPr>
                <w:rFonts w:ascii="Arial" w:cs="Arial" w:eastAsia="Arial" w:hAnsi="Arial"/>
                <w:sz w:val="16"/>
                <w:szCs w:val="16"/>
                <w:color w:val="auto"/>
              </w:rPr>
            </w:pPr>
            <w:hyperlink w:anchor="page60">
              <w:r>
                <w:rPr>
                  <w:rFonts w:ascii="Arial" w:cs="Arial" w:eastAsia="Arial" w:hAnsi="Arial"/>
                  <w:sz w:val="16"/>
                  <w:szCs w:val="16"/>
                  <w:color w:val="auto"/>
                </w:rPr>
                <w:t>Consolidated Statements of Stockholders’ Equity (Deficit)</w:t>
              </w:r>
            </w:hyperlink>
          </w:p>
        </w:tc>
        <w:tc>
          <w:tcPr>
            <w:tcW w:w="1020" w:type="dxa"/>
            <w:vAlign w:val="bottom"/>
          </w:tcPr>
          <w:p>
            <w:pPr>
              <w:jc w:val="right"/>
              <w:ind w:right="280"/>
              <w:spacing w:after="0"/>
              <w:rPr>
                <w:rFonts w:ascii="Arial" w:cs="Arial" w:eastAsia="Arial" w:hAnsi="Arial"/>
                <w:sz w:val="16"/>
                <w:szCs w:val="16"/>
                <w:color w:val="auto"/>
              </w:rPr>
            </w:pPr>
            <w:hyperlink w:anchor="page60">
              <w:r>
                <w:rPr>
                  <w:rFonts w:ascii="Arial" w:cs="Arial" w:eastAsia="Arial" w:hAnsi="Arial"/>
                  <w:sz w:val="16"/>
                  <w:szCs w:val="16"/>
                  <w:color w:val="auto"/>
                </w:rPr>
                <w:t>60</w:t>
              </w:r>
            </w:hyperlink>
          </w:p>
        </w:tc>
      </w:tr>
      <w:tr>
        <w:trPr>
          <w:trHeight w:val="253"/>
        </w:trPr>
        <w:tc>
          <w:tcPr>
            <w:tcW w:w="10380" w:type="dxa"/>
            <w:vAlign w:val="bottom"/>
            <w:shd w:val="clear" w:color="auto" w:fill="CCEEFF"/>
          </w:tcPr>
          <w:p>
            <w:pPr>
              <w:ind w:left="40"/>
              <w:spacing w:after="0"/>
              <w:rPr>
                <w:rFonts w:ascii="Arial" w:cs="Arial" w:eastAsia="Arial" w:hAnsi="Arial"/>
                <w:sz w:val="16"/>
                <w:szCs w:val="16"/>
                <w:color w:val="auto"/>
              </w:rPr>
            </w:pPr>
            <w:hyperlink w:anchor="page61">
              <w:r>
                <w:rPr>
                  <w:rFonts w:ascii="Arial" w:cs="Arial" w:eastAsia="Arial" w:hAnsi="Arial"/>
                  <w:sz w:val="16"/>
                  <w:szCs w:val="16"/>
                  <w:color w:val="auto"/>
                </w:rPr>
                <w:t>Notes to Consolidated Financial Statements</w:t>
              </w:r>
            </w:hyperlink>
          </w:p>
        </w:tc>
        <w:tc>
          <w:tcPr>
            <w:tcW w:w="1020" w:type="dxa"/>
            <w:vAlign w:val="bottom"/>
            <w:shd w:val="clear" w:color="auto" w:fill="CCEEFF"/>
          </w:tcPr>
          <w:p>
            <w:pPr>
              <w:jc w:val="right"/>
              <w:ind w:right="280"/>
              <w:spacing w:after="0"/>
              <w:rPr>
                <w:rFonts w:ascii="Arial" w:cs="Arial" w:eastAsia="Arial" w:hAnsi="Arial"/>
                <w:sz w:val="16"/>
                <w:szCs w:val="16"/>
                <w:color w:val="auto"/>
              </w:rPr>
            </w:pPr>
            <w:hyperlink w:anchor="page61">
              <w:r>
                <w:rPr>
                  <w:rFonts w:ascii="Arial" w:cs="Arial" w:eastAsia="Arial" w:hAnsi="Arial"/>
                  <w:sz w:val="16"/>
                  <w:szCs w:val="16"/>
                  <w:color w:val="auto"/>
                </w:rPr>
                <w:t>61</w:t>
              </w:r>
            </w:hyperlink>
          </w:p>
        </w:tc>
      </w:tr>
      <w:tr>
        <w:trPr>
          <w:trHeight w:val="224"/>
        </w:trPr>
        <w:tc>
          <w:tcPr>
            <w:tcW w:w="10380" w:type="dxa"/>
            <w:vAlign w:val="bottom"/>
          </w:tcPr>
          <w:p>
            <w:pPr>
              <w:ind w:left="40"/>
              <w:spacing w:after="0"/>
              <w:rPr>
                <w:rFonts w:ascii="Arial" w:cs="Arial" w:eastAsia="Arial" w:hAnsi="Arial"/>
                <w:sz w:val="16"/>
                <w:szCs w:val="16"/>
                <w:color w:val="auto"/>
              </w:rPr>
            </w:pPr>
            <w:hyperlink w:anchor="page96">
              <w:r>
                <w:rPr>
                  <w:rFonts w:ascii="Arial" w:cs="Arial" w:eastAsia="Arial" w:hAnsi="Arial"/>
                  <w:sz w:val="16"/>
                  <w:szCs w:val="16"/>
                  <w:color w:val="auto"/>
                </w:rPr>
                <w:t>Selected Unaudited Quarterly Financial Information</w:t>
              </w:r>
            </w:hyperlink>
          </w:p>
        </w:tc>
        <w:tc>
          <w:tcPr>
            <w:tcW w:w="1020" w:type="dxa"/>
            <w:vAlign w:val="bottom"/>
          </w:tcPr>
          <w:p>
            <w:pPr>
              <w:jc w:val="right"/>
              <w:ind w:right="280"/>
              <w:spacing w:after="0"/>
              <w:rPr>
                <w:rFonts w:ascii="Arial" w:cs="Arial" w:eastAsia="Arial" w:hAnsi="Arial"/>
                <w:sz w:val="16"/>
                <w:szCs w:val="16"/>
                <w:color w:val="auto"/>
              </w:rPr>
            </w:pPr>
            <w:hyperlink w:anchor="page96">
              <w:r>
                <w:rPr>
                  <w:rFonts w:ascii="Arial" w:cs="Arial" w:eastAsia="Arial" w:hAnsi="Arial"/>
                  <w:sz w:val="16"/>
                  <w:szCs w:val="16"/>
                  <w:color w:val="auto"/>
                </w:rPr>
                <w:t>96</w:t>
              </w:r>
            </w:hyperlink>
          </w:p>
        </w:tc>
      </w:tr>
    </w:tbl>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283" w:right="259" w:bottom="1440" w:gutter="0" w:footer="0" w:header="0"/>
        </w:sectPr>
      </w:pPr>
    </w:p>
    <w:bookmarkStart w:id="53" w:name="page54"/>
    <w:bookmarkEnd w:id="5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Enphase Energy,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0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have audited the accompanying consolidated balance sheets of Enphase Energy, Inc. and subsidiaries (the “Company”) as of December 31, 2018 and 2017, the related consolidated statements of operations, comprehensive loss,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3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March 15, 2019, expressed an unqualified opinion on the Company’s internal control over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301"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As discussed in Note 2 to the financial statements, effective January 1, 2018, the Company adopted Revenue From Contracts With Customers (Topic 606), using the modified retrospective approach.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0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1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283" w:right="239" w:bottom="1440" w:gutter="0" w:footer="0" w:header="0"/>
        </w:sectPr>
      </w:pPr>
    </w:p>
    <w:bookmarkStart w:id="54" w:name="page55"/>
    <w:bookmarkEnd w:id="5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Enphase Energy,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have audited the internal control over financial reporting of Enphase Energy, Inc. and subsidiaries (the “Company”) as of December 31,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2018, based on criteria established in Internal Control - Integrated Framework (2013) issued by COSO.</w:t>
      </w:r>
    </w:p>
    <w:p>
      <w:pPr>
        <w:spacing w:after="0" w:line="20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March 15, 2019 expressed an unqualified opinion on those financial statements and included an explanatory paragraph regarding the Company’s adoption of a new accounting standard.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ind w:right="80" w:firstLine="486"/>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283" w:right="259" w:bottom="1440" w:gutter="0" w:footer="0" w:header="0"/>
        </w:sectPr>
      </w:pPr>
    </w:p>
    <w:bookmarkStart w:id="55" w:name="page56"/>
    <w:bookmarkEnd w:id="5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left="2980"/>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left="2980"/>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594995</wp:posOffset>
            </wp:positionV>
            <wp:extent cx="72294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ASSETS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6"/>
          <w:szCs w:val="16"/>
          <w:color w:val="auto"/>
        </w:rPr>
        <w:t>$</w:t>
      </w:r>
    </w:p>
    <w:p>
      <w:pPr>
        <w:spacing w:after="0" w:line="73" w:lineRule="exact"/>
        <w:rPr>
          <w:sz w:val="20"/>
          <w:szCs w:val="20"/>
          <w:color w:val="auto"/>
        </w:rPr>
      </w:pPr>
    </w:p>
    <w:p>
      <w:pPr>
        <w:ind w:left="480" w:right="220" w:hanging="80"/>
        <w:spacing w:after="0" w:line="260" w:lineRule="auto"/>
        <w:rPr>
          <w:sz w:val="20"/>
          <w:szCs w:val="20"/>
          <w:color w:val="auto"/>
        </w:rPr>
      </w:pPr>
      <w:r>
        <w:rPr>
          <w:rFonts w:ascii="Arial" w:cs="Arial" w:eastAsia="Arial" w:hAnsi="Arial"/>
          <w:sz w:val="16"/>
          <w:szCs w:val="16"/>
          <w:color w:val="auto"/>
        </w:rPr>
        <w:t>Accounts receivable, net of allowances of $2,138 and $2,378 at December 31,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Inventory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72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60"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revenues, current</w:t>
      </w:r>
    </w:p>
    <w:p>
      <w:pPr>
        <w:spacing w:after="0" w:line="73" w:lineRule="exact"/>
        <w:rPr>
          <w:sz w:val="20"/>
          <w:szCs w:val="20"/>
          <w:color w:val="auto"/>
        </w:rPr>
      </w:pPr>
    </w:p>
    <w:p>
      <w:pPr>
        <w:ind w:left="480" w:right="300" w:hanging="80"/>
        <w:spacing w:after="0" w:line="260" w:lineRule="auto"/>
        <w:rPr>
          <w:sz w:val="20"/>
          <w:szCs w:val="20"/>
          <w:color w:val="auto"/>
        </w:rPr>
      </w:pPr>
      <w:r>
        <w:rPr>
          <w:rFonts w:ascii="Arial" w:cs="Arial" w:eastAsia="Arial" w:hAnsi="Arial"/>
          <w:sz w:val="16"/>
          <w:szCs w:val="16"/>
          <w:color w:val="auto"/>
        </w:rPr>
        <w:t>Warranty obligations, current (includes $4,288 and $2,240 measured at fair value at December 31,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Debt, current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53" w:lineRule="exact"/>
        <w:rPr>
          <w:sz w:val="20"/>
          <w:szCs w:val="20"/>
          <w:color w:val="auto"/>
        </w:rPr>
      </w:pPr>
    </w:p>
    <w:p>
      <w:pPr>
        <w:ind w:left="480" w:right="340" w:hanging="80"/>
        <w:spacing w:after="0" w:line="260" w:lineRule="auto"/>
        <w:rPr>
          <w:sz w:val="20"/>
          <w:szCs w:val="20"/>
          <w:color w:val="auto"/>
        </w:rPr>
      </w:pPr>
      <w:r>
        <w:rPr>
          <w:rFonts w:ascii="Arial" w:cs="Arial" w:eastAsia="Arial" w:hAnsi="Arial"/>
          <w:sz w:val="16"/>
          <w:szCs w:val="16"/>
          <w:color w:val="auto"/>
        </w:rPr>
        <w:t>Warranty obligations, noncurrent (includes $7,469 and $7,551 measured at fair value at December 31, 2018 and December 31, 2017, respectively)</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Debt, noncurrent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contingent liabilities (Note 12)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Preferred stock, $0.00001 par value, 10,000 shares authorized; none issued and outstanding</w:t>
      </w:r>
    </w:p>
    <w:p>
      <w:pPr>
        <w:spacing w:after="0" w:line="73" w:lineRule="exact"/>
        <w:rPr>
          <w:sz w:val="20"/>
          <w:szCs w:val="20"/>
          <w:color w:val="auto"/>
        </w:rPr>
      </w:pPr>
    </w:p>
    <w:p>
      <w:pPr>
        <w:ind w:left="480" w:right="160" w:hanging="80"/>
        <w:spacing w:after="0" w:line="260" w:lineRule="auto"/>
        <w:rPr>
          <w:sz w:val="20"/>
          <w:szCs w:val="20"/>
          <w:color w:val="auto"/>
        </w:rPr>
      </w:pPr>
      <w:r>
        <w:rPr>
          <w:rFonts w:ascii="Arial" w:cs="Arial" w:eastAsia="Arial" w:hAnsi="Arial"/>
          <w:sz w:val="16"/>
          <w:szCs w:val="16"/>
          <w:color w:val="auto"/>
        </w:rPr>
        <w:t>Common stock, $0.00001 par value, 150,000 shares and 125,000 shares authorized; and 107,035 and 85,914 shares issued and outstanding at December 31,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6"/>
          <w:szCs w:val="16"/>
          <w:color w:val="auto"/>
        </w:rPr>
        <w:t>Total liabilities and stockholders’ equity (deficit)</w:t>
      </w:r>
      <w:r>
        <w:rPr>
          <w:sz w:val="20"/>
          <w:szCs w:val="20"/>
          <w:color w:val="auto"/>
        </w:rPr>
        <w:tab/>
      </w:r>
      <w:r>
        <w:rPr>
          <w:rFonts w:ascii="Arial" w:cs="Arial" w:eastAsia="Arial" w:hAnsi="Arial"/>
          <w:sz w:val="16"/>
          <w:szCs w:val="16"/>
          <w:color w:val="auto"/>
        </w:rPr>
        <w:t>$</w:t>
      </w:r>
    </w:p>
    <w:p>
      <w:pPr>
        <w:spacing w:after="0" w:line="28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43180</wp:posOffset>
            </wp:positionV>
            <wp:extent cx="19469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106,237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29,144</w:t>
            </w:r>
          </w:p>
        </w:tc>
      </w:tr>
      <w:tr>
        <w:trPr>
          <w:trHeight w:val="432"/>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78,938</w:t>
            </w:r>
          </w:p>
        </w:tc>
        <w:tc>
          <w:tcPr>
            <w:tcW w:w="4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65,346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16,267</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25,999</w:t>
            </w:r>
          </w:p>
        </w:tc>
      </w:tr>
      <w:tr>
        <w:trPr>
          <w:trHeight w:val="283"/>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20,860</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9,957</w:t>
            </w:r>
          </w:p>
        </w:tc>
      </w:tr>
      <w:tr>
        <w:trPr>
          <w:trHeight w:val="237"/>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222,302</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130,446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20,998</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26,483</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35,306</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515</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24,783</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3,664</w:t>
            </w:r>
          </w:p>
        </w:tc>
      </w:tr>
      <w:tr>
        <w:trPr>
          <w:trHeight w:val="283"/>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36,548</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8,039</w:t>
            </w:r>
          </w:p>
        </w:tc>
      </w:tr>
      <w:tr>
        <w:trPr>
          <w:trHeight w:val="237"/>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339,937</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169,147</w:t>
            </w:r>
          </w:p>
        </w:tc>
      </w:tr>
      <w:tr>
        <w:trPr>
          <w:trHeight w:val="20"/>
        </w:trPr>
        <w:tc>
          <w:tcPr>
            <w:tcW w:w="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78"/>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48,794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28,747</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29,010</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22,447</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33,119</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15,691</w:t>
            </w:r>
          </w:p>
        </w:tc>
      </w:tr>
      <w:tr>
        <w:trPr>
          <w:trHeight w:val="432"/>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8,083</w:t>
            </w:r>
          </w:p>
        </w:tc>
        <w:tc>
          <w:tcPr>
            <w:tcW w:w="4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7,427</w:t>
            </w:r>
          </w:p>
        </w:tc>
      </w:tr>
      <w:tr>
        <w:trPr>
          <w:trHeight w:val="283"/>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28,155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17,429</w:t>
            </w:r>
          </w:p>
        </w:tc>
      </w:tr>
      <w:tr>
        <w:trPr>
          <w:trHeight w:val="237"/>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147,161</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91,741</w:t>
            </w:r>
          </w:p>
        </w:tc>
      </w:tr>
      <w:tr>
        <w:trPr>
          <w:trHeight w:val="54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76,911</w:t>
            </w:r>
          </w:p>
        </w:tc>
        <w:tc>
          <w:tcPr>
            <w:tcW w:w="4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29,941</w:t>
            </w:r>
          </w:p>
        </w:tc>
      </w:tr>
      <w:tr>
        <w:trPr>
          <w:trHeight w:val="432"/>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23,211</w:t>
            </w:r>
          </w:p>
        </w:tc>
        <w:tc>
          <w:tcPr>
            <w:tcW w:w="4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22,389</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3,250</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1,880</w:t>
            </w:r>
          </w:p>
        </w:tc>
      </w:tr>
      <w:tr>
        <w:trPr>
          <w:trHeight w:val="283"/>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81,628</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32,322</w:t>
            </w:r>
          </w:p>
        </w:tc>
      </w:tr>
      <w:tr>
        <w:trPr>
          <w:trHeight w:val="25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332,161</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178,273</w:t>
            </w:r>
          </w:p>
        </w:tc>
      </w:tr>
      <w:tr>
        <w:trPr>
          <w:trHeight w:val="777"/>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32"/>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353,335</w:t>
            </w:r>
          </w:p>
        </w:tc>
        <w:tc>
          <w:tcPr>
            <w:tcW w:w="4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287,256</w:t>
            </w:r>
          </w:p>
        </w:tc>
      </w:tr>
      <w:tr>
        <w:trPr>
          <w:trHeight w:val="270"/>
        </w:trPr>
        <w:tc>
          <w:tcPr>
            <w:tcW w:w="860" w:type="dxa"/>
            <w:vAlign w:val="bottom"/>
          </w:tcPr>
          <w:p>
            <w:pPr>
              <w:jc w:val="right"/>
              <w:ind w:right="79"/>
              <w:spacing w:after="0"/>
              <w:rPr>
                <w:sz w:val="20"/>
                <w:szCs w:val="20"/>
                <w:color w:val="auto"/>
              </w:rPr>
            </w:pPr>
            <w:r>
              <w:rPr>
                <w:rFonts w:ascii="Arial" w:cs="Arial" w:eastAsia="Arial" w:hAnsi="Arial"/>
                <w:sz w:val="16"/>
                <w:szCs w:val="16"/>
                <w:color w:val="auto"/>
                <w:w w:val="99"/>
              </w:rPr>
              <w:t>(346,302)</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-1290320</wp:posOffset>
            </wp:positionV>
            <wp:extent cx="9436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-2422525</wp:posOffset>
            </wp:positionV>
            <wp:extent cx="943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-3751580</wp:posOffset>
            </wp:positionV>
            <wp:extent cx="9436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-367030</wp:posOffset>
            </wp:positionH>
            <wp:positionV relativeFrom="paragraph">
              <wp:posOffset>-3914775</wp:posOffset>
            </wp:positionV>
            <wp:extent cx="943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5" w:lineRule="exact"/>
        <w:rPr>
          <w:sz w:val="20"/>
          <w:szCs w:val="20"/>
          <w:color w:val="auto"/>
        </w:rPr>
      </w:pPr>
    </w:p>
    <w:p>
      <w:pPr>
        <w:ind w:left="2060" w:hanging="1532"/>
        <w:spacing w:after="0"/>
        <w:tabs>
          <w:tab w:leader="none" w:pos="2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(656)</w:t>
      </w:r>
    </w:p>
    <w:p>
      <w:pPr>
        <w:spacing w:after="0" w:line="8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7,776(9,126)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-151765</wp:posOffset>
            </wp:positionV>
            <wp:extent cx="1946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3" w:lineRule="exact"/>
        <w:rPr>
          <w:sz w:val="20"/>
          <w:szCs w:val="20"/>
          <w:color w:val="auto"/>
        </w:rPr>
      </w:pPr>
    </w:p>
    <w:p>
      <w:pPr>
        <w:ind w:left="220"/>
        <w:spacing w:after="0"/>
        <w:tabs>
          <w:tab w:leader="none" w:pos="1020" w:val="left"/>
          <w:tab w:leader="none" w:pos="1780" w:val="left"/>
        </w:tabs>
        <w:rPr>
          <w:sz w:val="20"/>
          <w:szCs w:val="20"/>
          <w:color w:val="auto"/>
        </w:rPr>
      </w:pPr>
      <w:r>
        <w:rPr>
          <w:rFonts w:ascii="Arial" w:cs="Arial" w:eastAsia="Arial" w:hAnsi="Arial"/>
          <w:sz w:val="16"/>
          <w:szCs w:val="16"/>
          <w:color w:val="auto"/>
        </w:rPr>
        <w:t>339,937</w:t>
        <w:tab/>
        <w:t>$</w:t>
      </w:r>
      <w:r>
        <w:rPr>
          <w:sz w:val="20"/>
          <w:szCs w:val="20"/>
          <w:color w:val="auto"/>
        </w:rPr>
        <w:tab/>
      </w:r>
      <w:r>
        <w:rPr>
          <w:rFonts w:ascii="Arial" w:cs="Arial" w:eastAsia="Arial" w:hAnsi="Arial"/>
          <w:sz w:val="16"/>
          <w:szCs w:val="16"/>
          <w:color w:val="auto"/>
        </w:rPr>
        <w:t>169,147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36195</wp:posOffset>
            </wp:positionV>
            <wp:extent cx="1946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8460" w:space="460"/>
            <w:col w:w="2480"/>
          </w:cols>
          <w:pgMar w:left="240" w:top="283"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56 –</w:t>
      </w:r>
    </w:p>
    <w:p>
      <w:pPr>
        <w:sectPr>
          <w:pgSz w:w="11900" w:h="16838" w:orient="portrait"/>
          <w:cols w:equalWidth="0" w:num="1">
            <w:col w:w="11400"/>
          </w:cols>
          <w:pgMar w:left="240" w:top="283" w:right="259" w:bottom="1440" w:gutter="0" w:footer="0" w:header="0"/>
          <w:type w:val="continuous"/>
        </w:sectPr>
      </w:pPr>
    </w:p>
    <w:bookmarkStart w:id="56" w:name="page57"/>
    <w:bookmarkEnd w:id="5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316,159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286,166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322,591</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221,714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230,123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264,583</w:t>
            </w: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94,445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58,008</w:t>
            </w:r>
          </w:p>
        </w:tc>
        <w:tc>
          <w:tcPr>
            <w:tcW w:w="0" w:type="dxa"/>
            <w:vAlign w:val="bottom"/>
          </w:tcPr>
          <w:p>
            <w:pPr>
              <w:spacing w:after="0"/>
              <w:rPr>
                <w:sz w:val="1"/>
                <w:szCs w:val="1"/>
                <w:color w:val="auto"/>
              </w:rPr>
            </w:pPr>
          </w:p>
        </w:tc>
      </w:tr>
      <w:tr>
        <w:trPr>
          <w:trHeight w:val="254"/>
        </w:trPr>
        <w:tc>
          <w:tcPr>
            <w:tcW w:w="6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32,587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50,703</w:t>
            </w:r>
          </w:p>
        </w:tc>
        <w:tc>
          <w:tcPr>
            <w:tcW w:w="0" w:type="dxa"/>
            <w:vAlign w:val="bottom"/>
          </w:tcPr>
          <w:p>
            <w:pPr>
              <w:spacing w:after="0"/>
              <w:rPr>
                <w:sz w:val="1"/>
                <w:szCs w:val="1"/>
                <w:color w:val="auto"/>
              </w:rPr>
            </w:pPr>
          </w:p>
        </w:tc>
      </w:tr>
      <w:tr>
        <w:trPr>
          <w:trHeight w:val="260"/>
        </w:trPr>
        <w:tc>
          <w:tcPr>
            <w:tcW w:w="672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27,047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23,126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38,810</w:t>
            </w:r>
          </w:p>
        </w:tc>
        <w:tc>
          <w:tcPr>
            <w:tcW w:w="0" w:type="dxa"/>
            <w:vAlign w:val="bottom"/>
          </w:tcPr>
          <w:p>
            <w:pPr>
              <w:spacing w:after="0"/>
              <w:rPr>
                <w:sz w:val="1"/>
                <w:szCs w:val="1"/>
                <w:color w:val="auto"/>
              </w:rPr>
            </w:pPr>
          </w:p>
        </w:tc>
      </w:tr>
      <w:tr>
        <w:trPr>
          <w:trHeight w:val="280"/>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29,086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27,418</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3,777</w:t>
            </w:r>
          </w:p>
        </w:tc>
        <w:tc>
          <w:tcPr>
            <w:tcW w:w="0" w:type="dxa"/>
            <w:vAlign w:val="bottom"/>
          </w:tcPr>
          <w:p>
            <w:pPr>
              <w:spacing w:after="0"/>
              <w:rPr>
                <w:sz w:val="1"/>
                <w:szCs w:val="1"/>
                <w:color w:val="auto"/>
              </w:rPr>
            </w:pPr>
          </w:p>
        </w:tc>
      </w:tr>
      <w:tr>
        <w:trPr>
          <w:trHeight w:val="250"/>
        </w:trPr>
        <w:tc>
          <w:tcPr>
            <w:tcW w:w="67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92,849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95,421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120,708</w:t>
            </w:r>
          </w:p>
        </w:tc>
        <w:tc>
          <w:tcPr>
            <w:tcW w:w="0" w:type="dxa"/>
            <w:vAlign w:val="bottom"/>
          </w:tcPr>
          <w:p>
            <w:pPr>
              <w:spacing w:after="0"/>
              <w:rPr>
                <w:sz w:val="1"/>
                <w:szCs w:val="1"/>
                <w:color w:val="auto"/>
              </w:rPr>
            </w:pPr>
          </w:p>
        </w:tc>
      </w:tr>
      <w:tr>
        <w:trPr>
          <w:trHeight w:val="247"/>
        </w:trPr>
        <w:tc>
          <w:tcPr>
            <w:tcW w:w="67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(62,700)</w:t>
            </w:r>
          </w:p>
        </w:tc>
        <w:tc>
          <w:tcPr>
            <w:tcW w:w="0" w:type="dxa"/>
            <w:vAlign w:val="bottom"/>
          </w:tcPr>
          <w:p>
            <w:pPr>
              <w:spacing w:after="0"/>
              <w:rPr>
                <w:sz w:val="1"/>
                <w:szCs w:val="1"/>
                <w:color w:val="auto"/>
              </w:rPr>
            </w:pPr>
          </w:p>
        </w:tc>
      </w:tr>
      <w:tr>
        <w:trPr>
          <w:trHeight w:val="28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2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(2,773)</w:t>
            </w:r>
          </w:p>
        </w:tc>
        <w:tc>
          <w:tcPr>
            <w:tcW w:w="0" w:type="dxa"/>
            <w:vAlign w:val="bottom"/>
          </w:tcPr>
          <w:p>
            <w:pPr>
              <w:spacing w:after="0"/>
              <w:rPr>
                <w:sz w:val="1"/>
                <w:szCs w:val="1"/>
                <w:color w:val="auto"/>
              </w:rPr>
            </w:pPr>
          </w:p>
        </w:tc>
      </w:tr>
      <w:tr>
        <w:trPr>
          <w:trHeight w:val="273"/>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(65,987)</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4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(67,462)</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6"/>
                <w:szCs w:val="16"/>
                <w:color w:val="auto"/>
              </w:rPr>
              <w:t>Net loss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6"/>
                <w:szCs w:val="16"/>
                <w:color w:val="auto"/>
              </w:rPr>
              <w:t>Shares used in per share calculation: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99,619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82,939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50,519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283" w:right="259" w:bottom="1440" w:gutter="0" w:footer="0" w:header="0"/>
        </w:sectPr>
      </w:pPr>
    </w:p>
    <w:bookmarkStart w:id="57" w:name="page58"/>
    <w:bookmarkEnd w:id="5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2016</w:t>
            </w: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1,398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0"/>
        </w:trPr>
        <w:tc>
          <w:tcPr>
            <w:tcW w:w="67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(67,544)</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00"/>
          </w:cols>
          <w:pgMar w:left="240" w:top="283" w:right="259" w:bottom="1440" w:gutter="0" w:footer="0" w:header="0"/>
        </w:sectPr>
      </w:pPr>
    </w:p>
    <w:bookmarkStart w:id="58" w:name="page59"/>
    <w:bookmarkEnd w:id="5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(11,627)</w:t>
            </w:r>
          </w:p>
        </w:tc>
        <w:tc>
          <w:tcPr>
            <w:tcW w:w="12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(45,192)</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(67,462)</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9,667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10,638</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doubtful accounts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3,097</w:t>
            </w:r>
          </w:p>
        </w:tc>
        <w:tc>
          <w:tcPr>
            <w:tcW w:w="0" w:type="dxa"/>
            <w:vAlign w:val="bottom"/>
          </w:tcPr>
          <w:p>
            <w:pPr>
              <w:spacing w:after="0"/>
              <w:rPr>
                <w:sz w:val="1"/>
                <w:szCs w:val="1"/>
                <w:color w:val="auto"/>
              </w:rPr>
            </w:pPr>
          </w:p>
        </w:tc>
      </w:tr>
      <w:tr>
        <w:trPr>
          <w:trHeight w:val="264"/>
        </w:trPr>
        <w:tc>
          <w:tcPr>
            <w:tcW w:w="6720" w:type="dxa"/>
            <w:vAlign w:val="bottom"/>
          </w:tcPr>
          <w:p>
            <w:pPr>
              <w:ind w:left="280"/>
              <w:spacing w:after="0"/>
              <w:rPr>
                <w:sz w:val="20"/>
                <w:szCs w:val="20"/>
                <w:color w:val="auto"/>
              </w:rPr>
            </w:pPr>
            <w:r>
              <w:rPr>
                <w:rFonts w:ascii="Arial" w:cs="Arial" w:eastAsia="Arial" w:hAnsi="Arial"/>
                <w:sz w:val="14"/>
                <w:szCs w:val="14"/>
                <w:color w:val="auto"/>
              </w:rPr>
              <w:t>Asset impairment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3,190</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business divestiture</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64"/>
        </w:trPr>
        <w:tc>
          <w:tcPr>
            <w:tcW w:w="6720" w:type="dxa"/>
            <w:vAlign w:val="bottom"/>
          </w:tcPr>
          <w:p>
            <w:pPr>
              <w:ind w:left="2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10,326</w:t>
            </w:r>
          </w:p>
        </w:tc>
        <w:tc>
          <w:tcPr>
            <w:tcW w:w="0" w:type="dxa"/>
            <w:vAlign w:val="bottom"/>
          </w:tcPr>
          <w:p>
            <w:pPr>
              <w:spacing w:after="0"/>
              <w:rPr>
                <w:sz w:val="1"/>
                <w:szCs w:val="1"/>
                <w:color w:val="auto"/>
              </w:rPr>
            </w:pPr>
          </w:p>
        </w:tc>
      </w:tr>
      <w:tr>
        <w:trPr>
          <w:trHeight w:val="264"/>
        </w:trPr>
        <w:tc>
          <w:tcPr>
            <w:tcW w:w="6720" w:type="dxa"/>
            <w:vAlign w:val="bottom"/>
          </w:tcPr>
          <w:p>
            <w:pPr>
              <w:ind w:left="280"/>
              <w:spacing w:after="0"/>
              <w:rPr>
                <w:sz w:val="20"/>
                <w:szCs w:val="20"/>
                <w:color w:val="auto"/>
              </w:rPr>
            </w:pPr>
            <w:r>
              <w:rPr>
                <w:rFonts w:ascii="Arial" w:cs="Arial" w:eastAsia="Arial" w:hAnsi="Arial"/>
                <w:sz w:val="14"/>
                <w:szCs w:val="14"/>
                <w:color w:val="auto"/>
              </w:rPr>
              <w:t>Deferred income tax expense (benefit)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(18,017)</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8,840</w:t>
            </w: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(4,759)</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Accounts payable, accrued and other liabilities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23,082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8,897</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Warranty obligations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revenues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11,274</w:t>
            </w:r>
          </w:p>
        </w:tc>
        <w:tc>
          <w:tcPr>
            <w:tcW w:w="0" w:type="dxa"/>
            <w:vAlign w:val="bottom"/>
          </w:tcPr>
          <w:p>
            <w:pPr>
              <w:spacing w:after="0"/>
              <w:rPr>
                <w:sz w:val="1"/>
                <w:szCs w:val="1"/>
                <w:color w:val="auto"/>
              </w:rPr>
            </w:pPr>
          </w:p>
        </w:tc>
      </w:tr>
      <w:tr>
        <w:trPr>
          <w:trHeight w:val="256"/>
        </w:trPr>
        <w:tc>
          <w:tcPr>
            <w:tcW w:w="67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16,132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(28,442)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(32,953)</w:t>
            </w:r>
          </w:p>
        </w:tc>
        <w:tc>
          <w:tcPr>
            <w:tcW w:w="0" w:type="dxa"/>
            <w:vAlign w:val="bottom"/>
          </w:tcPr>
          <w:p>
            <w:pPr>
              <w:spacing w:after="0"/>
              <w:rPr>
                <w:sz w:val="1"/>
                <w:szCs w:val="1"/>
                <w:color w:val="auto"/>
              </w:rPr>
            </w:pPr>
          </w:p>
        </w:tc>
      </w:tr>
      <w:tr>
        <w:trPr>
          <w:trHeight w:val="258"/>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(12,167)</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Purchases of intangible assets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Business divestitures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Acquisition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72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(19,151)</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(11,795)</w:t>
            </w:r>
          </w:p>
        </w:tc>
        <w:tc>
          <w:tcPr>
            <w:tcW w:w="0" w:type="dxa"/>
            <w:vAlign w:val="bottom"/>
          </w:tcPr>
          <w:p>
            <w:pPr>
              <w:spacing w:after="0"/>
              <w:rPr>
                <w:sz w:val="1"/>
                <w:szCs w:val="1"/>
                <w:color w:val="auto"/>
              </w:rPr>
            </w:pPr>
          </w:p>
        </w:tc>
      </w:tr>
      <w:tr>
        <w:trPr>
          <w:trHeight w:val="258"/>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issuance of common stock, net of issuance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16,142</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Proceeds from debt, net of issuance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68,024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26,442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23,989</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borrowings under revolving credit facility</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Principal payments on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under revolving credit facility</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(16,900)</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250"/>
        </w:trPr>
        <w:tc>
          <w:tcPr>
            <w:tcW w:w="6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80,614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43,297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34,375</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(10,688)</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29,144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28,452</w:t>
            </w: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period</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17,764</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4"/>
                <w:szCs w:val="14"/>
                <w:color w:val="auto"/>
              </w:rPr>
              <w:t>Supplemental cash flow disclosure: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paid for interest</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Cash paid for income taxes</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Acquisition funded by issuance of common stock</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19,219</w:t>
            </w:r>
          </w:p>
        </w:tc>
        <w:tc>
          <w:tcPr>
            <w:tcW w:w="12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 and loan costs included in accrued liabilities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58"/>
        </w:trPr>
        <w:tc>
          <w:tcPr>
            <w:tcW w:w="6720" w:type="dxa"/>
            <w:vAlign w:val="bottom"/>
          </w:tcPr>
          <w:p>
            <w:pPr>
              <w:ind w:left="160"/>
              <w:spacing w:after="0"/>
              <w:rPr>
                <w:sz w:val="20"/>
                <w:szCs w:val="20"/>
                <w:color w:val="auto"/>
              </w:rPr>
            </w:pPr>
            <w:r>
              <w:rPr>
                <w:rFonts w:ascii="Arial" w:cs="Arial" w:eastAsia="Arial" w:hAnsi="Arial"/>
                <w:sz w:val="14"/>
                <w:szCs w:val="14"/>
                <w:color w:val="auto"/>
              </w:rPr>
              <w:t>Purchases of fixed assets included in accounts payable</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400"/>
          </w:cols>
          <w:pgMar w:left="240" w:top="283" w:right="259" w:bottom="921"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59 –</w:t>
      </w:r>
    </w:p>
    <w:p>
      <w:pPr>
        <w:sectPr>
          <w:pgSz w:w="11900" w:h="16838" w:orient="portrait"/>
          <w:cols w:equalWidth="0" w:num="1">
            <w:col w:w="11400"/>
          </w:cols>
          <w:pgMar w:left="240" w:top="283" w:right="259" w:bottom="921" w:gutter="0" w:footer="0" w:header="0"/>
          <w:type w:val="continuous"/>
        </w:sectPr>
      </w:pPr>
    </w:p>
    <w:bookmarkStart w:id="59" w:name="page60"/>
    <w:bookmarkEnd w:id="5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1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880" w:type="dxa"/>
            <w:vAlign w:val="bottom"/>
          </w:tcPr>
          <w:p>
            <w:pPr>
              <w:jc w:val="center"/>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56"/>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BALANCE—December 31, 2015</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45,821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224,732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41,449</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Issuance of common stock under employee stock plans</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net of offering costs</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14,950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15,924</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10,326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10,326</w:t>
            </w: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w:t>
            </w:r>
          </w:p>
        </w:tc>
        <w:tc>
          <w:tcPr>
            <w:tcW w:w="0" w:type="dxa"/>
            <w:vAlign w:val="bottom"/>
          </w:tcPr>
          <w:p>
            <w:pPr>
              <w:spacing w:after="0"/>
              <w:rPr>
                <w:sz w:val="1"/>
                <w:szCs w:val="1"/>
                <w:color w:val="auto"/>
              </w:rPr>
            </w:pPr>
          </w:p>
        </w:tc>
      </w:tr>
      <w:tr>
        <w:trPr>
          <w:trHeight w:val="264"/>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BALANCE—December 31, 2016</w:t>
            </w:r>
          </w:p>
        </w:tc>
        <w:tc>
          <w:tcPr>
            <w:tcW w:w="9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62,269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252,126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(250,535)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Issuance of common stock under employee stock plans</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net of offering costs</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26,425</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Issuance of warrants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(45,192)</w:t>
            </w:r>
          </w:p>
        </w:tc>
        <w:tc>
          <w:tcPr>
            <w:tcW w:w="0" w:type="dxa"/>
            <w:vAlign w:val="bottom"/>
          </w:tcPr>
          <w:p>
            <w:pPr>
              <w:spacing w:after="0"/>
              <w:rPr>
                <w:sz w:val="1"/>
                <w:szCs w:val="1"/>
                <w:color w:val="auto"/>
              </w:rPr>
            </w:pPr>
          </w:p>
        </w:tc>
      </w:tr>
      <w:tr>
        <w:trPr>
          <w:trHeight w:val="273"/>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7"/>
        </w:trPr>
        <w:tc>
          <w:tcPr>
            <w:tcW w:w="4460" w:type="dxa"/>
            <w:vAlign w:val="bottom"/>
          </w:tcPr>
          <w:p>
            <w:pPr>
              <w:ind w:left="40"/>
              <w:spacing w:after="0"/>
              <w:rPr>
                <w:sz w:val="20"/>
                <w:szCs w:val="20"/>
                <w:color w:val="auto"/>
              </w:rPr>
            </w:pPr>
            <w:r>
              <w:rPr>
                <w:rFonts w:ascii="Arial" w:cs="Arial" w:eastAsia="Arial" w:hAnsi="Arial"/>
                <w:sz w:val="16"/>
                <w:szCs w:val="16"/>
                <w:color w:val="auto"/>
              </w:rPr>
              <w:t>BALANCE—December 31, 2017</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85,914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287,256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(295,727)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(9,126)</w:t>
            </w:r>
          </w:p>
        </w:tc>
        <w:tc>
          <w:tcPr>
            <w:tcW w:w="0" w:type="dxa"/>
            <w:vAlign w:val="bottom"/>
          </w:tcPr>
          <w:p>
            <w:pPr>
              <w:spacing w:after="0"/>
              <w:rPr>
                <w:sz w:val="1"/>
                <w:szCs w:val="1"/>
                <w:color w:val="auto"/>
              </w:rPr>
            </w:pPr>
          </w:p>
        </w:tc>
      </w:tr>
      <w:tr>
        <w:trPr>
          <w:trHeight w:val="228"/>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 accumulated deficit</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related to the adoption of ASC 606 (see Note 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(38,948)</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Issuance of common stock under employee stock plans</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2,806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net of offering costs</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19,766</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Issuance of common stock related to acquisition</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32,319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32,319</w:t>
            </w: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 of warrants</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4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11,188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11,188</w:t>
            </w:r>
          </w:p>
        </w:tc>
        <w:tc>
          <w:tcPr>
            <w:tcW w:w="0" w:type="dxa"/>
            <w:vAlign w:val="bottom"/>
          </w:tcPr>
          <w:p>
            <w:pPr>
              <w:spacing w:after="0"/>
              <w:rPr>
                <w:sz w:val="1"/>
                <w:szCs w:val="1"/>
                <w:color w:val="auto"/>
              </w:rPr>
            </w:pPr>
          </w:p>
        </w:tc>
      </w:tr>
      <w:tr>
        <w:trPr>
          <w:trHeight w:val="280"/>
        </w:trPr>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0" w:type="dxa"/>
            <w:vAlign w:val="bottom"/>
          </w:tcPr>
          <w:p>
            <w:pPr>
              <w:spacing w:after="0"/>
              <w:rPr>
                <w:sz w:val="1"/>
                <w:szCs w:val="1"/>
                <w:color w:val="auto"/>
              </w:rPr>
            </w:pPr>
          </w:p>
        </w:tc>
      </w:tr>
      <w:tr>
        <w:trPr>
          <w:trHeight w:val="264"/>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4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BALANCE—December 31, 2018</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107,035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353,335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283" w:right="239" w:bottom="1440" w:gutter="0" w:footer="0" w:header="0"/>
        </w:sectPr>
      </w:pPr>
    </w:p>
    <w:bookmarkStart w:id="60" w:name="page61"/>
    <w:bookmarkEnd w:id="6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Enphase Energy, Inc. (the “Company”) is a global energy technology company, delivering smart, easy-to-use solutions that connect solar generation, storage and communications management on one intelligent platform. The Company revolutionized solar with its microinverter technology and produce the world’s only truly integrated solar-plus-storage solution.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(“U.S. GAAP”). The consolidated financial statements include the accounts of the Company and its wholly-owned subsidiaries.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preparation of the Company’s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materially from management’s estimates using different assumptions or under different conditions.</w:t>
      </w:r>
    </w:p>
    <w:p>
      <w:pPr>
        <w:spacing w:after="0" w:line="23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500" w:firstLine="486"/>
        <w:spacing w:after="0" w:line="256" w:lineRule="auto"/>
        <w:rPr>
          <w:sz w:val="20"/>
          <w:szCs w:val="20"/>
          <w:color w:val="auto"/>
        </w:rPr>
      </w:pPr>
      <w:r>
        <w:rPr>
          <w:rFonts w:ascii="Arial" w:cs="Arial" w:eastAsia="Arial" w:hAnsi="Arial"/>
          <w:sz w:val="18"/>
          <w:szCs w:val="18"/>
          <w:color w:val="auto"/>
        </w:rPr>
        <w:t>The Company generates revenue from sales of its solutions, which include microinverter units and related accessories, an Envoy communications gateway, the cloud-based Enlighten monitoring service, and AC Battery storage solutions to distributors, large installers, original equipment manufacturers (“OEMs”) and strategic partners.</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January 1, 2018, the Company adopted Accounting Standards Codification (“ASC”) No. 606, “Revenue Recognition” (“ASC 606” or “Topic 606”) and applied the modified retrospective method to all contracts that were not completed as of January 1, 2018. The most significant impacts upon adoption of Topic 606 were how the Company accounts for revenue related to its Envoy™ communications device and related Enphase Enlighten Software™, or Enlighten, service and the timing of when certain sales incentives are recognized. The full consideration for these products represents a single performance obligation and is deferred and recognized over the estimated service period.</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184" w:lineRule="exact"/>
        <w:rPr>
          <w:sz w:val="20"/>
          <w:szCs w:val="20"/>
          <w:color w:val="auto"/>
        </w:rPr>
      </w:pPr>
    </w:p>
    <w:p>
      <w:pPr>
        <w:ind w:left="820" w:right="40" w:hanging="326"/>
        <w:spacing w:after="0" w:line="257" w:lineRule="auto"/>
        <w:tabs>
          <w:tab w:leader="none" w:pos="82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at a Point in Time. </w:t>
      </w:r>
      <w:r>
        <w:rPr>
          <w:rFonts w:ascii="Arial" w:cs="Arial" w:eastAsia="Arial" w:hAnsi="Arial"/>
          <w:sz w:val="18"/>
          <w:szCs w:val="18"/>
          <w:color w:val="auto"/>
        </w:rPr>
        <w:t>The Company sells its products to customers in accordance with the terms of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contracts. The Company generates revenues from sales of its solutions,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the Company recognizes revenue for these products when the Company transfers control of the product to the customer, which is generally upon shipment.</w:t>
      </w:r>
    </w:p>
    <w:p>
      <w:pPr>
        <w:spacing w:after="0" w:line="200" w:lineRule="exact"/>
        <w:rPr>
          <w:rFonts w:ascii="Arial" w:cs="Arial" w:eastAsia="Arial" w:hAnsi="Arial"/>
          <w:sz w:val="18"/>
          <w:szCs w:val="18"/>
          <w:i w:val="1"/>
          <w:iCs w:val="1"/>
          <w:color w:val="auto"/>
        </w:rPr>
      </w:pPr>
    </w:p>
    <w:p>
      <w:pPr>
        <w:spacing w:after="0" w:line="297" w:lineRule="exact"/>
        <w:rPr>
          <w:rFonts w:ascii="Arial" w:cs="Arial" w:eastAsia="Arial" w:hAnsi="Arial"/>
          <w:sz w:val="18"/>
          <w:szCs w:val="18"/>
          <w:i w:val="1"/>
          <w:iCs w:val="1"/>
          <w:color w:val="auto"/>
        </w:rPr>
      </w:pPr>
    </w:p>
    <w:p>
      <w:pPr>
        <w:ind w:left="5460"/>
        <w:spacing w:after="0"/>
        <w:rPr>
          <w:rFonts w:ascii="Arial" w:cs="Arial" w:eastAsia="Arial" w:hAnsi="Arial"/>
          <w:sz w:val="18"/>
          <w:szCs w:val="18"/>
          <w:i w:val="1"/>
          <w:iCs w:val="1"/>
          <w:color w:val="auto"/>
        </w:rPr>
      </w:pPr>
      <w:r>
        <w:rPr>
          <w:rFonts w:ascii="Arial" w:cs="Arial" w:eastAsia="Arial" w:hAnsi="Arial"/>
          <w:sz w:val="18"/>
          <w:szCs w:val="18"/>
          <w:color w:val="auto"/>
        </w:rPr>
        <w:t>– 61 –</w:t>
      </w:r>
    </w:p>
    <w:p>
      <w:pPr>
        <w:sectPr>
          <w:pgSz w:w="11900" w:h="16838" w:orient="portrait"/>
          <w:cols w:equalWidth="0" w:num="1">
            <w:col w:w="11380"/>
          </w:cols>
          <w:pgMar w:left="240" w:top="283" w:right="279" w:bottom="1440" w:gutter="0" w:footer="0" w:header="0"/>
        </w:sectPr>
      </w:pPr>
    </w:p>
    <w:bookmarkStart w:id="61" w:name="page62"/>
    <w:bookmarkEnd w:id="6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20" w:right="220" w:hanging="326"/>
        <w:spacing w:after="0" w:line="261" w:lineRule="auto"/>
        <w:tabs>
          <w:tab w:leader="none" w:pos="82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Over Time. </w:t>
      </w:r>
      <w:r>
        <w:rPr>
          <w:rFonts w:ascii="Arial" w:cs="Arial" w:eastAsia="Arial" w:hAnsi="Arial"/>
          <w:sz w:val="18"/>
          <w:szCs w:val="18"/>
          <w:color w:val="auto"/>
        </w:rPr>
        <w:t>The sale of an Envoy communications gateway includes the Company’s Enlighten cloud-based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service. The full consideration for these products represents a single performance obligation and is deferred at the sale date and recognized over the estimated service period. The Company also sells certain communication accessories that are delivered over time. The revenue from these products is recognized over the related service period.</w:t>
      </w:r>
    </w:p>
    <w:p>
      <w:pPr>
        <w:spacing w:after="0" w:line="198"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Company previously sold its Envoy communications device to certain customers under a long-term financing arrangement. Under this financing arrangement, the Company nets the unbilled receivables against deferred revenue.</w:t>
      </w:r>
    </w:p>
    <w:p>
      <w:pPr>
        <w:spacing w:after="0" w:line="196"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The Company records certain contra revenue promotions as variable consideration and recognizes these promotions at the time the related revenue is recorded.</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records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“Revenue Recognition,” for additional information related to revenue recognition.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includes the following in cost of revenues: product costs, warranty, manufacturing personnel and logistics costs, freight costs, inventory write-downs, hosting services costs related to the Company’s Enlighten service offering, and depreciation and amortization of manufacturing test equipment. A description of principal activities from which the Company recognizes cost of revenue is as follows.</w:t>
      </w:r>
    </w:p>
    <w:p>
      <w:pPr>
        <w:spacing w:after="0" w:line="184" w:lineRule="exact"/>
        <w:rPr>
          <w:sz w:val="20"/>
          <w:szCs w:val="20"/>
          <w:color w:val="auto"/>
        </w:rPr>
      </w:pPr>
    </w:p>
    <w:p>
      <w:pPr>
        <w:ind w:left="820" w:right="20" w:hanging="326"/>
        <w:spacing w:after="0" w:line="282"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Products Delivered at a Point in Time. </w:t>
      </w:r>
      <w:r>
        <w:rPr>
          <w:rFonts w:ascii="Arial" w:cs="Arial" w:eastAsia="Arial" w:hAnsi="Arial"/>
          <w:sz w:val="18"/>
          <w:szCs w:val="18"/>
          <w:color w:val="auto"/>
        </w:rPr>
        <w:t>Cost of revenue from these products is recognized when the Company transfers control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to the customer, which is generally upon shipment.</w:t>
      </w:r>
    </w:p>
    <w:p>
      <w:pPr>
        <w:spacing w:after="0" w:line="161" w:lineRule="exact"/>
        <w:rPr>
          <w:rFonts w:ascii="Arial" w:cs="Arial" w:eastAsia="Arial" w:hAnsi="Arial"/>
          <w:sz w:val="18"/>
          <w:szCs w:val="18"/>
          <w:color w:val="auto"/>
        </w:rPr>
      </w:pPr>
    </w:p>
    <w:p>
      <w:pPr>
        <w:ind w:left="820" w:hanging="326"/>
        <w:spacing w:after="0"/>
        <w:tabs>
          <w:tab w:leader="none" w:pos="82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Over Time. </w:t>
      </w:r>
      <w:r>
        <w:rPr>
          <w:rFonts w:ascii="Arial" w:cs="Arial" w:eastAsia="Arial" w:hAnsi="Arial"/>
          <w:sz w:val="18"/>
          <w:szCs w:val="18"/>
          <w:color w:val="auto"/>
        </w:rPr>
        <w:t>Cost of revenue from these products is recognized over the related service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Company considers all highly liquid investments, such as certificates of deposit and money market instruments with maturities of three months or less at the time of acquisition to be cash equivalents. For all periods presented, its cash balances consist of amounts held in non-interest-bearing deposits and money market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accrued liabilities approximate fair value because of the short maturity of those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 and Contract Assets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380"/>
          </w:cols>
          <w:pgMar w:left="240" w:top="229" w:right="279" w:bottom="1440" w:gutter="0" w:footer="0" w:header="0"/>
        </w:sectPr>
      </w:pPr>
    </w:p>
    <w:bookmarkStart w:id="62" w:name="page63"/>
    <w:bookmarkEnd w:id="6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4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days past due, collection history and the financial health of customers. The following table sets forth activities in the allowance for doubtful accounts for the periods indicated (in thousands):</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6"/>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1,808</w:t>
            </w:r>
          </w:p>
        </w:tc>
      </w:tr>
      <w:tr>
        <w:trPr>
          <w:trHeight w:val="260"/>
        </w:trPr>
        <w:tc>
          <w:tcPr>
            <w:tcW w:w="6700" w:type="dxa"/>
            <w:vAlign w:val="bottom"/>
          </w:tcPr>
          <w:p>
            <w:pPr>
              <w:ind w:left="280"/>
              <w:spacing w:after="0"/>
              <w:rPr>
                <w:sz w:val="20"/>
                <w:szCs w:val="20"/>
                <w:color w:val="auto"/>
              </w:rPr>
            </w:pPr>
            <w:r>
              <w:rPr>
                <w:rFonts w:ascii="Arial" w:cs="Arial" w:eastAsia="Arial" w:hAnsi="Arial"/>
                <w:sz w:val="16"/>
                <w:szCs w:val="16"/>
                <w:color w:val="auto"/>
              </w:rPr>
              <w:t>Net charges to expenses</w:t>
            </w: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3,097</w:t>
            </w:r>
          </w:p>
        </w:tc>
      </w:tr>
      <w:tr>
        <w:trPr>
          <w:trHeight w:val="273"/>
        </w:trPr>
        <w:tc>
          <w:tcPr>
            <w:tcW w:w="6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Write-offs, net of recoveries</w:t>
            </w: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r>
      <w:tr>
        <w:trPr>
          <w:trHeight w:val="240"/>
        </w:trPr>
        <w:tc>
          <w:tcPr>
            <w:tcW w:w="670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2,378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2,921</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8"/>
          <w:szCs w:val="18"/>
          <w:i w:val="1"/>
          <w:iCs w:val="1"/>
          <w:color w:val="auto"/>
        </w:rPr>
        <w:t>i.e.</w:t>
      </w:r>
      <w:r>
        <w:rPr>
          <w:rFonts w:ascii="Arial" w:cs="Arial" w:eastAsia="Arial" w:hAnsi="Arial"/>
          <w:sz w:val="18"/>
          <w:szCs w:val="18"/>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47"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are computed using the straight-line method over the estimated useful lives of the assets, which range from 3 to 10 years. Leasehold improvements are amortized over the shorter of the lease term or expected useful life of the improvements.</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Internally used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20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Property, plant and equipment, including capitalized software costs, are reviewed for impairment whenever events or changes in circumstances indicate that the carrying amount of an asset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asset’s carrying value over its fair value. Fair value is generally determined using a discounted cash flow analysis. The Company recorded asset impairment charges for specific assets that were no longer in use of approximately $1.6 million, $0.8 million and $2.6 million for the years ended 2018, 2017 and 2016, respectively. The fair value of the remaining assets is in excess of the carrying value.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229" w:right="239" w:bottom="1440" w:gutter="0" w:footer="0" w:header="0"/>
        </w:sectPr>
      </w:pPr>
    </w:p>
    <w:bookmarkStart w:id="63" w:name="page64"/>
    <w:bookmarkEnd w:id="6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Goodwill results from the purchase consideration paid in excess of the fair value of the net assets recorded in connection with a business acquisition.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Once goodwill has been assigned to a reporting unit, it is no longer associated with a particular acquisition; therefore, all of the activities within a reporting unit, whether acquired or organically grown, are available to support the goodwill value. Based on management’s goodwill impairment tests, there was no impairment of goodwill in any of the years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Intangible assets include patents and other purchased intangible assets. Intangible assets with finite live are amortized on a straight-line basis, with estimated useful lives ranging from 3 to 9 years. Indefinite-lived intangible assets are tested for impairment annually and are also tested for impairment between annual tests if an event occurs or circumstances change that would indicate that the carrying amount may be impaired. Intangible assets with finite live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was no impairment of intangible assets in any of the years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Company’s warranty accrual provides for the replacement of microinverter units that fail during the product’s warranty term (15 years for first and second generation microinverters and up to 25 years for third and fourth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failure rate); (2) the number of failed units expected to result in warranty claims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claim rate); and (3) the per unit cost of replacement units, including outbound shipping and limited labor costs, expected to be incurred to replace failed units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replacement cost).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229" w:right="239" w:bottom="1440" w:gutter="0" w:footer="0" w:header="0"/>
        </w:sectPr>
      </w:pPr>
    </w:p>
    <w:bookmarkStart w:id="64" w:name="page65"/>
    <w:bookmarkEnd w:id="6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b w:val="1"/>
          <w:bCs w:val="1"/>
          <w:i w:val="1"/>
          <w:iCs w:val="1"/>
          <w:color w:val="auto"/>
        </w:rPr>
        <w:t xml:space="preserve">Estimated Failure Rates — </w:t>
      </w:r>
      <w:r>
        <w:rPr>
          <w:rFonts w:ascii="Arial" w:cs="Arial" w:eastAsia="Arial" w:hAnsi="Arial"/>
          <w:sz w:val="18"/>
          <w:szCs w:val="18"/>
          <w:color w:val="auto"/>
        </w:rPr>
        <w:t>The Company’s Quality and Reliability department has primary responsibility to determine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 rates for each generation of microinverter. To establish initial failure rate estimates for each generation of microinverter, the Company’s quality engineers use a combination of industry standard Mean Time Between Failure (“MTBF”)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operating environments, the Company continues to monitor product performance through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19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Estimated Claim Rates — </w:t>
      </w:r>
      <w:r>
        <w:rPr>
          <w:rFonts w:ascii="Arial" w:cs="Arial" w:eastAsia="Arial" w:hAnsi="Arial"/>
          <w:sz w:val="18"/>
          <w:szCs w:val="18"/>
          <w:color w:val="auto"/>
        </w:rPr>
        <w:t>Warranty claim rate estimates are based upon assumptions with respect to expected customer behavior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warranty period. As the vast majority of the Company’s microinverters have been sold to end users for residential applications, the Company believes that warranty claim rates will be affected by changes over time in residential home ownership because the Company expects that subsequent homeowners are less likely to file claims than the homeowners who originally purchase the microinverters.</w:t>
      </w:r>
    </w:p>
    <w:p>
      <w:pPr>
        <w:spacing w:after="0" w:line="17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Estimated Replacement Costs — </w:t>
      </w:r>
      <w:r>
        <w:rPr>
          <w:rFonts w:ascii="Arial" w:cs="Arial" w:eastAsia="Arial" w:hAnsi="Arial"/>
          <w:sz w:val="18"/>
          <w:szCs w:val="18"/>
          <w:color w:val="auto"/>
        </w:rPr>
        <w:t>Three factors are considered in the Company’s analysis of estimated replacement cost: (1)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cost of replacement microinverters; (2) the estimated cost to ship 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 Company’s estimated replacement cost is an analysis of the number of fixed-dollar labor reimbursements expected to be claimed by third party installers over the limited offering period.</w:t>
      </w:r>
    </w:p>
    <w:p>
      <w:pPr>
        <w:spacing w:after="0" w:line="208"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addition to the key estimates noted above, the Company also compares actual warranty results to expected results and evaluates any significant differences. Management may make additional adjustments to the warranty provision based on performance trends or other qualitative factors. If actual failure rates, claim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ASC 825, “Financial Instruments” (also referred to as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380"/>
          </w:cols>
          <w:pgMar w:left="240" w:top="229" w:right="279" w:bottom="1440" w:gutter="0" w:footer="0" w:header="0"/>
        </w:sectPr>
      </w:pPr>
    </w:p>
    <w:bookmarkStart w:id="65" w:name="page66"/>
    <w:bookmarkEnd w:id="6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See Note 9. “Fair Value Measurements,” for additional information.</w:t>
      </w:r>
    </w:p>
    <w:p>
      <w:pPr>
        <w:spacing w:after="0" w:line="20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for Other Products</w:t>
      </w:r>
    </w:p>
    <w:p>
      <w:pPr>
        <w:spacing w:after="0" w:line="247" w:lineRule="exact"/>
        <w:rPr>
          <w:sz w:val="20"/>
          <w:szCs w:val="20"/>
          <w:color w:val="auto"/>
        </w:rPr>
      </w:pPr>
    </w:p>
    <w:p>
      <w:pPr>
        <w:jc w:val="both"/>
        <w:ind w:right="40" w:firstLine="486"/>
        <w:spacing w:after="0" w:line="216" w:lineRule="exact"/>
        <w:rPr>
          <w:sz w:val="20"/>
          <w:szCs w:val="20"/>
          <w:color w:val="auto"/>
        </w:rPr>
      </w:pPr>
      <w:r>
        <w:rPr>
          <w:rFonts w:ascii="Arial" w:cs="Arial" w:eastAsia="Arial" w:hAnsi="Arial"/>
          <w:sz w:val="18"/>
          <w:szCs w:val="18"/>
          <w:color w:val="auto"/>
        </w:rPr>
        <w:t>The Company offers a 5</w:t>
      </w:r>
      <w:r>
        <w:rPr>
          <w:rFonts w:ascii="MS PGothic" w:cs="MS PGothic" w:eastAsia="MS PGothic" w:hAnsi="MS PGothic"/>
          <w:sz w:val="18"/>
          <w:szCs w:val="18"/>
          <w:color w:val="auto"/>
        </w:rPr>
        <w:t>‑</w:t>
      </w:r>
      <w:r>
        <w:rPr>
          <w:rFonts w:ascii="Arial" w:cs="Arial" w:eastAsia="Arial" w:hAnsi="Arial"/>
          <w:sz w:val="18"/>
          <w:szCs w:val="18"/>
          <w:color w:val="auto"/>
        </w:rPr>
        <w:t>year warranty for its Envoy communications gateway and a 10</w:t>
      </w:r>
      <w:r>
        <w:rPr>
          <w:rFonts w:ascii="MS PGothic" w:cs="MS PGothic" w:eastAsia="MS PGothic" w:hAnsi="MS PGothic"/>
          <w:sz w:val="18"/>
          <w:szCs w:val="18"/>
          <w:color w:val="auto"/>
        </w:rPr>
        <w:t>‑</w:t>
      </w:r>
      <w:r>
        <w:rPr>
          <w:rFonts w:ascii="Arial" w:cs="Arial" w:eastAsia="Arial" w:hAnsi="Arial"/>
          <w:sz w:val="18"/>
          <w:szCs w:val="18"/>
          <w:color w:val="auto"/>
        </w:rPr>
        <w:t>year warranty on its AC Battery storage solution. The warranties provide the Company with the right, but not the obligation, to assign its warranty obligations to a third-party. As such, warranties for Envoy and AC Battery storage solution products are accounted for under the fair value method of accounting.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firstLine="486"/>
        <w:spacing w:after="0" w:line="216" w:lineRule="exact"/>
        <w:rPr>
          <w:sz w:val="20"/>
          <w:szCs w:val="20"/>
          <w:color w:val="auto"/>
        </w:rPr>
      </w:pPr>
      <w:r>
        <w:rPr>
          <w:rFonts w:ascii="Arial" w:cs="Arial" w:eastAsia="Arial" w:hAnsi="Arial"/>
          <w:sz w:val="18"/>
          <w:szCs w:val="18"/>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The fair value of non-market</w:t>
      </w:r>
      <w:r>
        <w:rPr>
          <w:rFonts w:ascii="MS PGothic" w:cs="MS PGothic" w:eastAsia="MS PGothic" w:hAnsi="MS PGothic"/>
          <w:sz w:val="18"/>
          <w:szCs w:val="18"/>
          <w:color w:val="auto"/>
        </w:rPr>
        <w:t>‑</w:t>
      </w:r>
      <w:r>
        <w:rPr>
          <w:rFonts w:ascii="Arial" w:cs="Arial" w:eastAsia="Arial" w:hAnsi="Arial"/>
          <w:sz w:val="18"/>
          <w:szCs w:val="18"/>
          <w:color w:val="auto"/>
        </w:rPr>
        <w:t>based performance stock units granted is determined based on the date of grant or when achievement of performance is probable. The fair value of market</w:t>
      </w:r>
      <w:r>
        <w:rPr>
          <w:rFonts w:ascii="MS PGothic" w:cs="MS PGothic" w:eastAsia="MS PGothic" w:hAnsi="MS PGothic"/>
          <w:sz w:val="18"/>
          <w:szCs w:val="18"/>
          <w:color w:val="auto"/>
        </w:rPr>
        <w:t>‑</w:t>
      </w:r>
      <w:r>
        <w:rPr>
          <w:rFonts w:ascii="Arial" w:cs="Arial" w:eastAsia="Arial" w:hAnsi="Arial"/>
          <w:sz w:val="18"/>
          <w:szCs w:val="18"/>
          <w:color w:val="auto"/>
        </w:rPr>
        <w:t>based performance stock units granted is determined using a Monte</w:t>
      </w:r>
      <w:r>
        <w:rPr>
          <w:rFonts w:ascii="MS PGothic" w:cs="MS PGothic" w:eastAsia="MS PGothic" w:hAnsi="MS PGothic"/>
          <w:sz w:val="18"/>
          <w:szCs w:val="18"/>
          <w:color w:val="auto"/>
        </w:rPr>
        <w:t>‑</w:t>
      </w:r>
      <w:r>
        <w:rPr>
          <w:rFonts w:ascii="Arial" w:cs="Arial" w:eastAsia="Arial" w:hAnsi="Arial"/>
          <w:sz w:val="18"/>
          <w:szCs w:val="18"/>
          <w:color w:val="auto"/>
        </w:rPr>
        <w:t>Carlo model based on the date of grant or when achievement of performance is probable.</w:t>
      </w:r>
    </w:p>
    <w:p>
      <w:pPr>
        <w:spacing w:after="0" w:line="22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Stock-based compensation for stock options and restricted stock units (“RSUs”) is recognized on a straight-line basis over the requisite service period. Stock-based compensation for performance stock units (“PSUs”) without market conditions is recognized when the performance condition is probable of being achieved, and then on a graded basis over the requisite service period. Stock-based compensation for PSUs with market conditions is recognized on a straight-line basis over the requisite service period. Additionally, the Company estimates its forfeiture rate annually based on historical experience and revise the estimates of forfeiture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47"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gains and losses that are recorded as an element of stockholders’ equity but are excluded from net income (loss). The Company’s other comprehensive income (loss) consists of foreign currency translation adjustments for all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66 –</w:t>
      </w:r>
    </w:p>
    <w:p>
      <w:pPr>
        <w:sectPr>
          <w:pgSz w:w="11900" w:h="16838" w:orient="portrait"/>
          <w:cols w:equalWidth="0" w:num="1">
            <w:col w:w="11420"/>
          </w:cols>
          <w:pgMar w:left="240" w:top="229" w:right="239" w:bottom="1440" w:gutter="0" w:footer="0" w:header="0"/>
          <w:type w:val="continuous"/>
        </w:sectPr>
      </w:pPr>
    </w:p>
    <w:bookmarkStart w:id="66" w:name="page67"/>
    <w:bookmarkEnd w:id="6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May 2014, the Financial Accounting Standards Board (“FASB”) issued Accounting Standards Update No. (“ASU”) 2014-09, “Revenue from Contracts with Customers,” amending revenue recognition guidance and requiring more detailed disclosures to enable users of financial statements to understand the nature, amount, timing, and uncertainty of revenue and cash flows arising from contracts with customers. The amended guidance, herein referred to as ASC 606 or Topic 606. The Company has adopted Topic 606 effective January 1, 2018, using the modified retrospective transition method. The Company recognized the cumulative effect of applying the new revenue standard as an adjustment to the opening balance of retained earnings on January 1, 2018. The comparative information has not been restated and continues to be reported under the accounting standards in effect for the period presented. See Note 2. “Summary of Significant Accounting Policies,” and Note 3. “Revenue Recognition,” for additional accounting policy and transition disclosures.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The Company’ adoption of ASU 2016-01 in the first quarter of 2018 did not have a material impact on the consolidated financial statements.</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provides amendments that address eight specific cash flow classification issues for which there exists diversity in practice: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Company’s retrospective adoption of ASU 2016-15 in the first quarter of 2018 did not have a material effect on the Company’s consolidated financial statements.</w:t>
      </w:r>
    </w:p>
    <w:p>
      <w:pPr>
        <w:spacing w:after="0" w:line="20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November 2016, the FASB issued ASU 2016-18, “Statement of Cash Flows,” which requires companies to include amounts generally described as restricted cash and restricted cash equivalents in cash and cash equivalents when reconciling beginning-of-period and end-of-period total amounts shown on the statement of cash flows. The Company’s retrospective adoption of ASU 2016-18 in the first quarter of 2018 did not have a material impact on the consolidated financial statements.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May 2017, the FASB issued ASU 2017-09, “Compensation - Stock Compensation.” ASU 2017-09 was issued to provide clarity and reduce both 1) diversity in practice and 2) cost and complexity when applying the guidance in Topic 718 to a change in the terms or conditions of a share-based payment award. ASU 2017-09 provides guidance about which changes to the terms or conditions of a share-based payment award require an entity to apply modification accounting under Topic 718. The standard, which was adopted in the first quarter of 2018, did not have a material impact on the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229" w:right="259" w:bottom="1440" w:gutter="0" w:footer="0" w:header="0"/>
        </w:sectPr>
      </w:pPr>
    </w:p>
    <w:bookmarkStart w:id="67" w:name="page68"/>
    <w:bookmarkEnd w:id="6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February 2016, the FASB issued ASU 2016-02, “Leases” (“ASU 2016-02”). The guidance will require lessees to recognize all leases, with certain exceptions,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 The guidance will be effective for the Company beginning January 1, 2019 and early adoption is permitted. The Company will adopt ASU 2016-02 on January 1, 2019 and intends to elect the available practical expedients upon adoption. Upon adoption, the Company expects the consolidated balance sheet to include a right of use asset and a corresponding lease liability related to substantially all of the Company’s lease arrangements. We are currently evaluating the impact ASU 2016-02 will have on the Company’s consolidated financial statements and related disclosures.</w:t>
      </w:r>
    </w:p>
    <w:p>
      <w:pPr>
        <w:spacing w:after="0" w:line="206"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In June 2018, the FASB issued ASU 2018-07, “Compensation - Stock Compensation: Improvements to Non-employee Share-Based Payment Accounting.” ASU 2018-07 was issued to provide to provide guidance on share-based payments granted to non-employees in exchange for goods or services used or consumed in an entity’s own operations and supersedes the guidance in ASC 505-50, “Equity-Based Payments to Non-Employees.” ASU 2018-07 aligns much of the guidance on measuring and classifying non-employee awards with that of awards to employees, specifically 1) equity-classified non-employee share-based payment awards are no longer measured at the earlier of the date at which a commitment for performance; 2) aligns accounting for non-employee share-based payment awards with performance conditions with accounting for employee share-based payment awards under Topic 718 by requiring entities to consider the probability of satisfying performance conditions; 3) eliminates the reassessment of classification upon vesting and instead, requires the non-employee share-based payment awards to continue to be subject to Topic 718 unless they are modified after the good has been delivered, the service has been rendered, or any other conditions necessary to earn the right to benefit from the instruments have been satisfied, and the non-employee is no longer providing goods or services, consistent with the treatment of employee awards; and 4) allows entities to make an award-by-award election to use either the expected term (consistent with employee share-based payment awards) or the contractual term for non-employee awards. The guidance is effective for annual periods beginning after December 15, 2018, and interim periods within those annual periods. Early adoption is permitted, including in an interim period for which financial statements have not been issued, but not before an entity adopts</w:t>
      </w:r>
    </w:p>
    <w:p>
      <w:pPr>
        <w:spacing w:after="0" w:line="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ASC 606. The Company adopted ASU 2018-07 on January 1, 2019 on a modified retrospective basis and does not expect the adoption of ASU 2018-07 to have a material impact to accumulated deficit upon adoption.</w:t>
      </w:r>
    </w:p>
    <w:p>
      <w:pPr>
        <w:spacing w:after="0" w:line="196" w:lineRule="exact"/>
        <w:rPr>
          <w:sz w:val="20"/>
          <w:szCs w:val="20"/>
          <w:color w:val="auto"/>
        </w:rPr>
      </w:pPr>
    </w:p>
    <w:p>
      <w:pPr>
        <w:ind w:right="320" w:firstLine="486"/>
        <w:spacing w:after="0" w:line="251"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The Company is currently evaluating the impact this update will have on its consolidated financial statements.</w:t>
      </w:r>
    </w:p>
    <w:p>
      <w:pPr>
        <w:spacing w:after="0" w:line="2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REVENUE RECOGNITION</w:t>
      </w:r>
    </w:p>
    <w:p>
      <w:pPr>
        <w:spacing w:after="0" w:line="247"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On January 1, 2018, the Company adopted Topic 606 and applied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in the prior period. The Company recorded a net reduction to opening equity of $38.9 million on January 1, 2018 for the cumulative effect of adopting Topic 606. The impact to net revenues from the adoption of Topic 606 for the year ended December 31, 2018 was a net increase of $2.3 million.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29" w:right="239" w:bottom="1440" w:gutter="0" w:footer="0" w:header="0"/>
        </w:sectPr>
      </w:pPr>
    </w:p>
    <w:bookmarkStart w:id="68" w:name="page69"/>
    <w:bookmarkEnd w:id="6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as a result of adopting Topic 606 and nature of goods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most significant impacts upon adoption of Topic 606 were how the Company accounts for revenue related to its Envoy communications device and related Enlighten service and the timing of when certain sales incentives are recognized. Under ASC 605, “Revenue Recognition,” the Company’s Envoy communications device and Enlighten service were considered two units of accounting, and the portion of the consideration related to the hardware was recognized at the time of sale with the remaining consideration deferred and recognized over the estimated service period. Under ASC 606 the full consideration for these products represents a single performance obligation and is deferred and recognized over the estimated service period. This treatment resulted in a gross increase to deferred revenue of $77.5 million, an increase in deferred costs of $43.4 million and a net increase in accumulated deficit of $34.1 million upon adoption of ASC 606.</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previously sold its Envoy communications device to certain customers under a long-term financing arrangement. Under ASC 605, this arrangement resulted in the recording of both deferred revenue and unbilled receivables on the Company’s consolidated balance sheets. The Company’s opening entries related to ASC 606 included the netting of approximately $6.4 million of unbilled receivables against deferred revenue. Thus, the $77.5 million increase to deferred revenue noted above was partially offset by a $6.4 million reclassification of unbilled receivables to deferred revenue.</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Under ASC 605 the Company recorded certain contra revenue promotions at the later of the date revenue was recognized or the date at which the promotional offer was extended. Under ASC 606 all such contra revenue programs are treated as variable consideration and recognized at the time the related revenue is recorded. This change in timing resulted in an increase in accrued liabilities of approximately $5.6 million and an increase to accumulated deficit of the same amount upon adoption of ASC 606. This change in timing is not expected to have a material impact in subsequent periods.</w:t>
      </w:r>
    </w:p>
    <w:p>
      <w:pPr>
        <w:spacing w:after="0" w:line="20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Topic 606 requires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 which is 6.5 years. This treatment resulted in an increase in deferred costs of approximately $0.8 million and a decrease in accumulated deficit of the same amount upon adoption of ASC 606.</w:t>
      </w:r>
    </w:p>
    <w:p>
      <w:pPr>
        <w:spacing w:after="0" w:line="20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184"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i w:val="1"/>
          <w:iCs w:val="1"/>
          <w:color w:val="auto"/>
        </w:rPr>
        <w:t xml:space="preserve">Products Delivered at a Point in Time. </w:t>
      </w:r>
      <w:r>
        <w:rPr>
          <w:rFonts w:ascii="Arial" w:cs="Arial" w:eastAsia="Arial" w:hAnsi="Arial"/>
          <w:sz w:val="18"/>
          <w:szCs w:val="18"/>
          <w:color w:val="auto"/>
        </w:rPr>
        <w:t>The Company sells its products to customers in accordance with the terms of the related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The Company generates revenues from sales of its solutions,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in accordance with Topic 606, the Company recognizes revenue for these products when the Company transfers control of the product to the customer, which is generally upon shipment.</w:t>
      </w:r>
    </w:p>
    <w:p>
      <w:pPr>
        <w:spacing w:after="0" w:line="183" w:lineRule="exact"/>
        <w:rPr>
          <w:sz w:val="20"/>
          <w:szCs w:val="20"/>
          <w:color w:val="auto"/>
        </w:rPr>
      </w:pPr>
    </w:p>
    <w:p>
      <w:pPr>
        <w:ind w:left="500" w:right="140"/>
        <w:spacing w:after="0" w:line="266" w:lineRule="auto"/>
        <w:rPr>
          <w:sz w:val="20"/>
          <w:szCs w:val="20"/>
          <w:color w:val="auto"/>
        </w:rPr>
      </w:pPr>
      <w:r>
        <w:rPr>
          <w:rFonts w:ascii="Arial" w:cs="Arial" w:eastAsia="Arial" w:hAnsi="Arial"/>
          <w:sz w:val="18"/>
          <w:szCs w:val="18"/>
          <w:i w:val="1"/>
          <w:iCs w:val="1"/>
          <w:color w:val="auto"/>
        </w:rPr>
        <w:t xml:space="preserve">Products Delivered Over Time. </w:t>
      </w:r>
      <w:r>
        <w:rPr>
          <w:rFonts w:ascii="Arial" w:cs="Arial" w:eastAsia="Arial" w:hAnsi="Arial"/>
          <w:sz w:val="18"/>
          <w:szCs w:val="18"/>
          <w:color w:val="auto"/>
        </w:rPr>
        <w:t>The sale of an Envoy communications gateway includes the Company’s Enlighten cloud-based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service. Under Topic 606 the full consideration for these products represents a single performance obligation and is deferred at the sale date and recognized ratably over the estimated service period, which is 6.5 years.</w:t>
      </w:r>
    </w:p>
    <w:p>
      <w:pPr>
        <w:spacing w:after="0" w:line="19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Company also sells certain communication accessories that are delivered over time. The revenue from these products is recognized over the related service period, which is typically 5 or 12 years.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00"/>
          </w:cols>
          <w:pgMar w:left="240" w:top="229" w:right="259" w:bottom="1440" w:gutter="0" w:footer="0" w:header="0"/>
        </w:sectPr>
      </w:pPr>
    </w:p>
    <w:bookmarkStart w:id="69" w:name="page70"/>
    <w:bookmarkEnd w:id="6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has one business activity, which is the design, manufacture and sale of solutions for the solar photovoltaic (“PV”) industry. The following table provides information about disaggregated revenue by primary geographical market and timing of revenue recognition for the Company’s single product line (in thousands):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Primary geographical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294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294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International</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29475"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20574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2947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Products delivered at a point in time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Products and services delivered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2"/>
        <w:spacing w:after="0"/>
        <w:rPr>
          <w:sz w:val="20"/>
          <w:szCs w:val="20"/>
          <w:color w:val="auto"/>
        </w:rPr>
      </w:pPr>
      <w:r>
        <w:rPr>
          <w:rFonts w:ascii="Arial" w:cs="Arial" w:eastAsia="Arial" w:hAnsi="Arial"/>
          <w:sz w:val="14"/>
          <w:szCs w:val="14"/>
          <w:b w:val="1"/>
          <w:bCs w:val="1"/>
          <w:color w:val="auto"/>
        </w:rPr>
        <w:t>December 31, 2018</w:t>
      </w:r>
    </w:p>
    <w:p>
      <w:pPr>
        <w:spacing w:after="0" w:line="354" w:lineRule="exact"/>
        <w:rPr>
          <w:sz w:val="20"/>
          <w:szCs w:val="20"/>
          <w:color w:val="auto"/>
        </w:rPr>
      </w:pPr>
    </w:p>
    <w:p>
      <w:pPr>
        <w:ind w:left="752" w:hanging="752"/>
        <w:spacing w:after="0"/>
        <w:tabs>
          <w:tab w:leader="none" w:pos="7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219,600</w:t>
      </w:r>
    </w:p>
    <w:p>
      <w:pPr>
        <w:spacing w:after="0" w:line="59" w:lineRule="exact"/>
        <w:rPr>
          <w:rFonts w:ascii="Arial" w:cs="Arial" w:eastAsia="Arial" w:hAnsi="Arial"/>
          <w:sz w:val="16"/>
          <w:szCs w:val="16"/>
          <w:color w:val="auto"/>
        </w:rPr>
      </w:pPr>
    </w:p>
    <w:p>
      <w:pPr>
        <w:ind w:left="832"/>
        <w:spacing w:after="0"/>
        <w:rPr>
          <w:rFonts w:ascii="Arial" w:cs="Arial" w:eastAsia="Arial" w:hAnsi="Arial"/>
          <w:sz w:val="16"/>
          <w:szCs w:val="16"/>
          <w:color w:val="auto"/>
        </w:rPr>
      </w:pPr>
      <w:r>
        <w:rPr>
          <w:rFonts w:ascii="Arial" w:cs="Arial" w:eastAsia="Arial" w:hAnsi="Arial"/>
          <w:sz w:val="16"/>
          <w:szCs w:val="16"/>
          <w:color w:val="auto"/>
        </w:rPr>
        <w:t>96,559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3" w:lineRule="exact"/>
        <w:rPr>
          <w:sz w:val="20"/>
          <w:szCs w:val="20"/>
          <w:color w:val="auto"/>
        </w:rPr>
      </w:pPr>
    </w:p>
    <w:p>
      <w:pPr>
        <w:ind w:left="752" w:hanging="752"/>
        <w:spacing w:after="0"/>
        <w:tabs>
          <w:tab w:leader="none" w:pos="7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316,159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52" w:hanging="752"/>
        <w:spacing w:after="0"/>
        <w:tabs>
          <w:tab w:leader="none" w:pos="7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270,778</w:t>
      </w:r>
    </w:p>
    <w:p>
      <w:pPr>
        <w:spacing w:after="0" w:line="59" w:lineRule="exact"/>
        <w:rPr>
          <w:rFonts w:ascii="Arial" w:cs="Arial" w:eastAsia="Arial" w:hAnsi="Arial"/>
          <w:sz w:val="16"/>
          <w:szCs w:val="16"/>
          <w:color w:val="auto"/>
        </w:rPr>
      </w:pPr>
    </w:p>
    <w:p>
      <w:pPr>
        <w:ind w:left="832"/>
        <w:spacing w:after="0"/>
        <w:rPr>
          <w:rFonts w:ascii="Arial" w:cs="Arial" w:eastAsia="Arial" w:hAnsi="Arial"/>
          <w:sz w:val="16"/>
          <w:szCs w:val="16"/>
          <w:color w:val="auto"/>
        </w:rPr>
      </w:pPr>
      <w:r>
        <w:rPr>
          <w:rFonts w:ascii="Arial" w:cs="Arial" w:eastAsia="Arial" w:hAnsi="Arial"/>
          <w:sz w:val="16"/>
          <w:szCs w:val="16"/>
          <w:color w:val="auto"/>
        </w:rPr>
        <w:t>45,381</w:t>
      </w:r>
    </w:p>
    <w:p>
      <w:pPr>
        <w:spacing w:after="0" w:line="73" w:lineRule="exact"/>
        <w:rPr>
          <w:sz w:val="20"/>
          <w:szCs w:val="20"/>
          <w:color w:val="auto"/>
        </w:rPr>
      </w:pPr>
    </w:p>
    <w:p>
      <w:pPr>
        <w:ind w:left="752" w:hanging="752"/>
        <w:spacing w:after="0"/>
        <w:tabs>
          <w:tab w:leader="none" w:pos="7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316,159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9347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28" w:space="720"/>
            <w:col w:w="1472"/>
          </w:cols>
          <w:pgMar w:left="240" w:top="229" w:right="2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As of December 31, 2018, receivables, and contract assets and contract liabilities from contracts with customers consist of the following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31, 2018</w:t>
            </w:r>
          </w:p>
        </w:tc>
      </w:tr>
      <w:tr>
        <w:trPr>
          <w:trHeight w:val="24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w:t>
            </w:r>
          </w:p>
        </w:tc>
        <w:tc>
          <w:tcPr>
            <w:tcW w:w="50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78,938</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Short-term contract assets (Prepaid expenses and other assets)</w:t>
            </w:r>
          </w:p>
        </w:tc>
        <w:tc>
          <w:tcPr>
            <w:tcW w:w="5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13,516</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assets (Other assets)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34,148</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Short-term contract liabilities (Deferred revenues)</w:t>
            </w:r>
          </w:p>
        </w:tc>
        <w:tc>
          <w:tcPr>
            <w:tcW w:w="5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33,119</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liabilities (Deferred revenues)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76,911</w:t>
            </w:r>
          </w:p>
        </w:tc>
      </w:tr>
    </w:tbl>
    <w:p>
      <w:pPr>
        <w:spacing w:after="0" w:line="21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year ended December 31, 2018. 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balances of contract liabilities (deferred revenues) and contract assets (prepaid expenses and 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9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9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Balance on January 1, 2018</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116,830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940" w:type="dxa"/>
            <w:vAlign w:val="bottom"/>
            <w:gridSpan w:val="2"/>
          </w:tcPr>
          <w:p>
            <w:pPr>
              <w:ind w:left="360"/>
              <w:spacing w:after="0"/>
              <w:rPr>
                <w:sz w:val="20"/>
                <w:szCs w:val="20"/>
                <w:color w:val="auto"/>
              </w:rPr>
            </w:pPr>
            <w:r>
              <w:rPr>
                <w:rFonts w:ascii="Arial" w:cs="Arial" w:eastAsia="Arial" w:hAnsi="Arial"/>
                <w:sz w:val="16"/>
                <w:szCs w:val="16"/>
                <w:color w:val="auto"/>
              </w:rPr>
              <w:t>Revenue recognized</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9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Increase due to billings</w:t>
            </w: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40" w:type="dxa"/>
            <w:vAlign w:val="bottom"/>
            <w:gridSpan w:val="2"/>
          </w:tcPr>
          <w:p>
            <w:pPr>
              <w:ind w:left="260"/>
              <w:spacing w:after="0"/>
              <w:rPr>
                <w:sz w:val="20"/>
                <w:szCs w:val="20"/>
                <w:color w:val="auto"/>
              </w:rPr>
            </w:pPr>
            <w:r>
              <w:rPr>
                <w:rFonts w:ascii="Arial" w:cs="Arial" w:eastAsia="Arial" w:hAnsi="Arial"/>
                <w:sz w:val="16"/>
                <w:szCs w:val="16"/>
                <w:color w:val="auto"/>
              </w:rPr>
              <w:t>Balance as of December 31, 2018</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110,030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 Assets</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20" w:type="dxa"/>
            <w:vAlign w:val="bottom"/>
          </w:tcPr>
          <w:p>
            <w:pPr>
              <w:spacing w:after="0"/>
              <w:rPr>
                <w:sz w:val="24"/>
                <w:szCs w:val="24"/>
                <w:color w:val="auto"/>
              </w:rPr>
            </w:pPr>
          </w:p>
        </w:tc>
        <w:tc>
          <w:tcPr>
            <w:tcW w:w="9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9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Balance on January 1, 2018</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940" w:type="dxa"/>
            <w:vAlign w:val="bottom"/>
            <w:gridSpan w:val="2"/>
          </w:tcPr>
          <w:p>
            <w:pPr>
              <w:ind w:left="380"/>
              <w:spacing w:after="0"/>
              <w:rPr>
                <w:sz w:val="20"/>
                <w:szCs w:val="20"/>
                <w:color w:val="auto"/>
              </w:rPr>
            </w:pPr>
            <w:r>
              <w:rPr>
                <w:rFonts w:ascii="Arial" w:cs="Arial" w:eastAsia="Arial" w:hAnsi="Arial"/>
                <w:sz w:val="16"/>
                <w:szCs w:val="16"/>
                <w:color w:val="auto"/>
              </w:rPr>
              <w:t>Amount recognized</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9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w:t>
            </w: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940" w:type="dxa"/>
            <w:vAlign w:val="bottom"/>
            <w:gridSpan w:val="2"/>
          </w:tcPr>
          <w:p>
            <w:pPr>
              <w:ind w:left="280"/>
              <w:spacing w:after="0"/>
              <w:rPr>
                <w:sz w:val="20"/>
                <w:szCs w:val="20"/>
                <w:color w:val="auto"/>
              </w:rPr>
            </w:pPr>
            <w:r>
              <w:rPr>
                <w:rFonts w:ascii="Arial" w:cs="Arial" w:eastAsia="Arial" w:hAnsi="Arial"/>
                <w:sz w:val="16"/>
                <w:szCs w:val="16"/>
                <w:color w:val="auto"/>
              </w:rPr>
              <w:t>Balance as of December 31, 2018</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47,664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type w:val="continuous"/>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70 –</w:t>
      </w:r>
    </w:p>
    <w:p>
      <w:pPr>
        <w:sectPr>
          <w:pgSz w:w="11900" w:h="16838" w:orient="portrait"/>
          <w:cols w:equalWidth="0" w:num="1">
            <w:col w:w="11420"/>
          </w:cols>
          <w:pgMar w:left="240" w:top="229" w:right="239" w:bottom="1440" w:gutter="0" w:footer="0" w:header="0"/>
          <w:type w:val="continuous"/>
        </w:sectPr>
      </w:pPr>
    </w:p>
    <w:bookmarkStart w:id="70" w:name="page71"/>
    <w:bookmarkEnd w:id="7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following table includes estimated revenue expected to be recognized in future periods related to performance obligations that are unsatisfied or partially unsatisfied at the end of the reporting period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7"/>
                <w:szCs w:val="17"/>
                <w:color w:val="auto"/>
              </w:rPr>
            </w:pPr>
          </w:p>
        </w:tc>
        <w:tc>
          <w:tcPr>
            <w:tcW w:w="1280" w:type="dxa"/>
            <w:vAlign w:val="bottom"/>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6"/>
        </w:trPr>
        <w:tc>
          <w:tcPr>
            <w:tcW w:w="2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77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33,119</w:t>
            </w:r>
          </w:p>
        </w:tc>
      </w:tr>
      <w:tr>
        <w:trPr>
          <w:trHeight w:val="260"/>
        </w:trPr>
        <w:tc>
          <w:tcPr>
            <w:tcW w:w="2180" w:type="dxa"/>
            <w:vAlign w:val="bottom"/>
          </w:tcPr>
          <w:p>
            <w:pPr>
              <w:ind w:left="40"/>
              <w:spacing w:after="0"/>
              <w:rPr>
                <w:sz w:val="20"/>
                <w:szCs w:val="20"/>
                <w:color w:val="auto"/>
              </w:rPr>
            </w:pPr>
            <w:r>
              <w:rPr>
                <w:rFonts w:ascii="Arial" w:cs="Arial" w:eastAsia="Arial" w:hAnsi="Arial"/>
                <w:sz w:val="16"/>
                <w:szCs w:val="16"/>
                <w:color w:val="auto"/>
              </w:rPr>
              <w:t>2020</w:t>
            </w:r>
          </w:p>
        </w:tc>
        <w:tc>
          <w:tcPr>
            <w:tcW w:w="7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26,303</w:t>
            </w:r>
          </w:p>
        </w:tc>
      </w:tr>
      <w:tr>
        <w:trPr>
          <w:trHeight w:val="28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7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20,124</w:t>
            </w:r>
          </w:p>
        </w:tc>
      </w:tr>
      <w:tr>
        <w:trPr>
          <w:trHeight w:val="260"/>
        </w:trPr>
        <w:tc>
          <w:tcPr>
            <w:tcW w:w="2180" w:type="dxa"/>
            <w:vAlign w:val="bottom"/>
          </w:tcPr>
          <w:p>
            <w:pPr>
              <w:ind w:left="40"/>
              <w:spacing w:after="0"/>
              <w:rPr>
                <w:sz w:val="20"/>
                <w:szCs w:val="20"/>
                <w:color w:val="auto"/>
              </w:rPr>
            </w:pPr>
            <w:r>
              <w:rPr>
                <w:rFonts w:ascii="Arial" w:cs="Arial" w:eastAsia="Arial" w:hAnsi="Arial"/>
                <w:sz w:val="16"/>
                <w:szCs w:val="16"/>
                <w:color w:val="auto"/>
              </w:rPr>
              <w:t>2022</w:t>
            </w:r>
          </w:p>
        </w:tc>
        <w:tc>
          <w:tcPr>
            <w:tcW w:w="7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15,084</w:t>
            </w:r>
          </w:p>
        </w:tc>
      </w:tr>
      <w:tr>
        <w:trPr>
          <w:trHeight w:val="28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9,282</w:t>
            </w:r>
          </w:p>
        </w:tc>
      </w:tr>
      <w:tr>
        <w:trPr>
          <w:trHeight w:val="264"/>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6,118</w:t>
            </w:r>
          </w:p>
        </w:tc>
      </w:tr>
      <w:tr>
        <w:trPr>
          <w:trHeight w:val="240"/>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110,030</w:t>
            </w:r>
          </w:p>
        </w:tc>
      </w:tr>
      <w:tr>
        <w:trPr>
          <w:trHeight w:val="20"/>
        </w:trPr>
        <w:tc>
          <w:tcPr>
            <w:tcW w:w="21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47"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The Company generally expenses sales commissions related to products delivered at a point in time when the commissions are incurred because the amortization period would have been less than one year. The Company records these costs as sales and marketing expense. The Company expenses shipping and handling costs as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Adoption of Topic 606</w:t>
      </w:r>
    </w:p>
    <w:p>
      <w:pPr>
        <w:spacing w:after="0" w:line="247"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In accordance with Topic 606, the disclosure of the impact of adoption to the Company’s consolidated statements of operations and consolidated balance sheets was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tcPr>
          <w:p>
            <w:pPr>
              <w:jc w:val="center"/>
              <w:ind w:left="880"/>
              <w:spacing w:after="0"/>
              <w:rPr>
                <w:sz w:val="20"/>
                <w:szCs w:val="20"/>
                <w:color w:val="auto"/>
              </w:rPr>
            </w:pPr>
            <w:r>
              <w:rPr>
                <w:rFonts w:ascii="Arial" w:cs="Arial" w:eastAsia="Arial" w:hAnsi="Arial"/>
                <w:sz w:val="14"/>
                <w:szCs w:val="14"/>
                <w:b w:val="1"/>
                <w:bCs w:val="1"/>
                <w:color w:val="auto"/>
              </w:rPr>
              <w:t>Year Ended December 31, 2018</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Without Adoption of</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7"/>
                <w:szCs w:val="17"/>
                <w:color w:val="auto"/>
              </w:rPr>
            </w:pPr>
          </w:p>
        </w:tc>
        <w:tc>
          <w:tcPr>
            <w:tcW w:w="1160" w:type="dxa"/>
            <w:vAlign w:val="bottom"/>
          </w:tcPr>
          <w:p>
            <w:pPr>
              <w:jc w:val="right"/>
              <w:ind w:right="319"/>
              <w:spacing w:after="0"/>
              <w:rPr>
                <w:sz w:val="20"/>
                <w:szCs w:val="20"/>
                <w:color w:val="auto"/>
              </w:rPr>
            </w:pPr>
            <w:r>
              <w:rPr>
                <w:rFonts w:ascii="Arial" w:cs="Arial" w:eastAsia="Arial" w:hAnsi="Arial"/>
                <w:sz w:val="14"/>
                <w:szCs w:val="14"/>
                <w:b w:val="1"/>
                <w:bCs w:val="1"/>
                <w:color w:val="auto"/>
              </w:rPr>
              <w:t>Topic 606</w:t>
            </w:r>
          </w:p>
        </w:tc>
        <w:tc>
          <w:tcPr>
            <w:tcW w:w="0" w:type="dxa"/>
            <w:vAlign w:val="bottom"/>
          </w:tcPr>
          <w:p>
            <w:pPr>
              <w:spacing w:after="0"/>
              <w:rPr>
                <w:sz w:val="1"/>
                <w:szCs w:val="1"/>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316,159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313,908</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221,714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221,701</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94,445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92,207</w:t>
            </w:r>
          </w:p>
        </w:tc>
        <w:tc>
          <w:tcPr>
            <w:tcW w:w="0" w:type="dxa"/>
            <w:vAlign w:val="bottom"/>
          </w:tcPr>
          <w:p>
            <w:pPr>
              <w:spacing w:after="0"/>
              <w:rPr>
                <w:sz w:val="1"/>
                <w:szCs w:val="1"/>
                <w:color w:val="auto"/>
              </w:rPr>
            </w:pP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32,587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32,587</w:t>
            </w:r>
          </w:p>
        </w:tc>
        <w:tc>
          <w:tcPr>
            <w:tcW w:w="0" w:type="dxa"/>
            <w:vAlign w:val="bottom"/>
          </w:tcPr>
          <w:p>
            <w:pPr>
              <w:spacing w:after="0"/>
              <w:rPr>
                <w:sz w:val="1"/>
                <w:szCs w:val="1"/>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27,047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26,930</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29,086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29,086</w:t>
            </w:r>
          </w:p>
        </w:tc>
        <w:tc>
          <w:tcPr>
            <w:tcW w:w="0" w:type="dxa"/>
            <w:vAlign w:val="bottom"/>
          </w:tcPr>
          <w:p>
            <w:pPr>
              <w:spacing w:after="0"/>
              <w:rPr>
                <w:sz w:val="1"/>
                <w:szCs w:val="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4,129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4,129</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92,849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92,732</w:t>
            </w:r>
          </w:p>
        </w:tc>
        <w:tc>
          <w:tcPr>
            <w:tcW w:w="0" w:type="dxa"/>
            <w:vAlign w:val="bottom"/>
          </w:tcPr>
          <w:p>
            <w:pPr>
              <w:spacing w:after="0"/>
              <w:rPr>
                <w:sz w:val="1"/>
                <w:szCs w:val="1"/>
                <w:color w:val="auto"/>
              </w:rPr>
            </w:pP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240" w:type="dxa"/>
            <w:vAlign w:val="bottom"/>
          </w:tcPr>
          <w:p>
            <w:pPr>
              <w:spacing w:after="0"/>
              <w:rPr>
                <w:sz w:val="21"/>
                <w:szCs w:val="21"/>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(9,635)</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50"/>
        </w:trPr>
        <w:tc>
          <w:tcPr>
            <w:tcW w:w="6740" w:type="dxa"/>
            <w:vAlign w:val="bottom"/>
          </w:tcPr>
          <w:p>
            <w:pPr>
              <w:ind w:left="280"/>
              <w:spacing w:after="0"/>
              <w:rPr>
                <w:sz w:val="20"/>
                <w:szCs w:val="20"/>
                <w:color w:val="auto"/>
              </w:rPr>
            </w:pPr>
            <w:r>
              <w:rPr>
                <w:rFonts w:ascii="Arial" w:cs="Arial" w:eastAsia="Arial" w:hAnsi="Arial"/>
                <w:sz w:val="16"/>
                <w:szCs w:val="16"/>
                <w:color w:val="auto"/>
              </w:rPr>
              <w:t>Total other expense, net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(11,825)</w:t>
            </w:r>
          </w:p>
        </w:tc>
        <w:tc>
          <w:tcPr>
            <w:tcW w:w="0" w:type="dxa"/>
            <w:vAlign w:val="bottom"/>
          </w:tcPr>
          <w:p>
            <w:pPr>
              <w:spacing w:after="0"/>
              <w:rPr>
                <w:sz w:val="1"/>
                <w:szCs w:val="1"/>
                <w:color w:val="auto"/>
              </w:rPr>
            </w:pP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(12,350)</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4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Net loss per share:</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Shares used in per share calculation:</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99,619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029"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71 –</w:t>
      </w:r>
    </w:p>
    <w:p>
      <w:pPr>
        <w:sectPr>
          <w:pgSz w:w="11900" w:h="16838" w:orient="portrait"/>
          <w:cols w:equalWidth="0" w:num="1">
            <w:col w:w="11420"/>
          </w:cols>
          <w:pgMar w:left="240" w:top="229" w:right="239" w:bottom="1029" w:gutter="0" w:footer="0" w:header="0"/>
          <w:type w:val="continuous"/>
        </w:sectPr>
      </w:pPr>
    </w:p>
    <w:bookmarkStart w:id="71" w:name="page72"/>
    <w:bookmarkEnd w:id="7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Without Adoption of</w:t>
            </w: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1200" w:type="dxa"/>
            <w:vAlign w:val="bottom"/>
          </w:tcPr>
          <w:p>
            <w:pPr>
              <w:jc w:val="right"/>
              <w:ind w:right="320"/>
              <w:spacing w:after="0"/>
              <w:rPr>
                <w:sz w:val="20"/>
                <w:szCs w:val="20"/>
                <w:color w:val="auto"/>
              </w:rPr>
            </w:pPr>
            <w:r>
              <w:rPr>
                <w:rFonts w:ascii="Arial" w:cs="Arial" w:eastAsia="Arial" w:hAnsi="Arial"/>
                <w:sz w:val="14"/>
                <w:szCs w:val="14"/>
                <w:b w:val="1"/>
                <w:bCs w:val="1"/>
                <w:color w:val="auto"/>
              </w:rPr>
              <w:t>Topic 606</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20,860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10,072</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36,548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7,782</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29,010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24,753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24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33,119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12,319</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revenues, noncurrent</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76,911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26,867</w:t>
            </w:r>
          </w:p>
        </w:tc>
      </w:tr>
      <w:tr>
        <w:trPr>
          <w:trHeight w:val="251"/>
        </w:trPr>
        <w:tc>
          <w:tcPr>
            <w:tcW w:w="674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(346,302)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35,547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(310,755)</w:t>
            </w:r>
          </w:p>
        </w:tc>
      </w:tr>
    </w:tbl>
    <w:p>
      <w:pPr>
        <w:spacing w:after="0" w:line="2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INVENTORY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as of December 31, 2018 and 2017 consists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2,341</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15,297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23,658</w:t>
            </w: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inventory</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16,267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25,999</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and 2017, property and equipment consist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1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Estimated Useful</w:t>
            </w: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6500" w:type="dxa"/>
            <w:vAlign w:val="bottom"/>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Life (Years)</w:t>
            </w:r>
          </w:p>
        </w:tc>
        <w:tc>
          <w:tcPr>
            <w:tcW w:w="340" w:type="dxa"/>
            <w:vAlign w:val="bottom"/>
          </w:tcPr>
          <w:p>
            <w:pPr>
              <w:spacing w:after="0"/>
              <w:rPr>
                <w:sz w:val="17"/>
                <w:szCs w:val="17"/>
                <w:color w:val="auto"/>
              </w:rPr>
            </w:pPr>
          </w:p>
        </w:tc>
        <w:tc>
          <w:tcPr>
            <w:tcW w:w="11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and machinery</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43,566</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41,148</w:t>
            </w:r>
          </w:p>
        </w:tc>
        <w:tc>
          <w:tcPr>
            <w:tcW w:w="0" w:type="dxa"/>
            <w:vAlign w:val="bottom"/>
          </w:tcPr>
          <w:p>
            <w:pPr>
              <w:spacing w:after="0"/>
              <w:rPr>
                <w:sz w:val="1"/>
                <w:szCs w:val="1"/>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5-10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2,958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Capitalized software costs</w:t>
            </w:r>
          </w:p>
        </w:tc>
        <w:tc>
          <w:tcPr>
            <w:tcW w:w="1720" w:type="dxa"/>
            <w:vAlign w:val="bottom"/>
          </w:tcPr>
          <w:p>
            <w:pPr>
              <w:jc w:val="center"/>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12,114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11,749</w:t>
            </w:r>
          </w:p>
        </w:tc>
        <w:tc>
          <w:tcPr>
            <w:tcW w:w="0" w:type="dxa"/>
            <w:vAlign w:val="bottom"/>
          </w:tcPr>
          <w:p>
            <w:pPr>
              <w:spacing w:after="0"/>
              <w:rPr>
                <w:sz w:val="1"/>
                <w:szCs w:val="1"/>
                <w:color w:val="auto"/>
              </w:rPr>
            </w:pP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8,537</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process</w:t>
            </w: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3,536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4,672</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72,895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70,921</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(44,438)</w:t>
            </w:r>
          </w:p>
        </w:tc>
        <w:tc>
          <w:tcPr>
            <w:tcW w:w="0" w:type="dxa"/>
            <w:vAlign w:val="bottom"/>
          </w:tcPr>
          <w:p>
            <w:pPr>
              <w:spacing w:after="0"/>
              <w:rPr>
                <w:sz w:val="1"/>
                <w:szCs w:val="1"/>
                <w:color w:val="auto"/>
              </w:rPr>
            </w:pPr>
          </w:p>
        </w:tc>
      </w:tr>
      <w:tr>
        <w:trPr>
          <w:trHeight w:val="24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20,998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26,483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86"/>
        <w:spacing w:after="0" w:line="262" w:lineRule="auto"/>
        <w:rPr>
          <w:sz w:val="20"/>
          <w:szCs w:val="20"/>
          <w:color w:val="auto"/>
        </w:rPr>
      </w:pPr>
      <w:r>
        <w:rPr>
          <w:rFonts w:ascii="Arial" w:cs="Arial" w:eastAsia="Arial" w:hAnsi="Arial"/>
          <w:sz w:val="18"/>
          <w:szCs w:val="18"/>
          <w:color w:val="auto"/>
        </w:rPr>
        <w:t>Depreciation expense for property and equipment for the years ended December 31, 2018, 2017 and 2016 was $8.3 million, $8.6 million and $10.0 million, respectively.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and 2017, unamortized capitalized software costs were $0.7 million and $1.1 million,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229" w:right="239" w:bottom="1440" w:gutter="0" w:footer="0" w:header="0"/>
        </w:sectPr>
      </w:pPr>
    </w:p>
    <w:bookmarkStart w:id="72" w:name="page73"/>
    <w:bookmarkEnd w:id="7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GOODWILL AND INTANGIBLE ASSETS</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following table presents the details of the Company’s goodwill and purchased intangible assets as of December 31, 2018 and 2017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Accumulated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Gross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Additions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Net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Gross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21,119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3,664</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740" w:type="dxa"/>
            <w:vAlign w:val="bottom"/>
          </w:tcPr>
          <w:p>
            <w:pPr>
              <w:jc w:val="center"/>
              <w:spacing w:after="0"/>
              <w:rPr>
                <w:sz w:val="20"/>
                <w:szCs w:val="20"/>
                <w:color w:val="auto"/>
              </w:rPr>
            </w:pPr>
            <w:r>
              <w:rPr>
                <w:rFonts w:ascii="Arial" w:cs="Arial" w:eastAsia="Arial" w:hAnsi="Arial"/>
                <w:sz w:val="16"/>
                <w:szCs w:val="16"/>
                <w:color w:val="auto"/>
              </w:rPr>
              <w:t>Other indefinite-lived intangibles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Intangible assets with finite live: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280"/>
              <w:spacing w:after="0"/>
              <w:rPr>
                <w:sz w:val="20"/>
                <w:szCs w:val="20"/>
                <w:color w:val="auto"/>
              </w:rPr>
            </w:pPr>
            <w:r>
              <w:rPr>
                <w:rFonts w:ascii="Arial" w:cs="Arial" w:eastAsia="Arial" w:hAnsi="Arial"/>
                <w:sz w:val="16"/>
                <w:szCs w:val="16"/>
                <w:color w:val="auto"/>
              </w:rPr>
              <w:t>Patents and licensed technology</w:t>
            </w:r>
          </w:p>
        </w:tc>
        <w:tc>
          <w:tcPr>
            <w:tcW w:w="28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Developed technology</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12,191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Customer relationships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23,100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22,829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Total purchased intangible</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1,951</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36,200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35,306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1,951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assets</w:t>
            </w:r>
          </w:p>
        </w:tc>
        <w:tc>
          <w:tcPr>
            <w:tcW w:w="2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86"/>
        <w:spacing w:after="0" w:line="216" w:lineRule="exact"/>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were amortized over their legal life of 3 years. In October 2015, the Company licensed certain technology related to application specific integrated circuits (“ASIC”) development for a 3</w:t>
      </w:r>
      <w:r>
        <w:rPr>
          <w:rFonts w:ascii="MS PGothic" w:cs="MS PGothic" w:eastAsia="MS PGothic" w:hAnsi="MS PGothic"/>
          <w:sz w:val="18"/>
          <w:szCs w:val="18"/>
          <w:color w:val="auto"/>
        </w:rPr>
        <w:t>‑</w:t>
      </w:r>
      <w:r>
        <w:rPr>
          <w:rFonts w:ascii="Arial" w:cs="Arial" w:eastAsia="Arial" w:hAnsi="Arial"/>
          <w:sz w:val="18"/>
          <w:szCs w:val="18"/>
          <w:color w:val="auto"/>
        </w:rPr>
        <w:t>year term, which is also its estimated useful life. As of December 31, 2018, these patents were fully amortized.</w:t>
      </w:r>
    </w:p>
    <w:p>
      <w:pPr>
        <w:spacing w:after="0" w:line="218"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In August 2018, the Company acquired certain finite-lived intangible assets in its acquisition of SunPower Corporation’s (“SunPower”) microinverter business pursuant to an Asset Purchase Agreement (“APA”), primarily developed technology and customer relationships. See Note 20. “Acquisition,” for additional information related to this acquisition.</w:t>
      </w:r>
    </w:p>
    <w:p>
      <w:pPr>
        <w:spacing w:after="0" w:line="202"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Amortization expense related to finite-lived intangible assets for the years ended December 31, 2018, 2017 and 2016 was $1.4 million, $0.4 million and $0.7 million, respectively. Amortization expense of $1.4 million for the year ended December 31, 2018 includes $0.3 million as a reduction to revenue, related to customer relationships.</w:t>
      </w:r>
    </w:p>
    <w:p>
      <w:pPr>
        <w:spacing w:after="0" w:line="23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ACCRUED LIABILITIES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and 2017 accrued liabilities consists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Salaries, commissions, incentive compensation and benefits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3,608</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Customer rebates and sales incentives</w:t>
            </w:r>
          </w:p>
        </w:tc>
        <w:tc>
          <w:tcPr>
            <w:tcW w:w="3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8,527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8,988</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Freight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7,286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3,853</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9,090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5,998</w:t>
            </w:r>
          </w:p>
        </w:tc>
      </w:tr>
      <w:tr>
        <w:trPr>
          <w:trHeight w:val="24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accrued liabilities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29,010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22,447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229" w:right="239" w:bottom="1440" w:gutter="0" w:footer="0" w:header="0"/>
        </w:sectPr>
      </w:pPr>
    </w:p>
    <w:bookmarkStart w:id="73" w:name="page74"/>
    <w:bookmarkEnd w:id="7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WARRANTY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warranty activities during the years ended December 31, 2018, 2017 and 2016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beginning of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29,816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30,547</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Accruals for warranties issued during period</w:t>
            </w:r>
          </w:p>
        </w:tc>
        <w:tc>
          <w:tcPr>
            <w:tcW w:w="34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4,130</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estimates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2,562</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Settlements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(8,523)</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due to accretion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1,772</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926</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end of period</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31,294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31,414</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(8,596)</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22,389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22,818</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80" w:firstLine="486"/>
        <w:spacing w:after="0" w:line="250" w:lineRule="auto"/>
        <w:rPr>
          <w:sz w:val="20"/>
          <w:szCs w:val="20"/>
          <w:color w:val="auto"/>
        </w:rPr>
      </w:pPr>
      <w:r>
        <w:rPr>
          <w:rFonts w:ascii="Arial" w:cs="Arial" w:eastAsia="Arial" w:hAnsi="Arial"/>
          <w:sz w:val="18"/>
          <w:szCs w:val="18"/>
          <w:color w:val="auto"/>
        </w:rPr>
        <w:t>The Company sold approximately 1.0 million first and second generation microinverters from 2008 through mid-2012. The Company has sold approximately 3.9 million third generation microinverters since mid-2012 through mid-2015. The Company has sold approximately</w:t>
      </w:r>
    </w:p>
    <w:p>
      <w:pPr>
        <w:spacing w:after="0" w:line="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10.7 million of its fourth generation microinverters, which were introduced in mid-2013 and are still being sold. The Company began selling its IQ series microinverters in 2017, sales of which totaled approximately 3.5 million units.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Estimates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resulted from consideration of new or additional information becoming available and subsequent developments. Changes in estimates included in the table above were comprised of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2018, the Company recorded a $0.9 million increase to warranty expense related to cost increases primarily for backwards compatibility cables, supply constrained inventory components as well as tariffs. The Company also recorded additional warranty expense of $3.3 million based on continuing analysis of field performance data and diagnostic root-cause failure analysis primarily relating to its second and third generation products. In addition, the Company recorded an increase of $2.1 million related to increased estimated claim rates and an increase to warranty expense of $0.2 million for labor reimbursement costs expected to be paid to third party installers performing replacement services. These increases were partially offset by a $1.5 million reduction to warranty expense, presented as “Other” in the table above, related to changes in the discount rates for fair value accounting.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247" w:lineRule="exact"/>
        <w:rPr>
          <w:sz w:val="20"/>
          <w:szCs w:val="20"/>
          <w:color w:val="auto"/>
        </w:rPr>
      </w:pPr>
    </w:p>
    <w:p>
      <w:pPr>
        <w:ind w:right="60" w:firstLine="486"/>
        <w:spacing w:after="0" w:line="216" w:lineRule="exact"/>
        <w:rPr>
          <w:sz w:val="20"/>
          <w:szCs w:val="20"/>
          <w:color w:val="auto"/>
        </w:rPr>
      </w:pPr>
      <w:r>
        <w:rPr>
          <w:rFonts w:ascii="Arial" w:cs="Arial" w:eastAsia="Arial" w:hAnsi="Arial"/>
          <w:sz w:val="18"/>
          <w:szCs w:val="18"/>
          <w:color w:val="auto"/>
        </w:rPr>
        <w:t>In 2017, primarily in the fourth quarter, the Company recorded the impact of further product-cost reduction initiatives for its sixth generation microinverters, which are backwards compatible with previous microinverter generations and will be used to fulfill future warranty obligations for all microinverter generations in the field. This resulted in a $2.2 million decrease to warranty expense related to estimated future replacement costs. The Company also recorded, primarily in the third quarter, a decrease to warranty expense of $1.9 million for labor reimbursement costs expected to be paid to third party installers performing replacement services for its second</w:t>
      </w:r>
      <w:r>
        <w:rPr>
          <w:rFonts w:ascii="MS PGothic" w:cs="MS PGothic" w:eastAsia="MS PGothic" w:hAnsi="MS PGothic"/>
          <w:sz w:val="18"/>
          <w:szCs w:val="18"/>
          <w:color w:val="auto"/>
        </w:rPr>
        <w:t>‑</w:t>
      </w:r>
      <w:r>
        <w:rPr>
          <w:rFonts w:ascii="Arial" w:cs="Arial" w:eastAsia="Arial" w:hAnsi="Arial"/>
          <w:sz w:val="18"/>
          <w:szCs w:val="18"/>
          <w:color w:val="auto"/>
        </w:rPr>
        <w:t>generation product as a result of a change in its reimbursement policy. In addition, the Company recorded additional warranty expense of $3.9 million based on continuing analysis of field performance data and diagnostic root-cause failure analysis primarily relating to its second</w:t>
      </w:r>
      <w:r>
        <w:rPr>
          <w:rFonts w:ascii="MS PGothic" w:cs="MS PGothic" w:eastAsia="MS PGothic" w:hAnsi="MS PGothic"/>
          <w:sz w:val="18"/>
          <w:szCs w:val="18"/>
          <w:color w:val="auto"/>
        </w:rPr>
        <w:t>‑</w:t>
      </w:r>
      <w:r>
        <w:rPr>
          <w:rFonts w:ascii="Arial" w:cs="Arial" w:eastAsia="Arial" w:hAnsi="Arial"/>
          <w:sz w:val="18"/>
          <w:szCs w:val="18"/>
          <w:color w:val="auto"/>
        </w:rPr>
        <w:t>generation product.</w:t>
      </w:r>
    </w:p>
    <w:p>
      <w:pPr>
        <w:sectPr>
          <w:pgSz w:w="11900" w:h="16838" w:orient="portrait"/>
          <w:cols w:equalWidth="0" w:num="1">
            <w:col w:w="11400"/>
          </w:cols>
          <w:pgMar w:left="240" w:top="229" w:right="2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74 –</w:t>
      </w:r>
    </w:p>
    <w:p>
      <w:pPr>
        <w:sectPr>
          <w:pgSz w:w="11900" w:h="16838" w:orient="portrait"/>
          <w:cols w:equalWidth="0" w:num="1">
            <w:col w:w="11400"/>
          </w:cols>
          <w:pgMar w:left="240" w:top="229" w:right="259" w:bottom="1440" w:gutter="0" w:footer="0" w:header="0"/>
          <w:type w:val="continuous"/>
        </w:sectPr>
      </w:pPr>
    </w:p>
    <w:bookmarkStart w:id="74" w:name="page75"/>
    <w:bookmarkEnd w:id="7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w:t>
      </w:r>
    </w:p>
    <w:p>
      <w:pPr>
        <w:spacing w:after="0" w:line="247" w:lineRule="exact"/>
        <w:rPr>
          <w:sz w:val="20"/>
          <w:szCs w:val="20"/>
          <w:color w:val="auto"/>
        </w:rPr>
      </w:pPr>
    </w:p>
    <w:p>
      <w:pPr>
        <w:ind w:firstLine="486"/>
        <w:spacing w:after="0" w:line="216" w:lineRule="exact"/>
        <w:rPr>
          <w:sz w:val="20"/>
          <w:szCs w:val="20"/>
          <w:color w:val="auto"/>
        </w:rPr>
      </w:pPr>
      <w:r>
        <w:rPr>
          <w:rFonts w:ascii="Arial" w:cs="Arial" w:eastAsia="Arial" w:hAnsi="Arial"/>
          <w:sz w:val="18"/>
          <w:szCs w:val="18"/>
          <w:color w:val="auto"/>
        </w:rPr>
        <w:t>In 2016, primarily in the fourth quarter, the Company recorded the impact of product-cost reduction initiatives for its sixth generation microinverters, which are backwards compatible with previous microinverter generations and will be used to fulfill future warranty obligations for all microinverter generations in the field. This resulted in a $2.1 million decrease to warranty expense related to estimated future replacement costs. This decrease was offset by an increase to warranty expense of $1.5 million for an increase in labor reimbursement costs expected to be paid to third party installers performing replacement services for its second</w:t>
      </w:r>
      <w:r>
        <w:rPr>
          <w:rFonts w:ascii="MS PGothic" w:cs="MS PGothic" w:eastAsia="MS PGothic" w:hAnsi="MS PGothic"/>
          <w:sz w:val="18"/>
          <w:szCs w:val="18"/>
          <w:color w:val="auto"/>
        </w:rPr>
        <w:t>‑</w:t>
      </w:r>
      <w:r>
        <w:rPr>
          <w:rFonts w:ascii="Arial" w:cs="Arial" w:eastAsia="Arial" w:hAnsi="Arial"/>
          <w:sz w:val="18"/>
          <w:szCs w:val="18"/>
          <w:color w:val="auto"/>
        </w:rPr>
        <w:t>generation product. In addition, the Company recorded additional warranty expense of $3.0 million based on continuing analysis of field performance data and diagnostic root-cause failure analysis primarily relating to its second</w:t>
      </w:r>
      <w:r>
        <w:rPr>
          <w:rFonts w:ascii="MS PGothic" w:cs="MS PGothic" w:eastAsia="MS PGothic" w:hAnsi="MS PGothic"/>
          <w:sz w:val="18"/>
          <w:szCs w:val="18"/>
          <w:color w:val="auto"/>
        </w:rPr>
        <w:t>‑</w:t>
      </w:r>
      <w:r>
        <w:rPr>
          <w:rFonts w:ascii="Arial" w:cs="Arial" w:eastAsia="Arial" w:hAnsi="Arial"/>
          <w:sz w:val="18"/>
          <w:szCs w:val="18"/>
          <w:color w:val="auto"/>
        </w:rPr>
        <w:t>generation product.</w:t>
      </w:r>
    </w:p>
    <w:p>
      <w:pPr>
        <w:spacing w:after="0" w:line="2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FAIR VALUE MEASUREMENTS</w:t>
      </w:r>
    </w:p>
    <w:p>
      <w:pPr>
        <w:spacing w:after="0" w:line="247"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0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202" w:lineRule="exact"/>
        <w:rPr>
          <w:sz w:val="20"/>
          <w:szCs w:val="20"/>
          <w:color w:val="auto"/>
        </w:rPr>
      </w:pPr>
    </w:p>
    <w:p>
      <w:pPr>
        <w:ind w:left="820" w:right="160" w:hanging="326"/>
        <w:spacing w:after="0" w:line="256"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01" w:lineRule="exact"/>
        <w:rPr>
          <w:rFonts w:ascii="Arial" w:cs="Arial" w:eastAsia="Arial" w:hAnsi="Arial"/>
          <w:sz w:val="18"/>
          <w:szCs w:val="18"/>
          <w:color w:val="auto"/>
        </w:rPr>
      </w:pPr>
    </w:p>
    <w:p>
      <w:pPr>
        <w:ind w:left="820" w:right="780" w:hanging="326"/>
        <w:spacing w:after="0" w:line="262"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December 31, 2018 and 2017 (in thousands):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67"/>
        </w:trPr>
        <w:tc>
          <w:tcPr>
            <w:tcW w:w="70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Hierarchy</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obligations</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Level 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11,757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251"/>
        </w:trPr>
        <w:tc>
          <w:tcPr>
            <w:tcW w:w="7060" w:type="dxa"/>
            <w:vAlign w:val="bottom"/>
          </w:tcPr>
          <w:p>
            <w:pPr>
              <w:ind w:left="20"/>
              <w:spacing w:after="0"/>
              <w:rPr>
                <w:sz w:val="20"/>
                <w:szCs w:val="20"/>
                <w:color w:val="auto"/>
              </w:rPr>
            </w:pPr>
            <w:r>
              <w:rPr>
                <w:rFonts w:ascii="Arial" w:cs="Arial" w:eastAsia="Arial" w:hAnsi="Arial"/>
                <w:sz w:val="16"/>
                <w:szCs w:val="16"/>
                <w:color w:val="auto"/>
              </w:rPr>
              <w:t>Third party option to purchase receivables at a discount</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rPr>
              <w:t>Level 3</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301" w:lineRule="exact"/>
        <w:rPr>
          <w:sz w:val="20"/>
          <w:szCs w:val="20"/>
          <w:color w:val="auto"/>
        </w:rPr>
      </w:pPr>
    </w:p>
    <w:p>
      <w:pPr>
        <w:jc w:val="both"/>
        <w:ind w:right="300" w:firstLine="486"/>
        <w:spacing w:after="0" w:line="250"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ectPr>
          <w:pgSz w:w="11900" w:h="16838" w:orient="portrait"/>
          <w:cols w:equalWidth="0" w:num="1">
            <w:col w:w="11400"/>
          </w:cols>
          <w:pgMar w:left="240" w:top="229" w:right="25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75 –</w:t>
      </w:r>
    </w:p>
    <w:p>
      <w:pPr>
        <w:sectPr>
          <w:pgSz w:w="11900" w:h="16838" w:orient="portrait"/>
          <w:cols w:equalWidth="0" w:num="1">
            <w:col w:w="11400"/>
          </w:cols>
          <w:pgMar w:left="240" w:top="229" w:right="259" w:bottom="1440" w:gutter="0" w:footer="0" w:header="0"/>
          <w:type w:val="continuous"/>
        </w:sectPr>
      </w:pPr>
    </w:p>
    <w:bookmarkStart w:id="75" w:name="page76"/>
    <w:bookmarkEnd w:id="7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9,791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6,182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Accruals for warranties issued during period</w:t>
            </w:r>
          </w:p>
        </w:tc>
        <w:tc>
          <w:tcPr>
            <w:tcW w:w="34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3,591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4,091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estimates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(1,023)</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due to accretion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1,772</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926</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11,757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10,332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Option to Purchase Receivables at a Discount</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The buyer had the option to purchase certain additional future receivables at various fixed discounts. This option was valued using the discounted cash flow methodology based on the counterparty credit-adjusted-risk-free rate and recorded as a liability. As of December 31, 2018, all purchases relating to this option had been made, and the liability has been relieved. As of December 31, 2017, $0.7 million relating to this option was recorded as a liability with corresponding offset to debt on the Company’s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As of December 31, 2018, the significant unobservable inputs used in the fair value measurement of the Company’s liabilities designated as Level 3 are as follows: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tcPr>
          <w:p>
            <w:pPr>
              <w:jc w:val="center"/>
              <w:ind w:right="60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17"/>
        </w:trPr>
        <w:tc>
          <w:tcPr>
            <w:tcW w:w="274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rPr>
              <w:t>Credit-adjusted risk-free rate</w:t>
            </w: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4"/>
        </w:trPr>
        <w:tc>
          <w:tcPr>
            <w:tcW w:w="2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January 1, 2014</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As of December 31, 2017, the significant unobservable inputs used in the fair value measurement of the Company’s liabilities designated as Level 3 are as follows:</w:t>
      </w:r>
    </w:p>
    <w:p>
      <w:pPr>
        <w:sectPr>
          <w:pgSz w:w="11900" w:h="16838" w:orient="portrait"/>
          <w:cols w:equalWidth="0" w:num="1">
            <w:col w:w="11400"/>
          </w:cols>
          <w:pgMar w:left="240" w:top="229" w:right="259" w:bottom="1440" w:gutter="0" w:footer="0" w:header="0"/>
        </w:sect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84" w:lineRule="exact"/>
        <w:rPr>
          <w:sz w:val="20"/>
          <w:szCs w:val="20"/>
          <w:color w:val="auto"/>
        </w:rPr>
      </w:pPr>
    </w:p>
    <w:p>
      <w:pPr>
        <w:ind w:left="220" w:right="280" w:hanging="8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9" w:lineRule="exact"/>
        <w:rPr>
          <w:sz w:val="20"/>
          <w:szCs w:val="20"/>
          <w:color w:val="auto"/>
        </w:rPr>
      </w:pPr>
    </w:p>
    <w:p>
      <w:pPr>
        <w:ind w:left="220" w:hanging="80"/>
        <w:spacing w:after="0" w:line="260" w:lineRule="auto"/>
        <w:rPr>
          <w:sz w:val="20"/>
          <w:szCs w:val="20"/>
          <w:color w:val="auto"/>
        </w:rPr>
      </w:pPr>
      <w:r>
        <w:rPr>
          <w:rFonts w:ascii="Arial" w:cs="Arial" w:eastAsia="Arial" w:hAnsi="Arial"/>
          <w:sz w:val="16"/>
          <w:szCs w:val="16"/>
          <w:color w:val="auto"/>
        </w:rPr>
        <w:t>Third party option to purchase receivables at a discount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77"/>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rPr>
              <w:t>Credit-adjusted risk-free rate</w:t>
            </w: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gridSpan w:val="2"/>
            <w:vMerge w:val="continue"/>
            <w:shd w:val="clear" w:color="auto" w:fill="CCEEFF"/>
          </w:tcPr>
          <w:p>
            <w:pPr>
              <w:spacing w:after="0"/>
              <w:rPr>
                <w:sz w:val="12"/>
                <w:szCs w:val="12"/>
                <w:color w:val="auto"/>
              </w:rPr>
            </w:pPr>
          </w:p>
        </w:tc>
        <w:tc>
          <w:tcPr>
            <w:tcW w:w="1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400" w:type="dxa"/>
            <w:vAlign w:val="bottom"/>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Pr>
          <w:p>
            <w:pPr>
              <w:spacing w:after="0"/>
              <w:rPr>
                <w:sz w:val="24"/>
                <w:szCs w:val="24"/>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rPr>
              <w:t>Counter party credit-adjusted risk-free rate</w:t>
            </w:r>
          </w:p>
        </w:tc>
        <w:tc>
          <w:tcPr>
            <w:tcW w:w="180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-604520</wp:posOffset>
            </wp:positionV>
            <wp:extent cx="3344545" cy="403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4545" cy="403225"/>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2280" w:space="480"/>
            <w:col w:w="8640"/>
          </w:cols>
          <w:pgMar w:left="240" w:top="229" w:right="259" w:bottom="1440" w:gutter="0" w:footer="0" w:header="0"/>
          <w:type w:val="continuous"/>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76 –</w:t>
      </w:r>
    </w:p>
    <w:p>
      <w:pPr>
        <w:sectPr>
          <w:pgSz w:w="11900" w:h="16838" w:orient="portrait"/>
          <w:cols w:equalWidth="0" w:num="1">
            <w:col w:w="11400"/>
          </w:cols>
          <w:pgMar w:left="240" w:top="229" w:right="259" w:bottom="1440" w:gutter="0" w:footer="0" w:header="0"/>
          <w:type w:val="continuous"/>
        </w:sectPr>
      </w:pPr>
    </w:p>
    <w:bookmarkStart w:id="76" w:name="page77"/>
    <w:bookmarkEnd w:id="7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of Level 3 Inputs - Warranty Obligations</w:t>
      </w:r>
    </w:p>
    <w:p>
      <w:pPr>
        <w:spacing w:after="0" w:line="247" w:lineRule="exact"/>
        <w:rPr>
          <w:sz w:val="20"/>
          <w:szCs w:val="20"/>
          <w:color w:val="auto"/>
        </w:rPr>
      </w:pPr>
    </w:p>
    <w:p>
      <w:pPr>
        <w:ind w:right="100" w:firstLine="486"/>
        <w:spacing w:after="0" w:line="216" w:lineRule="exact"/>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8"/>
          <w:szCs w:val="18"/>
          <w:color w:val="auto"/>
        </w:rPr>
        <w:t>‑</w:t>
      </w:r>
      <w:r>
        <w:rPr>
          <w:rFonts w:ascii="Arial" w:cs="Arial" w:eastAsia="Arial" w:hAnsi="Arial"/>
          <w:sz w:val="18"/>
          <w:szCs w:val="18"/>
          <w:color w:val="auto"/>
        </w:rPr>
        <w:t>adjusted risk</w:t>
      </w:r>
      <w:r>
        <w:rPr>
          <w:rFonts w:ascii="MS PGothic" w:cs="MS PGothic" w:eastAsia="MS PGothic" w:hAnsi="MS PGothic"/>
          <w:sz w:val="18"/>
          <w:szCs w:val="18"/>
          <w:color w:val="auto"/>
        </w:rPr>
        <w:t>‑</w:t>
      </w:r>
      <w:r>
        <w:rPr>
          <w:rFonts w:ascii="Arial" w:cs="Arial" w:eastAsia="Arial" w:hAnsi="Arial"/>
          <w:sz w:val="18"/>
          <w:szCs w:val="18"/>
          <w:color w:val="auto"/>
        </w:rPr>
        <w:t>free rate (“discount rate”) is determined by reference to the Company’s own credit standing at the fair value measurement date. Increasing the profit element and risk premium input by 100 basis points would result in a $0.1 million increase to the liability. Decreasing the profit element and risk premium by 100 basis points would result in a $0.1 million reduction of the liability. Increasing the discount rate by 100 basis points would result in a $0.4 million reduction of the liability. Decreasing the discount rate by 100 basis points would result in a $0.5 million increase to the liability.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Redundancy and employee severance and benefit arrangements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1,263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9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2,575</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Consultants engaged in restructuring activities</w:t>
            </w: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Lease loss reserves</w:t>
            </w:r>
          </w:p>
        </w:tc>
        <w:tc>
          <w:tcPr>
            <w:tcW w:w="9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579</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business divestiture</w:t>
            </w:r>
          </w:p>
        </w:tc>
        <w:tc>
          <w:tcPr>
            <w:tcW w:w="9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Total restructuring</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4,129</w:t>
            </w:r>
          </w:p>
        </w:tc>
        <w:tc>
          <w:tcPr>
            <w:tcW w:w="5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16,917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3,777</w:t>
            </w:r>
          </w:p>
        </w:tc>
      </w:tr>
      <w:tr>
        <w:trPr>
          <w:trHeight w:val="20"/>
        </w:trPr>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expects to complete this restructuring in 2019.</w:t>
      </w:r>
    </w:p>
    <w:p>
      <w:pPr>
        <w:spacing w:after="0" w:line="202"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 following table presents the details of the Company’s restructuring charges under the 2018 Plan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81"/>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99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December 31, 2018</w:t>
            </w:r>
          </w:p>
        </w:tc>
      </w:tr>
      <w:tr>
        <w:trPr>
          <w:trHeight w:val="24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Redundancy and employee severance and benefit arrangements</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2,228</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24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1,636</w:t>
            </w:r>
          </w:p>
        </w:tc>
      </w:tr>
      <w:tr>
        <w:trPr>
          <w:trHeight w:val="246"/>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loss reserves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340</w:t>
            </w:r>
          </w:p>
        </w:tc>
      </w:tr>
      <w:tr>
        <w:trPr>
          <w:trHeight w:val="240"/>
        </w:trPr>
        <w:tc>
          <w:tcPr>
            <w:tcW w:w="9920" w:type="dxa"/>
            <w:vAlign w:val="bottom"/>
          </w:tcPr>
          <w:p>
            <w:pPr>
              <w:ind w:left="280"/>
              <w:spacing w:after="0"/>
              <w:rPr>
                <w:sz w:val="20"/>
                <w:szCs w:val="20"/>
                <w:color w:val="auto"/>
              </w:rPr>
            </w:pPr>
            <w:r>
              <w:rPr>
                <w:rFonts w:ascii="Arial" w:cs="Arial" w:eastAsia="Arial" w:hAnsi="Arial"/>
                <w:sz w:val="16"/>
                <w:szCs w:val="16"/>
                <w:color w:val="auto"/>
              </w:rPr>
              <w:t>Total restructuring</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4,204</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2018 Plan accrued restructuring balance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Lease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Redundancy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Reserves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 Severance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Benefits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Obligations</w:t>
            </w:r>
          </w:p>
        </w:tc>
        <w:tc>
          <w:tcPr>
            <w:tcW w:w="340" w:type="dxa"/>
            <w:vAlign w:val="bottom"/>
          </w:tcPr>
          <w:p>
            <w:pPr>
              <w:spacing w:after="0"/>
              <w:rPr>
                <w:sz w:val="17"/>
                <w:szCs w:val="17"/>
                <w:color w:val="auto"/>
              </w:rPr>
            </w:pPr>
          </w:p>
        </w:tc>
        <w:tc>
          <w:tcPr>
            <w:tcW w:w="1140" w:type="dxa"/>
            <w:vAlign w:val="bottom"/>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Charges</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2,228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2,568</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(1,397)</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settlement and other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Balance as of December 31, 2018</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1,192</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29"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77 –</w:t>
      </w:r>
    </w:p>
    <w:p>
      <w:pPr>
        <w:sectPr>
          <w:pgSz w:w="11900" w:h="16838" w:orient="portrait"/>
          <w:cols w:equalWidth="0" w:num="1">
            <w:col w:w="11400"/>
          </w:cols>
          <w:pgMar w:left="240" w:top="229" w:right="259" w:bottom="1440" w:gutter="0" w:footer="0" w:header="0"/>
          <w:type w:val="continuous"/>
        </w:sectPr>
      </w:pPr>
    </w:p>
    <w:bookmarkStart w:id="77" w:name="page78"/>
    <w:bookmarkEnd w:id="7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Plan</w:t>
      </w:r>
    </w:p>
    <w:p>
      <w:pPr>
        <w:spacing w:after="0" w:line="247"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In the third quarter of 2016, the Company began implementing restructuring actions (the “2016 Plan”)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substantially completed its restructuring activities under the 2016 Plan in 2017.</w:t>
      </w:r>
    </w:p>
    <w:p>
      <w:pPr>
        <w:spacing w:after="0" w:line="206"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The following table presents the details of the Company’s restructuring charges under the 2016 Plan for the periods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and benefit arrangements</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1,263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2,575</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Consultants engaged in restructuring activities</w:t>
            </w:r>
          </w:p>
        </w:tc>
        <w:tc>
          <w:tcPr>
            <w:tcW w:w="10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Lease loss reserves and contract termination costs</w:t>
            </w:r>
          </w:p>
        </w:tc>
        <w:tc>
          <w:tcPr>
            <w:tcW w:w="1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579</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business divestiture</w:t>
            </w:r>
          </w:p>
        </w:tc>
        <w:tc>
          <w:tcPr>
            <w:tcW w:w="10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Total restructuring</w:t>
            </w:r>
          </w:p>
        </w:tc>
        <w:tc>
          <w:tcPr>
            <w:tcW w:w="104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16,917</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3,777</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980" w:firstLine="486"/>
        <w:spacing w:after="0" w:line="262" w:lineRule="auto"/>
        <w:rPr>
          <w:sz w:val="20"/>
          <w:szCs w:val="20"/>
          <w:color w:val="auto"/>
        </w:rPr>
      </w:pPr>
      <w:r>
        <w:rPr>
          <w:rFonts w:ascii="Arial" w:cs="Arial" w:eastAsia="Arial" w:hAnsi="Arial"/>
          <w:sz w:val="18"/>
          <w:szCs w:val="18"/>
          <w:color w:val="auto"/>
        </w:rPr>
        <w:t>The following table provides information regarding the computation of the Company’s gain on business divestiture included in restructuring and other (in thousands) for the year ended December 31,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Consideration</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1,375</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(979)</w:t>
            </w:r>
          </w:p>
        </w:tc>
      </w:tr>
      <w:tr>
        <w:trPr>
          <w:trHeight w:val="246"/>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r>
      <w:tr>
        <w:trPr>
          <w:trHeight w:val="240"/>
        </w:trPr>
        <w:tc>
          <w:tcPr>
            <w:tcW w:w="9920" w:type="dxa"/>
            <w:vAlign w:val="bottom"/>
          </w:tcPr>
          <w:p>
            <w:pPr>
              <w:ind w:left="280"/>
              <w:spacing w:after="0"/>
              <w:rPr>
                <w:sz w:val="20"/>
                <w:szCs w:val="20"/>
                <w:color w:val="auto"/>
              </w:rPr>
            </w:pPr>
            <w:r>
              <w:rPr>
                <w:rFonts w:ascii="Arial" w:cs="Arial" w:eastAsia="Arial" w:hAnsi="Arial"/>
                <w:sz w:val="16"/>
                <w:szCs w:val="16"/>
                <w:color w:val="auto"/>
              </w:rPr>
              <w:t>Gain on business divestiture</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640</w:t>
            </w:r>
          </w:p>
        </w:tc>
      </w:tr>
      <w:tr>
        <w:trPr>
          <w:trHeight w:val="20"/>
        </w:trPr>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2016 Plan accrued restructuring balance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Lease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Reserves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 Severance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Benefits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Obligations</w:t>
            </w:r>
          </w:p>
        </w:tc>
        <w:tc>
          <w:tcPr>
            <w:tcW w:w="34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2,827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13,568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16,395</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(15,754)</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Pr>
          <w:p>
            <w:pPr>
              <w:spacing w:after="0"/>
              <w:rPr>
                <w:sz w:val="21"/>
                <w:szCs w:val="21"/>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1,323</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 and adjustments</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Cash payments and receipts, net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308</w:t>
            </w:r>
          </w:p>
        </w:tc>
      </w:tr>
      <w:tr>
        <w:trPr>
          <w:trHeight w:val="26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229" w:right="239" w:bottom="1440" w:gutter="0" w:footer="0" w:header="0"/>
        </w:sectPr>
      </w:pPr>
    </w:p>
    <w:bookmarkStart w:id="78" w:name="page79"/>
    <w:bookmarkEnd w:id="7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was comprised of the following at December 31, 2018 and 2017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Notes due 2023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issuance costs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Carrying amount of Convertible Notes due 2023</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62,639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41,524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50,000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discount and issuance costs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Carrying amount of term loan</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40,465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47,889</w:t>
            </w:r>
          </w:p>
        </w:tc>
      </w:tr>
      <w:tr>
        <w:trPr>
          <w:trHeight w:val="230"/>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 of long-term financing receivable recorded as debt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6,679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2,562</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Less value of future purchase option</w:t>
            </w:r>
          </w:p>
        </w:tc>
        <w:tc>
          <w:tcPr>
            <w:tcW w:w="3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50"/>
        </w:trPr>
        <w:tc>
          <w:tcPr>
            <w:tcW w:w="83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Carrying amount of sale of long-term financing receivable recorded as debt</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6,679</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1,862</w:t>
            </w:r>
          </w:p>
        </w:tc>
      </w:tr>
      <w:tr>
        <w:trPr>
          <w:trHeight w:val="247"/>
        </w:trPr>
        <w:tc>
          <w:tcPr>
            <w:tcW w:w="8340" w:type="dxa"/>
            <w:vAlign w:val="bottom"/>
          </w:tcPr>
          <w:p>
            <w:pPr>
              <w:ind w:left="380"/>
              <w:spacing w:after="0"/>
              <w:rPr>
                <w:sz w:val="20"/>
                <w:szCs w:val="20"/>
                <w:color w:val="auto"/>
              </w:rPr>
            </w:pPr>
            <w:r>
              <w:rPr>
                <w:rFonts w:ascii="Arial" w:cs="Arial" w:eastAsia="Arial" w:hAnsi="Arial"/>
                <w:sz w:val="16"/>
                <w:szCs w:val="16"/>
                <w:color w:val="auto"/>
              </w:rPr>
              <w:t>Total carrying amount of debt</w:t>
            </w:r>
          </w:p>
        </w:tc>
        <w:tc>
          <w:tcPr>
            <w:tcW w:w="36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109,783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49,751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 term loan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long-term financing receivable recorded as debt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81,628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32,322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August 2018, the Company sold $60.0 million aggregate principal amount of convertible senior notes due 2023 (the “Convertible Notes”) in a private placement. Additionally, an individual who is a member of the Company’s Board of Directors and a stockholder, Thurman John Rodgers, purchased $5.0 million aggregate principal amount of convertible senior notes due 2023 (the “Affiliate Notes” and together with the Convertible Notes, the “Notes”) in a concurrent private placement. The Company received net proceeds of $62.4 million, after deducting the underwriters’ fees of approximately $2.0 million and other issuance costs of approximately $0.6 million.</w:t>
      </w:r>
    </w:p>
    <w:p>
      <w:pPr>
        <w:spacing w:after="0" w:line="206"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Notes are senior, unsecured and bear interest at a rate of 4.0% per year, payable semi-annually on February 1 and August 1 of each year, beginning on February 1, 2019. The Notes will mature on August 1, 2023, unless earlier repurchased by the Company or converted at the option of the holders. The Company may not redeem the Notes prior to the maturity date, and no sinking fund is provided for the Notes.</w:t>
      </w:r>
    </w:p>
    <w:p>
      <w:pPr>
        <w:spacing w:after="0" w:line="202"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Notes are convertible, at a holder’s election, in multiples of $1,000 principal amount, into shares of the Company’s common stock based on the applicable conversion rate. The initial conversion rate for the Notes is 180.0180 shares of common stock per $ 1,000 principal amount of Notes (which is equivalent to an initial conversion price of approximately $5.5600 per share). The conversion rate and the corresponding conversion price are subject to adjustment upon the occurrence of certain events but will not be adjusted for any accrued and unpaid interest. Holders of the Notes who convert their Notes in connection with a make-whole fundamental change (as defined in the Indenture entered into in connection with the Convertible Notes) are, under certain circumstances, entitled to an increase in the conversion rate. Additionally, in the event of a fundamental change, holders of the Notes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at their option at any time prior to the close of business on the business day immediately preceding the maturity date, in multiples of $1,000 principal amount.</w:t>
      </w:r>
    </w:p>
    <w:p>
      <w:pPr>
        <w:spacing w:after="0" w:line="212"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As of December 31, 2018, there were unamortized issuance costs and debt discounts of approximately $2.4 million, which were recorded as a direct deduction from the Notes on the consolidated balance sheets.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79 –</w:t>
      </w:r>
    </w:p>
    <w:p>
      <w:pPr>
        <w:sectPr>
          <w:pgSz w:w="11900" w:h="16838" w:orient="portrait"/>
          <w:cols w:equalWidth="0" w:num="1">
            <w:col w:w="11420"/>
          </w:cols>
          <w:pgMar w:left="240" w:top="229" w:right="239" w:bottom="1440" w:gutter="0" w:footer="0" w:header="0"/>
          <w:type w:val="continuous"/>
        </w:sectPr>
      </w:pPr>
    </w:p>
    <w:bookmarkStart w:id="79" w:name="page80"/>
    <w:bookmarkEnd w:id="7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247" w:lineRule="exact"/>
        <w:rPr>
          <w:sz w:val="20"/>
          <w:szCs w:val="20"/>
          <w:color w:val="auto"/>
        </w:rPr>
      </w:pPr>
    </w:p>
    <w:p>
      <w:pPr>
        <w:ind w:firstLine="486"/>
        <w:spacing w:after="0" w:line="265" w:lineRule="auto"/>
        <w:rPr>
          <w:sz w:val="20"/>
          <w:szCs w:val="20"/>
          <w:color w:val="auto"/>
        </w:rPr>
      </w:pPr>
      <w:r>
        <w:rPr>
          <w:rFonts w:ascii="Arial" w:cs="Arial" w:eastAsia="Arial" w:hAnsi="Arial"/>
          <w:sz w:val="17"/>
          <w:szCs w:val="17"/>
          <w:color w:val="auto"/>
        </w:rPr>
        <w:t>In July 2016, the Company entered into a Loan and Security Agreement (the “Original Term Loan Agreement”) with lenders that are affiliates of Tennenbaum Capital Partners, LLC (the “Lenders” or “TCP”). Under the agreement, the Lenders committed to advance a term loan in an aggregate principal amount of up to $ 25.0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provided for an interest rate per annum equal to the higher of (i) 10.25% or (ii) LIBOR plus 9.5625%, subject to a 1.0% reduction if the Company achieves minimum levels of Revenue and EBITDA (each as defined in the Original Term Loan Agreement) for the twelve-consecutive month period ending June 30, 2017 as set forth in the Original Term Loan Agreement. In addition, the Company paid a commitment fee of</w:t>
      </w:r>
    </w:p>
    <w:p>
      <w:pPr>
        <w:spacing w:after="0" w:line="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3.3% of the loan amount upon closing and a closing fee of 10.0% of the loan amount is payable in four equal installments at each anniversary of the closing date. The Company could elect to prepay the loan by incurring a prepayment fee between 1% and 3% of the principal amount of the term loan depending on the timing and circumstances of prepayment.</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Agreement. The Loan Agreement provides for a $25.0 million secured term loan to the Company (the “New Term Loan”), which is in addition to the $ 25.0 million secured term loan borrowed by the Company under the Original Term Loan Agreement (together with the “New Term Loan” the “Term Loans”). The New Term Loan had the same July 1, 2020 maturity date that was applicable to the Original Term Loan Agreement. The New Term Loan was fully drawn at closing, with approximately $ 10.3 million of the proceeds used to repay existing combined principal and interest due under the Company’s Revolver with Wells Fargo Bank N.A. (“Wells Fargo”). Upon the repayment of loans under the Wells Fargo Revolver, the Wells Fargo Revolving Credit Agreement was terminated. The Company used the remainder of the proceeds from the New Term Loan for general corporate purposes.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Monthly payments under the Term Loans through February 28, 2018 were interest only, followed by consecutive equal monthly payments of principal plus accrued interest beginning on March 1, 2018 and continuing through the maturity date. Interest on the Term Loans was the greater of (a) 10.3125%, and (b) a fluctuating rate of interest per annum equal to the three-month LIBOR Rate (rounded up to the nearest 1/16th of one percent) plus 9.25%. In addition, the Company paid a commitment fee of 3.0% of the New Term Loan amount upon closing and a closing fee of 4.0% of the New Term Loan amount, which is payable with the closing fee under the Original Term Loan Agreement in four equal installments at each anniversary of the closing date of the Original Term Loan Agreement. The Company may elect to prepay the Term Loans by incurring a prepayment fee between 1% and 3% of the principal amount of the Term Loans depending on the timing and circumstances of prepayment.</w:t>
      </w:r>
    </w:p>
    <w:p>
      <w:pPr>
        <w:spacing w:after="0" w:line="20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On February 28, 2018, the Company entered into a Second Amendment to the Term Loans. The Second Amendment decreased the amount of principal repayments required under the Loan Agreement by 50% for the period from March 1, 2018 through December 31, 2018 and provided that the Company shall not prepay any part of the Term Loans during that same period without the Collateral Agent’s prior written consent.</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Term Loans were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were not guaranteed by any of the Company’s existing subsidiaries, nor have any existing subsidiaries of the Company pledged any of their assets to secure the Term Loans.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229" w:right="239" w:bottom="1440" w:gutter="0" w:footer="0" w:header="0"/>
        </w:sectPr>
      </w:pPr>
    </w:p>
    <w:bookmarkStart w:id="80" w:name="page81"/>
    <w:bookmarkEnd w:id="8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Loan Agreement required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was subject to customary affirmative and negative covenants including restrictions on creation of liens, dispositions of assets, mergers, changing the nature of its business and dividends and other distributions, in each case subject to certain exceptions. The Loan Agreement also contained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offered TCP customary rights and remedies in any event of default, including the ability to declare all amounts outstanding immediately due and payable.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the estimated schedule of principal payments due on the Term Loans was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63"/>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99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Due</w:t>
            </w:r>
          </w:p>
        </w:tc>
        <w:tc>
          <w:tcPr>
            <w:tcW w:w="260" w:type="dxa"/>
            <w:vAlign w:val="bottom"/>
          </w:tcPr>
          <w:p>
            <w:pPr>
              <w:spacing w:after="0"/>
              <w:rPr>
                <w:sz w:val="17"/>
                <w:szCs w:val="17"/>
                <w:color w:val="auto"/>
              </w:rPr>
            </w:pPr>
          </w:p>
        </w:tc>
        <w:tc>
          <w:tcPr>
            <w:tcW w:w="1220" w:type="dxa"/>
            <w:vAlign w:val="bottom"/>
          </w:tcPr>
          <w:p>
            <w:pPr>
              <w:jc w:val="right"/>
              <w:ind w:right="323"/>
              <w:spacing w:after="0"/>
              <w:rPr>
                <w:sz w:val="20"/>
                <w:szCs w:val="20"/>
                <w:color w:val="auto"/>
              </w:rPr>
            </w:pPr>
            <w:r>
              <w:rPr>
                <w:rFonts w:ascii="Arial" w:cs="Arial" w:eastAsia="Arial" w:hAnsi="Arial"/>
                <w:sz w:val="14"/>
                <w:szCs w:val="14"/>
                <w:b w:val="1"/>
                <w:bCs w:val="1"/>
                <w:color w:val="auto"/>
              </w:rPr>
              <w:t>Payments</w:t>
            </w:r>
          </w:p>
        </w:tc>
      </w:tr>
      <w:tr>
        <w:trPr>
          <w:trHeight w:val="256"/>
        </w:trPr>
        <w:tc>
          <w:tcPr>
            <w:tcW w:w="2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77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25,317</w:t>
            </w: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2020</w:t>
            </w:r>
          </w:p>
        </w:tc>
        <w:tc>
          <w:tcPr>
            <w:tcW w:w="77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16,207</w:t>
            </w:r>
          </w:p>
        </w:tc>
      </w:tr>
      <w:tr>
        <w:trPr>
          <w:trHeight w:val="240"/>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41,524</w:t>
            </w:r>
          </w:p>
        </w:tc>
      </w:tr>
      <w:tr>
        <w:trPr>
          <w:trHeight w:val="20"/>
        </w:trPr>
        <w:tc>
          <w:tcPr>
            <w:tcW w:w="2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On January 28, 2019, the Company repaid in full the remaining principal amount of the Term Loans of $39.5 million plus accrued interest and fees.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New Term Loan, the Company issued to the Lenders warrants to purchase an aggregate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million shares of the Company’s Common Stock at an exercise price of $1.05 per share. The warrants have a term of seven years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contain a “cashless exercise” feature that allows the holder to exercise the warrant without a cash payment upon the terms set forth therein.</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per share; strike price of $1.05 per share; volatility of 85.9%, risk-free rate of 2.23%; dividend yield of 0%; and a term of seven years. The resulting fair value was used to allocate the proceeds from the Term Loan between liability and equity components.</w:t>
      </w:r>
    </w:p>
    <w:p>
      <w:pPr>
        <w:spacing w:after="0" w:line="20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Company classified the warrants as equity and allocated the proceeds from the New Term Loan and warrants using the relative fair value method. Using this method, the Company allocated $1.4 million to the warrants, which was recorded as equity. This amount represents debt discount that will be amortized to interest expense over the term of the loan. The Lenders converted the warrants into approximately 0.9 million shares of the Company’s common stock in a cashless exercise in the first quarter of 2018.</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229" w:right="239" w:bottom="1440" w:gutter="0" w:footer="0" w:header="0"/>
        </w:sectPr>
      </w:pPr>
    </w:p>
    <w:bookmarkStart w:id="81" w:name="page82"/>
    <w:bookmarkEnd w:id="8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Long-Term Financing Receivables</w:t>
      </w:r>
    </w:p>
    <w:p>
      <w:pPr>
        <w:spacing w:after="0" w:line="247" w:lineRule="exact"/>
        <w:rPr>
          <w:sz w:val="20"/>
          <w:szCs w:val="20"/>
          <w:color w:val="auto"/>
        </w:rPr>
      </w:pPr>
    </w:p>
    <w:p>
      <w:pPr>
        <w:ind w:right="100" w:firstLine="486"/>
        <w:spacing w:after="0" w:line="250"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that resulted in net proceeds to the Company of</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$2.8 million. This transaction was recorded as debt on the accompanying consolidated balance sheets, and the debt balance will be relieved by January 2019 as the underlying receivables are settled. During the year ended December 31, 2018, the third party made three additional purchases of receivables that resulted in total net proceeds to the Company of $5.6 million. These transactions were recorded as debt on the accompanying consolidated balance sheets, and the total associated debt balance will be relieved by September 2021 as the underlying receivables are settled. After the initial purchase, the buyer had the option to purchase certain additional future receivables at various fixed discounts. This option was valued at $0.7 million and was recorded as a liability with a corresponding offset to debt as of December 31, 2017. As of December 31, 2018, all purchases relating to this option had been made, and the liability has been relieved. See Note 9. “Fair Value Measurements,”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Company had a $50.0 million revolving credit facility (the “Revolver”) with Wells Fargo Bank, N.A. that was entered into in November 2012. The Revolver was fully repaid and terminated in February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Company leases office facilities under noncancelable operating leases that expire on various dates through 2028. The terms of the lease agreements generally provide for rental payments on a graduated basis, and certain leases require the Company to pay its portion of executory costs such as taxes, insurance, and operating expenses. The Company recognizes rent expense on a straight-line basis over the lease term.</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for the years ended December 31, 2018, 2017 and 2016 was $3.2 million, $2.8 million and $3.8 million, respectively.</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Company’s minimum lease payments under noncancelable operating leases, exclusive of executory costs, as of December 31, 2018 are as follows (in thousands):</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21"/>
              <w:spacing w:after="0"/>
              <w:rPr>
                <w:sz w:val="20"/>
                <w:szCs w:val="20"/>
                <w:color w:val="auto"/>
              </w:rPr>
            </w:pPr>
            <w:r>
              <w:rPr>
                <w:rFonts w:ascii="Arial" w:cs="Arial" w:eastAsia="Arial" w:hAnsi="Arial"/>
                <w:sz w:val="14"/>
                <w:szCs w:val="14"/>
                <w:b w:val="1"/>
                <w:bCs w:val="1"/>
                <w:color w:val="auto"/>
              </w:rPr>
              <w:t>Minimum Lease</w:t>
            </w:r>
          </w:p>
        </w:tc>
      </w:tr>
      <w:tr>
        <w:trPr>
          <w:trHeight w:val="196"/>
        </w:trPr>
        <w:tc>
          <w:tcPr>
            <w:tcW w:w="9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Payments</w:t>
            </w:r>
          </w:p>
        </w:tc>
      </w:tr>
      <w:tr>
        <w:trPr>
          <w:trHeight w:val="270"/>
        </w:trPr>
        <w:tc>
          <w:tcPr>
            <w:tcW w:w="9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year due:</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3"/>
        </w:trPr>
        <w:tc>
          <w:tcPr>
            <w:tcW w:w="9860" w:type="dxa"/>
            <w:vAlign w:val="bottom"/>
          </w:tcPr>
          <w:p>
            <w:pPr>
              <w:ind w:left="180"/>
              <w:spacing w:after="0"/>
              <w:rPr>
                <w:sz w:val="20"/>
                <w:szCs w:val="20"/>
                <w:color w:val="auto"/>
              </w:rPr>
            </w:pPr>
            <w:r>
              <w:rPr>
                <w:rFonts w:ascii="Arial" w:cs="Arial" w:eastAsia="Arial" w:hAnsi="Arial"/>
                <w:sz w:val="16"/>
                <w:szCs w:val="16"/>
                <w:color w:val="auto"/>
              </w:rPr>
              <w:t>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3,738</w:t>
            </w:r>
          </w:p>
        </w:tc>
      </w:tr>
      <w:tr>
        <w:trPr>
          <w:trHeight w:val="253"/>
        </w:trPr>
        <w:tc>
          <w:tcPr>
            <w:tcW w:w="9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3,532</w:t>
            </w:r>
          </w:p>
        </w:tc>
      </w:tr>
      <w:tr>
        <w:trPr>
          <w:trHeight w:val="233"/>
        </w:trPr>
        <w:tc>
          <w:tcPr>
            <w:tcW w:w="986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3,276</w:t>
            </w:r>
          </w:p>
        </w:tc>
      </w:tr>
      <w:tr>
        <w:trPr>
          <w:trHeight w:val="253"/>
        </w:trPr>
        <w:tc>
          <w:tcPr>
            <w:tcW w:w="9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1,810</w:t>
            </w:r>
          </w:p>
        </w:tc>
      </w:tr>
      <w:tr>
        <w:trPr>
          <w:trHeight w:val="233"/>
        </w:trPr>
        <w:tc>
          <w:tcPr>
            <w:tcW w:w="9860" w:type="dxa"/>
            <w:vAlign w:val="bottom"/>
          </w:tcPr>
          <w:p>
            <w:pPr>
              <w:ind w:left="18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945</w:t>
            </w:r>
          </w:p>
        </w:tc>
      </w:tr>
      <w:tr>
        <w:trPr>
          <w:trHeight w:val="246"/>
        </w:trPr>
        <w:tc>
          <w:tcPr>
            <w:tcW w:w="9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1,252</w:t>
            </w:r>
          </w:p>
        </w:tc>
      </w:tr>
      <w:tr>
        <w:trPr>
          <w:trHeight w:val="233"/>
        </w:trPr>
        <w:tc>
          <w:tcPr>
            <w:tcW w:w="9860" w:type="dxa"/>
            <w:vAlign w:val="bottom"/>
          </w:tcPr>
          <w:p>
            <w:pPr>
              <w:ind w:left="280"/>
              <w:spacing w:after="0"/>
              <w:rPr>
                <w:sz w:val="20"/>
                <w:szCs w:val="20"/>
                <w:color w:val="auto"/>
              </w:rPr>
            </w:pPr>
            <w:r>
              <w:rPr>
                <w:rFonts w:ascii="Arial" w:cs="Arial" w:eastAsia="Arial" w:hAnsi="Arial"/>
                <w:sz w:val="16"/>
                <w:szCs w:val="16"/>
                <w:color w:val="auto"/>
              </w:rPr>
              <w:t>Total operating lease minimum payments</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14,553</w:t>
            </w:r>
          </w:p>
        </w:tc>
      </w:tr>
      <w:tr>
        <w:trPr>
          <w:trHeight w:val="246"/>
        </w:trPr>
        <w:tc>
          <w:tcPr>
            <w:tcW w:w="9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Sublease income to be recognized in the future under noncancelable subleases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40"/>
        </w:trPr>
        <w:tc>
          <w:tcPr>
            <w:tcW w:w="9860" w:type="dxa"/>
            <w:vAlign w:val="bottom"/>
          </w:tcPr>
          <w:p>
            <w:pPr>
              <w:ind w:left="40"/>
              <w:spacing w:after="0"/>
              <w:rPr>
                <w:sz w:val="20"/>
                <w:szCs w:val="20"/>
                <w:color w:val="auto"/>
              </w:rPr>
            </w:pPr>
            <w:r>
              <w:rPr>
                <w:rFonts w:ascii="Arial" w:cs="Arial" w:eastAsia="Arial" w:hAnsi="Arial"/>
                <w:sz w:val="16"/>
                <w:szCs w:val="16"/>
                <w:color w:val="auto"/>
              </w:rPr>
              <w:t>Net operating leases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13,631</w:t>
            </w:r>
          </w:p>
        </w:tc>
      </w:tr>
      <w:tr>
        <w:trPr>
          <w:trHeight w:val="20"/>
        </w:trPr>
        <w:tc>
          <w:tcPr>
            <w:tcW w:w="9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Company has contractual obligations related to component inventory that its primary contract manufacturer procures on its behalf in accordance with its production forecast as well as other inventory related purchase commitments. As of December 31, 2018, these purchase obligations totaled approximately $41.1 million.</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82 –</w:t>
      </w:r>
    </w:p>
    <w:p>
      <w:pPr>
        <w:sectPr>
          <w:pgSz w:w="11900" w:h="16838" w:orient="portrait"/>
          <w:cols w:equalWidth="0" w:num="1">
            <w:col w:w="11420"/>
          </w:cols>
          <w:pgMar w:left="240" w:top="229" w:right="239" w:bottom="1440" w:gutter="0" w:footer="0" w:header="0"/>
          <w:type w:val="continuous"/>
        </w:sectPr>
      </w:pPr>
    </w:p>
    <w:bookmarkStart w:id="82" w:name="page83"/>
    <w:bookmarkEnd w:id="8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From time-to-time, the Company may be involved in litigation relating to claims arising out of its operations. The Company is not currently involved in any material legal proceedings; however, the Company may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SALE OF COMMON STOCK</w:t>
      </w:r>
    </w:p>
    <w:p>
      <w:pPr>
        <w:spacing w:after="0" w:line="24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February 2018, the Company entered into a Securities Purchase Agreement with an investor pursuant to which the Company, in a private placement, issued and sold to the investor 9.5 million shares of the Company’s common stock at a price per share of $2.10, for gross proceeds of $20.0 million.</w:t>
      </w:r>
    </w:p>
    <w:p>
      <w:pPr>
        <w:spacing w:after="0" w:line="202"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In January 2017, the Company completed a private placement of securities that resulted in the issuance of approximately 10.8 million shares of common stock and gross proceeds of $10.0 million.</w:t>
      </w:r>
    </w:p>
    <w:p>
      <w:pPr>
        <w:spacing w:after="0" w:line="196"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In December 2016, the Company entered into an At Market Issuance Sales Agreement (ATM) under which it could sell shares of its common stock up to a gross aggregate offering price of $17.0 million. During the three months ended March 31, 2017 the Company sold approximately 11.1 million shares of common stock under the ATM and received net proceeds of approximately $16.6 million.</w:t>
      </w:r>
    </w:p>
    <w:p>
      <w:pPr>
        <w:spacing w:after="0" w:line="234" w:lineRule="exact"/>
        <w:rPr>
          <w:sz w:val="20"/>
          <w:szCs w:val="20"/>
          <w:color w:val="auto"/>
        </w:rPr>
      </w:pPr>
    </w:p>
    <w:p>
      <w:pPr>
        <w:jc w:val="both"/>
        <w:ind w:right="8220" w:firstLine="8"/>
        <w:spacing w:after="0" w:line="503" w:lineRule="auto"/>
        <w:tabs>
          <w:tab w:leader="none" w:pos="32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Description of Equity Incentive Plans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Plan</w:t>
      </w:r>
    </w:p>
    <w:p>
      <w:pPr>
        <w:spacing w:after="0" w:line="243" w:lineRule="exact"/>
        <w:rPr>
          <w:sz w:val="20"/>
          <w:szCs w:val="20"/>
          <w:color w:val="auto"/>
        </w:rPr>
      </w:pPr>
    </w:p>
    <w:p>
      <w:pPr>
        <w:jc w:val="both"/>
        <w:ind w:right="180" w:firstLine="486"/>
        <w:spacing w:after="0" w:line="216" w:lineRule="exact"/>
        <w:rPr>
          <w:sz w:val="20"/>
          <w:szCs w:val="20"/>
          <w:color w:val="auto"/>
        </w:rPr>
      </w:pPr>
      <w:r>
        <w:rPr>
          <w:rFonts w:ascii="Arial" w:cs="Arial" w:eastAsia="Arial" w:hAnsi="Arial"/>
          <w:sz w:val="18"/>
          <w:szCs w:val="18"/>
          <w:color w:val="auto"/>
        </w:rPr>
        <w:t>Under the Company’s 2006 Equity Incentive Plan (the “2006 Plan”), equity awards granted generally vest over a 4</w:t>
      </w:r>
      <w:r>
        <w:rPr>
          <w:rFonts w:ascii="MS PGothic" w:cs="MS PGothic" w:eastAsia="MS PGothic" w:hAnsi="MS PGothic"/>
          <w:sz w:val="18"/>
          <w:szCs w:val="18"/>
          <w:color w:val="auto"/>
        </w:rPr>
        <w:t>‑</w:t>
      </w:r>
      <w:r>
        <w:rPr>
          <w:rFonts w:ascii="Arial" w:cs="Arial" w:eastAsia="Arial" w:hAnsi="Arial"/>
          <w:sz w:val="18"/>
          <w:szCs w:val="18"/>
          <w:color w:val="auto"/>
        </w:rPr>
        <w:t>year period from the date of grant with a contractual term of up to 10 years. As of December 31, 2018, there were 1.6 million shares of options outstanding under the 2006 Plan. No further stock options or other stock awards may be granted under the 2006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Plan</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Under the 2011 Equity Incentive Plan (the “2011 Plan”), the Company could initially issue up to 2,643,171 shares of its common stock pursuant to stock options, stock appreciation rights (“SARS”), restricted stock awards (“RSA”), RSUs, PSUs,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4-year period from the date of grant based on continued employment. The number of shares of the Company’s common stock authorized for issuance under the 2011 Plan automatically increases on each January 1 by 4.5% of the total number of shares of the Company’s common stock outstanding on December 31 of the preceding calendar year, or such lesser number of shares of common stock as determined by the board of directors. As of December 31, 2018, 1,319,960 shares remained available for issuance pursuant to future grants under the 2011 Plan. On January 31, 2019, the shares available for issuance under the 2011 Plan automatically increased by 4,816,556 shares.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229" w:right="259" w:bottom="1440" w:gutter="0" w:footer="0" w:header="0"/>
        </w:sectPr>
      </w:pPr>
    </w:p>
    <w:bookmarkStart w:id="83" w:name="page84"/>
    <w:bookmarkEnd w:id="8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Employee Stock Purchase Plan</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2011 Employee Stock Purchase Plan (“ESPP”) became effective immediately upon the execution and delivery of the underwriting agreement for the Company’s initial public offering on March 29, 2012. The ESPP authorized the issuance of 669,603 shares of the Company’s common stock pursuant to purchase rights granted to employees. The number of shares of common stock reserved for issuance will automatically increase, on each January 1, by a lesser of (i) 330,396 shares of the Company’s common stock or (ii) 1.0% of the total number of shares of the Company’s common stock outstanding on December 31 of the preceding calendar year, as determined by the Company’s board of directors. At the Annual Meeting of Stockholders held on May 18, 2017 the Company’s stockholders approved a one-time amendment to the Company’s ESPP to increase the aggregate number of shares available for purchase by 400,000 shares and to increase the annual automatic minimum increase in shares reserved for issuance from 330,396 to 700,000 shares effective January 1, 2018. As of December 31, 2018, 551,203 shares remained available for future issuance under the ESPP. On January 31, 2019, the shares available for issuance under the ESPP automatically increased by 700,000 shares.</w:t>
      </w:r>
    </w:p>
    <w:p>
      <w:pPr>
        <w:spacing w:after="0" w:line="212"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ESPP is implemented by concurrent offering periods and each offering period may contain up to four interim purchase periods. In general, offering periods consists of the 24-month periods commencing on each May 15 and November 15 of a calendar year.</w:t>
      </w:r>
    </w:p>
    <w:p>
      <w:pPr>
        <w:spacing w:after="0" w:line="196" w:lineRule="exact"/>
        <w:rPr>
          <w:sz w:val="20"/>
          <w:szCs w:val="20"/>
          <w:color w:val="auto"/>
        </w:rPr>
      </w:pPr>
    </w:p>
    <w:p>
      <w:pPr>
        <w:ind w:right="80" w:firstLine="486"/>
        <w:spacing w:after="0" w:line="216" w:lineRule="exact"/>
        <w:rPr>
          <w:sz w:val="20"/>
          <w:szCs w:val="20"/>
          <w:color w:val="auto"/>
        </w:rPr>
      </w:pPr>
      <w:r>
        <w:rPr>
          <w:rFonts w:ascii="Arial" w:cs="Arial" w:eastAsia="Arial" w:hAnsi="Arial"/>
          <w:sz w:val="18"/>
          <w:szCs w:val="18"/>
          <w:color w:val="auto"/>
        </w:rPr>
        <w:t>Generally, all full-time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w:t>
      </w:r>
      <w:r>
        <w:rPr>
          <w:rFonts w:ascii="MS PGothic" w:cs="MS PGothic" w:eastAsia="MS PGothic" w:hAnsi="MS PGothic"/>
          <w:sz w:val="18"/>
          <w:szCs w:val="18"/>
          <w:color w:val="auto"/>
        </w:rPr>
        <w:t>‑</w:t>
      </w:r>
      <w:r>
        <w:rPr>
          <w:rFonts w:ascii="Arial" w:cs="Arial" w:eastAsia="Arial" w:hAnsi="Arial"/>
          <w:sz w:val="18"/>
          <w:szCs w:val="18"/>
          <w:color w:val="auto"/>
        </w:rPr>
        <w:t>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fair value of each option granted was estimated on the date of grant using the Black-Scholes option-pricing model with the following assumptions:</w:t>
      </w:r>
    </w:p>
    <w:p>
      <w:pPr>
        <w:spacing w:after="0" w:line="178" w:lineRule="exact"/>
        <w:rPr>
          <w:sz w:val="20"/>
          <w:szCs w:val="20"/>
          <w:color w:val="auto"/>
        </w:rPr>
      </w:pPr>
    </w:p>
    <w:p>
      <w:pPr>
        <w:ind w:left="820" w:right="100" w:hanging="326"/>
        <w:spacing w:after="0" w:line="261" w:lineRule="auto"/>
        <w:tabs>
          <w:tab w:leader="none" w:pos="8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option awards represents the period of time between the grant date of the option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date the 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180" w:lineRule="exact"/>
        <w:rPr>
          <w:rFonts w:ascii="Arial" w:cs="Arial" w:eastAsia="Arial" w:hAnsi="Arial"/>
          <w:sz w:val="18"/>
          <w:szCs w:val="18"/>
          <w:i w:val="1"/>
          <w:iCs w:val="1"/>
          <w:color w:val="auto"/>
        </w:rPr>
      </w:pPr>
    </w:p>
    <w:p>
      <w:pPr>
        <w:jc w:val="both"/>
        <w:ind w:left="820" w:right="660" w:hanging="326"/>
        <w:spacing w:after="0" w:line="266" w:lineRule="auto"/>
        <w:tabs>
          <w:tab w:leader="none" w:pos="8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was calculated based on the Company’s historical stock prices, supplemented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with historical volatility of the common stock of several peer companies with characteristics similar to those of the Company.</w:t>
      </w:r>
    </w:p>
    <w:p>
      <w:pPr>
        <w:spacing w:after="0" w:line="176" w:lineRule="exact"/>
        <w:rPr>
          <w:rFonts w:ascii="Arial" w:cs="Arial" w:eastAsia="Arial" w:hAnsi="Arial"/>
          <w:sz w:val="18"/>
          <w:szCs w:val="18"/>
          <w:i w:val="1"/>
          <w:iCs w:val="1"/>
          <w:color w:val="auto"/>
        </w:rPr>
      </w:pPr>
    </w:p>
    <w:p>
      <w:pPr>
        <w:ind w:left="820" w:right="20" w:hanging="326"/>
        <w:spacing w:after="0" w:line="282"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U.S. Treasury yield curve in effect at the time of grant and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that approximated the Company’s expected term.</w:t>
      </w:r>
    </w:p>
    <w:p>
      <w:pPr>
        <w:spacing w:after="0" w:line="161" w:lineRule="exact"/>
        <w:rPr>
          <w:rFonts w:ascii="Arial" w:cs="Arial" w:eastAsia="Arial" w:hAnsi="Arial"/>
          <w:sz w:val="18"/>
          <w:szCs w:val="18"/>
          <w:color w:val="auto"/>
        </w:rPr>
      </w:pPr>
    </w:p>
    <w:p>
      <w:pPr>
        <w:ind w:left="820" w:right="580" w:hanging="326"/>
        <w:spacing w:after="0" w:line="282" w:lineRule="auto"/>
        <w:tabs>
          <w:tab w:leader="none" w:pos="8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was based on the Company’s dividend history and the anticipated dividend payout over its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200" w:lineRule="exact"/>
        <w:rPr>
          <w:rFonts w:ascii="Arial" w:cs="Arial" w:eastAsia="Arial" w:hAnsi="Arial"/>
          <w:sz w:val="18"/>
          <w:szCs w:val="18"/>
          <w:i w:val="1"/>
          <w:iCs w:val="1"/>
          <w:color w:val="auto"/>
        </w:rPr>
      </w:pPr>
    </w:p>
    <w:p>
      <w:pPr>
        <w:spacing w:after="0" w:line="276" w:lineRule="exact"/>
        <w:rPr>
          <w:rFonts w:ascii="Arial" w:cs="Arial" w:eastAsia="Arial" w:hAnsi="Arial"/>
          <w:sz w:val="18"/>
          <w:szCs w:val="18"/>
          <w:i w:val="1"/>
          <w:iCs w:val="1"/>
          <w:color w:val="auto"/>
        </w:rPr>
      </w:pPr>
    </w:p>
    <w:p>
      <w:pPr>
        <w:ind w:left="5460"/>
        <w:spacing w:after="0"/>
        <w:rPr>
          <w:rFonts w:ascii="Arial" w:cs="Arial" w:eastAsia="Arial" w:hAnsi="Arial"/>
          <w:sz w:val="18"/>
          <w:szCs w:val="18"/>
          <w:i w:val="1"/>
          <w:iCs w:val="1"/>
          <w:color w:val="auto"/>
        </w:rPr>
      </w:pPr>
      <w:r>
        <w:rPr>
          <w:rFonts w:ascii="Arial" w:cs="Arial" w:eastAsia="Arial" w:hAnsi="Arial"/>
          <w:sz w:val="18"/>
          <w:szCs w:val="18"/>
          <w:color w:val="auto"/>
        </w:rPr>
        <w:t>– 84 –</w:t>
      </w:r>
    </w:p>
    <w:p>
      <w:pPr>
        <w:sectPr>
          <w:pgSz w:w="11900" w:h="16838" w:orient="portrait"/>
          <w:cols w:equalWidth="0" w:num="1">
            <w:col w:w="11380"/>
          </w:cols>
          <w:pgMar w:left="240" w:top="229" w:right="279" w:bottom="1440" w:gutter="0" w:footer="0" w:header="0"/>
        </w:sectPr>
      </w:pPr>
    </w:p>
    <w:bookmarkStart w:id="84" w:name="page85"/>
    <w:bookmarkEnd w:id="8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4"/>
        </w:trPr>
        <w:tc>
          <w:tcPr>
            <w:tcW w:w="63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56"/>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6"/>
              </w:rPr>
              <w:t>2.83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0.76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1.29</w:t>
            </w:r>
          </w:p>
        </w:tc>
      </w:tr>
      <w:tr>
        <w:trPr>
          <w:trHeight w:val="260"/>
        </w:trPr>
        <w:tc>
          <w:tcPr>
            <w:tcW w:w="6320" w:type="dxa"/>
            <w:vAlign w:val="bottom"/>
          </w:tcPr>
          <w:p>
            <w:pPr>
              <w:ind w:left="40"/>
              <w:spacing w:after="0"/>
              <w:rPr>
                <w:sz w:val="20"/>
                <w:szCs w:val="20"/>
                <w:color w:val="auto"/>
              </w:rPr>
            </w:pPr>
            <w:r>
              <w:rPr>
                <w:rFonts w:ascii="Arial" w:cs="Arial" w:eastAsia="Arial" w:hAnsi="Arial"/>
                <w:sz w:val="16"/>
                <w:szCs w:val="16"/>
                <w:color w:val="auto"/>
              </w:rPr>
              <w:t>Expected term (in years)</w:t>
            </w:r>
          </w:p>
        </w:tc>
        <w:tc>
          <w:tcPr>
            <w:tcW w:w="980" w:type="dxa"/>
            <w:vAlign w:val="bottom"/>
          </w:tcPr>
          <w:p>
            <w:pPr>
              <w:spacing w:after="0"/>
              <w:rPr>
                <w:sz w:val="22"/>
                <w:szCs w:val="22"/>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2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4.5</w:t>
            </w:r>
          </w:p>
        </w:tc>
      </w:tr>
      <w:tr>
        <w:trPr>
          <w:trHeight w:val="28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88.5%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80.0%</w:t>
            </w:r>
          </w:p>
        </w:tc>
      </w:tr>
      <w:tr>
        <w:trPr>
          <w:trHeight w:val="260"/>
        </w:trPr>
        <w:tc>
          <w:tcPr>
            <w:tcW w:w="6320" w:type="dxa"/>
            <w:vAlign w:val="bottom"/>
          </w:tcPr>
          <w:p>
            <w:pPr>
              <w:ind w:left="40"/>
              <w:spacing w:after="0"/>
              <w:rPr>
                <w:sz w:val="20"/>
                <w:szCs w:val="20"/>
                <w:color w:val="auto"/>
              </w:rPr>
            </w:pPr>
            <w:r>
              <w:rPr>
                <w:rFonts w:ascii="Arial" w:cs="Arial" w:eastAsia="Arial" w:hAnsi="Arial"/>
                <w:sz w:val="16"/>
                <w:szCs w:val="16"/>
                <w:color w:val="auto"/>
              </w:rPr>
              <w:t>Annual risk-free rate of return</w:t>
            </w:r>
          </w:p>
        </w:tc>
        <w:tc>
          <w:tcPr>
            <w:tcW w:w="980" w:type="dxa"/>
            <w:vAlign w:val="bottom"/>
          </w:tcPr>
          <w:p>
            <w:pPr>
              <w:spacing w:after="0"/>
              <w:rPr>
                <w:sz w:val="22"/>
                <w:szCs w:val="22"/>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1.1%</w:t>
            </w:r>
          </w:p>
        </w:tc>
      </w:tr>
      <w:tr>
        <w:trPr>
          <w:trHeight w:val="28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the Company’s RSU awards granted is based upon the closing price of the Company’s stock price on the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fair value of the Company’s non-market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ind w:right="540" w:firstLine="486"/>
        <w:spacing w:after="0" w:line="256" w:lineRule="auto"/>
        <w:rPr>
          <w:sz w:val="20"/>
          <w:szCs w:val="20"/>
          <w:color w:val="auto"/>
        </w:rPr>
      </w:pPr>
      <w:r>
        <w:rPr>
          <w:rFonts w:ascii="Arial" w:cs="Arial" w:eastAsia="Arial" w:hAnsi="Arial"/>
          <w:sz w:val="18"/>
          <w:szCs w:val="18"/>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consolidated statements of operations for the periods presented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1,188</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3,879</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2,144</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3,115</w:t>
            </w:r>
          </w:p>
        </w:tc>
      </w:tr>
      <w:tr>
        <w:trPr>
          <w:trHeight w:val="23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11,432</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RSUs, and PSUs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10,691</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8,384</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stock purchase plan</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1,942</w:t>
            </w:r>
          </w:p>
        </w:tc>
      </w:tr>
      <w:tr>
        <w:trPr>
          <w:trHeight w:val="23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11,432</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As of December 31, 2018, there was approximately $17.1 million of total unrecognized stock-based compensation expense related to unvested equity awards expected to be recognized over a weighted-average period of 2.5 years.</w:t>
      </w:r>
    </w:p>
    <w:p>
      <w:pPr>
        <w:spacing w:after="0" w:line="19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 for the three years ended December 31, 2018.</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85 –</w:t>
      </w:r>
    </w:p>
    <w:p>
      <w:pPr>
        <w:sectPr>
          <w:pgSz w:w="11900" w:h="16838" w:orient="portrait"/>
          <w:cols w:equalWidth="0" w:num="1">
            <w:col w:w="11420"/>
          </w:cols>
          <w:pgMar w:left="240" w:top="229" w:right="239" w:bottom="1440" w:gutter="0" w:footer="0" w:header="0"/>
          <w:type w:val="continuous"/>
        </w:sectPr>
      </w:pPr>
    </w:p>
    <w:bookmarkStart w:id="85" w:name="page86"/>
    <w:bookmarkEnd w:id="8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 for the three years ended December 31, 2018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2"/>
        </w:trPr>
        <w:tc>
          <w:tcPr>
            <w:tcW w:w="900" w:type="dxa"/>
            <w:vAlign w:val="bottom"/>
            <w:tcBorders>
              <w:bottom w:val="single" w:sz="8" w:color="CCEEFF"/>
            </w:tcBorders>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64"/>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2015</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8,170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0.39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2016</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2017</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5,096</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21,547</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0"/>
              <w:spacing w:after="0"/>
              <w:rPr>
                <w:sz w:val="20"/>
                <w:szCs w:val="20"/>
                <w:color w:val="auto"/>
              </w:rPr>
            </w:pPr>
            <w:r>
              <w:rPr>
                <w:rFonts w:ascii="Arial" w:cs="Arial" w:eastAsia="Arial" w:hAnsi="Arial"/>
                <w:sz w:val="16"/>
                <w:szCs w:val="16"/>
                <w:color w:val="auto"/>
              </w:rPr>
              <w:t>Vested and expected to vest at December 31, 2018</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Borders>
              <w:bottom w:val="single" w:sz="8" w:color="CCEEFF"/>
            </w:tcBorders>
            <w:gridSpan w:val="2"/>
            <w:vMerge w:val="continue"/>
          </w:tcPr>
          <w:p>
            <w:pPr>
              <w:spacing w:after="0"/>
              <w:rPr>
                <w:sz w:val="22"/>
                <w:szCs w:val="22"/>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21,547</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Exercisable at December 31, 2018</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14,670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4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right="200" w:hanging="492"/>
        <w:spacing w:after="0" w:line="254"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intrinsic value of options exercised is based upon the value of the Company’s stock at exercise. The intrinsic value of options outstanding, vested and expected to vest, and exercisable as of December 31, 2018 is based on the closing price of the Company’s stock fair value on December 31, 2018 or the earlier of the last trading day prior to December 31, 2018, if December 31, 2018 is a non-trading day. The Company’s stock fair value used in this computation was $4.73 per share.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 at December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4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r>
      <w:tr>
        <w:trPr>
          <w:trHeight w:val="256"/>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$0.27 —– $0.79</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1,551</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1,349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0.45</w:t>
            </w:r>
          </w:p>
        </w:tc>
      </w:tr>
      <w:tr>
        <w:trPr>
          <w:trHeight w:val="260"/>
        </w:trPr>
        <w:tc>
          <w:tcPr>
            <w:tcW w:w="3540" w:type="dxa"/>
            <w:vAlign w:val="bottom"/>
            <w:gridSpan w:val="2"/>
          </w:tcPr>
          <w:p>
            <w:pPr>
              <w:jc w:val="center"/>
              <w:ind w:left="60"/>
              <w:spacing w:after="0"/>
              <w:rPr>
                <w:sz w:val="20"/>
                <w:szCs w:val="20"/>
                <w:color w:val="auto"/>
              </w:rPr>
            </w:pPr>
            <w:r>
              <w:rPr>
                <w:rFonts w:ascii="Arial" w:cs="Arial" w:eastAsia="Arial" w:hAnsi="Arial"/>
                <w:sz w:val="16"/>
                <w:szCs w:val="16"/>
                <w:color w:val="auto"/>
              </w:rPr>
              <w:t>$0.79 —– $1.29</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1,352</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1.21</w:t>
            </w:r>
          </w:p>
        </w:tc>
      </w:tr>
      <w:tr>
        <w:trPr>
          <w:trHeight w:val="28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$1.31 —– $1.31</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1,751</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r>
      <w:tr>
        <w:trPr>
          <w:trHeight w:val="260"/>
        </w:trPr>
        <w:tc>
          <w:tcPr>
            <w:tcW w:w="3540" w:type="dxa"/>
            <w:vAlign w:val="bottom"/>
            <w:gridSpan w:val="2"/>
          </w:tcPr>
          <w:p>
            <w:pPr>
              <w:jc w:val="center"/>
              <w:ind w:left="60"/>
              <w:spacing w:after="0"/>
              <w:rPr>
                <w:sz w:val="20"/>
                <w:szCs w:val="20"/>
                <w:color w:val="auto"/>
              </w:rPr>
            </w:pPr>
            <w:r>
              <w:rPr>
                <w:rFonts w:ascii="Arial" w:cs="Arial" w:eastAsia="Arial" w:hAnsi="Arial"/>
                <w:sz w:val="16"/>
                <w:szCs w:val="16"/>
                <w:color w:val="auto"/>
              </w:rPr>
              <w:t>$1.37 —– $2.61</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1,388</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1.86</w:t>
            </w:r>
          </w:p>
        </w:tc>
      </w:tr>
      <w:tr>
        <w:trPr>
          <w:trHeight w:val="28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$2.76 —– $12.57</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730</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7.15</w:t>
            </w:r>
          </w:p>
        </w:tc>
      </w:tr>
      <w:tr>
        <w:trPr>
          <w:trHeight w:val="234"/>
        </w:trPr>
        <w:tc>
          <w:tcPr>
            <w:tcW w:w="35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6,772</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4,645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1.87</w:t>
            </w: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29"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86 –</w:t>
      </w:r>
    </w:p>
    <w:p>
      <w:pPr>
        <w:sectPr>
          <w:pgSz w:w="11900" w:h="16838" w:orient="portrait"/>
          <w:cols w:equalWidth="0" w:num="1">
            <w:col w:w="11400"/>
          </w:cols>
          <w:pgMar w:left="240" w:top="229" w:right="259" w:bottom="1440" w:gutter="0" w:footer="0" w:header="0"/>
          <w:type w:val="continuous"/>
        </w:sectPr>
      </w:pPr>
    </w:p>
    <w:bookmarkStart w:id="86" w:name="page87"/>
    <w:bookmarkEnd w:id="8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RSU activity for the three years ended December 31, 2018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060" w:type="dxa"/>
            <w:vAlign w:val="bottom"/>
          </w:tcPr>
          <w:p>
            <w:pPr>
              <w:jc w:val="center"/>
              <w:ind w:right="122"/>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 at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1060" w:type="dxa"/>
            <w:vAlign w:val="bottom"/>
          </w:tcPr>
          <w:p>
            <w:pPr>
              <w:jc w:val="center"/>
              <w:ind w:right="102"/>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900" w:type="dxa"/>
            <w:vAlign w:val="bottom"/>
            <w:tcBorders>
              <w:bottom w:val="single" w:sz="8" w:color="CCEEFF"/>
            </w:tcBorders>
          </w:tcPr>
          <w:p>
            <w:pPr>
              <w:spacing w:after="0"/>
              <w:rPr>
                <w:sz w:val="17"/>
                <w:szCs w:val="17"/>
                <w:color w:val="auto"/>
              </w:rPr>
            </w:pPr>
          </w:p>
        </w:tc>
        <w:tc>
          <w:tcPr>
            <w:tcW w:w="5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Grant Date</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7"/>
              </w:rPr>
              <w:t xml:space="preserve">Value </w:t>
            </w:r>
            <w:r>
              <w:rPr>
                <w:rFonts w:ascii="Arial" w:cs="Arial" w:eastAsia="Arial" w:hAnsi="Arial"/>
                <w:sz w:val="17"/>
                <w:szCs w:val="17"/>
                <w:b w:val="1"/>
                <w:bCs w:val="1"/>
                <w:color w:val="auto"/>
                <w:w w:val="97"/>
                <w:vertAlign w:val="superscript"/>
              </w:rPr>
              <w:t>(1)</w:t>
            </w:r>
          </w:p>
        </w:tc>
      </w:tr>
      <w:tr>
        <w:trPr>
          <w:trHeight w:val="264"/>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2015</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0"/>
        </w:trPr>
        <w:tc>
          <w:tcPr>
            <w:tcW w:w="60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875</w:t>
            </w:r>
          </w:p>
        </w:tc>
      </w:tr>
      <w:tr>
        <w:trPr>
          <w:trHeight w:val="264"/>
        </w:trPr>
        <w:tc>
          <w:tcPr>
            <w:tcW w:w="6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r>
      <w:tr>
        <w:trPr>
          <w:trHeight w:val="257"/>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2016</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0"/>
        </w:trPr>
        <w:tc>
          <w:tcPr>
            <w:tcW w:w="60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5,418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932</w:t>
            </w:r>
          </w:p>
        </w:tc>
      </w:tr>
      <w:tr>
        <w:trPr>
          <w:trHeight w:val="264"/>
        </w:trPr>
        <w:tc>
          <w:tcPr>
            <w:tcW w:w="6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r>
      <w:tr>
        <w:trPr>
          <w:trHeight w:val="257"/>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2017</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0"/>
        </w:trPr>
        <w:tc>
          <w:tcPr>
            <w:tcW w:w="60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3,152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6,657</w:t>
            </w:r>
          </w:p>
        </w:tc>
      </w:tr>
      <w:tr>
        <w:trPr>
          <w:trHeight w:val="264"/>
        </w:trPr>
        <w:tc>
          <w:tcPr>
            <w:tcW w:w="6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r>
      <w:tr>
        <w:trPr>
          <w:trHeight w:val="24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20,586</w:t>
            </w:r>
          </w:p>
        </w:tc>
      </w:tr>
      <w:tr>
        <w:trPr>
          <w:trHeight w:val="20"/>
        </w:trPr>
        <w:tc>
          <w:tcPr>
            <w:tcW w:w="9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6040" w:type="dxa"/>
            <w:vAlign w:val="bottom"/>
            <w:gridSpan w:val="2"/>
          </w:tcPr>
          <w:p>
            <w:pPr>
              <w:ind w:left="40"/>
              <w:spacing w:after="0"/>
              <w:rPr>
                <w:sz w:val="20"/>
                <w:szCs w:val="20"/>
                <w:color w:val="auto"/>
              </w:rPr>
            </w:pPr>
            <w:r>
              <w:rPr>
                <w:rFonts w:ascii="Arial" w:cs="Arial" w:eastAsia="Arial" w:hAnsi="Arial"/>
                <w:sz w:val="16"/>
                <w:szCs w:val="16"/>
                <w:color w:val="auto"/>
              </w:rPr>
              <w:t>Expected to vest at December 31, 2018</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20,581</w:t>
            </w:r>
          </w:p>
        </w:tc>
      </w:tr>
      <w:tr>
        <w:trPr>
          <w:trHeight w:val="20"/>
        </w:trPr>
        <w:tc>
          <w:tcPr>
            <w:tcW w:w="9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5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121" w:lineRule="exact"/>
        <w:rPr>
          <w:sz w:val="20"/>
          <w:szCs w:val="20"/>
          <w:color w:val="auto"/>
        </w:rPr>
      </w:pPr>
    </w:p>
    <w:p>
      <w:pPr>
        <w:ind w:left="500" w:right="80" w:hanging="492"/>
        <w:spacing w:after="0" w:line="254"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intrinsic value of RSUs vested is based upon the value of the Company’s stock when vested. The intrinsic value of RSUs outstanding and expected to vest as of December 31, 2018 is based on the closing price of the Company’s stock on December 31, 2018 or the earlier of the last trading day prior to December 31, 2018, if December 31, 2018 is a non-trading day. The Company’s stock fair value used in this computation was $4.73 per share.</w:t>
      </w:r>
    </w:p>
    <w:p>
      <w:pPr>
        <w:spacing w:after="0" w:line="2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April 3, 2017, the Company commenced a Tender Offer (the “Offer”) to exchange out of the money stock options for RSUs. The Offer expired on May 1, 2017. Pursuant to the Offer, the Company accepted elections to exchange options to purchase 2,362,470 shares of common stock and issued replacement awards of RSUs for 733,559 shares of common stock. As the transaction approximated a value-for-value exchange, it did not have a material impact on the Company’s stock-based compensation expense.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00"/>
          </w:cols>
          <w:pgMar w:left="240" w:top="229" w:right="259" w:bottom="1440" w:gutter="0" w:footer="0" w:header="0"/>
        </w:sectPr>
      </w:pPr>
    </w:p>
    <w:bookmarkStart w:id="87" w:name="page88"/>
    <w:bookmarkEnd w:id="8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PSU activity for the year ended December 31, 2018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060" w:type="dxa"/>
            <w:vAlign w:val="bottom"/>
          </w:tcPr>
          <w:p>
            <w:pPr>
              <w:jc w:val="center"/>
              <w:ind w:right="12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9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 at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9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7"/>
                <w:szCs w:val="17"/>
                <w:color w:val="auto"/>
              </w:rPr>
            </w:pPr>
          </w:p>
        </w:tc>
        <w:tc>
          <w:tcPr>
            <w:tcW w:w="1060" w:type="dxa"/>
            <w:vAlign w:val="bottom"/>
          </w:tcPr>
          <w:p>
            <w:pPr>
              <w:jc w:val="center"/>
              <w:ind w:right="124"/>
              <w:spacing w:after="0"/>
              <w:rPr>
                <w:sz w:val="20"/>
                <w:szCs w:val="20"/>
                <w:color w:val="auto"/>
              </w:rPr>
            </w:pPr>
            <w:r>
              <w:rPr>
                <w:rFonts w:ascii="Arial" w:cs="Arial" w:eastAsia="Arial" w:hAnsi="Arial"/>
                <w:sz w:val="14"/>
                <w:szCs w:val="14"/>
                <w:b w:val="1"/>
                <w:bCs w:val="1"/>
                <w:color w:val="auto"/>
                <w:w w:val="97"/>
              </w:rPr>
              <w:t xml:space="preserve">Value </w:t>
            </w:r>
            <w:r>
              <w:rPr>
                <w:rFonts w:ascii="Arial" w:cs="Arial" w:eastAsia="Arial" w:hAnsi="Arial"/>
                <w:sz w:val="17"/>
                <w:szCs w:val="17"/>
                <w:b w:val="1"/>
                <w:bCs w:val="1"/>
                <w:color w:val="auto"/>
                <w:w w:val="97"/>
                <w:vertAlign w:val="superscript"/>
              </w:rPr>
              <w:t>(1)</w:t>
            </w:r>
          </w:p>
        </w:tc>
      </w:tr>
      <w:tr>
        <w:trPr>
          <w:trHeight w:val="264"/>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2017</w:t>
            </w: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60"/>
        </w:trPr>
        <w:tc>
          <w:tcPr>
            <w:tcW w:w="60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1,477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6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r>
      <w:tr>
        <w:trPr>
          <w:trHeight w:val="24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6,291</w:t>
            </w:r>
          </w:p>
        </w:tc>
      </w:tr>
      <w:tr>
        <w:trPr>
          <w:trHeight w:val="20"/>
        </w:trPr>
        <w:tc>
          <w:tcPr>
            <w:tcW w:w="9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6040" w:type="dxa"/>
            <w:vAlign w:val="bottom"/>
            <w:gridSpan w:val="2"/>
          </w:tcPr>
          <w:p>
            <w:pPr>
              <w:ind w:left="40"/>
              <w:spacing w:after="0"/>
              <w:rPr>
                <w:sz w:val="20"/>
                <w:szCs w:val="20"/>
                <w:color w:val="auto"/>
              </w:rPr>
            </w:pPr>
            <w:r>
              <w:rPr>
                <w:rFonts w:ascii="Arial" w:cs="Arial" w:eastAsia="Arial" w:hAnsi="Arial"/>
                <w:sz w:val="16"/>
                <w:szCs w:val="16"/>
                <w:color w:val="auto"/>
              </w:rPr>
              <w:t>Expected to vest at December 31, 2018</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6,291</w:t>
            </w:r>
          </w:p>
        </w:tc>
      </w:tr>
      <w:tr>
        <w:trPr>
          <w:trHeight w:val="20"/>
        </w:trPr>
        <w:tc>
          <w:tcPr>
            <w:tcW w:w="9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5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121" w:lineRule="exact"/>
        <w:rPr>
          <w:sz w:val="20"/>
          <w:szCs w:val="20"/>
          <w:color w:val="auto"/>
        </w:rPr>
      </w:pPr>
    </w:p>
    <w:p>
      <w:pPr>
        <w:ind w:left="500" w:hanging="492"/>
        <w:spacing w:after="0" w:line="254"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intrinsic value of PSUs vested is based upon the value of the Company’s stock when vested. The intrinsic value of PSUs outstanding and expected to vest as of December 31, 2018 is based on the closing price of the Company’s stock on December 31, 2018 or the earlier of the last trading day prior to December 31, 2018, if December 31, 2018 is a non-trading day. The Company’s stock fair value used in this computation was $4.73 per share.</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Stock-based compensation expense is measured at the grant date based on the fair value of the award. During the second quarter of 2018 the Company issued PSU grants of 1.44 million shares, of which 720 thousand shares include market conditions. Each grantee is granted a target award of PSUs and may earn between 0% and 150% of the target award depending on the Company’s performance against the performance goals. The grant date fair value of PSUs without market conditions is recognized as expense when the performance condition is probable of being achieved, and then on a graded basis over the requisite service period. The grant date fair value of PSUs with market conditions is recognized as expense on a straight-line basis over the requisite service period. The weighted average estimated fair value of the PSUs without market conditions was $ 4.57 per share, and the weighted average estimated fair value of the PSUs with market conditions, based on the Monte Carlo model, was $4.54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ESPP activity for the years presented is as follows: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common stock issued under ESPP</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999</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Shares of common stock issued</w:t>
            </w:r>
          </w:p>
        </w:tc>
        <w:tc>
          <w:tcPr>
            <w:tcW w:w="9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659</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price per share</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domestic and foreign components of loss before income taxes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(67,631)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4,093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1,644</w:t>
            </w:r>
          </w:p>
        </w:tc>
      </w:tr>
      <w:tr>
        <w:trPr>
          <w:trHeight w:val="24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before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(65,987)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29"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88 –</w:t>
      </w:r>
    </w:p>
    <w:p>
      <w:pPr>
        <w:sectPr>
          <w:pgSz w:w="11900" w:h="16838" w:orient="portrait"/>
          <w:cols w:equalWidth="0" w:num="1">
            <w:col w:w="11400"/>
          </w:cols>
          <w:pgMar w:left="240" w:top="229" w:right="259" w:bottom="1440" w:gutter="0" w:footer="0" w:header="0"/>
          <w:type w:val="continuous"/>
        </w:sectPr>
      </w:pPr>
    </w:p>
    <w:bookmarkStart w:id="88" w:name="page89"/>
    <w:bookmarkEnd w:id="8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(benefit from) income taxes for the years presented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785</w:t>
            </w:r>
          </w:p>
        </w:tc>
      </w:tr>
      <w:tr>
        <w:trPr>
          <w:trHeight w:val="257"/>
        </w:trPr>
        <w:tc>
          <w:tcPr>
            <w:tcW w:w="67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821</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594</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State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59</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r>
      <w:tr>
        <w:trPr>
          <w:trHeight w:val="250"/>
        </w:trPr>
        <w:tc>
          <w:tcPr>
            <w:tcW w:w="67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654</w:t>
            </w:r>
          </w:p>
        </w:tc>
      </w:tr>
      <w:tr>
        <w:trPr>
          <w:trHeight w:val="24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reconciliation of the provision for (benefit from) income taxes and the amount computed by applying the statutory federal income tax rate of 21% in 2018 and 34% in 2017 and 2016 to loss before income taxes for the years presented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at statutory federal rate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(22,435)</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920" w:type="dxa"/>
            <w:vAlign w:val="bottom"/>
          </w:tcPr>
          <w:p>
            <w:pPr>
              <w:spacing w:after="0"/>
              <w:rPr>
                <w:sz w:val="22"/>
                <w:szCs w:val="22"/>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63</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21,370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Foreign tax rate and tax law differential</w:t>
            </w:r>
          </w:p>
        </w:tc>
        <w:tc>
          <w:tcPr>
            <w:tcW w:w="920" w:type="dxa"/>
            <w:vAlign w:val="bottom"/>
          </w:tcPr>
          <w:p>
            <w:pPr>
              <w:spacing w:after="0"/>
              <w:rPr>
                <w:sz w:val="22"/>
                <w:szCs w:val="22"/>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credits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1,775</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permanent items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776</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nondeductible/nontaxable items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(5,112)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920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Tax law changes</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34,141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GILTI</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6"/>
                <w:szCs w:val="16"/>
                <w:color w:val="auto"/>
              </w:rPr>
              <w:t>Section 162(m)</w:t>
            </w:r>
          </w:p>
        </w:tc>
        <w:tc>
          <w:tcPr>
            <w:tcW w:w="920" w:type="dxa"/>
            <w:vAlign w:val="bottom"/>
          </w:tcPr>
          <w:p>
            <w:pPr>
              <w:spacing w:after="0"/>
              <w:rPr>
                <w:sz w:val="22"/>
                <w:szCs w:val="22"/>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40"/>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(benefit from) income taxes</w:t>
            </w:r>
          </w:p>
        </w:tc>
        <w:tc>
          <w:tcPr>
            <w:tcW w:w="92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1,475</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00"/>
          </w:cols>
          <w:pgMar w:left="240" w:top="229" w:right="259" w:bottom="1440" w:gutter="0" w:footer="0" w:header="0"/>
        </w:sectPr>
      </w:pPr>
    </w:p>
    <w:bookmarkStart w:id="89" w:name="page90"/>
    <w:bookmarkEnd w:id="8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A summary of significant components of the Company’s deferred tax assets and liabilities as of December 31, 2018 and 2017 is as follows (in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8320" w:type="dxa"/>
            <w:vAlign w:val="bottom"/>
          </w:tcPr>
          <w:p>
            <w:pPr>
              <w:ind w:left="160"/>
              <w:spacing w:after="0"/>
              <w:rPr>
                <w:sz w:val="20"/>
                <w:szCs w:val="20"/>
                <w:color w:val="auto"/>
              </w:rPr>
            </w:pPr>
            <w:r>
              <w:rPr>
                <w:rFonts w:ascii="Arial" w:cs="Arial" w:eastAsia="Arial" w:hAnsi="Arial"/>
                <w:sz w:val="16"/>
                <w:szCs w:val="16"/>
                <w:color w:val="auto"/>
              </w:rPr>
              <w:t>Allowances and reserves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10,022</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9,748</w:t>
            </w:r>
          </w:p>
        </w:tc>
      </w:tr>
      <w:tr>
        <w:trPr>
          <w:trHeight w:val="280"/>
        </w:trPr>
        <w:tc>
          <w:tcPr>
            <w:tcW w:w="8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operating loss and tax credit carryforwards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71,568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66,243</w:t>
            </w:r>
          </w:p>
        </w:tc>
      </w:tr>
      <w:tr>
        <w:trPr>
          <w:trHeight w:val="260"/>
        </w:trPr>
        <w:tc>
          <w:tcPr>
            <w:tcW w:w="832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3,662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2,528</w:t>
            </w:r>
          </w:p>
        </w:tc>
      </w:tr>
      <w:tr>
        <w:trPr>
          <w:trHeight w:val="280"/>
        </w:trPr>
        <w:tc>
          <w:tcPr>
            <w:tcW w:w="8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19,562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7,210</w:t>
            </w:r>
          </w:p>
        </w:tc>
      </w:tr>
      <w:tr>
        <w:trPr>
          <w:trHeight w:val="260"/>
        </w:trPr>
        <w:tc>
          <w:tcPr>
            <w:tcW w:w="8320" w:type="dxa"/>
            <w:vAlign w:val="bottom"/>
          </w:tcPr>
          <w:p>
            <w:pPr>
              <w:ind w:left="160"/>
              <w:spacing w:after="0"/>
              <w:rPr>
                <w:sz w:val="20"/>
                <w:szCs w:val="20"/>
                <w:color w:val="auto"/>
              </w:rPr>
            </w:pPr>
            <w:r>
              <w:rPr>
                <w:rFonts w:ascii="Arial" w:cs="Arial" w:eastAsia="Arial" w:hAnsi="Arial"/>
                <w:sz w:val="16"/>
                <w:szCs w:val="16"/>
                <w:color w:val="auto"/>
              </w:rPr>
              <w:t>Fixed assets and intangibles</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3,836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4,369</w:t>
            </w:r>
          </w:p>
        </w:tc>
      </w:tr>
      <w:tr>
        <w:trPr>
          <w:trHeight w:val="280"/>
        </w:trPr>
        <w:tc>
          <w:tcPr>
            <w:tcW w:w="8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 163(j) interest carryforward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w:t>
            </w:r>
          </w:p>
        </w:tc>
      </w:tr>
      <w:tr>
        <w:trPr>
          <w:trHeight w:val="257"/>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Subtotal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112,798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90,376</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(98,631)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(88,789)</w:t>
            </w:r>
          </w:p>
        </w:tc>
      </w:tr>
      <w:tr>
        <w:trPr>
          <w:trHeight w:val="257"/>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deferred tax assets, net of valuation allowance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14,167</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1,587</w:t>
            </w:r>
          </w:p>
        </w:tc>
      </w:tr>
      <w:tr>
        <w:trPr>
          <w:trHeight w:val="254"/>
        </w:trPr>
        <w:tc>
          <w:tcPr>
            <w:tcW w:w="83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260"/>
        </w:trPr>
        <w:tc>
          <w:tcPr>
            <w:tcW w:w="8320" w:type="dxa"/>
            <w:vAlign w:val="bottom"/>
          </w:tcPr>
          <w:p>
            <w:pPr>
              <w:ind w:left="160"/>
              <w:spacing w:after="0"/>
              <w:rPr>
                <w:sz w:val="20"/>
                <w:szCs w:val="20"/>
                <w:color w:val="auto"/>
              </w:rPr>
            </w:pPr>
            <w:r>
              <w:rPr>
                <w:rFonts w:ascii="Arial" w:cs="Arial" w:eastAsia="Arial" w:hAnsi="Arial"/>
                <w:sz w:val="16"/>
                <w:szCs w:val="16"/>
                <w:color w:val="auto"/>
              </w:rPr>
              <w:t>Unremitted foreign earnings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3"/>
        </w:trPr>
        <w:tc>
          <w:tcPr>
            <w:tcW w:w="8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cost of goods sold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(13,741)</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r>
      <w:tr>
        <w:trPr>
          <w:trHeight w:val="24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deferred tax asset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Accounting for income taxes requires that companies assess whether valuation allowances should be established against their deferred tax assets based on consideration of all available evidence, both positive and negative, using a “more likely than not” standard. This assessment considers, among other matters, the nature, frequency and amount of recent losses, the duration of statutory carryforward periods, and tax planning strategies. In making such judgments, significant weight is given to evidence that can be objectively verified. Due to the history of losses the Company has generated in the U.S. since inception, the Company believes that it is more-likely-than-not that all of its U.S. and state deferred tax assets will not be realized as of December 31, 2018. Therefore, the Company has maintained a full valuation allowance on its U.S. and state deferred tax assets at December 31, 2018; this is an increase of $ 9.8 million. Should the Company determine that it would be able to realize its deferred tax assets in the foreseeable future, an adjustment to the deferred tax assets may cause a material increase to income in the period such determination is made. Significant management judgment is required in determining the period in which the reversal of a valuation allowance should occur.</w:t>
      </w:r>
    </w:p>
    <w:p>
      <w:pPr>
        <w:spacing w:after="0" w:line="212"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December 22, 2017, H.R. 1 (the “Act”) was enacted and included broad tax reforms. The Act reduced the U.S. corporate tax rate from 35% to 21% effective January 1, 2018. The rate change resulted in a $28.3 million reduction in the Company’s 2017 deferred tax asset balance from 2016. Tax law changes created the ability for federal indefinite lived assets to be generated in the years following 2017. As such, an income tax benefit was recorded to reduce the domestic indefinite lived liability that is now partially offset by indefinite lived deferred tax assets. The Company has elected to treat taxes on Global Intangible Low Tax Income (“GILTI”) as period costs. The Act also imposed a deemed repatriation of foreign earnings previously considered deferred for U.S. tax purposes. The Company had previously recorded a deferred tax liability for such unremitted earnings that were not considered permanently reinvested in the foreign jurisdictions. As of December 31, 2017, the Company has recognized the previously deferred federal liability in accordance with the Act. As of December 31, 2018, the Company continues to include deferred tax liabilities for potential future tax consequences of remitting such earnings, such as foreign withholding and state taxes.</w:t>
      </w:r>
    </w:p>
    <w:p>
      <w:pPr>
        <w:spacing w:after="0" w:line="196"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Company has net operating loss carryforwards for federal and California income tax purposes of approximately $193.4 million and $101.2 million, respectively, as of December 31, 2018. The federal and state net operating loss carryforwards, if not utilized, will expire beginning in 2028.</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90 –</w:t>
      </w:r>
    </w:p>
    <w:p>
      <w:pPr>
        <w:sectPr>
          <w:pgSz w:w="11900" w:h="16838" w:orient="portrait"/>
          <w:cols w:equalWidth="0" w:num="1">
            <w:col w:w="11420"/>
          </w:cols>
          <w:pgMar w:left="240" w:top="229" w:right="239" w:bottom="1440" w:gutter="0" w:footer="0" w:header="0"/>
          <w:type w:val="continuous"/>
        </w:sectPr>
      </w:pPr>
    </w:p>
    <w:bookmarkStart w:id="90" w:name="page91"/>
    <w:bookmarkEnd w:id="9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Company has approximately $11.8 million of federal research credit and $12.1 million of state research credit carryforwards. The federal credits begin to expire in 2026 and the state credits can be carried forward indefinitely.</w:t>
      </w:r>
    </w:p>
    <w:p>
      <w:pPr>
        <w:spacing w:after="0" w:line="196" w:lineRule="exact"/>
        <w:rPr>
          <w:sz w:val="20"/>
          <w:szCs w:val="20"/>
          <w:color w:val="auto"/>
        </w:rPr>
      </w:pPr>
    </w:p>
    <w:p>
      <w:pPr>
        <w:ind w:right="700" w:firstLine="486"/>
        <w:spacing w:after="0" w:line="256" w:lineRule="auto"/>
        <w:rPr>
          <w:sz w:val="20"/>
          <w:szCs w:val="20"/>
          <w:color w:val="auto"/>
        </w:rPr>
      </w:pPr>
      <w:r>
        <w:rPr>
          <w:rFonts w:ascii="Arial" w:cs="Arial" w:eastAsia="Arial" w:hAnsi="Arial"/>
          <w:sz w:val="18"/>
          <w:szCs w:val="18"/>
          <w:color w:val="auto"/>
        </w:rPr>
        <w:t>Utilization of some of the federal and state net operating loss and credit carryforwards are subject to annual limitations due to the “change in ownership” provisions of the Internal Revenue Code of 1986 and similar state provisions. The Company has completed a Section 382 analysis through December 31, 2018, which indicated no such change has occurred through December 31, 2018.</w:t>
      </w:r>
    </w:p>
    <w:p>
      <w:pPr>
        <w:spacing w:after="0" w:line="202" w:lineRule="exact"/>
        <w:rPr>
          <w:sz w:val="20"/>
          <w:szCs w:val="20"/>
          <w:color w:val="auto"/>
        </w:rPr>
      </w:pPr>
    </w:p>
    <w:p>
      <w:pPr>
        <w:jc w:val="both"/>
        <w:ind w:right="500" w:firstLine="486"/>
        <w:spacing w:after="0" w:line="254" w:lineRule="auto"/>
        <w:rPr>
          <w:sz w:val="20"/>
          <w:szCs w:val="20"/>
          <w:color w:val="auto"/>
        </w:rPr>
      </w:pPr>
      <w:r>
        <w:rPr>
          <w:rFonts w:ascii="Arial" w:cs="Arial" w:eastAsia="Arial" w:hAnsi="Arial"/>
          <w:sz w:val="18"/>
          <w:szCs w:val="18"/>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 Company recorded a net charge for unrecognized tax benefits in 2018 of $0.2 million.</w:t>
      </w:r>
    </w:p>
    <w:p>
      <w:pPr>
        <w:spacing w:after="0" w:line="204"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tabular reconciliation of the total amounts of unrecognized tax benefits for the years presented is as follows (in thousands):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r>
      <w:tr>
        <w:trPr>
          <w:trHeight w:val="25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benefits—at beginning of year</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9"/>
              </w:rPr>
              <w:t>6,106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5,482</w:t>
            </w:r>
          </w:p>
        </w:tc>
      </w:tr>
      <w:tr>
        <w:trPr>
          <w:trHeight w:val="260"/>
        </w:trPr>
        <w:tc>
          <w:tcPr>
            <w:tcW w:w="6940" w:type="dxa"/>
            <w:vAlign w:val="bottom"/>
          </w:tcPr>
          <w:p>
            <w:pPr>
              <w:ind w:left="160"/>
              <w:spacing w:after="0"/>
              <w:rPr>
                <w:sz w:val="20"/>
                <w:szCs w:val="20"/>
                <w:color w:val="auto"/>
              </w:rPr>
            </w:pPr>
            <w:r>
              <w:rPr>
                <w:rFonts w:ascii="Arial" w:cs="Arial" w:eastAsia="Arial" w:hAnsi="Arial"/>
                <w:sz w:val="16"/>
                <w:szCs w:val="16"/>
                <w:color w:val="auto"/>
              </w:rPr>
              <w:t>Decreases in balances related to tax positions taken in prior years</w:t>
            </w:r>
          </w:p>
        </w:tc>
        <w:tc>
          <w:tcPr>
            <w:tcW w:w="8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6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Increases in balances related to tax positions taken in current year</w:t>
            </w:r>
          </w:p>
        </w:tc>
        <w:tc>
          <w:tcPr>
            <w:tcW w:w="8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r>
      <w:tr>
        <w:trPr>
          <w:trHeight w:val="264"/>
        </w:trPr>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Lapses in statutes of limitations</w:t>
            </w: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4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benefits—at end of year</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6,325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6,016</w:t>
            </w: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Company includes interest and penalties related to unrecognized tax benefits within the benefit from (provision for) income taxes. As of years ended December 31, 2018 and 2017, the total amount of gross interest and penalties accrued in each year was immaterial. Both the unrecognized tax benefits and the associated interest and penalties that are not expected to result in payment or receipt of cash within one year are classified as other non-current liabilities in the consolidated balance sheets. In connection with tax matters, the Company’s interest and penalty expense recognized in 2018, 2017 and 2016 in the consolidated statement of operations was immaterial.</w:t>
      </w:r>
    </w:p>
    <w:p>
      <w:pPr>
        <w:spacing w:after="0" w:line="9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Company’s tax returns continue to remain effectively subject to examination by U.S. federal authorities for the years 2006 through 2018 and by California state authorities for the years 2006 through 2018 due to use and carryovers of net operating losses and credits.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CONCENTRATION OF CREDIT RISK AND MAJOR CUSTOMERS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w:t>
      </w:r>
    </w:p>
    <w:p>
      <w:pPr>
        <w:spacing w:after="0" w:line="202" w:lineRule="exact"/>
        <w:rPr>
          <w:sz w:val="20"/>
          <w:szCs w:val="20"/>
          <w:color w:val="auto"/>
        </w:rPr>
      </w:pPr>
    </w:p>
    <w:p>
      <w:pPr>
        <w:jc w:val="both"/>
        <w:ind w:right="460" w:firstLine="486"/>
        <w:spacing w:after="0" w:line="256" w:lineRule="auto"/>
        <w:rPr>
          <w:sz w:val="20"/>
          <w:szCs w:val="20"/>
          <w:color w:val="auto"/>
        </w:rPr>
      </w:pPr>
      <w:r>
        <w:rPr>
          <w:rFonts w:ascii="Arial" w:cs="Arial" w:eastAsia="Arial" w:hAnsi="Arial"/>
          <w:sz w:val="18"/>
          <w:szCs w:val="18"/>
          <w:color w:val="auto"/>
        </w:rPr>
        <w:t>Accounts receivable can be potentially exposed to a concentration of credit risk with its major customers. As of December 31, 2018, amounts due from two customers represented approximately 22% and 13% of the total accounts receivable balance. As of December 31, 2017, amounts due from one customer represented 22% of the total accounts receivable balance.</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In 2018, one customer accounted for approximately 19% of total net revenues. In 2017, two customers accounted for approximately 15% and 11% of total net revenues. In 2016, one customer accounted for approximately 18% of total net revenues.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229" w:right="239" w:bottom="1440" w:gutter="0" w:footer="0" w:header="0"/>
        </w:sectPr>
      </w:pPr>
    </w:p>
    <w:bookmarkStart w:id="91" w:name="page92"/>
    <w:bookmarkEnd w:id="9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Basic net loss per share is computed by dividing net loss by the weighted average number of shares of common stock outstanding during the period. Diluted loss per share is computed in a similar manner, but it also includes the effect of potential common shares outstanding during the period, when dilutive. Potential common shares include outstanding in-the-money stock options, RSUs, PSUs, shares to be purchased under the Company’s ESPP, warrants to purchase common stock, and the Notes. The dilutive effect of potentially dilutive common shares is reflected in diluted earnings per share by application of the treasury stock method. To the extent these potential common shares are antidilutive, they are excluded from the calculation of diluted net loss per share.</w:t>
      </w:r>
    </w:p>
    <w:p>
      <w:pPr>
        <w:spacing w:after="0" w:line="20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94"/>
        </w:trPr>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(67,462)</w:t>
            </w:r>
          </w:p>
        </w:tc>
      </w:tr>
      <w:tr>
        <w:trPr>
          <w:trHeight w:val="281"/>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99,619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82,939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50,519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per share, basic and diluted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RSUs, PSUs, shares to be purchased under the Company’s ESPP, warrants to purchase common stock, and the Notes have been excluded from the diluted net loss per share computations because the effect of including such shares would have been anti-dilutive.</w:t>
      </w:r>
    </w:p>
    <w:p>
      <w:pPr>
        <w:spacing w:after="0" w:line="202"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7,710</w:t>
            </w:r>
          </w:p>
        </w:tc>
        <w:tc>
          <w:tcPr>
            <w:tcW w:w="168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8,433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8,981</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RSUs and PSUs</w:t>
            </w:r>
          </w:p>
        </w:tc>
        <w:tc>
          <w:tcPr>
            <w:tcW w:w="1400" w:type="dxa"/>
            <w:vAlign w:val="bottom"/>
          </w:tcPr>
          <w:p>
            <w:pPr>
              <w:jc w:val="right"/>
              <w:spacing w:after="0"/>
              <w:rPr>
                <w:sz w:val="20"/>
                <w:szCs w:val="20"/>
                <w:color w:val="auto"/>
              </w:rPr>
            </w:pPr>
            <w:r>
              <w:rPr>
                <w:rFonts w:ascii="Arial" w:cs="Arial" w:eastAsia="Arial" w:hAnsi="Arial"/>
                <w:sz w:val="16"/>
                <w:szCs w:val="16"/>
                <w:color w:val="auto"/>
              </w:rPr>
              <w:t>5,273</w:t>
            </w:r>
          </w:p>
        </w:tc>
        <w:tc>
          <w:tcPr>
            <w:tcW w:w="1680" w:type="dxa"/>
            <w:vAlign w:val="bottom"/>
            <w:gridSpan w:val="3"/>
          </w:tcPr>
          <w:p>
            <w:pPr>
              <w:jc w:val="right"/>
              <w:ind w:right="43"/>
              <w:spacing w:after="0"/>
              <w:rPr>
                <w:sz w:val="20"/>
                <w:szCs w:val="20"/>
                <w:color w:val="auto"/>
              </w:rPr>
            </w:pPr>
            <w:r>
              <w:rPr>
                <w:rFonts w:ascii="Arial" w:cs="Arial" w:eastAsia="Arial" w:hAnsi="Arial"/>
                <w:sz w:val="16"/>
                <w:szCs w:val="16"/>
                <w:color w:val="auto"/>
              </w:rPr>
              <w:t>3,029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906</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Warrants to purchase common stock</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1,083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Convertible notes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4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24,684</w:t>
            </w:r>
          </w:p>
        </w:tc>
        <w:tc>
          <w:tcPr>
            <w:tcW w:w="168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12,545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AND GEOGRAPHIC INFORMATION</w:t>
      </w:r>
    </w:p>
    <w:p>
      <w:pPr>
        <w:spacing w:after="0" w:line="247"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solutions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92 –</w:t>
      </w:r>
    </w:p>
    <w:p>
      <w:pPr>
        <w:sectPr>
          <w:pgSz w:w="11900" w:h="16838" w:orient="portrait"/>
          <w:cols w:equalWidth="0" w:num="1">
            <w:col w:w="11420"/>
          </w:cols>
          <w:pgMar w:left="240" w:top="229" w:right="239" w:bottom="1440" w:gutter="0" w:footer="0" w:header="0"/>
          <w:type w:val="continuous"/>
        </w:sectPr>
      </w:pPr>
    </w:p>
    <w:bookmarkStart w:id="92" w:name="page93"/>
    <w:bookmarkEnd w:id="9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tables present net revenues (based on the destination of shipments) and long-lived assets by geographic region as of and for the periods presented (in thousands):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219,600</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199,565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259,080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96,559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86,601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63,511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316,159</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286,166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322,591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Long-Lived Assets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13,146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16,899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China</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5,504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7,164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2,420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20,998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26,483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August 2018, the Company and SunPower, which at December 31, 2018, holds 7.5 million shares of the Company’s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well as the ability to appoint a board member to the Company’s board of directors, entered into a Master Supply Agreement (“MSA”).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MSA, the Company becomes the exclusive supplier of module level power electronics (“MLPEs”) for SunPower’s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residential business in U.S. for a period of five years. Revenue recognized under the MSA for the year ended December 31, 2018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$12.4 million. At December 31, 2018, the Company had account receivables of $10.3 million from SunPower. There are no special terms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arrangements under the MSA. See Note 20. “Acquisition,” for additional information related to this MSA.</w:t>
      </w:r>
    </w:p>
    <w:p>
      <w:pPr>
        <w:spacing w:after="0" w:line="225"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August 2018, a member of the Company’s board of directors and a stockholder, Thurman John Rodgers, purchased $5.0 million aggregate principal amount of the Notes in a concurrent private placement. As of December 31, 2018, $5.0 million aggregate principal amount of the Notes were outstanding. See Note 11. “Debt,” for additional information related to this purchase.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ACQUISITION</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On August 9, 2018, the Company completed its acquisition of SunPower’s microinverter business pursuant to an APA by which the Company acquired certain assets and liabilities of SunPower relating to the research and development and manufacturing of microinverters. The acquisition was accounted for as a business combination and, accordingly, the total purchase price was allocated to the preliminary net tangible and intangible assets and liabilities based on their preliminary fair values on the acquisition date.</w:t>
      </w:r>
    </w:p>
    <w:p>
      <w:pPr>
        <w:spacing w:after="0" w:line="204"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In conjunction with the APA, the Company entered into an MSA with SunPower. Pursuant to the terms of the MSA, the Company becomes the exclusive supplier of MLPEs for SunPower’s residential business in the U.S. for a period of five years. The resulting customer relationship intangible is accounted for as a distinct transaction from the acquired business.</w:t>
      </w:r>
    </w:p>
    <w:p>
      <w:pPr>
        <w:spacing w:after="0" w:line="202"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acquisition date fair value of the consideration transferred was approximately $57.3 million, which consisted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consideration</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Common stock issued</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32,319</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57,319</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93 –</w:t>
      </w:r>
    </w:p>
    <w:p>
      <w:pPr>
        <w:sectPr>
          <w:pgSz w:w="11900" w:h="16838" w:orient="portrait"/>
          <w:cols w:equalWidth="0" w:num="1">
            <w:col w:w="11420"/>
          </w:cols>
          <w:pgMar w:left="240" w:top="229" w:right="239" w:bottom="1440" w:gutter="0" w:footer="0" w:header="0"/>
          <w:type w:val="continuous"/>
        </w:sectPr>
      </w:pPr>
    </w:p>
    <w:bookmarkStart w:id="93" w:name="page94"/>
    <w:bookmarkEnd w:id="9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fair value of the Company’s 7.5 million shares of common stock issued, valued at $ 32.3 million, was determined based on the closing market price of the Company’s common stock on the acquisition date, less a discount of 14% to 30% (depending on the year) for lack of marketability as the shares issued are subject to a restriction that limits their trade or transfer with a lock-up period of six months and restrictions on the number of shares that can be transferred by SunPower in each six-month period following the lock-up period.</w:t>
      </w:r>
    </w:p>
    <w:p>
      <w:pPr>
        <w:spacing w:after="0" w:line="20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at the acquisition date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36,200</w:t>
            </w:r>
          </w:p>
        </w:tc>
      </w:tr>
      <w:tr>
        <w:trPr>
          <w:trHeight w:val="237"/>
        </w:trPr>
        <w:tc>
          <w:tcPr>
            <w:tcW w:w="9920" w:type="dxa"/>
            <w:vAlign w:val="bottom"/>
          </w:tcPr>
          <w:p>
            <w:pPr>
              <w:ind w:left="40"/>
              <w:spacing w:after="0"/>
              <w:rPr>
                <w:sz w:val="20"/>
                <w:szCs w:val="20"/>
                <w:color w:val="auto"/>
              </w:rPr>
            </w:pPr>
            <w:r>
              <w:rPr>
                <w:rFonts w:ascii="Arial" w:cs="Arial" w:eastAsia="Arial" w:hAnsi="Arial"/>
                <w:sz w:val="16"/>
                <w:szCs w:val="16"/>
                <w:color w:val="auto"/>
              </w:rPr>
              <w:t>Goodwill</w:t>
            </w:r>
          </w:p>
        </w:tc>
        <w:tc>
          <w:tcPr>
            <w:tcW w:w="5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21,119</w:t>
            </w:r>
          </w:p>
        </w:tc>
      </w:tr>
      <w:tr>
        <w:trPr>
          <w:trHeight w:val="33"/>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57,319</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excess of the consideration paid over the fair values assigned to the assets acquired and liabilities assumed represents the goodwill resulting from the acquisition. The $ 21.1 million of goodwill recognized is attributable primarily to the benefits the Company expects to derive from enhanced scale and efficiency to better serve its markets. Goodwill is expected to be deductible over the next 15 years for income tax purposes.</w:t>
      </w:r>
    </w:p>
    <w:p>
      <w:pPr>
        <w:spacing w:after="0" w:line="204"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fair values assigned to tangible and identifiable intangible assets acquired are based on management’s estimates and assumptions. The fair values of assets acquired are preliminary and may be subject to change within the measurement period as the fair value assessments are finalized.</w:t>
      </w:r>
    </w:p>
    <w:p>
      <w:pPr>
        <w:spacing w:after="0" w:line="202"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 following table shows the fair value of the separately identifiable intangible assets at the time of acquisition and the period over which each intangible asset will be amortized: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Preliminary fair</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196"/>
        </w:trPr>
        <w:tc>
          <w:tcPr>
            <w:tcW w:w="8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13,100</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Customer relationship</w:t>
            </w:r>
          </w:p>
        </w:tc>
        <w:tc>
          <w:tcPr>
            <w:tcW w:w="16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23,100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9</w:t>
            </w:r>
          </w:p>
        </w:tc>
      </w:tr>
      <w:tr>
        <w:trPr>
          <w:trHeight w:val="33"/>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3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identifiable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36,200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developed technology acquired is embedded in the microinverters that SunPower sells to its customers. The Company already has developed microinverter technology and the Company will supply its microinverters to SunPower through the term of the MSA. The Company does not intend to actively use the developed technology acquired from SunPower but does plan to hold the developed technology to prevent others from using it. Therefore, the Company will account for the developed technology as a defensive intangible asset. The Company expects to realize the benefits of the developed technology over the period of time in which the Company will supply microinverters to SunPower. The Company does expect changes in microinverter technology during the life of the customer relationship with SunPower and expects to benefit from preventing competitors’ access to the technology over a period of six years, therefore, the Company will amortize the value of the developed technology intangible asset over a period of six years.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SunPower microinverter business’ contributions to revenue and income for the period from the date of acquisition to December 31, 2018 were not material. The MSA was negotiated together with the APA and provides the Company with the exclusive right to supply SunPower with MLPEs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the microinverter business by the Company. As the fair value ascribed to the customer relationship intangible asset represents payments to a customer, the Company will amortize the value of the customer relationship intangible asset as a reduction to revenue using a pattern of economic benefit method over a useful life of nine years.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229" w:right="239" w:bottom="1440" w:gutter="0" w:footer="0" w:header="0"/>
        </w:sectPr>
      </w:pPr>
    </w:p>
    <w:bookmarkStart w:id="94" w:name="page95"/>
    <w:bookmarkEnd w:id="9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table below shows estimated fair values of the assets acquired funded by cash and issuance of common stock at the acquisition date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Cash Purchase</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Issuance of</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36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1540" w:type="dxa"/>
            <w:vAlign w:val="bottom"/>
          </w:tcPr>
          <w:p>
            <w:pPr>
              <w:jc w:val="right"/>
              <w:ind w:right="223"/>
              <w:spacing w:after="0"/>
              <w:rPr>
                <w:sz w:val="20"/>
                <w:szCs w:val="20"/>
                <w:color w:val="auto"/>
              </w:rPr>
            </w:pPr>
            <w:r>
              <w:rPr>
                <w:rFonts w:ascii="Arial" w:cs="Arial" w:eastAsia="Arial" w:hAnsi="Arial"/>
                <w:sz w:val="14"/>
                <w:szCs w:val="14"/>
                <w:b w:val="1"/>
                <w:bCs w:val="1"/>
                <w:color w:val="auto"/>
              </w:rPr>
              <w:t>Consideration</w:t>
            </w:r>
          </w:p>
        </w:tc>
      </w:tr>
      <w:tr>
        <w:trPr>
          <w:trHeight w:val="256"/>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 and goodwill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15,000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19,219</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34,219</w:t>
            </w:r>
          </w:p>
        </w:tc>
        <w:tc>
          <w:tcPr>
            <w:tcW w:w="12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Customer relationship</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13,100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23,100</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4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32,319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57,319</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Company allocated $10.0 million of the $25.0 million paid of the cash purchase price to cash flows from operating activities and the remaining $15.0 million to cash used in investing activities in the consolidated statements of cash flows for the year ended December 31, 2018. The allocation was based on the valuation of the customer relationship relative to the overall consideration. In addition, the Company disclosed $19.2 million from issuance of common stock and $15.0 million of cash purchase price paid for the developed technology and goodwill as investing activities in the consolidated statements of cash flows for the year ended December 31, 2018.</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2018, total acquisition-related costs were approximately $0.8 million, which were included in general and administrative expenses.</w:t>
      </w:r>
    </w:p>
    <w:p>
      <w:pPr>
        <w:spacing w:after="0" w:line="225"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 Company determined it is impractical to include such pro forma information given the difficulty in obtaining the historical financial information for the SunPower microinverter business as the business was part of SunPower and did not have discrete financial information prior to the acquisition. Inclusion of such information would require the Company to make estimates and assumptions regarding the acquired business historical financial results that the Company believes may ultimately prove inaccurate.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420"/>
          </w:cols>
          <w:pgMar w:left="240" w:top="229" w:right="239" w:bottom="1440" w:gutter="0" w:footer="0" w:header="0"/>
        </w:sectPr>
      </w:pPr>
    </w:p>
    <w:bookmarkStart w:id="95" w:name="page96"/>
    <w:bookmarkEnd w:id="9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QUARTERLY FINANCIAL INFORMATION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following tables show a summary of the Company’s quarterly financial information for each of the four quarters of 2018 and 2017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900" w:type="dxa"/>
            <w:vAlign w:val="bottom"/>
          </w:tcPr>
          <w:p>
            <w:pPr>
              <w:spacing w:after="0"/>
              <w:rPr>
                <w:sz w:val="3"/>
                <w:szCs w:val="3"/>
                <w:color w:val="auto"/>
              </w:rPr>
            </w:pPr>
          </w:p>
        </w:tc>
        <w:tc>
          <w:tcPr>
            <w:tcW w:w="4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8"/>
        </w:trPr>
        <w:tc>
          <w:tcPr>
            <w:tcW w:w="9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256"/>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69,972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75,896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78,002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92,289</w:t>
            </w: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51,657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53,195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52,738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64,124</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18,315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22,701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25,264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28,165</w:t>
            </w:r>
          </w:p>
        </w:tc>
      </w:tr>
      <w:tr>
        <w:trPr>
          <w:trHeight w:val="25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7,340</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6,227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6,828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7,375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6,617</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7,664</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1,541</w:t>
            </w:r>
          </w:p>
        </w:tc>
      </w:tr>
      <w:tr>
        <w:trPr>
          <w:trHeight w:val="250"/>
        </w:trPr>
        <w:tc>
          <w:tcPr>
            <w:tcW w:w="51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20,790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23,259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25,638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23,162</w:t>
            </w:r>
          </w:p>
        </w:tc>
      </w:tr>
      <w:tr>
        <w:trPr>
          <w:trHeight w:val="24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(loss) from operations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5,003</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r>
      <w:tr>
        <w:trPr>
          <w:trHeight w:val="24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1,285</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8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709</w:t>
            </w:r>
          </w:p>
        </w:tc>
      </w:tr>
      <w:tr>
        <w:trPr>
          <w:trHeight w:val="22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share, basic</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r>
      <w:tr>
        <w:trPr>
          <w:trHeight w:val="20"/>
        </w:trPr>
        <w:tc>
          <w:tcPr>
            <w:tcW w:w="9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(loss) per share, diluted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0.01</w:t>
            </w:r>
          </w:p>
        </w:tc>
      </w:tr>
      <w:tr>
        <w:trPr>
          <w:trHeight w:val="20"/>
        </w:trPr>
        <w:tc>
          <w:tcPr>
            <w:tcW w:w="9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4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121" w:lineRule="exact"/>
        <w:rPr>
          <w:sz w:val="20"/>
          <w:szCs w:val="20"/>
          <w:color w:val="auto"/>
        </w:rPr>
      </w:pPr>
    </w:p>
    <w:p>
      <w:pPr>
        <w:ind w:left="340" w:right="40" w:hanging="332"/>
        <w:spacing w:after="0" w:line="25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include the impact of the adoption of Accounting Standards Codification (“ASC”) No. 606, “Revenue Recognition,” on January 1, 2018. See Note 3, “Revenue Recognition” (“ASC 606” or “Topic 606”) of the notes to consolidated financial statements included in Item 8 of this Form 10-K.</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26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54,751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74,704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77,038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79,674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47,703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61,157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60,577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60,685</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7,048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13,547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16,461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18,989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8,208</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6,274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5,453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4,940</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5,983</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Restructuring charges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1,991</w:t>
            </w:r>
          </w:p>
        </w:tc>
      </w:tr>
      <w:tr>
        <w:trPr>
          <w:trHeight w:val="250"/>
        </w:trPr>
        <w:tc>
          <w:tcPr>
            <w:tcW w:w="51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29,143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22,362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21,122</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(3,888)</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948</w:t>
            </w:r>
          </w:p>
        </w:tc>
      </w:tr>
      <w:tr>
        <w:trPr>
          <w:trHeight w:val="28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r>
      <w:tr>
        <w:trPr>
          <w:trHeight w:val="22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 basic and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96 –</w:t>
      </w:r>
    </w:p>
    <w:p>
      <w:pPr>
        <w:sectPr>
          <w:pgSz w:w="11900" w:h="16838" w:orient="portrait"/>
          <w:cols w:equalWidth="0" w:num="1">
            <w:col w:w="11420"/>
          </w:cols>
          <w:pgMar w:left="240" w:top="283" w:right="239" w:bottom="1440" w:gutter="0" w:footer="0" w:header="0"/>
          <w:type w:val="continuous"/>
        </w:sectPr>
      </w:pPr>
    </w:p>
    <w:bookmarkStart w:id="96" w:name="page97"/>
    <w:bookmarkEnd w:id="9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2018 based on criteria set forth in Internal Control – Integrated Framework issued by the Committee of Sponsoring Organizations of the Treadway Commission (2013). As a result of this assessment, management concluded that, as of December 2018, our internal control over financial reporting was effective. The Company’s independent registered public accounting firm, Deloitte &amp; Touche LLP, has issued an audit report on our internal control over financial reporting, which appears in Part II, Item 8 of this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quarter ended December 2018 that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420"/>
          </w:cols>
          <w:pgMar w:left="240" w:top="283" w:right="239" w:bottom="1440" w:gutter="0" w:footer="0" w:header="0"/>
        </w:sectPr>
      </w:pPr>
    </w:p>
    <w:bookmarkStart w:id="97" w:name="page98"/>
    <w:bookmarkEnd w:id="9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The information required regarding our directors is incorporated by reference from the information contained in the section entitled “Proposal 1-Election of Directors” in our definitive Proxy Statement for the 2019 Annual Meeting of Stockholders (our “Proxy Statement”), a copy of which will be filed with the Securities and Exchange Commission on or before April 30, 2019.</w:t>
      </w:r>
    </w:p>
    <w:p>
      <w:pPr>
        <w:spacing w:after="0" w:line="202"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information required regarding our executive officers is incorporated by reference from the information contained in the section entitled “Management” in our Proxy Statement.</w:t>
      </w:r>
    </w:p>
    <w:p>
      <w:pPr>
        <w:spacing w:after="0" w:line="196"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the section entitled “Section 16(a) Beneficial Ownership Reporting Compliance” in our Proxy Statement.</w:t>
      </w:r>
    </w:p>
    <w:p>
      <w:pPr>
        <w:spacing w:after="0" w:line="19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 xml:space="preserve">We have a written code of conduct that applies to all our executive officers, directors and employees. Our Code of Conduct is available on our website at </w:t>
      </w:r>
      <w:r>
        <w:rPr>
          <w:rFonts w:ascii="Arial" w:cs="Arial" w:eastAsia="Arial" w:hAnsi="Arial"/>
          <w:sz w:val="18"/>
          <w:szCs w:val="18"/>
          <w:i w:val="1"/>
          <w:iCs w:val="1"/>
          <w:color w:val="auto"/>
        </w:rPr>
        <w:t>http://investor.enphase.com/corporate-governance.cfm</w:t>
      </w:r>
      <w:r>
        <w:rPr>
          <w:rFonts w:ascii="Arial" w:cs="Arial" w:eastAsia="Arial" w:hAnsi="Arial"/>
          <w:sz w:val="18"/>
          <w:szCs w:val="18"/>
          <w:color w:val="auto"/>
        </w:rPr>
        <w:t>. A copy of our Code of Conduct may also be obtained free of charge by writing to our Secretary, Enphase Energy, Inc., 47281 Bayside Parkway, Fremont, CA 94538.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by reference from the information contained in the sections entitled “Executive Compensation,” “Director Compensation” and “Compensation Committee Interlocks and Insider Participation” in our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7"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executive officers is incorporated by reference from the information contained in the section entitled “Security Ownership of Certain Beneficial Owners and Management” in our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by reference from the information contained in the section entitled “Equity Compensation Plan Information” in our Proxy Statement.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is incorporated by reference from the information contained in the sections entitled “Principal Accountant Fees and Services” and “Pre-Approval Policies and Procedures” in the section entitled “Proposal 3-Ratification of Selection of Independent Registered Public Accounting Firm” in our Proxy Statement.</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98 –</w:t>
      </w:r>
    </w:p>
    <w:p>
      <w:pPr>
        <w:sectPr>
          <w:pgSz w:w="11900" w:h="16838" w:orient="portrait"/>
          <w:cols w:equalWidth="0" w:num="1">
            <w:col w:w="11420"/>
          </w:cols>
          <w:pgMar w:left="240" w:top="283" w:right="239" w:bottom="1440" w:gutter="0" w:footer="0" w:header="0"/>
          <w:type w:val="continuous"/>
        </w:sectPr>
      </w:pPr>
    </w:p>
    <w:bookmarkStart w:id="98" w:name="page99"/>
    <w:bookmarkEnd w:id="9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4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 xml:space="preserve">The information concerning our consolidated financial statements, and Report of Independent Registered Public Accounting Firm required by this Item is incorporated by reference herein to the section of this Annual Report on Form 10-K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w:t>
      </w:r>
    </w:p>
    <w:p>
      <w:pPr>
        <w:spacing w:after="0" w:line="202"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No schedules are provided because they are not applicable, not required under the instructions, or the requested information is shown in the financial statements or related notes thereto.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Number</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2.1</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3.1</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3.2</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3.3</w:t>
      </w:r>
    </w:p>
    <w:p>
      <w:pPr>
        <w:spacing w:after="0" w:line="35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3.4</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4.1</w:t>
      </w:r>
    </w:p>
    <w:p>
      <w:pPr>
        <w:spacing w:after="0" w:line="35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4.2</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w:t>
      </w:r>
      <w:r>
        <w:rPr>
          <w:rFonts w:ascii="Arial" w:cs="Arial" w:eastAsia="Arial" w:hAnsi="Arial"/>
          <w:sz w:val="17"/>
          <w:szCs w:val="17"/>
          <w:color w:val="auto"/>
          <w:vertAlign w:val="superscript"/>
        </w:rPr>
        <w:t>+</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10.2</w:t>
      </w:r>
      <w:r>
        <w:rPr>
          <w:rFonts w:ascii="Arial" w:cs="Arial" w:eastAsia="Arial" w:hAnsi="Arial"/>
          <w:sz w:val="17"/>
          <w:szCs w:val="17"/>
          <w:color w:val="auto"/>
          <w:vertAlign w:val="superscript"/>
        </w:rPr>
        <w:t>+</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10.3</w:t>
      </w:r>
      <w:r>
        <w:rPr>
          <w:rFonts w:ascii="Arial" w:cs="Arial" w:eastAsia="Arial" w:hAnsi="Arial"/>
          <w:sz w:val="17"/>
          <w:szCs w:val="17"/>
          <w:color w:val="auto"/>
          <w:vertAlign w:val="superscript"/>
        </w:rPr>
        <w:t>+</w:t>
      </w:r>
    </w:p>
    <w:p>
      <w:pPr>
        <w:spacing w:after="0" w:line="31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10.4</w:t>
      </w:r>
      <w:r>
        <w:rPr>
          <w:rFonts w:ascii="Arial" w:cs="Arial" w:eastAsia="Arial" w:hAnsi="Arial"/>
          <w:sz w:val="17"/>
          <w:szCs w:val="17"/>
          <w:color w:val="auto"/>
          <w:vertAlign w:val="superscript"/>
        </w:rPr>
        <w:t>+</w:t>
      </w:r>
    </w:p>
    <w:p>
      <w:pPr>
        <w:spacing w:after="0" w:line="200" w:lineRule="exact"/>
        <w:rPr>
          <w:sz w:val="20"/>
          <w:szCs w:val="20"/>
          <w:color w:val="auto"/>
        </w:rPr>
      </w:pPr>
    </w:p>
    <w:p>
      <w:pPr>
        <w:spacing w:after="0" w:line="20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195" w:lineRule="exact"/>
        <w:rPr>
          <w:sz w:val="20"/>
          <w:szCs w:val="20"/>
          <w:color w:val="auto"/>
        </w:rPr>
      </w:pPr>
    </w:p>
    <w:p>
      <w:pPr>
        <w:ind w:right="140"/>
        <w:spacing w:after="0" w:line="258" w:lineRule="auto"/>
        <w:rPr>
          <w:rFonts w:ascii="Arial" w:cs="Arial" w:eastAsia="Arial" w:hAnsi="Arial"/>
          <w:sz w:val="14"/>
          <w:szCs w:val="14"/>
          <w:color w:val="auto"/>
        </w:rPr>
      </w:pPr>
      <w:hyperlink r:id="rId54">
        <w:r>
          <w:rPr>
            <w:rFonts w:ascii="Arial" w:cs="Arial" w:eastAsia="Arial" w:hAnsi="Arial"/>
            <w:sz w:val="14"/>
            <w:szCs w:val="14"/>
            <w:color w:val="auto"/>
          </w:rPr>
          <w:t>Asset Purchase Agreement Among SunPower Corporation and</w:t>
        </w:r>
      </w:hyperlink>
      <w:r>
        <w:rPr>
          <w:rFonts w:ascii="Arial" w:cs="Arial" w:eastAsia="Arial" w:hAnsi="Arial"/>
          <w:sz w:val="14"/>
          <w:szCs w:val="14"/>
          <w:color w:val="auto"/>
        </w:rPr>
        <w:t xml:space="preserve"> </w:t>
      </w:r>
      <w:hyperlink r:id="rId54">
        <w:r>
          <w:rPr>
            <w:rFonts w:ascii="Arial" w:cs="Arial" w:eastAsia="Arial" w:hAnsi="Arial"/>
            <w:sz w:val="14"/>
            <w:szCs w:val="14"/>
            <w:color w:val="auto"/>
          </w:rPr>
          <w:t>Enphase Energy, Inc. dated June 12, 2018.</w:t>
        </w:r>
      </w:hyperlink>
    </w:p>
    <w:p>
      <w:pPr>
        <w:spacing w:after="0" w:line="248" w:lineRule="exact"/>
        <w:rPr>
          <w:sz w:val="20"/>
          <w:szCs w:val="20"/>
          <w:color w:val="auto"/>
        </w:rPr>
      </w:pPr>
    </w:p>
    <w:p>
      <w:pPr>
        <w:ind w:right="160"/>
        <w:spacing w:after="0" w:line="258" w:lineRule="auto"/>
        <w:rPr>
          <w:rFonts w:ascii="Arial" w:cs="Arial" w:eastAsia="Arial" w:hAnsi="Arial"/>
          <w:sz w:val="14"/>
          <w:szCs w:val="14"/>
          <w:color w:val="auto"/>
        </w:rPr>
      </w:pPr>
      <w:hyperlink r:id="rId55">
        <w:r>
          <w:rPr>
            <w:rFonts w:ascii="Arial" w:cs="Arial" w:eastAsia="Arial" w:hAnsi="Arial"/>
            <w:sz w:val="14"/>
            <w:szCs w:val="14"/>
            <w:color w:val="auto"/>
          </w:rPr>
          <w:t>Amended and Restated Certificate of Incorporation of Enphase</w:t>
        </w:r>
      </w:hyperlink>
      <w:r>
        <w:rPr>
          <w:rFonts w:ascii="Arial" w:cs="Arial" w:eastAsia="Arial" w:hAnsi="Arial"/>
          <w:sz w:val="14"/>
          <w:szCs w:val="14"/>
          <w:color w:val="auto"/>
        </w:rPr>
        <w:t xml:space="preserve"> </w:t>
      </w:r>
      <w:hyperlink r:id="rId55">
        <w:r>
          <w:rPr>
            <w:rFonts w:ascii="Arial" w:cs="Arial" w:eastAsia="Arial" w:hAnsi="Arial"/>
            <w:sz w:val="14"/>
            <w:szCs w:val="14"/>
            <w:color w:val="auto"/>
          </w:rPr>
          <w:t>Energy, Inc.</w:t>
        </w:r>
      </w:hyperlink>
    </w:p>
    <w:p>
      <w:pPr>
        <w:spacing w:after="0" w:line="248" w:lineRule="exact"/>
        <w:rPr>
          <w:sz w:val="20"/>
          <w:szCs w:val="20"/>
          <w:color w:val="auto"/>
        </w:rPr>
      </w:pPr>
    </w:p>
    <w:p>
      <w:pPr>
        <w:ind w:right="600"/>
        <w:spacing w:after="0" w:line="258" w:lineRule="auto"/>
        <w:rPr>
          <w:rFonts w:ascii="Arial" w:cs="Arial" w:eastAsia="Arial" w:hAnsi="Arial"/>
          <w:sz w:val="14"/>
          <w:szCs w:val="14"/>
          <w:color w:val="auto"/>
        </w:rPr>
      </w:pPr>
      <w:hyperlink r:id="rId56">
        <w:r>
          <w:rPr>
            <w:rFonts w:ascii="Arial" w:cs="Arial" w:eastAsia="Arial" w:hAnsi="Arial"/>
            <w:sz w:val="14"/>
            <w:szCs w:val="14"/>
            <w:color w:val="auto"/>
          </w:rPr>
          <w:t>Certificate of Amendment of the Amended and Restated</w:t>
        </w:r>
      </w:hyperlink>
      <w:r>
        <w:rPr>
          <w:rFonts w:ascii="Arial" w:cs="Arial" w:eastAsia="Arial" w:hAnsi="Arial"/>
          <w:sz w:val="14"/>
          <w:szCs w:val="14"/>
          <w:color w:val="auto"/>
        </w:rPr>
        <w:t xml:space="preserve"> </w:t>
      </w:r>
      <w:hyperlink r:id="rId56">
        <w:r>
          <w:rPr>
            <w:rFonts w:ascii="Arial" w:cs="Arial" w:eastAsia="Arial" w:hAnsi="Arial"/>
            <w:sz w:val="14"/>
            <w:szCs w:val="14"/>
            <w:color w:val="auto"/>
          </w:rPr>
          <w:t>Certificate of Incorporation of Enphase Energy, Inc.</w:t>
        </w:r>
      </w:hyperlink>
    </w:p>
    <w:p>
      <w:pPr>
        <w:spacing w:after="0" w:line="248" w:lineRule="exact"/>
        <w:rPr>
          <w:sz w:val="20"/>
          <w:szCs w:val="20"/>
          <w:color w:val="auto"/>
        </w:rPr>
      </w:pPr>
    </w:p>
    <w:p>
      <w:pPr>
        <w:ind w:right="600"/>
        <w:spacing w:after="0" w:line="258" w:lineRule="auto"/>
        <w:rPr>
          <w:rFonts w:ascii="Arial" w:cs="Arial" w:eastAsia="Arial" w:hAnsi="Arial"/>
          <w:sz w:val="14"/>
          <w:szCs w:val="14"/>
          <w:color w:val="auto"/>
        </w:rPr>
      </w:pPr>
      <w:hyperlink r:id="rId57">
        <w:r>
          <w:rPr>
            <w:rFonts w:ascii="Arial" w:cs="Arial" w:eastAsia="Arial" w:hAnsi="Arial"/>
            <w:sz w:val="14"/>
            <w:szCs w:val="14"/>
            <w:color w:val="auto"/>
          </w:rPr>
          <w:t>Certificate of Amendment of the Amended and Restated</w:t>
        </w:r>
      </w:hyperlink>
      <w:r>
        <w:rPr>
          <w:rFonts w:ascii="Arial" w:cs="Arial" w:eastAsia="Arial" w:hAnsi="Arial"/>
          <w:sz w:val="14"/>
          <w:szCs w:val="14"/>
          <w:color w:val="auto"/>
        </w:rPr>
        <w:t xml:space="preserve"> </w:t>
      </w:r>
      <w:hyperlink r:id="rId57">
        <w:r>
          <w:rPr>
            <w:rFonts w:ascii="Arial" w:cs="Arial" w:eastAsia="Arial" w:hAnsi="Arial"/>
            <w:sz w:val="14"/>
            <w:szCs w:val="14"/>
            <w:color w:val="auto"/>
          </w:rPr>
          <w:t>Certificate of Incorporation of Enphase Energy, Inc.</w:t>
        </w:r>
      </w:hyperlink>
    </w:p>
    <w:p>
      <w:pPr>
        <w:spacing w:after="0" w:line="248" w:lineRule="exact"/>
        <w:rPr>
          <w:sz w:val="20"/>
          <w:szCs w:val="20"/>
          <w:color w:val="auto"/>
        </w:rPr>
      </w:pPr>
    </w:p>
    <w:p>
      <w:pPr>
        <w:spacing w:after="0"/>
        <w:rPr>
          <w:rFonts w:ascii="Arial" w:cs="Arial" w:eastAsia="Arial" w:hAnsi="Arial"/>
          <w:sz w:val="14"/>
          <w:szCs w:val="14"/>
          <w:color w:val="auto"/>
        </w:rPr>
      </w:pPr>
      <w:hyperlink r:id="rId58">
        <w:r>
          <w:rPr>
            <w:rFonts w:ascii="Arial" w:cs="Arial" w:eastAsia="Arial" w:hAnsi="Arial"/>
            <w:sz w:val="14"/>
            <w:szCs w:val="14"/>
            <w:color w:val="auto"/>
          </w:rPr>
          <w:t>Amended and Restated Bylaws of Enphase Energy, Inc.</w:t>
        </w:r>
      </w:hyperlink>
    </w:p>
    <w:p>
      <w:pPr>
        <w:spacing w:after="0" w:line="271" w:lineRule="exact"/>
        <w:rPr>
          <w:sz w:val="20"/>
          <w:szCs w:val="20"/>
          <w:color w:val="auto"/>
        </w:rPr>
      </w:pPr>
    </w:p>
    <w:p>
      <w:pPr>
        <w:spacing w:after="0"/>
        <w:rPr>
          <w:rFonts w:ascii="Arial" w:cs="Arial" w:eastAsia="Arial" w:hAnsi="Arial"/>
          <w:sz w:val="14"/>
          <w:szCs w:val="14"/>
          <w:color w:val="auto"/>
        </w:rPr>
      </w:pPr>
      <w:hyperlink r:id="rId59">
        <w:r>
          <w:rPr>
            <w:rFonts w:ascii="Arial" w:cs="Arial" w:eastAsia="Arial" w:hAnsi="Arial"/>
            <w:sz w:val="14"/>
            <w:szCs w:val="14"/>
            <w:color w:val="auto"/>
          </w:rPr>
          <w:t>Specimen Common Stock Certificate of Enphase Energy, Inc.</w:t>
        </w:r>
      </w:hyperlink>
    </w:p>
    <w:p>
      <w:pPr>
        <w:spacing w:after="0" w:line="271" w:lineRule="exact"/>
        <w:rPr>
          <w:sz w:val="20"/>
          <w:szCs w:val="20"/>
          <w:color w:val="auto"/>
        </w:rPr>
      </w:pPr>
    </w:p>
    <w:p>
      <w:pPr>
        <w:spacing w:after="0"/>
        <w:rPr>
          <w:rFonts w:ascii="Arial" w:cs="Arial" w:eastAsia="Arial" w:hAnsi="Arial"/>
          <w:sz w:val="14"/>
          <w:szCs w:val="14"/>
          <w:color w:val="auto"/>
        </w:rPr>
      </w:pPr>
      <w:hyperlink r:id="rId60">
        <w:r>
          <w:rPr>
            <w:rFonts w:ascii="Arial" w:cs="Arial" w:eastAsia="Arial" w:hAnsi="Arial"/>
            <w:sz w:val="14"/>
            <w:szCs w:val="14"/>
            <w:color w:val="auto"/>
          </w:rPr>
          <w:t>Indenture, dated August 17, 2018, between Enphase Energy, Inc.</w:t>
        </w:r>
      </w:hyperlink>
    </w:p>
    <w:p>
      <w:pPr>
        <w:spacing w:after="0" w:line="1" w:lineRule="exact"/>
        <w:rPr>
          <w:sz w:val="20"/>
          <w:szCs w:val="20"/>
          <w:color w:val="auto"/>
        </w:rPr>
      </w:pPr>
    </w:p>
    <w:p>
      <w:pPr>
        <w:spacing w:after="0"/>
        <w:rPr>
          <w:rFonts w:ascii="Arial" w:cs="Arial" w:eastAsia="Arial" w:hAnsi="Arial"/>
          <w:sz w:val="14"/>
          <w:szCs w:val="14"/>
          <w:color w:val="auto"/>
        </w:rPr>
      </w:pPr>
      <w:hyperlink r:id="rId60">
        <w:r>
          <w:rPr>
            <w:rFonts w:ascii="Arial" w:cs="Arial" w:eastAsia="Arial" w:hAnsi="Arial"/>
            <w:sz w:val="14"/>
            <w:szCs w:val="14"/>
            <w:color w:val="auto"/>
          </w:rPr>
          <w:t>and U.S. Bank National Association.</w:t>
        </w:r>
      </w:hyperlink>
    </w:p>
    <w:p>
      <w:pPr>
        <w:spacing w:after="0" w:line="271" w:lineRule="exact"/>
        <w:rPr>
          <w:sz w:val="20"/>
          <w:szCs w:val="20"/>
          <w:color w:val="auto"/>
        </w:rPr>
      </w:pPr>
    </w:p>
    <w:p>
      <w:pPr>
        <w:ind w:right="240"/>
        <w:spacing w:after="0" w:line="258" w:lineRule="auto"/>
        <w:rPr>
          <w:rFonts w:ascii="Arial" w:cs="Arial" w:eastAsia="Arial" w:hAnsi="Arial"/>
          <w:sz w:val="14"/>
          <w:szCs w:val="14"/>
          <w:color w:val="auto"/>
        </w:rPr>
      </w:pPr>
      <w:hyperlink r:id="rId60">
        <w:r>
          <w:rPr>
            <w:rFonts w:ascii="Arial" w:cs="Arial" w:eastAsia="Arial" w:hAnsi="Arial"/>
            <w:sz w:val="14"/>
            <w:szCs w:val="14"/>
            <w:color w:val="auto"/>
          </w:rPr>
          <w:t>Form of 4.00% Convertible Senior Note due 2023 (included in</w:t>
        </w:r>
      </w:hyperlink>
      <w:r>
        <w:rPr>
          <w:rFonts w:ascii="Arial" w:cs="Arial" w:eastAsia="Arial" w:hAnsi="Arial"/>
          <w:sz w:val="14"/>
          <w:szCs w:val="14"/>
          <w:color w:val="auto"/>
        </w:rPr>
        <w:t xml:space="preserve"> </w:t>
      </w:r>
      <w:hyperlink r:id="rId60">
        <w:r>
          <w:rPr>
            <w:rFonts w:ascii="Arial" w:cs="Arial" w:eastAsia="Arial" w:hAnsi="Arial"/>
            <w:sz w:val="14"/>
            <w:szCs w:val="14"/>
            <w:color w:val="auto"/>
          </w:rPr>
          <w:t>Exhibit 4.2).</w:t>
        </w:r>
      </w:hyperlink>
    </w:p>
    <w:p>
      <w:pPr>
        <w:spacing w:after="0" w:line="248" w:lineRule="exact"/>
        <w:rPr>
          <w:sz w:val="20"/>
          <w:szCs w:val="20"/>
          <w:color w:val="auto"/>
        </w:rPr>
      </w:pPr>
    </w:p>
    <w:p>
      <w:pPr>
        <w:ind w:right="260"/>
        <w:spacing w:after="0" w:line="258" w:lineRule="auto"/>
        <w:rPr>
          <w:rFonts w:ascii="Arial" w:cs="Arial" w:eastAsia="Arial" w:hAnsi="Arial"/>
          <w:sz w:val="14"/>
          <w:szCs w:val="14"/>
          <w:color w:val="auto"/>
        </w:rPr>
      </w:pPr>
      <w:hyperlink r:id="rId61">
        <w:r>
          <w:rPr>
            <w:rFonts w:ascii="Arial" w:cs="Arial" w:eastAsia="Arial" w:hAnsi="Arial"/>
            <w:sz w:val="14"/>
            <w:szCs w:val="14"/>
            <w:color w:val="auto"/>
          </w:rPr>
          <w:t>Form of Indemnification Agreement by and between Enphase</w:t>
        </w:r>
      </w:hyperlink>
      <w:r>
        <w:rPr>
          <w:rFonts w:ascii="Arial" w:cs="Arial" w:eastAsia="Arial" w:hAnsi="Arial"/>
          <w:sz w:val="14"/>
          <w:szCs w:val="14"/>
          <w:color w:val="auto"/>
        </w:rPr>
        <w:t xml:space="preserve"> </w:t>
      </w:r>
      <w:hyperlink r:id="rId61">
        <w:r>
          <w:rPr>
            <w:rFonts w:ascii="Arial" w:cs="Arial" w:eastAsia="Arial" w:hAnsi="Arial"/>
            <w:sz w:val="14"/>
            <w:szCs w:val="14"/>
            <w:color w:val="auto"/>
          </w:rPr>
          <w:t>Energy, Inc. and each of its directors and officers.</w:t>
        </w:r>
      </w:hyperlink>
    </w:p>
    <w:p>
      <w:pPr>
        <w:spacing w:after="0" w:line="248" w:lineRule="exact"/>
        <w:rPr>
          <w:sz w:val="20"/>
          <w:szCs w:val="20"/>
          <w:color w:val="auto"/>
        </w:rPr>
      </w:pPr>
    </w:p>
    <w:p>
      <w:pPr>
        <w:spacing w:after="0"/>
        <w:rPr>
          <w:rFonts w:ascii="Arial" w:cs="Arial" w:eastAsia="Arial" w:hAnsi="Arial"/>
          <w:sz w:val="14"/>
          <w:szCs w:val="14"/>
          <w:color w:val="auto"/>
        </w:rPr>
      </w:pPr>
      <w:hyperlink r:id="rId62">
        <w:r>
          <w:rPr>
            <w:rFonts w:ascii="Arial" w:cs="Arial" w:eastAsia="Arial" w:hAnsi="Arial"/>
            <w:sz w:val="14"/>
            <w:szCs w:val="14"/>
            <w:color w:val="auto"/>
          </w:rPr>
          <w:t>2006 Equity Incentive Plan, as amended, and related documents.</w:t>
        </w:r>
      </w:hyperlink>
    </w:p>
    <w:p>
      <w:pPr>
        <w:spacing w:after="0" w:line="271" w:lineRule="exact"/>
        <w:rPr>
          <w:sz w:val="20"/>
          <w:szCs w:val="20"/>
          <w:color w:val="auto"/>
        </w:rPr>
      </w:pPr>
    </w:p>
    <w:p>
      <w:pPr>
        <w:ind w:right="720"/>
        <w:spacing w:after="0" w:line="258" w:lineRule="auto"/>
        <w:rPr>
          <w:rFonts w:ascii="Arial" w:cs="Arial" w:eastAsia="Arial" w:hAnsi="Arial"/>
          <w:sz w:val="14"/>
          <w:szCs w:val="14"/>
          <w:color w:val="auto"/>
        </w:rPr>
      </w:pPr>
      <w:hyperlink r:id="rId63">
        <w:r>
          <w:rPr>
            <w:rFonts w:ascii="Arial" w:cs="Arial" w:eastAsia="Arial" w:hAnsi="Arial"/>
            <w:sz w:val="14"/>
            <w:szCs w:val="14"/>
            <w:color w:val="auto"/>
          </w:rPr>
          <w:t>2011 Equity Incentive Plan, as amended, and forms of</w:t>
        </w:r>
      </w:hyperlink>
      <w:r>
        <w:rPr>
          <w:rFonts w:ascii="Arial" w:cs="Arial" w:eastAsia="Arial" w:hAnsi="Arial"/>
          <w:sz w:val="14"/>
          <w:szCs w:val="14"/>
          <w:color w:val="auto"/>
        </w:rPr>
        <w:t xml:space="preserve"> </w:t>
      </w:r>
      <w:hyperlink r:id="rId63">
        <w:r>
          <w:rPr>
            <w:rFonts w:ascii="Arial" w:cs="Arial" w:eastAsia="Arial" w:hAnsi="Arial"/>
            <w:sz w:val="14"/>
            <w:szCs w:val="14"/>
            <w:color w:val="auto"/>
          </w:rPr>
          <w:t>agreement thereunder.</w:t>
        </w:r>
      </w:hyperlink>
    </w:p>
    <w:p>
      <w:pPr>
        <w:spacing w:after="0" w:line="248" w:lineRule="exact"/>
        <w:rPr>
          <w:sz w:val="20"/>
          <w:szCs w:val="20"/>
          <w:color w:val="auto"/>
        </w:rPr>
      </w:pPr>
    </w:p>
    <w:p>
      <w:pPr>
        <w:spacing w:after="0"/>
        <w:rPr>
          <w:rFonts w:ascii="Arial" w:cs="Arial" w:eastAsia="Arial" w:hAnsi="Arial"/>
          <w:sz w:val="14"/>
          <w:szCs w:val="14"/>
          <w:color w:val="auto"/>
        </w:rPr>
      </w:pPr>
      <w:hyperlink r:id="rId64">
        <w:r>
          <w:rPr>
            <w:rFonts w:ascii="Arial" w:cs="Arial" w:eastAsia="Arial" w:hAnsi="Arial"/>
            <w:sz w:val="14"/>
            <w:szCs w:val="14"/>
            <w:color w:val="auto"/>
          </w:rPr>
          <w:t>2011 Employee Stock Purchase Plan, as amended.</w:t>
        </w:r>
      </w:hyperlink>
    </w:p>
    <w:p>
      <w:pPr>
        <w:spacing w:after="0" w:line="271" w:lineRule="exact"/>
        <w:rPr>
          <w:sz w:val="20"/>
          <w:szCs w:val="20"/>
          <w:color w:val="auto"/>
        </w:rPr>
      </w:pPr>
    </w:p>
    <w:p>
      <w:pPr>
        <w:ind w:right="80"/>
        <w:spacing w:after="0" w:line="250" w:lineRule="auto"/>
        <w:rPr>
          <w:rFonts w:ascii="Arial" w:cs="Arial" w:eastAsia="Arial" w:hAnsi="Arial"/>
          <w:sz w:val="14"/>
          <w:szCs w:val="14"/>
          <w:color w:val="auto"/>
        </w:rPr>
      </w:pPr>
      <w:hyperlink r:id="rId65">
        <w:r>
          <w:rPr>
            <w:rFonts w:ascii="Arial" w:cs="Arial" w:eastAsia="Arial" w:hAnsi="Arial"/>
            <w:sz w:val="14"/>
            <w:szCs w:val="14"/>
            <w:color w:val="auto"/>
          </w:rPr>
          <w:t>Redwood Business Park NNN Lease by and between Enphase</w:t>
        </w:r>
      </w:hyperlink>
      <w:r>
        <w:rPr>
          <w:rFonts w:ascii="Arial" w:cs="Arial" w:eastAsia="Arial" w:hAnsi="Arial"/>
          <w:sz w:val="14"/>
          <w:szCs w:val="14"/>
          <w:color w:val="auto"/>
        </w:rPr>
        <w:t xml:space="preserve"> </w:t>
      </w:r>
      <w:hyperlink r:id="rId65">
        <w:r>
          <w:rPr>
            <w:rFonts w:ascii="Arial" w:cs="Arial" w:eastAsia="Arial" w:hAnsi="Arial"/>
            <w:sz w:val="14"/>
            <w:szCs w:val="14"/>
            <w:color w:val="auto"/>
          </w:rPr>
          <w:t>Energy, Inc. and Sequoia Center LLC, dated June 3, 2011 (1400</w:t>
        </w:r>
      </w:hyperlink>
      <w:r>
        <w:rPr>
          <w:rFonts w:ascii="Arial" w:cs="Arial" w:eastAsia="Arial" w:hAnsi="Arial"/>
          <w:sz w:val="14"/>
          <w:szCs w:val="14"/>
          <w:color w:val="auto"/>
        </w:rPr>
        <w:t xml:space="preserve"> </w:t>
      </w:r>
      <w:hyperlink r:id="rId65">
        <w:r>
          <w:rPr>
            <w:rFonts w:ascii="Arial" w:cs="Arial" w:eastAsia="Arial" w:hAnsi="Arial"/>
            <w:sz w:val="14"/>
            <w:szCs w:val="14"/>
            <w:color w:val="auto"/>
          </w:rPr>
          <w:t>North McDowell Boulevard), as amended.</w:t>
        </w:r>
      </w:hyperlink>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323" w:lineRule="exact"/>
        <w:rPr>
          <w:rFonts w:ascii="Arial" w:cs="Arial" w:eastAsia="Arial" w:hAnsi="Arial"/>
          <w:sz w:val="14"/>
          <w:szCs w:val="14"/>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9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6/12/2018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4/6/2012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8/9/2017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8/6/2018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3/12/2012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3/12/2012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8/17/2018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8/17/2018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8/24/2011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333-181382</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5/14/2012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333-181382</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5/14/2012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rPr>
              <w:t>DEF 14A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Appendix A</w:t>
            </w:r>
          </w:p>
        </w:tc>
        <w:tc>
          <w:tcPr>
            <w:tcW w:w="1020" w:type="dxa"/>
            <w:vAlign w:val="bottom"/>
          </w:tcPr>
          <w:p>
            <w:pPr>
              <w:jc w:val="center"/>
              <w:spacing w:after="0"/>
              <w:rPr>
                <w:sz w:val="20"/>
                <w:szCs w:val="20"/>
                <w:color w:val="auto"/>
              </w:rPr>
            </w:pPr>
            <w:r>
              <w:rPr>
                <w:rFonts w:ascii="Arial" w:cs="Arial" w:eastAsia="Arial" w:hAnsi="Arial"/>
                <w:sz w:val="14"/>
                <w:szCs w:val="14"/>
                <w:color w:val="auto"/>
              </w:rPr>
              <w:t>3/31/2017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-3347085</wp:posOffset>
            </wp:positionH>
            <wp:positionV relativeFrom="paragraph">
              <wp:posOffset>-3662045</wp:posOffset>
            </wp:positionV>
            <wp:extent cx="7246620"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-2907665</wp:posOffset>
            </wp:positionV>
            <wp:extent cx="72466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-2358390</wp:posOffset>
            </wp:positionV>
            <wp:extent cx="7246620"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-1604010</wp:posOffset>
            </wp:positionV>
            <wp:extent cx="724662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-952500</wp:posOffset>
            </wp:positionV>
            <wp:extent cx="7246620"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-300355</wp:posOffset>
            </wp:positionV>
            <wp:extent cx="7246620" cy="480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-4425315</wp:posOffset>
            </wp:positionV>
            <wp:extent cx="7246620" cy="386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368" w:lineRule="exact"/>
        <w:rPr>
          <w:rFonts w:ascii="Arial" w:cs="Arial" w:eastAsia="Arial" w:hAnsi="Arial"/>
          <w:sz w:val="14"/>
          <w:szCs w:val="14"/>
          <w:color w:val="auto"/>
        </w:rPr>
      </w:pPr>
    </w:p>
    <w:p>
      <w:pPr>
        <w:sectPr>
          <w:pgSz w:w="11900" w:h="16838" w:orient="portrait"/>
          <w:cols w:equalWidth="0" w:num="3">
            <w:col w:w="680" w:space="280"/>
            <w:col w:w="4180" w:space="140"/>
            <w:col w:w="6140"/>
          </w:cols>
          <w:pgMar w:left="240" w:top="283" w:right="239" w:bottom="1440" w:gutter="0" w:footer="0" w:header="0"/>
          <w:type w:val="continuous"/>
        </w:sectPr>
      </w:pPr>
    </w:p>
    <w:p>
      <w:pPr>
        <w:spacing w:after="0" w:line="53" w:lineRule="exact"/>
        <w:rPr>
          <w:rFonts w:ascii="Arial" w:cs="Arial" w:eastAsia="Arial" w:hAnsi="Arial"/>
          <w:sz w:val="14"/>
          <w:szCs w:val="14"/>
          <w:color w:val="auto"/>
        </w:rPr>
      </w:pPr>
    </w:p>
    <w:p>
      <w:pPr>
        <w:ind w:left="960"/>
        <w:spacing w:after="0"/>
        <w:rPr>
          <w:rFonts w:ascii="Arial" w:cs="Arial" w:eastAsia="Arial" w:hAnsi="Arial"/>
          <w:sz w:val="14"/>
          <w:szCs w:val="14"/>
          <w:color w:val="auto"/>
        </w:rPr>
      </w:pPr>
      <w:hyperlink r:id="rId73">
        <w:r>
          <w:rPr>
            <w:rFonts w:ascii="Arial" w:cs="Arial" w:eastAsia="Arial" w:hAnsi="Arial"/>
            <w:sz w:val="14"/>
            <w:szCs w:val="14"/>
            <w:color w:val="auto"/>
          </w:rPr>
          <w:t>First Amendment to Redwood Business Park NNN Lease (1400</w:t>
        </w:r>
      </w:hyperlink>
    </w:p>
    <w:p>
      <w:pPr>
        <w:spacing w:after="0" w:line="1" w:lineRule="exact"/>
        <w:rPr>
          <w:rFonts w:ascii="Arial" w:cs="Arial" w:eastAsia="Arial" w:hAnsi="Arial"/>
          <w:sz w:val="14"/>
          <w:szCs w:val="14"/>
          <w:color w:val="auto"/>
        </w:rPr>
      </w:pPr>
    </w:p>
    <w:p>
      <w:pPr>
        <w:ind w:left="960" w:hanging="693"/>
        <w:spacing w:after="0" w:line="258" w:lineRule="auto"/>
        <w:tabs>
          <w:tab w:leader="none" w:pos="940" w:val="left"/>
        </w:tabs>
        <w:rPr>
          <w:rFonts w:ascii="Arial" w:cs="Arial" w:eastAsia="Arial" w:hAnsi="Arial"/>
          <w:sz w:val="14"/>
          <w:szCs w:val="14"/>
          <w:color w:val="auto"/>
        </w:rPr>
      </w:pPr>
      <w:r>
        <w:rPr>
          <w:rFonts w:ascii="Arial" w:cs="Arial" w:eastAsia="Arial" w:hAnsi="Arial"/>
          <w:sz w:val="14"/>
          <w:szCs w:val="14"/>
          <w:color w:val="auto"/>
        </w:rPr>
        <w:t>10.6</w:t>
      </w:r>
      <w:r>
        <w:rPr>
          <w:sz w:val="20"/>
          <w:szCs w:val="20"/>
          <w:color w:val="auto"/>
        </w:rPr>
        <w:tab/>
      </w:r>
      <w:hyperlink r:id="rId73">
        <w:r>
          <w:rPr>
            <w:rFonts w:ascii="Arial" w:cs="Arial" w:eastAsia="Arial" w:hAnsi="Arial"/>
            <w:sz w:val="14"/>
            <w:szCs w:val="14"/>
            <w:color w:val="auto"/>
          </w:rPr>
          <w:t>North McDowell Blvd), between Enphase Energy, Inc. &amp; Sequoia</w:t>
        </w:r>
      </w:hyperlink>
      <w:r>
        <w:rPr>
          <w:rFonts w:ascii="Arial" w:cs="Arial" w:eastAsia="Arial" w:hAnsi="Arial"/>
          <w:sz w:val="14"/>
          <w:szCs w:val="14"/>
          <w:color w:val="auto"/>
        </w:rPr>
        <w:t xml:space="preserve"> </w:t>
      </w:r>
      <w:hyperlink r:id="rId73">
        <w:r>
          <w:rPr>
            <w:rFonts w:ascii="Arial" w:cs="Arial" w:eastAsia="Arial" w:hAnsi="Arial"/>
            <w:sz w:val="14"/>
            <w:szCs w:val="14"/>
            <w:color w:val="auto"/>
          </w:rPr>
          <w:t>Center LLC dated January 12, 2012.</w:t>
        </w:r>
      </w:hyperlink>
    </w:p>
    <w:p>
      <w:pPr>
        <w:spacing w:after="0" w:line="248" w:lineRule="exact"/>
        <w:rPr>
          <w:sz w:val="20"/>
          <w:szCs w:val="20"/>
          <w:color w:val="auto"/>
        </w:rPr>
      </w:pPr>
    </w:p>
    <w:p>
      <w:pPr>
        <w:ind w:left="960"/>
        <w:spacing w:after="0"/>
        <w:rPr>
          <w:rFonts w:ascii="Arial" w:cs="Arial" w:eastAsia="Arial" w:hAnsi="Arial"/>
          <w:sz w:val="14"/>
          <w:szCs w:val="14"/>
          <w:color w:val="auto"/>
        </w:rPr>
      </w:pPr>
      <w:hyperlink r:id="rId74">
        <w:r>
          <w:rPr>
            <w:rFonts w:ascii="Arial" w:cs="Arial" w:eastAsia="Arial" w:hAnsi="Arial"/>
            <w:sz w:val="14"/>
            <w:szCs w:val="14"/>
            <w:color w:val="auto"/>
          </w:rPr>
          <w:t>Second Amendment to Redwood Business Park NNN Lease</w:t>
        </w:r>
      </w:hyperlink>
    </w:p>
    <w:p>
      <w:pPr>
        <w:spacing w:after="0" w:line="1" w:lineRule="exact"/>
        <w:rPr>
          <w:sz w:val="20"/>
          <w:szCs w:val="20"/>
          <w:color w:val="auto"/>
        </w:rPr>
      </w:pPr>
    </w:p>
    <w:p>
      <w:pPr>
        <w:ind w:left="960" w:right="160" w:hanging="693"/>
        <w:spacing w:after="0" w:line="258" w:lineRule="auto"/>
        <w:tabs>
          <w:tab w:leader="none" w:pos="940" w:val="left"/>
        </w:tabs>
        <w:rPr>
          <w:rFonts w:ascii="Arial" w:cs="Arial" w:eastAsia="Arial" w:hAnsi="Arial"/>
          <w:sz w:val="14"/>
          <w:szCs w:val="14"/>
          <w:color w:val="auto"/>
        </w:rPr>
      </w:pPr>
      <w:r>
        <w:rPr>
          <w:rFonts w:ascii="Arial" w:cs="Arial" w:eastAsia="Arial" w:hAnsi="Arial"/>
          <w:sz w:val="14"/>
          <w:szCs w:val="14"/>
          <w:color w:val="auto"/>
        </w:rPr>
        <w:t>10.7</w:t>
      </w:r>
      <w:r>
        <w:rPr>
          <w:sz w:val="20"/>
          <w:szCs w:val="20"/>
          <w:color w:val="auto"/>
        </w:rPr>
        <w:tab/>
      </w:r>
      <w:hyperlink r:id="rId74">
        <w:r>
          <w:rPr>
            <w:rFonts w:ascii="Arial" w:cs="Arial" w:eastAsia="Arial" w:hAnsi="Arial"/>
            <w:sz w:val="14"/>
            <w:szCs w:val="14"/>
            <w:color w:val="auto"/>
          </w:rPr>
          <w:t>(1400 North McDowell Blvd), between Enphase Energy, Inc. &amp;</w:t>
        </w:r>
      </w:hyperlink>
      <w:r>
        <w:rPr>
          <w:rFonts w:ascii="Arial" w:cs="Arial" w:eastAsia="Arial" w:hAnsi="Arial"/>
          <w:sz w:val="14"/>
          <w:szCs w:val="14"/>
          <w:color w:val="auto"/>
        </w:rPr>
        <w:t xml:space="preserve"> </w:t>
      </w:r>
      <w:hyperlink r:id="rId74">
        <w:r>
          <w:rPr>
            <w:rFonts w:ascii="Arial" w:cs="Arial" w:eastAsia="Arial" w:hAnsi="Arial"/>
            <w:sz w:val="14"/>
            <w:szCs w:val="14"/>
            <w:color w:val="auto"/>
          </w:rPr>
          <w:t>Sequoia Center LLC dated January 13, 2014.</w:t>
        </w:r>
      </w:hyperlink>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20"/>
                <w:szCs w:val="20"/>
                <w:color w:val="auto"/>
              </w:rPr>
            </w:pPr>
            <w:r>
              <w:rPr>
                <w:rFonts w:ascii="Arial" w:cs="Arial" w:eastAsia="Arial" w:hAnsi="Arial"/>
                <w:sz w:val="14"/>
                <w:szCs w:val="14"/>
                <w:color w:val="auto"/>
              </w:rPr>
              <w:t>10-K</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001-35480</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10.8</w:t>
            </w:r>
          </w:p>
        </w:tc>
        <w:tc>
          <w:tcPr>
            <w:tcW w:w="920" w:type="dxa"/>
            <w:vAlign w:val="bottom"/>
          </w:tcPr>
          <w:p>
            <w:pPr>
              <w:jc w:val="right"/>
              <w:spacing w:after="0"/>
              <w:rPr>
                <w:sz w:val="20"/>
                <w:szCs w:val="20"/>
                <w:color w:val="auto"/>
              </w:rPr>
            </w:pPr>
            <w:r>
              <w:rPr>
                <w:rFonts w:ascii="Arial" w:cs="Arial" w:eastAsia="Arial" w:hAnsi="Arial"/>
                <w:sz w:val="14"/>
                <w:szCs w:val="14"/>
                <w:color w:val="auto"/>
              </w:rPr>
              <w:t>3/4/2015</w:t>
            </w:r>
          </w:p>
        </w:tc>
      </w:tr>
      <w:tr>
        <w:trPr>
          <w:trHeight w:val="756"/>
        </w:trPr>
        <w:tc>
          <w:tcPr>
            <w:tcW w:w="780" w:type="dxa"/>
            <w:vAlign w:val="bottom"/>
          </w:tcPr>
          <w:p>
            <w:pPr>
              <w:spacing w:after="0"/>
              <w:rPr>
                <w:sz w:val="20"/>
                <w:szCs w:val="20"/>
                <w:color w:val="auto"/>
              </w:rPr>
            </w:pPr>
            <w:r>
              <w:rPr>
                <w:rFonts w:ascii="Arial" w:cs="Arial" w:eastAsia="Arial" w:hAnsi="Arial"/>
                <w:sz w:val="14"/>
                <w:szCs w:val="14"/>
                <w:color w:val="auto"/>
              </w:rPr>
              <w:t>10-K</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001-35480</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10.9</w:t>
            </w:r>
          </w:p>
        </w:tc>
        <w:tc>
          <w:tcPr>
            <w:tcW w:w="920" w:type="dxa"/>
            <w:vAlign w:val="bottom"/>
          </w:tcPr>
          <w:p>
            <w:pPr>
              <w:jc w:val="right"/>
              <w:spacing w:after="0"/>
              <w:rPr>
                <w:sz w:val="20"/>
                <w:szCs w:val="20"/>
                <w:color w:val="auto"/>
              </w:rPr>
            </w:pPr>
            <w:r>
              <w:rPr>
                <w:rFonts w:ascii="Arial" w:cs="Arial" w:eastAsia="Arial" w:hAnsi="Arial"/>
                <w:sz w:val="14"/>
                <w:szCs w:val="14"/>
                <w:color w:val="auto"/>
              </w:rPr>
              <w:t>3/4/2015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-300355</wp:posOffset>
            </wp:positionV>
            <wp:extent cx="7246620" cy="480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5080" w:space="560"/>
            <w:col w:w="5780"/>
          </w:cols>
          <w:pgMar w:left="240" w:top="283" w:right="239" w:bottom="1440" w:gutter="0" w:footer="0" w:header="0"/>
          <w:type w:val="continuous"/>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99 –</w:t>
      </w:r>
    </w:p>
    <w:p>
      <w:pPr>
        <w:sectPr>
          <w:pgSz w:w="11900" w:h="16838" w:orient="portrait"/>
          <w:cols w:equalWidth="0" w:num="1">
            <w:col w:w="11420"/>
          </w:cols>
          <w:pgMar w:left="240" w:top="283" w:right="239" w:bottom="1440" w:gutter="0" w:footer="0" w:header="0"/>
          <w:type w:val="continuous"/>
        </w:sectPr>
      </w:pPr>
    </w:p>
    <w:bookmarkStart w:id="99" w:name="page100"/>
    <w:bookmarkEnd w:id="9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01"/>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top w:val="single" w:sz="8" w:color="auto"/>
            </w:tcBorders>
          </w:tcPr>
          <w:p>
            <w:pPr>
              <w:ind w:left="20"/>
              <w:spacing w:after="0"/>
              <w:rPr>
                <w:rFonts w:ascii="Arial" w:cs="Arial" w:eastAsia="Arial" w:hAnsi="Arial"/>
                <w:sz w:val="14"/>
                <w:szCs w:val="14"/>
                <w:color w:val="auto"/>
              </w:rPr>
            </w:pPr>
            <w:hyperlink r:id="rId76">
              <w:r>
                <w:rPr>
                  <w:rFonts w:ascii="Arial" w:cs="Arial" w:eastAsia="Arial" w:hAnsi="Arial"/>
                  <w:sz w:val="14"/>
                  <w:szCs w:val="14"/>
                  <w:color w:val="auto"/>
                </w:rPr>
                <w:t>Third Amendment to Redwood Business Park NNN Lease (1400</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6">
              <w:r>
                <w:rPr>
                  <w:rFonts w:ascii="Arial" w:cs="Arial" w:eastAsia="Arial" w:hAnsi="Arial"/>
                  <w:sz w:val="14"/>
                  <w:szCs w:val="14"/>
                  <w:color w:val="auto"/>
                </w:rPr>
                <w:t>North McDowell Blvd), between Enphase Energy, Inc. &amp; Sequoia</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6">
              <w:r>
                <w:rPr>
                  <w:rFonts w:ascii="Arial" w:cs="Arial" w:eastAsia="Arial" w:hAnsi="Arial"/>
                  <w:sz w:val="14"/>
                  <w:szCs w:val="14"/>
                  <w:color w:val="auto"/>
                </w:rPr>
                <w:t>Center LLC dated September 25, 2014.</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77">
              <w:r>
                <w:rPr>
                  <w:rFonts w:ascii="Arial" w:cs="Arial" w:eastAsia="Arial" w:hAnsi="Arial"/>
                  <w:sz w:val="14"/>
                  <w:szCs w:val="14"/>
                  <w:color w:val="auto"/>
                </w:rPr>
                <w:t>Fourth Amendment to Redwood Business Park NNN Lease</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7">
              <w:r>
                <w:rPr>
                  <w:rFonts w:ascii="Arial" w:cs="Arial" w:eastAsia="Arial" w:hAnsi="Arial"/>
                  <w:sz w:val="14"/>
                  <w:szCs w:val="14"/>
                  <w:color w:val="auto"/>
                </w:rPr>
                <w:t>(1400 North McDowell Blvd), between Enphase Energy, Inc. &amp;</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7">
              <w:r>
                <w:rPr>
                  <w:rFonts w:ascii="Arial" w:cs="Arial" w:eastAsia="Arial" w:hAnsi="Arial"/>
                  <w:sz w:val="14"/>
                  <w:szCs w:val="14"/>
                  <w:color w:val="auto"/>
                </w:rPr>
                <w:t>Sequoia Center LLC dated December 30, 2014.</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78">
              <w:r>
                <w:rPr>
                  <w:rFonts w:ascii="Arial" w:cs="Arial" w:eastAsia="Arial" w:hAnsi="Arial"/>
                  <w:sz w:val="14"/>
                  <w:szCs w:val="14"/>
                  <w:color w:val="auto"/>
                </w:rPr>
                <w:t>Redwood Business Park NNN Lease by and between Enphase</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8">
              <w:r>
                <w:rPr>
                  <w:rFonts w:ascii="Arial" w:cs="Arial" w:eastAsia="Arial" w:hAnsi="Arial"/>
                  <w:sz w:val="14"/>
                  <w:szCs w:val="14"/>
                  <w:color w:val="auto"/>
                </w:rPr>
                <w:t>Energy, Inc. and Sequoia Center LLC, dated June 3, 2011 (1420</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8">
              <w:r>
                <w:rPr>
                  <w:rFonts w:ascii="Arial" w:cs="Arial" w:eastAsia="Arial" w:hAnsi="Arial"/>
                  <w:sz w:val="14"/>
                  <w:szCs w:val="14"/>
                  <w:color w:val="auto"/>
                </w:rPr>
                <w:t>North McDowell Boulevard), as amended.</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79">
              <w:r>
                <w:rPr>
                  <w:rFonts w:ascii="Arial" w:cs="Arial" w:eastAsia="Arial" w:hAnsi="Arial"/>
                  <w:sz w:val="14"/>
                  <w:szCs w:val="14"/>
                  <w:color w:val="auto"/>
                </w:rPr>
                <w:t>First Amendment to Redwood Business Park NNN Lease (1420</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9">
              <w:r>
                <w:rPr>
                  <w:rFonts w:ascii="Arial" w:cs="Arial" w:eastAsia="Arial" w:hAnsi="Arial"/>
                  <w:sz w:val="14"/>
                  <w:szCs w:val="14"/>
                  <w:color w:val="auto"/>
                </w:rPr>
                <w:t>North McDowell Blvd), between Enphase Energy, Inc. &amp; Sequoia</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79">
              <w:r>
                <w:rPr>
                  <w:rFonts w:ascii="Arial" w:cs="Arial" w:eastAsia="Arial" w:hAnsi="Arial"/>
                  <w:sz w:val="14"/>
                  <w:szCs w:val="14"/>
                  <w:color w:val="auto"/>
                </w:rPr>
                <w:t>Center LLC dated January 12, 2012.</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0">
              <w:r>
                <w:rPr>
                  <w:rFonts w:ascii="Arial" w:cs="Arial" w:eastAsia="Arial" w:hAnsi="Arial"/>
                  <w:sz w:val="14"/>
                  <w:szCs w:val="14"/>
                  <w:color w:val="auto"/>
                </w:rPr>
                <w:t>Second Amendment to Redwood Business Park NNN Lease</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0">
              <w:r>
                <w:rPr>
                  <w:rFonts w:ascii="Arial" w:cs="Arial" w:eastAsia="Arial" w:hAnsi="Arial"/>
                  <w:sz w:val="14"/>
                  <w:szCs w:val="14"/>
                  <w:color w:val="auto"/>
                </w:rPr>
                <w:t>(1420 North McDowell Blvd), between Enphase Energy, Inc. &amp;</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0">
              <w:r>
                <w:rPr>
                  <w:rFonts w:ascii="Arial" w:cs="Arial" w:eastAsia="Arial" w:hAnsi="Arial"/>
                  <w:sz w:val="14"/>
                  <w:szCs w:val="14"/>
                  <w:color w:val="auto"/>
                </w:rPr>
                <w:t>Sequoia Center LLC, dated July 3, 2012.</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1">
              <w:r>
                <w:rPr>
                  <w:rFonts w:ascii="Arial" w:cs="Arial" w:eastAsia="Arial" w:hAnsi="Arial"/>
                  <w:sz w:val="14"/>
                  <w:szCs w:val="14"/>
                  <w:color w:val="auto"/>
                </w:rPr>
                <w:t>Third Amendment to Redwood Business Park NNN Lease (1420</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1">
              <w:r>
                <w:rPr>
                  <w:rFonts w:ascii="Arial" w:cs="Arial" w:eastAsia="Arial" w:hAnsi="Arial"/>
                  <w:sz w:val="14"/>
                  <w:szCs w:val="14"/>
                  <w:color w:val="auto"/>
                </w:rPr>
                <w:t>North McDowell Blvd), between Enphase Energy, Inc. &amp; Sequoia</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1">
              <w:r>
                <w:rPr>
                  <w:rFonts w:ascii="Arial" w:cs="Arial" w:eastAsia="Arial" w:hAnsi="Arial"/>
                  <w:sz w:val="14"/>
                  <w:szCs w:val="14"/>
                  <w:color w:val="auto"/>
                </w:rPr>
                <w:t>Center LLC dated May 14, 2014.</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2">
              <w:r>
                <w:rPr>
                  <w:rFonts w:ascii="Arial" w:cs="Arial" w:eastAsia="Arial" w:hAnsi="Arial"/>
                  <w:sz w:val="14"/>
                  <w:szCs w:val="14"/>
                  <w:color w:val="auto"/>
                </w:rPr>
                <w:t>Cooperation Agreement “AC cabling system for solar micro-</w:t>
              </w:r>
            </w:hyperlink>
          </w:p>
        </w:tc>
        <w:tc>
          <w:tcPr>
            <w:tcW w:w="0" w:type="dxa"/>
            <w:vAlign w:val="bottom"/>
          </w:tcPr>
          <w:p>
            <w:pPr>
              <w:spacing w:after="0"/>
              <w:rPr>
                <w:sz w:val="1"/>
                <w:szCs w:val="1"/>
                <w:color w:val="auto"/>
              </w:rPr>
            </w:pPr>
          </w:p>
        </w:tc>
      </w:tr>
      <w:tr>
        <w:trPr>
          <w:trHeight w:val="162"/>
        </w:trPr>
        <w:tc>
          <w:tcPr>
            <w:tcW w:w="940" w:type="dxa"/>
            <w:vAlign w:val="bottom"/>
            <w:gridSpan w:val="2"/>
          </w:tcPr>
          <w:p>
            <w:pPr>
              <w:jc w:val="center"/>
              <w:ind w:right="120"/>
              <w:spacing w:after="0" w:line="162" w:lineRule="exact"/>
              <w:rPr>
                <w:sz w:val="20"/>
                <w:szCs w:val="20"/>
                <w:color w:val="auto"/>
              </w:rPr>
            </w:pPr>
            <w:r>
              <w:rPr>
                <w:rFonts w:ascii="Arial" w:cs="Arial" w:eastAsia="Arial" w:hAnsi="Arial"/>
                <w:sz w:val="14"/>
                <w:szCs w:val="14"/>
                <w:color w:val="auto"/>
              </w:rPr>
              <w:t>10.14</w:t>
            </w:r>
            <w:r>
              <w:rPr>
                <w:rFonts w:ascii="Arial" w:cs="Arial" w:eastAsia="Arial" w:hAnsi="Arial"/>
                <w:sz w:val="17"/>
                <w:szCs w:val="17"/>
                <w:color w:val="auto"/>
                <w:vertAlign w:val="superscript"/>
              </w:rPr>
              <w:t>†</w:t>
            </w:r>
          </w:p>
        </w:tc>
        <w:tc>
          <w:tcPr>
            <w:tcW w:w="4220" w:type="dxa"/>
            <w:vAlign w:val="bottom"/>
          </w:tcPr>
          <w:p>
            <w:pPr>
              <w:ind w:left="20"/>
              <w:spacing w:after="0"/>
              <w:rPr>
                <w:rFonts w:ascii="Arial" w:cs="Arial" w:eastAsia="Arial" w:hAnsi="Arial"/>
                <w:sz w:val="14"/>
                <w:szCs w:val="14"/>
                <w:color w:val="auto"/>
              </w:rPr>
            </w:pPr>
            <w:hyperlink r:id="rId82">
              <w:r>
                <w:rPr>
                  <w:rFonts w:ascii="Arial" w:cs="Arial" w:eastAsia="Arial" w:hAnsi="Arial"/>
                  <w:sz w:val="14"/>
                  <w:szCs w:val="14"/>
                  <w:color w:val="auto"/>
                </w:rPr>
                <w:t>inverter” by and among Enphase Energy, Inc., and Phoenix</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2">
              <w:r>
                <w:rPr>
                  <w:rFonts w:ascii="Arial" w:cs="Arial" w:eastAsia="Arial" w:hAnsi="Arial"/>
                  <w:sz w:val="14"/>
                  <w:szCs w:val="14"/>
                  <w:color w:val="auto"/>
                </w:rPr>
                <w:t>Contact GmbH &amp; Co. KG and Phoenix Contact USA, Inc.,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2">
              <w:r>
                <w:rPr>
                  <w:rFonts w:ascii="Arial" w:cs="Arial" w:eastAsia="Arial" w:hAnsi="Arial"/>
                  <w:sz w:val="14"/>
                  <w:szCs w:val="14"/>
                  <w:color w:val="auto"/>
                </w:rPr>
                <w:t>December 7, 2010.</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3">
              <w:r>
                <w:rPr>
                  <w:rFonts w:ascii="Arial" w:cs="Arial" w:eastAsia="Arial" w:hAnsi="Arial"/>
                  <w:sz w:val="14"/>
                  <w:szCs w:val="14"/>
                  <w:color w:val="auto"/>
                </w:rPr>
                <w:t>Amendment No. 2 to the Cooperation Agreement and</w:t>
              </w:r>
            </w:hyperlink>
          </w:p>
        </w:tc>
        <w:tc>
          <w:tcPr>
            <w:tcW w:w="0" w:type="dxa"/>
            <w:vAlign w:val="bottom"/>
          </w:tcPr>
          <w:p>
            <w:pPr>
              <w:spacing w:after="0"/>
              <w:rPr>
                <w:sz w:val="1"/>
                <w:szCs w:val="1"/>
                <w:color w:val="auto"/>
              </w:rPr>
            </w:pPr>
          </w:p>
        </w:tc>
      </w:tr>
      <w:tr>
        <w:trPr>
          <w:trHeight w:val="162"/>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3">
              <w:r>
                <w:rPr>
                  <w:rFonts w:ascii="Arial" w:cs="Arial" w:eastAsia="Arial" w:hAnsi="Arial"/>
                  <w:sz w:val="14"/>
                  <w:szCs w:val="14"/>
                  <w:color w:val="auto"/>
                </w:rPr>
                <w:t>Amendment No. 1 by and among Enphase Energy, Inc., Phoenix</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auto"/>
              </w:rPr>
            </w:pPr>
            <w:hyperlink r:id="rId83">
              <w:r>
                <w:rPr>
                  <w:rFonts w:ascii="Arial" w:cs="Arial" w:eastAsia="Arial" w:hAnsi="Arial"/>
                  <w:sz w:val="14"/>
                  <w:szCs w:val="14"/>
                  <w:color w:val="auto"/>
                </w:rPr>
                <w:t>Contact GmbH &amp; Co. KG and Phoenix Contact USA, Inc., dated</w:t>
              </w:r>
            </w:hyperlink>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3">
              <w:r>
                <w:rPr>
                  <w:rFonts w:ascii="Arial" w:cs="Arial" w:eastAsia="Arial" w:hAnsi="Arial"/>
                  <w:sz w:val="14"/>
                  <w:szCs w:val="14"/>
                  <w:color w:val="auto"/>
                </w:rPr>
                <w:t>September 1, 2016.</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4">
              <w:r>
                <w:rPr>
                  <w:rFonts w:ascii="Arial" w:cs="Arial" w:eastAsia="Arial" w:hAnsi="Arial"/>
                  <w:sz w:val="14"/>
                  <w:szCs w:val="14"/>
                  <w:color w:val="auto"/>
                </w:rPr>
                <w:t>Flextronics Logistics Services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4">
              <w:r>
                <w:rPr>
                  <w:rFonts w:ascii="Arial" w:cs="Arial" w:eastAsia="Arial" w:hAnsi="Arial"/>
                  <w:sz w:val="14"/>
                  <w:szCs w:val="14"/>
                  <w:color w:val="auto"/>
                </w:rPr>
                <w:t>Enphase Energy, Inc. and Flextronics America, LLC, dated May</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4">
              <w:r>
                <w:rPr>
                  <w:rFonts w:ascii="Arial" w:cs="Arial" w:eastAsia="Arial" w:hAnsi="Arial"/>
                  <w:sz w:val="14"/>
                  <w:szCs w:val="14"/>
                  <w:color w:val="auto"/>
                </w:rPr>
                <w:t>1, 2009.</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5">
              <w:r>
                <w:rPr>
                  <w:rFonts w:ascii="Arial" w:cs="Arial" w:eastAsia="Arial" w:hAnsi="Arial"/>
                  <w:sz w:val="14"/>
                  <w:szCs w:val="14"/>
                  <w:color w:val="auto"/>
                </w:rPr>
                <w:t>Amendment #1 to the Flextronics Logistics Services Agreement,</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5">
              <w:r>
                <w:rPr>
                  <w:rFonts w:ascii="Arial" w:cs="Arial" w:eastAsia="Arial" w:hAnsi="Arial"/>
                  <w:sz w:val="14"/>
                  <w:szCs w:val="14"/>
                  <w:color w:val="auto"/>
                </w:rPr>
                <w:t>by and between Enphase Energy, Inc. and Flextronics America,</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5">
              <w:r>
                <w:rPr>
                  <w:rFonts w:ascii="Arial" w:cs="Arial" w:eastAsia="Arial" w:hAnsi="Arial"/>
                  <w:sz w:val="14"/>
                  <w:szCs w:val="14"/>
                  <w:color w:val="auto"/>
                </w:rPr>
                <w:t>LLC, dated July 28, 2016.</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6">
              <w:r>
                <w:rPr>
                  <w:rFonts w:ascii="Arial" w:cs="Arial" w:eastAsia="Arial" w:hAnsi="Arial"/>
                  <w:sz w:val="14"/>
                  <w:szCs w:val="14"/>
                  <w:color w:val="auto"/>
                </w:rPr>
                <w:t>Flextronics Manufacturing Services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6">
              <w:r>
                <w:rPr>
                  <w:rFonts w:ascii="Arial" w:cs="Arial" w:eastAsia="Arial" w:hAnsi="Arial"/>
                  <w:sz w:val="14"/>
                  <w:szCs w:val="14"/>
                  <w:color w:val="auto"/>
                </w:rPr>
                <w:t>Enphase Energy, Inc. and Flextronics Industrial, Ltd.,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6">
              <w:r>
                <w:rPr>
                  <w:rFonts w:ascii="Arial" w:cs="Arial" w:eastAsia="Arial" w:hAnsi="Arial"/>
                  <w:sz w:val="14"/>
                  <w:szCs w:val="14"/>
                  <w:color w:val="auto"/>
                </w:rPr>
                <w:t>March 1, 2009, as amended.</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7">
              <w:r>
                <w:rPr>
                  <w:rFonts w:ascii="Arial" w:cs="Arial" w:eastAsia="Arial" w:hAnsi="Arial"/>
                  <w:sz w:val="14"/>
                  <w:szCs w:val="14"/>
                  <w:color w:val="auto"/>
                </w:rPr>
                <w:t>Master Development and Production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7">
              <w:r>
                <w:rPr>
                  <w:rFonts w:ascii="Arial" w:cs="Arial" w:eastAsia="Arial" w:hAnsi="Arial"/>
                  <w:sz w:val="14"/>
                  <w:szCs w:val="14"/>
                  <w:color w:val="auto"/>
                </w:rPr>
                <w:t>Enphase Energy, Inc. and Fujitsu Microelectronics America, Inc.,</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7">
              <w:r>
                <w:rPr>
                  <w:rFonts w:ascii="Arial" w:cs="Arial" w:eastAsia="Arial" w:hAnsi="Arial"/>
                  <w:sz w:val="14"/>
                  <w:szCs w:val="14"/>
                  <w:color w:val="auto"/>
                </w:rPr>
                <w:t>dated August 19, 2009.</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8">
              <w:r>
                <w:rPr>
                  <w:rFonts w:ascii="Arial" w:cs="Arial" w:eastAsia="Arial" w:hAnsi="Arial"/>
                  <w:sz w:val="14"/>
                  <w:szCs w:val="14"/>
                  <w:color w:val="auto"/>
                </w:rPr>
                <w:t>License and Technology Transfer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8">
              <w:r>
                <w:rPr>
                  <w:rFonts w:ascii="Arial" w:cs="Arial" w:eastAsia="Arial" w:hAnsi="Arial"/>
                  <w:sz w:val="14"/>
                  <w:szCs w:val="14"/>
                  <w:color w:val="auto"/>
                </w:rPr>
                <w:t>Enphase Energy, Inc. and Ariane Controls, Inc., dated December</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8">
              <w:r>
                <w:rPr>
                  <w:rFonts w:ascii="Arial" w:cs="Arial" w:eastAsia="Arial" w:hAnsi="Arial"/>
                  <w:sz w:val="14"/>
                  <w:szCs w:val="14"/>
                  <w:color w:val="auto"/>
                </w:rPr>
                <w:t>21, 2007.</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89">
              <w:r>
                <w:rPr>
                  <w:rFonts w:ascii="Arial" w:cs="Arial" w:eastAsia="Arial" w:hAnsi="Arial"/>
                  <w:sz w:val="14"/>
                  <w:szCs w:val="14"/>
                  <w:color w:val="auto"/>
                </w:rPr>
                <w:t>Software License Agreement by and between PVI Solutions, Inc.</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9">
              <w:r>
                <w:rPr>
                  <w:rFonts w:ascii="Arial" w:cs="Arial" w:eastAsia="Arial" w:hAnsi="Arial"/>
                  <w:sz w:val="14"/>
                  <w:szCs w:val="14"/>
                  <w:color w:val="auto"/>
                </w:rPr>
                <w:t>(subsequently known as Enphase Energy, Inc.) and DCD, Digital</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89">
              <w:r>
                <w:rPr>
                  <w:rFonts w:ascii="Arial" w:cs="Arial" w:eastAsia="Arial" w:hAnsi="Arial"/>
                  <w:sz w:val="14"/>
                  <w:szCs w:val="14"/>
                  <w:color w:val="auto"/>
                </w:rPr>
                <w:t>Core Design, dated May 8, 2007, as amended.</w:t>
              </w:r>
            </w:hyperlink>
          </w:p>
        </w:tc>
        <w:tc>
          <w:tcPr>
            <w:tcW w:w="0" w:type="dxa"/>
            <w:vAlign w:val="bottom"/>
          </w:tcPr>
          <w:p>
            <w:pPr>
              <w:spacing w:after="0"/>
              <w:rPr>
                <w:sz w:val="1"/>
                <w:szCs w:val="1"/>
                <w:color w:val="auto"/>
              </w:rPr>
            </w:pPr>
          </w:p>
        </w:tc>
      </w:tr>
      <w:tr>
        <w:trPr>
          <w:trHeight w:val="422"/>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90">
              <w:r>
                <w:rPr>
                  <w:rFonts w:ascii="Arial" w:cs="Arial" w:eastAsia="Arial" w:hAnsi="Arial"/>
                  <w:sz w:val="14"/>
                  <w:szCs w:val="14"/>
                  <w:color w:val="auto"/>
                </w:rPr>
                <w:t>Master License Agreement between Enphase Energy, Inc. and</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auto"/>
              </w:rPr>
            </w:pPr>
            <w:hyperlink r:id="rId90">
              <w:r>
                <w:rPr>
                  <w:rFonts w:ascii="Arial" w:cs="Arial" w:eastAsia="Arial" w:hAnsi="Arial"/>
                  <w:sz w:val="14"/>
                  <w:szCs w:val="14"/>
                  <w:color w:val="auto"/>
                </w:rPr>
                <w:t>Flextronics Industrial, Ltd., dated June 9, 2017.</w:t>
              </w:r>
            </w:hyperlink>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820" w:type="dxa"/>
            <w:vAlign w:val="bottom"/>
          </w:tcPr>
          <w:p>
            <w:pPr>
              <w:jc w:val="center"/>
              <w:spacing w:after="0"/>
              <w:rPr>
                <w:sz w:val="20"/>
                <w:szCs w:val="20"/>
                <w:color w:val="auto"/>
              </w:rPr>
            </w:pPr>
            <w:r>
              <w:rPr>
                <w:rFonts w:ascii="Arial" w:cs="Arial" w:eastAsia="Arial" w:hAnsi="Arial"/>
                <w:sz w:val="14"/>
                <w:szCs w:val="14"/>
                <w:color w:val="auto"/>
              </w:rPr>
              <w:t>10.23</w:t>
            </w:r>
            <w:r>
              <w:rPr>
                <w:rFonts w:ascii="Arial" w:cs="Arial" w:eastAsia="Arial" w:hAnsi="Arial"/>
                <w:sz w:val="17"/>
                <w:szCs w:val="17"/>
                <w:color w:val="auto"/>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91">
              <w:r>
                <w:rPr>
                  <w:rFonts w:ascii="Arial" w:cs="Arial" w:eastAsia="Arial" w:hAnsi="Arial"/>
                  <w:sz w:val="14"/>
                  <w:szCs w:val="14"/>
                  <w:color w:val="auto"/>
                </w:rPr>
                <w:t>Non-employee Director Compensation Policy.</w:t>
              </w:r>
            </w:hyperlink>
          </w:p>
        </w:tc>
        <w:tc>
          <w:tcPr>
            <w:tcW w:w="0" w:type="dxa"/>
            <w:vAlign w:val="bottom"/>
          </w:tcPr>
          <w:p>
            <w:pPr>
              <w:spacing w:after="0"/>
              <w:rPr>
                <w:sz w:val="1"/>
                <w:szCs w:val="1"/>
                <w:color w:val="auto"/>
              </w:rPr>
            </w:pPr>
          </w:p>
        </w:tc>
      </w:tr>
      <w:tr>
        <w:trPr>
          <w:trHeight w:val="370"/>
        </w:trPr>
        <w:tc>
          <w:tcPr>
            <w:tcW w:w="820" w:type="dxa"/>
            <w:vAlign w:val="bottom"/>
          </w:tcPr>
          <w:p>
            <w:pPr>
              <w:jc w:val="center"/>
              <w:spacing w:after="0"/>
              <w:rPr>
                <w:sz w:val="20"/>
                <w:szCs w:val="20"/>
                <w:color w:val="auto"/>
              </w:rPr>
            </w:pPr>
            <w:r>
              <w:rPr>
                <w:rFonts w:ascii="Arial" w:cs="Arial" w:eastAsia="Arial" w:hAnsi="Arial"/>
                <w:sz w:val="14"/>
                <w:szCs w:val="14"/>
                <w:color w:val="auto"/>
              </w:rPr>
              <w:t>10.24</w:t>
            </w:r>
            <w:r>
              <w:rPr>
                <w:rFonts w:ascii="Arial" w:cs="Arial" w:eastAsia="Arial" w:hAnsi="Arial"/>
                <w:sz w:val="17"/>
                <w:szCs w:val="17"/>
                <w:color w:val="auto"/>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92">
              <w:r>
                <w:rPr>
                  <w:rFonts w:ascii="Arial" w:cs="Arial" w:eastAsia="Arial" w:hAnsi="Arial"/>
                  <w:sz w:val="14"/>
                  <w:szCs w:val="14"/>
                  <w:color w:val="auto"/>
                </w:rPr>
                <w:t>Offer Letter by and between Enphase Energy, Inc. and David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92">
              <w:r>
                <w:rPr>
                  <w:rFonts w:ascii="Arial" w:cs="Arial" w:eastAsia="Arial" w:hAnsi="Arial"/>
                  <w:sz w:val="14"/>
                  <w:szCs w:val="14"/>
                  <w:color w:val="auto"/>
                </w:rPr>
                <w:t>Ranhoff, dated December 1, 2017.</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47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3/4/2015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3/4/2015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3/4/2015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11/13/2012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3/4/2015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37"/>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1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11/2/2016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37"/>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11/2/2016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5/6/2015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8/9/2017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5/8/2013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12/5/2017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-7349490</wp:posOffset>
            </wp:positionV>
            <wp:extent cx="7246620" cy="48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-6389370</wp:posOffset>
            </wp:positionV>
            <wp:extent cx="7246620" cy="480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-5428615</wp:posOffset>
            </wp:positionV>
            <wp:extent cx="7246620" cy="480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-4365625</wp:posOffset>
            </wp:positionV>
            <wp:extent cx="7246620" cy="5829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-3302000</wp:posOffset>
            </wp:positionV>
            <wp:extent cx="7246620" cy="4800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-2341245</wp:posOffset>
            </wp:positionV>
            <wp:extent cx="7246620" cy="4800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-1381125</wp:posOffset>
            </wp:positionV>
            <wp:extent cx="7246620" cy="480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-523240</wp:posOffset>
            </wp:positionV>
            <wp:extent cx="72466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5160" w:space="120"/>
            <w:col w:w="6140"/>
          </w:cols>
          <w:pgMar w:left="240" w:top="283" w:right="2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100 –</w:t>
      </w:r>
    </w:p>
    <w:p>
      <w:pPr>
        <w:sectPr>
          <w:pgSz w:w="11900" w:h="16838" w:orient="portrait"/>
          <w:cols w:equalWidth="0" w:num="1">
            <w:col w:w="11420"/>
          </w:cols>
          <w:pgMar w:left="240" w:top="283" w:right="239" w:bottom="1440" w:gutter="0" w:footer="0" w:header="0"/>
          <w:type w:val="continuous"/>
        </w:sectPr>
      </w:pPr>
    </w:p>
    <w:bookmarkStart w:id="100" w:name="page101"/>
    <w:bookmarkEnd w:id="100"/>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64"/>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10.25</w:t>
            </w:r>
            <w:r>
              <w:rPr>
                <w:rFonts w:ascii="Arial" w:cs="Arial" w:eastAsia="Arial" w:hAnsi="Arial"/>
                <w:sz w:val="17"/>
                <w:szCs w:val="17"/>
                <w:color w:val="auto"/>
                <w:vertAlign w:val="superscript"/>
              </w:rPr>
              <w:t>+</w:t>
            </w:r>
          </w:p>
        </w:tc>
        <w:tc>
          <w:tcPr>
            <w:tcW w:w="120" w:type="dxa"/>
            <w:vAlign w:val="bottom"/>
          </w:tcPr>
          <w:p>
            <w:pPr>
              <w:spacing w:after="0"/>
              <w:rPr>
                <w:sz w:val="24"/>
                <w:szCs w:val="24"/>
                <w:color w:val="auto"/>
              </w:rPr>
            </w:pPr>
          </w:p>
        </w:tc>
        <w:tc>
          <w:tcPr>
            <w:tcW w:w="4220" w:type="dxa"/>
            <w:vAlign w:val="bottom"/>
            <w:tcBorders>
              <w:top w:val="single" w:sz="8" w:color="auto"/>
            </w:tcBorders>
          </w:tcPr>
          <w:p>
            <w:pPr>
              <w:ind w:left="20"/>
              <w:spacing w:after="0"/>
              <w:rPr>
                <w:rFonts w:ascii="Arial" w:cs="Arial" w:eastAsia="Arial" w:hAnsi="Arial"/>
                <w:sz w:val="14"/>
                <w:szCs w:val="14"/>
                <w:color w:val="auto"/>
              </w:rPr>
            </w:pPr>
            <w:hyperlink r:id="rId101">
              <w:r>
                <w:rPr>
                  <w:rFonts w:ascii="Arial" w:cs="Arial" w:eastAsia="Arial" w:hAnsi="Arial"/>
                  <w:sz w:val="14"/>
                  <w:szCs w:val="14"/>
                  <w:color w:val="auto"/>
                </w:rPr>
                <w:t>2018 Performance Bonus Program Summary.</w:t>
              </w:r>
            </w:hyperlink>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4"/>
                <w:szCs w:val="14"/>
                <w:color w:val="auto"/>
              </w:rPr>
              <w:t>10.26</w:t>
            </w:r>
            <w:r>
              <w:rPr>
                <w:rFonts w:ascii="Arial" w:cs="Arial" w:eastAsia="Arial" w:hAnsi="Arial"/>
                <w:sz w:val="17"/>
                <w:szCs w:val="17"/>
                <w:color w:val="auto"/>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102">
              <w:r>
                <w:rPr>
                  <w:rFonts w:ascii="Arial" w:cs="Arial" w:eastAsia="Arial" w:hAnsi="Arial"/>
                  <w:sz w:val="14"/>
                  <w:szCs w:val="14"/>
                  <w:color w:val="auto"/>
                </w:rPr>
                <w:t>Severance and Change in Control Benefit Plan.</w:t>
              </w:r>
            </w:hyperlink>
          </w:p>
        </w:tc>
        <w:tc>
          <w:tcPr>
            <w:tcW w:w="0" w:type="dxa"/>
            <w:vAlign w:val="bottom"/>
          </w:tcPr>
          <w:p>
            <w:pPr>
              <w:spacing w:after="0"/>
              <w:rPr>
                <w:sz w:val="1"/>
                <w:szCs w:val="1"/>
                <w:color w:val="auto"/>
              </w:rPr>
            </w:pPr>
          </w:p>
        </w:tc>
      </w:tr>
      <w:tr>
        <w:trPr>
          <w:trHeight w:val="370"/>
        </w:trPr>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rPr>
              <w:t>10.27</w:t>
            </w:r>
            <w:r>
              <w:rPr>
                <w:rFonts w:ascii="Arial" w:cs="Arial" w:eastAsia="Arial" w:hAnsi="Arial"/>
                <w:sz w:val="17"/>
                <w:szCs w:val="17"/>
                <w:color w:val="auto"/>
                <w:vertAlign w:val="superscript"/>
              </w:rPr>
              <w:t>†</w:t>
            </w:r>
          </w:p>
        </w:tc>
        <w:tc>
          <w:tcPr>
            <w:tcW w:w="4220" w:type="dxa"/>
            <w:vAlign w:val="bottom"/>
          </w:tcPr>
          <w:p>
            <w:pPr>
              <w:ind w:left="20"/>
              <w:spacing w:after="0"/>
              <w:rPr>
                <w:rFonts w:ascii="Arial" w:cs="Arial" w:eastAsia="Arial" w:hAnsi="Arial"/>
                <w:sz w:val="14"/>
                <w:szCs w:val="14"/>
                <w:color w:val="auto"/>
              </w:rPr>
            </w:pPr>
            <w:hyperlink r:id="rId103">
              <w:r>
                <w:rPr>
                  <w:rFonts w:ascii="Arial" w:cs="Arial" w:eastAsia="Arial" w:hAnsi="Arial"/>
                  <w:sz w:val="14"/>
                  <w:szCs w:val="14"/>
                  <w:color w:val="auto"/>
                </w:rPr>
                <w:t>Supply Agreement, by and between Enphase Energy, Inc. and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3">
              <w:r>
                <w:rPr>
                  <w:rFonts w:ascii="Arial" w:cs="Arial" w:eastAsia="Arial" w:hAnsi="Arial"/>
                  <w:sz w:val="14"/>
                  <w:szCs w:val="14"/>
                  <w:color w:val="auto"/>
                </w:rPr>
                <w:t>Dow Corning Corporation, dated April 22, 2014.</w:t>
              </w:r>
            </w:hyperlink>
          </w:p>
        </w:tc>
        <w:tc>
          <w:tcPr>
            <w:tcW w:w="0" w:type="dxa"/>
            <w:vAlign w:val="bottom"/>
          </w:tcPr>
          <w:p>
            <w:pPr>
              <w:spacing w:after="0"/>
              <w:rPr>
                <w:sz w:val="1"/>
                <w:szCs w:val="1"/>
                <w:color w:val="auto"/>
              </w:rPr>
            </w:pPr>
          </w:p>
        </w:tc>
      </w:tr>
      <w:tr>
        <w:trPr>
          <w:trHeight w:val="422"/>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10.28</w:t>
            </w:r>
            <w:r>
              <w:rPr>
                <w:rFonts w:ascii="Arial" w:cs="Arial" w:eastAsia="Arial" w:hAnsi="Arial"/>
                <w:sz w:val="17"/>
                <w:szCs w:val="17"/>
                <w:color w:val="auto"/>
                <w:vertAlign w:val="superscript"/>
              </w:rPr>
              <w:t>†</w:t>
            </w:r>
          </w:p>
        </w:tc>
        <w:tc>
          <w:tcPr>
            <w:tcW w:w="4220" w:type="dxa"/>
            <w:vAlign w:val="bottom"/>
          </w:tcPr>
          <w:p>
            <w:pPr>
              <w:ind w:left="20"/>
              <w:spacing w:after="0"/>
              <w:rPr>
                <w:rFonts w:ascii="Arial" w:cs="Arial" w:eastAsia="Arial" w:hAnsi="Arial"/>
                <w:sz w:val="14"/>
                <w:szCs w:val="14"/>
                <w:color w:val="auto"/>
              </w:rPr>
            </w:pPr>
            <w:hyperlink r:id="rId104">
              <w:r>
                <w:rPr>
                  <w:rFonts w:ascii="Arial" w:cs="Arial" w:eastAsia="Arial" w:hAnsi="Arial"/>
                  <w:sz w:val="14"/>
                  <w:szCs w:val="14"/>
                  <w:color w:val="auto"/>
                </w:rPr>
                <w:t>First Amendment to the Supply Agreement, by and between</w:t>
              </w:r>
            </w:hyperlink>
          </w:p>
        </w:tc>
        <w:tc>
          <w:tcPr>
            <w:tcW w:w="0" w:type="dxa"/>
            <w:vAlign w:val="bottom"/>
          </w:tcPr>
          <w:p>
            <w:pPr>
              <w:spacing w:after="0"/>
              <w:rPr>
                <w:sz w:val="1"/>
                <w:szCs w:val="1"/>
                <w:color w:val="auto"/>
              </w:rPr>
            </w:pPr>
          </w:p>
        </w:tc>
      </w:tr>
      <w:tr>
        <w:trPr>
          <w:trHeight w:val="162"/>
        </w:trPr>
        <w:tc>
          <w:tcPr>
            <w:tcW w:w="940" w:type="dxa"/>
            <w:vAlign w:val="bottom"/>
            <w:gridSpan w:val="2"/>
            <w:vMerge w:val="continue"/>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4">
              <w:r>
                <w:rPr>
                  <w:rFonts w:ascii="Arial" w:cs="Arial" w:eastAsia="Arial" w:hAnsi="Arial"/>
                  <w:sz w:val="14"/>
                  <w:szCs w:val="14"/>
                  <w:color w:val="auto"/>
                </w:rPr>
                <w:t>Enphase Energy, Inc. and Dow Corning Corporation,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4">
              <w:r>
                <w:rPr>
                  <w:rFonts w:ascii="Arial" w:cs="Arial" w:eastAsia="Arial" w:hAnsi="Arial"/>
                  <w:sz w:val="14"/>
                  <w:szCs w:val="14"/>
                  <w:color w:val="auto"/>
                </w:rPr>
                <w:t>August 1, 2014.</w:t>
              </w:r>
            </w:hyperlink>
          </w:p>
        </w:tc>
        <w:tc>
          <w:tcPr>
            <w:tcW w:w="0" w:type="dxa"/>
            <w:vAlign w:val="bottom"/>
          </w:tcPr>
          <w:p>
            <w:pPr>
              <w:spacing w:after="0"/>
              <w:rPr>
                <w:sz w:val="1"/>
                <w:szCs w:val="1"/>
                <w:color w:val="auto"/>
              </w:rPr>
            </w:pPr>
          </w:p>
        </w:tc>
      </w:tr>
      <w:tr>
        <w:trPr>
          <w:trHeight w:val="422"/>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10.29</w:t>
            </w:r>
            <w:r>
              <w:rPr>
                <w:rFonts w:ascii="Arial" w:cs="Arial" w:eastAsia="Arial" w:hAnsi="Arial"/>
                <w:sz w:val="17"/>
                <w:szCs w:val="17"/>
                <w:color w:val="auto"/>
                <w:vertAlign w:val="superscript"/>
              </w:rPr>
              <w:t>†</w:t>
            </w:r>
          </w:p>
        </w:tc>
        <w:tc>
          <w:tcPr>
            <w:tcW w:w="4220" w:type="dxa"/>
            <w:vAlign w:val="bottom"/>
          </w:tcPr>
          <w:p>
            <w:pPr>
              <w:ind w:left="20"/>
              <w:spacing w:after="0"/>
              <w:rPr>
                <w:rFonts w:ascii="Arial" w:cs="Arial" w:eastAsia="Arial" w:hAnsi="Arial"/>
                <w:sz w:val="14"/>
                <w:szCs w:val="14"/>
                <w:color w:val="auto"/>
              </w:rPr>
            </w:pPr>
            <w:hyperlink r:id="rId105">
              <w:r>
                <w:rPr>
                  <w:rFonts w:ascii="Arial" w:cs="Arial" w:eastAsia="Arial" w:hAnsi="Arial"/>
                  <w:sz w:val="14"/>
                  <w:szCs w:val="14"/>
                  <w:color w:val="auto"/>
                </w:rPr>
                <w:t>Second Amendment to the Supply Agreement, by and between</w:t>
              </w:r>
            </w:hyperlink>
          </w:p>
        </w:tc>
        <w:tc>
          <w:tcPr>
            <w:tcW w:w="0" w:type="dxa"/>
            <w:vAlign w:val="bottom"/>
          </w:tcPr>
          <w:p>
            <w:pPr>
              <w:spacing w:after="0"/>
              <w:rPr>
                <w:sz w:val="1"/>
                <w:szCs w:val="1"/>
                <w:color w:val="auto"/>
              </w:rPr>
            </w:pPr>
          </w:p>
        </w:tc>
      </w:tr>
      <w:tr>
        <w:trPr>
          <w:trHeight w:val="162"/>
        </w:trPr>
        <w:tc>
          <w:tcPr>
            <w:tcW w:w="940" w:type="dxa"/>
            <w:vAlign w:val="bottom"/>
            <w:gridSpan w:val="2"/>
            <w:vMerge w:val="continue"/>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5">
              <w:r>
                <w:rPr>
                  <w:rFonts w:ascii="Arial" w:cs="Arial" w:eastAsia="Arial" w:hAnsi="Arial"/>
                  <w:sz w:val="14"/>
                  <w:szCs w:val="14"/>
                  <w:color w:val="auto"/>
                </w:rPr>
                <w:t>Enphase Energy, Inc. and Dow Corning Corporation,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5">
              <w:r>
                <w:rPr>
                  <w:rFonts w:ascii="Arial" w:cs="Arial" w:eastAsia="Arial" w:hAnsi="Arial"/>
                  <w:sz w:val="14"/>
                  <w:szCs w:val="14"/>
                  <w:color w:val="auto"/>
                </w:rPr>
                <w:t>August 1, 2014.</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106">
              <w:r>
                <w:rPr>
                  <w:rFonts w:ascii="Arial" w:cs="Arial" w:eastAsia="Arial" w:hAnsi="Arial"/>
                  <w:sz w:val="14"/>
                  <w:szCs w:val="14"/>
                  <w:color w:val="auto"/>
                </w:rPr>
                <w:t>Loan and Security Agreement by and among Enphase Energy,</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6">
              <w:r>
                <w:rPr>
                  <w:rFonts w:ascii="Arial" w:cs="Arial" w:eastAsia="Arial" w:hAnsi="Arial"/>
                  <w:sz w:val="14"/>
                  <w:szCs w:val="14"/>
                  <w:color w:val="auto"/>
                </w:rPr>
                <w:t>Inc., Tennenbaum Special Situations Fund IX, LLC, the lenders</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6">
              <w:r>
                <w:rPr>
                  <w:rFonts w:ascii="Arial" w:cs="Arial" w:eastAsia="Arial" w:hAnsi="Arial"/>
                  <w:sz w:val="14"/>
                  <w:szCs w:val="14"/>
                  <w:color w:val="auto"/>
                </w:rPr>
                <w:t>identified on the signature pages thereto and Obsidian Agency</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6">
              <w:r>
                <w:rPr>
                  <w:rFonts w:ascii="Arial" w:cs="Arial" w:eastAsia="Arial" w:hAnsi="Arial"/>
                  <w:sz w:val="14"/>
                  <w:szCs w:val="14"/>
                  <w:color w:val="auto"/>
                </w:rPr>
                <w:t>Services, Inc., as administrative agent and collateral agent for the</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6">
              <w:r>
                <w:rPr>
                  <w:rFonts w:ascii="Arial" w:cs="Arial" w:eastAsia="Arial" w:hAnsi="Arial"/>
                  <w:sz w:val="14"/>
                  <w:szCs w:val="14"/>
                  <w:color w:val="auto"/>
                </w:rPr>
                <w:t>lenders, dated July 8, 2016.</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107">
              <w:r>
                <w:rPr>
                  <w:rFonts w:ascii="Arial" w:cs="Arial" w:eastAsia="Arial" w:hAnsi="Arial"/>
                  <w:sz w:val="14"/>
                  <w:szCs w:val="14"/>
                  <w:color w:val="auto"/>
                </w:rPr>
                <w:t>First Amendment to Loan and Security Agreement, by and</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7">
              <w:r>
                <w:rPr>
                  <w:rFonts w:ascii="Arial" w:cs="Arial" w:eastAsia="Arial" w:hAnsi="Arial"/>
                  <w:sz w:val="14"/>
                  <w:szCs w:val="14"/>
                  <w:color w:val="auto"/>
                </w:rPr>
                <w:t>among Enphase Energy, Inc., Tennenbaum Special Situations</w:t>
              </w:r>
            </w:hyperlink>
          </w:p>
        </w:tc>
        <w:tc>
          <w:tcPr>
            <w:tcW w:w="0" w:type="dxa"/>
            <w:vAlign w:val="bottom"/>
          </w:tcPr>
          <w:p>
            <w:pPr>
              <w:spacing w:after="0"/>
              <w:rPr>
                <w:sz w:val="1"/>
                <w:szCs w:val="1"/>
                <w:color w:val="auto"/>
              </w:rPr>
            </w:pPr>
          </w:p>
        </w:tc>
      </w:tr>
      <w:tr>
        <w:trPr>
          <w:trHeight w:val="162"/>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7">
              <w:r>
                <w:rPr>
                  <w:rFonts w:ascii="Arial" w:cs="Arial" w:eastAsia="Arial" w:hAnsi="Arial"/>
                  <w:sz w:val="14"/>
                  <w:szCs w:val="14"/>
                  <w:color w:val="auto"/>
                </w:rPr>
                <w:t>Fund IX, LLC, the lenders identified on the signature pages</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auto"/>
              </w:rPr>
            </w:pPr>
            <w:hyperlink r:id="rId107">
              <w:r>
                <w:rPr>
                  <w:rFonts w:ascii="Arial" w:cs="Arial" w:eastAsia="Arial" w:hAnsi="Arial"/>
                  <w:sz w:val="14"/>
                  <w:szCs w:val="14"/>
                  <w:color w:val="auto"/>
                </w:rPr>
                <w:t>thereto and Obsidian Agency Services, Inc., as administrative</w:t>
              </w:r>
            </w:hyperlink>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7">
              <w:r>
                <w:rPr>
                  <w:rFonts w:ascii="Arial" w:cs="Arial" w:eastAsia="Arial" w:hAnsi="Arial"/>
                  <w:sz w:val="14"/>
                  <w:szCs w:val="14"/>
                  <w:color w:val="auto"/>
                </w:rPr>
                <w:t>agent and collateral agent for the lenders, dated December 30,</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7">
              <w:r>
                <w:rPr>
                  <w:rFonts w:ascii="Arial" w:cs="Arial" w:eastAsia="Arial" w:hAnsi="Arial"/>
                  <w:sz w:val="14"/>
                  <w:szCs w:val="14"/>
                  <w:color w:val="auto"/>
                </w:rPr>
                <w:t>2016.</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108">
              <w:r>
                <w:rPr>
                  <w:rFonts w:ascii="Arial" w:cs="Arial" w:eastAsia="Arial" w:hAnsi="Arial"/>
                  <w:sz w:val="14"/>
                  <w:szCs w:val="14"/>
                  <w:color w:val="auto"/>
                </w:rPr>
                <w:t>Amended and Restated Loan and Security Agreement, by and</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8">
              <w:r>
                <w:rPr>
                  <w:rFonts w:ascii="Arial" w:cs="Arial" w:eastAsia="Arial" w:hAnsi="Arial"/>
                  <w:sz w:val="14"/>
                  <w:szCs w:val="14"/>
                  <w:color w:val="auto"/>
                </w:rPr>
                <w:t>among Enphase Energy, Inc., the lenders party thereto, Cortland</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8">
              <w:r>
                <w:rPr>
                  <w:rFonts w:ascii="Arial" w:cs="Arial" w:eastAsia="Arial" w:hAnsi="Arial"/>
                  <w:sz w:val="14"/>
                  <w:szCs w:val="14"/>
                  <w:color w:val="auto"/>
                </w:rPr>
                <w:t>Capital Market Services LLC, as administrative agent, and</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8">
              <w:r>
                <w:rPr>
                  <w:rFonts w:ascii="Arial" w:cs="Arial" w:eastAsia="Arial" w:hAnsi="Arial"/>
                  <w:sz w:val="14"/>
                  <w:szCs w:val="14"/>
                  <w:color w:val="auto"/>
                </w:rPr>
                <w:t>Obsidian Agency Services, Inc., as collateral agent,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8">
              <w:r>
                <w:rPr>
                  <w:rFonts w:ascii="Arial" w:cs="Arial" w:eastAsia="Arial" w:hAnsi="Arial"/>
                  <w:sz w:val="14"/>
                  <w:szCs w:val="14"/>
                  <w:color w:val="auto"/>
                </w:rPr>
                <w:t>February 10, 2017.</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109">
              <w:r>
                <w:rPr>
                  <w:rFonts w:ascii="Arial" w:cs="Arial" w:eastAsia="Arial" w:hAnsi="Arial"/>
                  <w:sz w:val="14"/>
                  <w:szCs w:val="14"/>
                  <w:color w:val="auto"/>
                </w:rPr>
                <w:t>Form of Warrant under Amended and Restated Loan and</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9">
              <w:r>
                <w:rPr>
                  <w:rFonts w:ascii="Arial" w:cs="Arial" w:eastAsia="Arial" w:hAnsi="Arial"/>
                  <w:sz w:val="14"/>
                  <w:szCs w:val="14"/>
                  <w:color w:val="auto"/>
                </w:rPr>
                <w:t>Security Agreement, by and among Enphase Energy, Inc., the</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9">
              <w:r>
                <w:rPr>
                  <w:rFonts w:ascii="Arial" w:cs="Arial" w:eastAsia="Arial" w:hAnsi="Arial"/>
                  <w:sz w:val="14"/>
                  <w:szCs w:val="14"/>
                  <w:color w:val="auto"/>
                </w:rPr>
                <w:t>lenders party thereto, Cortland Capital Market Services LLC, as</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9">
              <w:r>
                <w:rPr>
                  <w:rFonts w:ascii="Arial" w:cs="Arial" w:eastAsia="Arial" w:hAnsi="Arial"/>
                  <w:sz w:val="14"/>
                  <w:szCs w:val="14"/>
                  <w:color w:val="auto"/>
                </w:rPr>
                <w:t>administrative agent, and Obsidian Agency Services, Inc., as</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09">
              <w:r>
                <w:rPr>
                  <w:rFonts w:ascii="Arial" w:cs="Arial" w:eastAsia="Arial" w:hAnsi="Arial"/>
                  <w:sz w:val="14"/>
                  <w:szCs w:val="14"/>
                  <w:color w:val="auto"/>
                </w:rPr>
                <w:t>collateral agent, dated February 10, 2017.</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12"/>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3/9/2018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5/8/2013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8/5/2015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8/5/2015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8/5/2015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1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11/2/2016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61"/>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3/16/2017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61"/>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3/16/2017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8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3/16/2017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-4459605</wp:posOffset>
            </wp:positionV>
            <wp:extent cx="72466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-3902075</wp:posOffset>
            </wp:positionV>
            <wp:extent cx="7246620" cy="377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-3044825</wp:posOffset>
            </wp:positionV>
            <wp:extent cx="7246620" cy="4800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-1878330</wp:posOffset>
            </wp:positionV>
            <wp:extent cx="7246620" cy="7886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246620" cy="78867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-403225</wp:posOffset>
            </wp:positionV>
            <wp:extent cx="7246620" cy="685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2">
            <w:col w:w="5160" w:space="120"/>
            <w:col w:w="6140"/>
          </w:cols>
          <w:pgMar w:left="240" w:top="283" w:right="23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640" w:type="dxa"/>
            <w:vAlign w:val="bottom"/>
          </w:tcPr>
          <w:p>
            <w:pPr>
              <w:ind w:left="180"/>
              <w:spacing w:after="0"/>
              <w:rPr>
                <w:rFonts w:ascii="Arial" w:cs="Arial" w:eastAsia="Arial" w:hAnsi="Arial"/>
                <w:sz w:val="14"/>
                <w:szCs w:val="14"/>
                <w:color w:val="auto"/>
              </w:rPr>
            </w:pPr>
            <w:hyperlink r:id="rId115">
              <w:r>
                <w:rPr>
                  <w:rFonts w:ascii="Arial" w:cs="Arial" w:eastAsia="Arial" w:hAnsi="Arial"/>
                  <w:sz w:val="14"/>
                  <w:szCs w:val="14"/>
                  <w:color w:val="auto"/>
                </w:rPr>
                <w:t>Securities Purchase Agreement, by and among Enphase Energy,</w:t>
              </w:r>
            </w:hyperlink>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2"/>
        </w:trPr>
        <w:tc>
          <w:tcPr>
            <w:tcW w:w="780" w:type="dxa"/>
            <w:vAlign w:val="bottom"/>
          </w:tcPr>
          <w:p>
            <w:pPr>
              <w:jc w:val="right"/>
              <w:ind w:right="108"/>
              <w:spacing w:after="0"/>
              <w:rPr>
                <w:sz w:val="20"/>
                <w:szCs w:val="20"/>
                <w:color w:val="auto"/>
              </w:rPr>
            </w:pPr>
            <w:r>
              <w:rPr>
                <w:rFonts w:ascii="Arial" w:cs="Arial" w:eastAsia="Arial" w:hAnsi="Arial"/>
                <w:sz w:val="14"/>
                <w:szCs w:val="14"/>
                <w:color w:val="auto"/>
              </w:rPr>
              <w:t>10.34</w:t>
            </w:r>
          </w:p>
        </w:tc>
        <w:tc>
          <w:tcPr>
            <w:tcW w:w="4640" w:type="dxa"/>
            <w:vAlign w:val="bottom"/>
          </w:tcPr>
          <w:p>
            <w:pPr>
              <w:ind w:left="180"/>
              <w:spacing w:after="0"/>
              <w:rPr>
                <w:rFonts w:ascii="Arial" w:cs="Arial" w:eastAsia="Arial" w:hAnsi="Arial"/>
                <w:sz w:val="14"/>
                <w:szCs w:val="14"/>
                <w:color w:val="auto"/>
              </w:rPr>
            </w:pPr>
            <w:hyperlink r:id="rId115">
              <w:r>
                <w:rPr>
                  <w:rFonts w:ascii="Arial" w:cs="Arial" w:eastAsia="Arial" w:hAnsi="Arial"/>
                  <w:sz w:val="14"/>
                  <w:szCs w:val="14"/>
                  <w:color w:val="auto"/>
                </w:rPr>
                <w:t>Inc. and the purchasers identified on Exhibit A thereto, dated</w:t>
              </w:r>
            </w:hyperlink>
          </w:p>
        </w:tc>
        <w:tc>
          <w:tcPr>
            <w:tcW w:w="980" w:type="dxa"/>
            <w:vAlign w:val="bottom"/>
          </w:tcPr>
          <w:p>
            <w:pPr>
              <w:ind w:left="260"/>
              <w:spacing w:after="0"/>
              <w:rPr>
                <w:sz w:val="20"/>
                <w:szCs w:val="20"/>
                <w:color w:val="auto"/>
              </w:rPr>
            </w:pPr>
            <w:r>
              <w:rPr>
                <w:rFonts w:ascii="Arial" w:cs="Arial" w:eastAsia="Arial" w:hAnsi="Arial"/>
                <w:sz w:val="14"/>
                <w:szCs w:val="14"/>
                <w:color w:val="auto"/>
              </w:rPr>
              <w:t>8-K</w:t>
            </w:r>
          </w:p>
        </w:tc>
        <w:tc>
          <w:tcPr>
            <w:tcW w:w="1640" w:type="dxa"/>
            <w:vAlign w:val="bottom"/>
          </w:tcPr>
          <w:p>
            <w:pPr>
              <w:jc w:val="right"/>
              <w:ind w:right="408"/>
              <w:spacing w:after="0"/>
              <w:rPr>
                <w:sz w:val="20"/>
                <w:szCs w:val="20"/>
                <w:color w:val="auto"/>
              </w:rPr>
            </w:pPr>
            <w:r>
              <w:rPr>
                <w:rFonts w:ascii="Arial" w:cs="Arial" w:eastAsia="Arial" w:hAnsi="Arial"/>
                <w:sz w:val="14"/>
                <w:szCs w:val="14"/>
                <w:color w:val="auto"/>
              </w:rPr>
              <w:t>001-35480</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10.1</w:t>
            </w:r>
          </w:p>
        </w:tc>
        <w:tc>
          <w:tcPr>
            <w:tcW w:w="2300" w:type="dxa"/>
            <w:vAlign w:val="bottom"/>
          </w:tcPr>
          <w:p>
            <w:pPr>
              <w:jc w:val="right"/>
              <w:ind w:right="1248"/>
              <w:spacing w:after="0"/>
              <w:rPr>
                <w:sz w:val="20"/>
                <w:szCs w:val="20"/>
                <w:color w:val="auto"/>
              </w:rPr>
            </w:pPr>
            <w:r>
              <w:rPr>
                <w:rFonts w:ascii="Arial" w:cs="Arial" w:eastAsia="Arial" w:hAnsi="Arial"/>
                <w:sz w:val="14"/>
                <w:szCs w:val="14"/>
                <w:color w:val="auto"/>
              </w:rPr>
              <w:t>1/10/2017</w:t>
            </w:r>
          </w:p>
        </w:tc>
      </w:tr>
      <w:tr>
        <w:trPr>
          <w:trHeight w:val="172"/>
        </w:trPr>
        <w:tc>
          <w:tcPr>
            <w:tcW w:w="780" w:type="dxa"/>
            <w:vAlign w:val="bottom"/>
          </w:tcPr>
          <w:p>
            <w:pPr>
              <w:spacing w:after="0"/>
              <w:rPr>
                <w:sz w:val="14"/>
                <w:szCs w:val="14"/>
                <w:color w:val="auto"/>
              </w:rPr>
            </w:pPr>
          </w:p>
        </w:tc>
        <w:tc>
          <w:tcPr>
            <w:tcW w:w="4640" w:type="dxa"/>
            <w:vAlign w:val="bottom"/>
          </w:tcPr>
          <w:p>
            <w:pPr>
              <w:ind w:left="180"/>
              <w:spacing w:after="0"/>
              <w:rPr>
                <w:rFonts w:ascii="Arial" w:cs="Arial" w:eastAsia="Arial" w:hAnsi="Arial"/>
                <w:sz w:val="14"/>
                <w:szCs w:val="14"/>
                <w:color w:val="auto"/>
              </w:rPr>
            </w:pPr>
            <w:hyperlink r:id="rId115">
              <w:r>
                <w:rPr>
                  <w:rFonts w:ascii="Arial" w:cs="Arial" w:eastAsia="Arial" w:hAnsi="Arial"/>
                  <w:sz w:val="14"/>
                  <w:szCs w:val="14"/>
                  <w:color w:val="auto"/>
                </w:rPr>
                <w:t>January 9, 2017.</w:t>
              </w:r>
            </w:hyperlink>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20"/>
        </w:trPr>
        <w:tc>
          <w:tcPr>
            <w:tcW w:w="7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00" w:type="dxa"/>
            <w:vAlign w:val="bottom"/>
          </w:tcPr>
          <w:p>
            <w:pPr>
              <w:spacing w:after="0"/>
              <w:rPr>
                <w:sz w:val="10"/>
                <w:szCs w:val="10"/>
                <w:color w:val="auto"/>
              </w:rPr>
            </w:pPr>
          </w:p>
        </w:tc>
      </w:tr>
      <w:tr>
        <w:trPr>
          <w:trHeight w:val="302"/>
        </w:trPr>
        <w:tc>
          <w:tcPr>
            <w:tcW w:w="780" w:type="dxa"/>
            <w:vAlign w:val="bottom"/>
            <w:shd w:val="clear" w:color="auto" w:fill="BFE4FF"/>
          </w:tcPr>
          <w:p>
            <w:pPr>
              <w:spacing w:after="0"/>
              <w:rPr>
                <w:sz w:val="24"/>
                <w:szCs w:val="24"/>
                <w:color w:val="auto"/>
              </w:rPr>
            </w:pPr>
          </w:p>
        </w:tc>
        <w:tc>
          <w:tcPr>
            <w:tcW w:w="4640" w:type="dxa"/>
            <w:vAlign w:val="bottom"/>
            <w:shd w:val="clear" w:color="auto" w:fill="BFE4FF"/>
          </w:tcPr>
          <w:p>
            <w:pPr>
              <w:ind w:left="180"/>
              <w:spacing w:after="0"/>
              <w:rPr>
                <w:rFonts w:ascii="Arial" w:cs="Arial" w:eastAsia="Arial" w:hAnsi="Arial"/>
                <w:sz w:val="14"/>
                <w:szCs w:val="14"/>
                <w:color w:val="auto"/>
              </w:rPr>
            </w:pPr>
            <w:hyperlink r:id="rId116">
              <w:r>
                <w:rPr>
                  <w:rFonts w:ascii="Arial" w:cs="Arial" w:eastAsia="Arial" w:hAnsi="Arial"/>
                  <w:sz w:val="14"/>
                  <w:szCs w:val="14"/>
                  <w:color w:val="auto"/>
                </w:rPr>
                <w:t>Second Amendment to Amended and Restated Loan and</w:t>
              </w:r>
            </w:hyperlink>
          </w:p>
        </w:tc>
        <w:tc>
          <w:tcPr>
            <w:tcW w:w="980" w:type="dxa"/>
            <w:vAlign w:val="bottom"/>
            <w:shd w:val="clear" w:color="auto" w:fill="BFE4FF"/>
          </w:tcPr>
          <w:p>
            <w:pPr>
              <w:spacing w:after="0"/>
              <w:rPr>
                <w:sz w:val="24"/>
                <w:szCs w:val="24"/>
                <w:color w:val="auto"/>
              </w:rPr>
            </w:pPr>
          </w:p>
        </w:tc>
        <w:tc>
          <w:tcPr>
            <w:tcW w:w="1640" w:type="dxa"/>
            <w:vAlign w:val="bottom"/>
            <w:shd w:val="clear" w:color="auto" w:fill="BFE4FF"/>
          </w:tcPr>
          <w:p>
            <w:pPr>
              <w:spacing w:after="0"/>
              <w:rPr>
                <w:sz w:val="24"/>
                <w:szCs w:val="24"/>
                <w:color w:val="auto"/>
              </w:rPr>
            </w:pPr>
          </w:p>
        </w:tc>
        <w:tc>
          <w:tcPr>
            <w:tcW w:w="1080" w:type="dxa"/>
            <w:vAlign w:val="bottom"/>
            <w:shd w:val="clear" w:color="auto" w:fill="BFE4FF"/>
          </w:tcPr>
          <w:p>
            <w:pPr>
              <w:spacing w:after="0"/>
              <w:rPr>
                <w:sz w:val="24"/>
                <w:szCs w:val="24"/>
                <w:color w:val="auto"/>
              </w:rPr>
            </w:pPr>
          </w:p>
        </w:tc>
        <w:tc>
          <w:tcPr>
            <w:tcW w:w="2300" w:type="dxa"/>
            <w:vAlign w:val="bottom"/>
            <w:shd w:val="clear" w:color="auto" w:fill="BFE4FF"/>
          </w:tcPr>
          <w:p>
            <w:pPr>
              <w:spacing w:after="0"/>
              <w:rPr>
                <w:sz w:val="24"/>
                <w:szCs w:val="24"/>
                <w:color w:val="auto"/>
              </w:rPr>
            </w:pPr>
          </w:p>
        </w:tc>
      </w:tr>
      <w:tr>
        <w:trPr>
          <w:trHeight w:val="162"/>
        </w:trPr>
        <w:tc>
          <w:tcPr>
            <w:tcW w:w="780" w:type="dxa"/>
            <w:vAlign w:val="bottom"/>
            <w:shd w:val="clear" w:color="auto" w:fill="BFE4FF"/>
          </w:tcPr>
          <w:p>
            <w:pPr>
              <w:spacing w:after="0"/>
              <w:rPr>
                <w:sz w:val="14"/>
                <w:szCs w:val="14"/>
                <w:color w:val="auto"/>
              </w:rPr>
            </w:pPr>
          </w:p>
        </w:tc>
        <w:tc>
          <w:tcPr>
            <w:tcW w:w="4640" w:type="dxa"/>
            <w:vAlign w:val="bottom"/>
            <w:shd w:val="clear" w:color="auto" w:fill="BFE4FF"/>
          </w:tcPr>
          <w:p>
            <w:pPr>
              <w:ind w:left="180"/>
              <w:spacing w:after="0"/>
              <w:rPr>
                <w:rFonts w:ascii="Arial" w:cs="Arial" w:eastAsia="Arial" w:hAnsi="Arial"/>
                <w:sz w:val="14"/>
                <w:szCs w:val="14"/>
                <w:color w:val="auto"/>
              </w:rPr>
            </w:pPr>
            <w:hyperlink r:id="rId116">
              <w:r>
                <w:rPr>
                  <w:rFonts w:ascii="Arial" w:cs="Arial" w:eastAsia="Arial" w:hAnsi="Arial"/>
                  <w:sz w:val="14"/>
                  <w:szCs w:val="14"/>
                  <w:color w:val="auto"/>
                </w:rPr>
                <w:t>Security Agreement by and among Enphase Energy Inc., each</w:t>
              </w:r>
            </w:hyperlink>
          </w:p>
        </w:tc>
        <w:tc>
          <w:tcPr>
            <w:tcW w:w="980" w:type="dxa"/>
            <w:vAlign w:val="bottom"/>
            <w:shd w:val="clear" w:color="auto" w:fill="BFE4FF"/>
          </w:tcPr>
          <w:p>
            <w:pPr>
              <w:spacing w:after="0"/>
              <w:rPr>
                <w:sz w:val="14"/>
                <w:szCs w:val="14"/>
                <w:color w:val="auto"/>
              </w:rPr>
            </w:pPr>
          </w:p>
        </w:tc>
        <w:tc>
          <w:tcPr>
            <w:tcW w:w="16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2300" w:type="dxa"/>
            <w:vAlign w:val="bottom"/>
            <w:shd w:val="clear" w:color="auto" w:fill="BFE4FF"/>
          </w:tcPr>
          <w:p>
            <w:pPr>
              <w:spacing w:after="0"/>
              <w:rPr>
                <w:sz w:val="14"/>
                <w:szCs w:val="14"/>
                <w:color w:val="auto"/>
              </w:rPr>
            </w:pPr>
          </w:p>
        </w:tc>
      </w:tr>
      <w:tr>
        <w:trPr>
          <w:trHeight w:val="162"/>
        </w:trPr>
        <w:tc>
          <w:tcPr>
            <w:tcW w:w="78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10.35</w:t>
            </w:r>
          </w:p>
        </w:tc>
        <w:tc>
          <w:tcPr>
            <w:tcW w:w="4640" w:type="dxa"/>
            <w:vAlign w:val="bottom"/>
            <w:shd w:val="clear" w:color="auto" w:fill="BFE4FF"/>
          </w:tcPr>
          <w:p>
            <w:pPr>
              <w:ind w:left="180"/>
              <w:spacing w:after="0"/>
              <w:rPr>
                <w:rFonts w:ascii="Arial" w:cs="Arial" w:eastAsia="Arial" w:hAnsi="Arial"/>
                <w:sz w:val="14"/>
                <w:szCs w:val="14"/>
                <w:color w:val="auto"/>
              </w:rPr>
            </w:pPr>
            <w:hyperlink r:id="rId116">
              <w:r>
                <w:rPr>
                  <w:rFonts w:ascii="Arial" w:cs="Arial" w:eastAsia="Arial" w:hAnsi="Arial"/>
                  <w:sz w:val="14"/>
                  <w:szCs w:val="14"/>
                  <w:color w:val="auto"/>
                </w:rPr>
                <w:t>Lender identified, and Obsidian Agency Services, Inc., as</w:t>
              </w:r>
            </w:hyperlink>
          </w:p>
        </w:tc>
        <w:tc>
          <w:tcPr>
            <w:tcW w:w="980" w:type="dxa"/>
            <w:vAlign w:val="bottom"/>
            <w:shd w:val="clear" w:color="auto" w:fill="BFE4FF"/>
          </w:tcPr>
          <w:p>
            <w:pPr>
              <w:ind w:left="260"/>
              <w:spacing w:after="0"/>
              <w:rPr>
                <w:sz w:val="20"/>
                <w:szCs w:val="20"/>
                <w:color w:val="auto"/>
              </w:rPr>
            </w:pPr>
            <w:r>
              <w:rPr>
                <w:rFonts w:ascii="Arial" w:cs="Arial" w:eastAsia="Arial" w:hAnsi="Arial"/>
                <w:sz w:val="14"/>
                <w:szCs w:val="14"/>
                <w:color w:val="auto"/>
              </w:rPr>
              <w:t>8-K</w:t>
            </w:r>
          </w:p>
        </w:tc>
        <w:tc>
          <w:tcPr>
            <w:tcW w:w="1640" w:type="dxa"/>
            <w:vAlign w:val="bottom"/>
            <w:shd w:val="clear" w:color="auto" w:fill="BFE4FF"/>
          </w:tcPr>
          <w:p>
            <w:pPr>
              <w:jc w:val="right"/>
              <w:ind w:right="408"/>
              <w:spacing w:after="0"/>
              <w:rPr>
                <w:sz w:val="20"/>
                <w:szCs w:val="20"/>
                <w:color w:val="auto"/>
              </w:rPr>
            </w:pPr>
            <w:r>
              <w:rPr>
                <w:rFonts w:ascii="Arial" w:cs="Arial" w:eastAsia="Arial" w:hAnsi="Arial"/>
                <w:sz w:val="14"/>
                <w:szCs w:val="14"/>
                <w:color w:val="auto"/>
              </w:rPr>
              <w:t>001-35480</w:t>
            </w:r>
          </w:p>
        </w:tc>
        <w:tc>
          <w:tcPr>
            <w:tcW w:w="1080" w:type="dxa"/>
            <w:vAlign w:val="bottom"/>
            <w:shd w:val="clear" w:color="auto" w:fill="BFE4FF"/>
          </w:tcPr>
          <w:p>
            <w:pPr>
              <w:jc w:val="right"/>
              <w:ind w:right="268"/>
              <w:spacing w:after="0"/>
              <w:rPr>
                <w:sz w:val="20"/>
                <w:szCs w:val="20"/>
                <w:color w:val="auto"/>
              </w:rPr>
            </w:pPr>
            <w:r>
              <w:rPr>
                <w:rFonts w:ascii="Arial" w:cs="Arial" w:eastAsia="Arial" w:hAnsi="Arial"/>
                <w:sz w:val="14"/>
                <w:szCs w:val="14"/>
                <w:color w:val="auto"/>
              </w:rPr>
              <w:t>10.1</w:t>
            </w:r>
          </w:p>
        </w:tc>
        <w:tc>
          <w:tcPr>
            <w:tcW w:w="2300" w:type="dxa"/>
            <w:vAlign w:val="bottom"/>
            <w:shd w:val="clear" w:color="auto" w:fill="BFE4FF"/>
          </w:tcPr>
          <w:p>
            <w:pPr>
              <w:jc w:val="right"/>
              <w:ind w:right="1288"/>
              <w:spacing w:after="0"/>
              <w:rPr>
                <w:sz w:val="20"/>
                <w:szCs w:val="20"/>
                <w:color w:val="auto"/>
              </w:rPr>
            </w:pPr>
            <w:r>
              <w:rPr>
                <w:rFonts w:ascii="Arial" w:cs="Arial" w:eastAsia="Arial" w:hAnsi="Arial"/>
                <w:sz w:val="14"/>
                <w:szCs w:val="14"/>
                <w:color w:val="auto"/>
              </w:rPr>
              <w:t>3/5/2018</w:t>
            </w:r>
          </w:p>
        </w:tc>
      </w:tr>
      <w:tr>
        <w:trPr>
          <w:trHeight w:val="162"/>
        </w:trPr>
        <w:tc>
          <w:tcPr>
            <w:tcW w:w="780" w:type="dxa"/>
            <w:vAlign w:val="bottom"/>
            <w:shd w:val="clear" w:color="auto" w:fill="BFE4FF"/>
          </w:tcPr>
          <w:p>
            <w:pPr>
              <w:spacing w:after="0"/>
              <w:rPr>
                <w:sz w:val="14"/>
                <w:szCs w:val="14"/>
                <w:color w:val="auto"/>
              </w:rPr>
            </w:pPr>
          </w:p>
        </w:tc>
        <w:tc>
          <w:tcPr>
            <w:tcW w:w="4640" w:type="dxa"/>
            <w:vAlign w:val="bottom"/>
            <w:shd w:val="clear" w:color="auto" w:fill="BFE4FF"/>
          </w:tcPr>
          <w:p>
            <w:pPr>
              <w:ind w:left="180"/>
              <w:spacing w:after="0"/>
              <w:rPr>
                <w:rFonts w:ascii="Arial" w:cs="Arial" w:eastAsia="Arial" w:hAnsi="Arial"/>
                <w:sz w:val="14"/>
                <w:szCs w:val="14"/>
                <w:color w:val="auto"/>
              </w:rPr>
            </w:pPr>
            <w:hyperlink r:id="rId116">
              <w:r>
                <w:rPr>
                  <w:rFonts w:ascii="Arial" w:cs="Arial" w:eastAsia="Arial" w:hAnsi="Arial"/>
                  <w:sz w:val="14"/>
                  <w:szCs w:val="14"/>
                  <w:color w:val="auto"/>
                </w:rPr>
                <w:t>collateral agent for Lenders and Cortland Capital Market Services</w:t>
              </w:r>
            </w:hyperlink>
          </w:p>
        </w:tc>
        <w:tc>
          <w:tcPr>
            <w:tcW w:w="980" w:type="dxa"/>
            <w:vAlign w:val="bottom"/>
            <w:shd w:val="clear" w:color="auto" w:fill="BFE4FF"/>
          </w:tcPr>
          <w:p>
            <w:pPr>
              <w:spacing w:after="0"/>
              <w:rPr>
                <w:sz w:val="14"/>
                <w:szCs w:val="14"/>
                <w:color w:val="auto"/>
              </w:rPr>
            </w:pPr>
          </w:p>
        </w:tc>
        <w:tc>
          <w:tcPr>
            <w:tcW w:w="16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2300" w:type="dxa"/>
            <w:vAlign w:val="bottom"/>
            <w:shd w:val="clear" w:color="auto" w:fill="BFE4FF"/>
          </w:tcPr>
          <w:p>
            <w:pPr>
              <w:spacing w:after="0"/>
              <w:rPr>
                <w:sz w:val="14"/>
                <w:szCs w:val="14"/>
                <w:color w:val="auto"/>
              </w:rPr>
            </w:pPr>
          </w:p>
        </w:tc>
      </w:tr>
      <w:tr>
        <w:trPr>
          <w:trHeight w:val="172"/>
        </w:trPr>
        <w:tc>
          <w:tcPr>
            <w:tcW w:w="780" w:type="dxa"/>
            <w:vAlign w:val="bottom"/>
            <w:shd w:val="clear" w:color="auto" w:fill="BFE4FF"/>
          </w:tcPr>
          <w:p>
            <w:pPr>
              <w:spacing w:after="0"/>
              <w:rPr>
                <w:sz w:val="14"/>
                <w:szCs w:val="14"/>
                <w:color w:val="auto"/>
              </w:rPr>
            </w:pPr>
          </w:p>
        </w:tc>
        <w:tc>
          <w:tcPr>
            <w:tcW w:w="4640" w:type="dxa"/>
            <w:vAlign w:val="bottom"/>
            <w:shd w:val="clear" w:color="auto" w:fill="BFE4FF"/>
          </w:tcPr>
          <w:p>
            <w:pPr>
              <w:ind w:left="180"/>
              <w:spacing w:after="0"/>
              <w:rPr>
                <w:rFonts w:ascii="Arial" w:cs="Arial" w:eastAsia="Arial" w:hAnsi="Arial"/>
                <w:sz w:val="14"/>
                <w:szCs w:val="14"/>
                <w:color w:val="auto"/>
              </w:rPr>
            </w:pPr>
            <w:hyperlink r:id="rId116">
              <w:r>
                <w:rPr>
                  <w:rFonts w:ascii="Arial" w:cs="Arial" w:eastAsia="Arial" w:hAnsi="Arial"/>
                  <w:sz w:val="14"/>
                  <w:szCs w:val="14"/>
                  <w:color w:val="auto"/>
                </w:rPr>
                <w:t>LLC, dated February 28, 2018.</w:t>
              </w:r>
            </w:hyperlink>
          </w:p>
        </w:tc>
        <w:tc>
          <w:tcPr>
            <w:tcW w:w="980" w:type="dxa"/>
            <w:vAlign w:val="bottom"/>
            <w:shd w:val="clear" w:color="auto" w:fill="BFE4FF"/>
          </w:tcPr>
          <w:p>
            <w:pPr>
              <w:spacing w:after="0"/>
              <w:rPr>
                <w:sz w:val="14"/>
                <w:szCs w:val="14"/>
                <w:color w:val="auto"/>
              </w:rPr>
            </w:pPr>
          </w:p>
        </w:tc>
        <w:tc>
          <w:tcPr>
            <w:tcW w:w="16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2300" w:type="dxa"/>
            <w:vAlign w:val="bottom"/>
            <w:shd w:val="clear" w:color="auto" w:fill="BFE4FF"/>
          </w:tcPr>
          <w:p>
            <w:pPr>
              <w:spacing w:after="0"/>
              <w:rPr>
                <w:sz w:val="14"/>
                <w:szCs w:val="14"/>
                <w:color w:val="auto"/>
              </w:rPr>
            </w:pPr>
          </w:p>
        </w:tc>
      </w:tr>
      <w:tr>
        <w:trPr>
          <w:trHeight w:val="120"/>
        </w:trPr>
        <w:tc>
          <w:tcPr>
            <w:tcW w:w="780" w:type="dxa"/>
            <w:vAlign w:val="bottom"/>
            <w:shd w:val="clear" w:color="auto" w:fill="BFE4FF"/>
          </w:tcPr>
          <w:p>
            <w:pPr>
              <w:spacing w:after="0"/>
              <w:rPr>
                <w:sz w:val="10"/>
                <w:szCs w:val="10"/>
                <w:color w:val="auto"/>
              </w:rPr>
            </w:pPr>
          </w:p>
        </w:tc>
        <w:tc>
          <w:tcPr>
            <w:tcW w:w="4640" w:type="dxa"/>
            <w:vAlign w:val="bottom"/>
            <w:shd w:val="clear" w:color="auto" w:fill="BFE4FF"/>
          </w:tcPr>
          <w:p>
            <w:pPr>
              <w:spacing w:after="0"/>
              <w:rPr>
                <w:sz w:val="10"/>
                <w:szCs w:val="10"/>
                <w:color w:val="auto"/>
              </w:rPr>
            </w:pPr>
          </w:p>
        </w:tc>
        <w:tc>
          <w:tcPr>
            <w:tcW w:w="980" w:type="dxa"/>
            <w:vAlign w:val="bottom"/>
            <w:shd w:val="clear" w:color="auto" w:fill="BFE4FF"/>
          </w:tcPr>
          <w:p>
            <w:pPr>
              <w:spacing w:after="0"/>
              <w:rPr>
                <w:sz w:val="10"/>
                <w:szCs w:val="10"/>
                <w:color w:val="auto"/>
              </w:rPr>
            </w:pPr>
          </w:p>
        </w:tc>
        <w:tc>
          <w:tcPr>
            <w:tcW w:w="1640" w:type="dxa"/>
            <w:vAlign w:val="bottom"/>
            <w:shd w:val="clear" w:color="auto" w:fill="BFE4FF"/>
          </w:tcPr>
          <w:p>
            <w:pPr>
              <w:spacing w:after="0"/>
              <w:rPr>
                <w:sz w:val="10"/>
                <w:szCs w:val="10"/>
                <w:color w:val="auto"/>
              </w:rPr>
            </w:pPr>
          </w:p>
        </w:tc>
        <w:tc>
          <w:tcPr>
            <w:tcW w:w="1080" w:type="dxa"/>
            <w:vAlign w:val="bottom"/>
            <w:shd w:val="clear" w:color="auto" w:fill="BFE4FF"/>
          </w:tcPr>
          <w:p>
            <w:pPr>
              <w:spacing w:after="0"/>
              <w:rPr>
                <w:sz w:val="10"/>
                <w:szCs w:val="10"/>
                <w:color w:val="auto"/>
              </w:rPr>
            </w:pPr>
          </w:p>
        </w:tc>
        <w:tc>
          <w:tcPr>
            <w:tcW w:w="2300" w:type="dxa"/>
            <w:vAlign w:val="bottom"/>
            <w:shd w:val="clear" w:color="auto" w:fill="BFE4FF"/>
          </w:tcPr>
          <w:p>
            <w:pPr>
              <w:spacing w:after="0"/>
              <w:rPr>
                <w:sz w:val="10"/>
                <w:szCs w:val="10"/>
                <w:color w:val="auto"/>
              </w:rPr>
            </w:pPr>
          </w:p>
        </w:tc>
      </w:tr>
    </w:tbl>
    <w:p>
      <w:pPr>
        <w:spacing w:after="0" w:line="140" w:lineRule="exact"/>
        <w:rPr>
          <w:sz w:val="20"/>
          <w:szCs w:val="20"/>
          <w:color w:val="auto"/>
        </w:rPr>
      </w:pPr>
    </w:p>
    <w:p>
      <w:pPr>
        <w:sectPr>
          <w:pgSz w:w="11900" w:h="16838" w:orient="portrait"/>
          <w:cols w:equalWidth="0" w:num="1">
            <w:col w:w="11420"/>
          </w:cols>
          <w:pgMar w:left="240" w:top="283" w:right="239" w:bottom="1440" w:gutter="0" w:footer="0" w:header="0"/>
          <w:type w:val="continuous"/>
        </w:sectPr>
      </w:pPr>
    </w:p>
    <w:p>
      <w:pPr>
        <w:ind w:left="960"/>
        <w:spacing w:after="0"/>
        <w:rPr>
          <w:rFonts w:ascii="Arial" w:cs="Arial" w:eastAsia="Arial" w:hAnsi="Arial"/>
          <w:sz w:val="14"/>
          <w:szCs w:val="14"/>
          <w:color w:val="auto"/>
        </w:rPr>
      </w:pPr>
      <w:hyperlink r:id="rId117">
        <w:r>
          <w:rPr>
            <w:rFonts w:ascii="Arial" w:cs="Arial" w:eastAsia="Arial" w:hAnsi="Arial"/>
            <w:sz w:val="14"/>
            <w:szCs w:val="14"/>
            <w:color w:val="auto"/>
          </w:rPr>
          <w:t>Security Agreement by and among Enphase Energy, Inc. and</w:t>
        </w:r>
      </w:hyperlink>
    </w:p>
    <w:p>
      <w:pPr>
        <w:spacing w:after="0" w:line="1" w:lineRule="exact"/>
        <w:rPr>
          <w:sz w:val="20"/>
          <w:szCs w:val="20"/>
          <w:color w:val="auto"/>
        </w:rPr>
      </w:pPr>
    </w:p>
    <w:p>
      <w:pPr>
        <w:ind w:left="960" w:right="60" w:hanging="733"/>
        <w:spacing w:after="0" w:line="258" w:lineRule="auto"/>
        <w:tabs>
          <w:tab w:leader="none" w:pos="940" w:val="left"/>
        </w:tabs>
        <w:rPr>
          <w:rFonts w:ascii="Arial" w:cs="Arial" w:eastAsia="Arial" w:hAnsi="Arial"/>
          <w:sz w:val="14"/>
          <w:szCs w:val="14"/>
          <w:color w:val="auto"/>
        </w:rPr>
      </w:pPr>
      <w:r>
        <w:rPr>
          <w:rFonts w:ascii="Arial" w:cs="Arial" w:eastAsia="Arial" w:hAnsi="Arial"/>
          <w:sz w:val="14"/>
          <w:szCs w:val="14"/>
          <w:color w:val="auto"/>
        </w:rPr>
        <w:t>10.36</w:t>
      </w:r>
      <w:r>
        <w:rPr>
          <w:sz w:val="20"/>
          <w:szCs w:val="20"/>
          <w:color w:val="auto"/>
        </w:rPr>
        <w:tab/>
      </w:r>
      <w:hyperlink r:id="rId117">
        <w:r>
          <w:rPr>
            <w:rFonts w:ascii="Arial" w:cs="Arial" w:eastAsia="Arial" w:hAnsi="Arial"/>
            <w:sz w:val="14"/>
            <w:szCs w:val="14"/>
            <w:color w:val="auto"/>
          </w:rPr>
          <w:t>Flextronics Industrial, LTD and Flextronics Americas, LLC, dated</w:t>
        </w:r>
      </w:hyperlink>
      <w:r>
        <w:rPr>
          <w:rFonts w:ascii="Arial" w:cs="Arial" w:eastAsia="Arial" w:hAnsi="Arial"/>
          <w:sz w:val="14"/>
          <w:szCs w:val="14"/>
          <w:color w:val="auto"/>
        </w:rPr>
        <w:t xml:space="preserve"> </w:t>
      </w:r>
      <w:hyperlink r:id="rId117">
        <w:r>
          <w:rPr>
            <w:rFonts w:ascii="Arial" w:cs="Arial" w:eastAsia="Arial" w:hAnsi="Arial"/>
            <w:sz w:val="14"/>
            <w:szCs w:val="14"/>
            <w:color w:val="auto"/>
          </w:rPr>
          <w:t>December 30, 2016.</w:t>
        </w:r>
      </w:hyperlink>
    </w:p>
    <w:p>
      <w:pPr>
        <w:spacing w:after="0" w:line="248" w:lineRule="exact"/>
        <w:rPr>
          <w:sz w:val="20"/>
          <w:szCs w:val="20"/>
          <w:color w:val="auto"/>
        </w:rPr>
      </w:pPr>
    </w:p>
    <w:p>
      <w:pPr>
        <w:ind w:left="960"/>
        <w:spacing w:after="0"/>
        <w:rPr>
          <w:rFonts w:ascii="Arial" w:cs="Arial" w:eastAsia="Arial" w:hAnsi="Arial"/>
          <w:sz w:val="14"/>
          <w:szCs w:val="14"/>
          <w:color w:val="auto"/>
        </w:rPr>
      </w:pPr>
      <w:hyperlink r:id="rId118">
        <w:r>
          <w:rPr>
            <w:rFonts w:ascii="Arial" w:cs="Arial" w:eastAsia="Arial" w:hAnsi="Arial"/>
            <w:sz w:val="14"/>
            <w:szCs w:val="14"/>
            <w:color w:val="auto"/>
          </w:rPr>
          <w:t>Securities Purchase Agreement by and among Enphase Energy</w:t>
        </w:r>
      </w:hyperlink>
    </w:p>
    <w:p>
      <w:pPr>
        <w:spacing w:after="0" w:line="1" w:lineRule="exact"/>
        <w:rPr>
          <w:sz w:val="20"/>
          <w:szCs w:val="20"/>
          <w:color w:val="auto"/>
        </w:rPr>
      </w:pPr>
    </w:p>
    <w:p>
      <w:pPr>
        <w:ind w:left="960" w:right="260" w:hanging="733"/>
        <w:spacing w:after="0" w:line="258" w:lineRule="auto"/>
        <w:tabs>
          <w:tab w:leader="none" w:pos="940" w:val="left"/>
        </w:tabs>
        <w:rPr>
          <w:rFonts w:ascii="Arial" w:cs="Arial" w:eastAsia="Arial" w:hAnsi="Arial"/>
          <w:sz w:val="14"/>
          <w:szCs w:val="14"/>
          <w:color w:val="auto"/>
        </w:rPr>
      </w:pPr>
      <w:r>
        <w:rPr>
          <w:rFonts w:ascii="Arial" w:cs="Arial" w:eastAsia="Arial" w:hAnsi="Arial"/>
          <w:sz w:val="14"/>
          <w:szCs w:val="14"/>
          <w:color w:val="auto"/>
        </w:rPr>
        <w:t>10.37</w:t>
      </w:r>
      <w:r>
        <w:rPr>
          <w:sz w:val="20"/>
          <w:szCs w:val="20"/>
          <w:color w:val="auto"/>
        </w:rPr>
        <w:tab/>
      </w:r>
      <w:hyperlink r:id="rId118">
        <w:r>
          <w:rPr>
            <w:rFonts w:ascii="Arial" w:cs="Arial" w:eastAsia="Arial" w:hAnsi="Arial"/>
            <w:sz w:val="14"/>
            <w:szCs w:val="14"/>
            <w:color w:val="auto"/>
          </w:rPr>
          <w:t>Inc., and the purchasers identified on Exhibit A thereto, dated</w:t>
        </w:r>
      </w:hyperlink>
      <w:r>
        <w:rPr>
          <w:rFonts w:ascii="Arial" w:cs="Arial" w:eastAsia="Arial" w:hAnsi="Arial"/>
          <w:sz w:val="14"/>
          <w:szCs w:val="14"/>
          <w:color w:val="auto"/>
        </w:rPr>
        <w:t xml:space="preserve"> </w:t>
      </w:r>
      <w:hyperlink r:id="rId118">
        <w:r>
          <w:rPr>
            <w:rFonts w:ascii="Arial" w:cs="Arial" w:eastAsia="Arial" w:hAnsi="Arial"/>
            <w:sz w:val="14"/>
            <w:szCs w:val="14"/>
            <w:color w:val="auto"/>
          </w:rPr>
          <w:t>February 4, 2018.</w:t>
        </w:r>
      </w:hyperlink>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600" w:type="dxa"/>
            <w:vAlign w:val="bottom"/>
          </w:tcPr>
          <w:p>
            <w:pPr>
              <w:jc w:val="right"/>
              <w:ind w:right="108"/>
              <w:spacing w:after="0"/>
              <w:rPr>
                <w:sz w:val="20"/>
                <w:szCs w:val="20"/>
                <w:color w:val="auto"/>
              </w:rPr>
            </w:pPr>
            <w:r>
              <w:rPr>
                <w:rFonts w:ascii="Arial" w:cs="Arial" w:eastAsia="Arial" w:hAnsi="Arial"/>
                <w:sz w:val="14"/>
                <w:szCs w:val="14"/>
                <w:color w:val="auto"/>
                <w:w w:val="95"/>
              </w:rPr>
              <w:t>10.38</w:t>
            </w:r>
            <w:r>
              <w:rPr>
                <w:rFonts w:ascii="Arial" w:cs="Arial" w:eastAsia="Arial" w:hAnsi="Arial"/>
                <w:sz w:val="17"/>
                <w:szCs w:val="17"/>
                <w:color w:val="auto"/>
                <w:w w:val="95"/>
                <w:vertAlign w:val="superscript"/>
              </w:rPr>
              <w:t>+</w:t>
            </w:r>
          </w:p>
        </w:tc>
        <w:tc>
          <w:tcPr>
            <w:tcW w:w="3920" w:type="dxa"/>
            <w:vAlign w:val="bottom"/>
          </w:tcPr>
          <w:p>
            <w:pPr>
              <w:ind w:left="160"/>
              <w:spacing w:after="0"/>
              <w:rPr>
                <w:rFonts w:ascii="Arial" w:cs="Arial" w:eastAsia="Arial" w:hAnsi="Arial"/>
                <w:sz w:val="14"/>
                <w:szCs w:val="14"/>
                <w:color w:val="auto"/>
              </w:rPr>
            </w:pPr>
            <w:hyperlink r:id="rId119">
              <w:r>
                <w:rPr>
                  <w:rFonts w:ascii="Arial" w:cs="Arial" w:eastAsia="Arial" w:hAnsi="Arial"/>
                  <w:sz w:val="14"/>
                  <w:szCs w:val="14"/>
                  <w:color w:val="auto"/>
                </w:rPr>
                <w:t>Offer Letter by and between Enphase Energy, Inc. and Eric</w:t>
              </w:r>
            </w:hyperlink>
          </w:p>
        </w:tc>
      </w:tr>
      <w:tr>
        <w:trPr>
          <w:trHeight w:val="172"/>
        </w:trPr>
        <w:tc>
          <w:tcPr>
            <w:tcW w:w="600" w:type="dxa"/>
            <w:vAlign w:val="bottom"/>
          </w:tcPr>
          <w:p>
            <w:pPr>
              <w:spacing w:after="0"/>
              <w:rPr>
                <w:sz w:val="14"/>
                <w:szCs w:val="14"/>
                <w:color w:val="auto"/>
              </w:rPr>
            </w:pPr>
          </w:p>
        </w:tc>
        <w:tc>
          <w:tcPr>
            <w:tcW w:w="3920" w:type="dxa"/>
            <w:vAlign w:val="bottom"/>
          </w:tcPr>
          <w:p>
            <w:pPr>
              <w:ind w:left="160"/>
              <w:spacing w:after="0"/>
              <w:rPr>
                <w:rFonts w:ascii="Arial" w:cs="Arial" w:eastAsia="Arial" w:hAnsi="Arial"/>
                <w:sz w:val="14"/>
                <w:szCs w:val="14"/>
                <w:color w:val="auto"/>
              </w:rPr>
            </w:pPr>
            <w:hyperlink r:id="rId119">
              <w:r>
                <w:rPr>
                  <w:rFonts w:ascii="Arial" w:cs="Arial" w:eastAsia="Arial" w:hAnsi="Arial"/>
                  <w:sz w:val="14"/>
                  <w:szCs w:val="14"/>
                  <w:color w:val="auto"/>
                </w:rPr>
                <w:t>Branderiz, dated December 1, 2018.</w:t>
              </w:r>
            </w:hyperlink>
          </w:p>
        </w:tc>
      </w:tr>
    </w:tbl>
    <w:p>
      <w:pPr>
        <w:spacing w:after="0" w:line="260" w:lineRule="exact"/>
        <w:rPr>
          <w:sz w:val="20"/>
          <w:szCs w:val="20"/>
          <w:color w:val="auto"/>
        </w:rPr>
      </w:pPr>
    </w:p>
    <w:p>
      <w:pPr>
        <w:ind w:left="960"/>
        <w:spacing w:after="0"/>
        <w:rPr>
          <w:rFonts w:ascii="Arial" w:cs="Arial" w:eastAsia="Arial" w:hAnsi="Arial"/>
          <w:sz w:val="14"/>
          <w:szCs w:val="14"/>
          <w:color w:val="auto"/>
        </w:rPr>
      </w:pPr>
      <w:hyperlink r:id="rId120">
        <w:r>
          <w:rPr>
            <w:rFonts w:ascii="Arial" w:cs="Arial" w:eastAsia="Arial" w:hAnsi="Arial"/>
            <w:sz w:val="14"/>
            <w:szCs w:val="14"/>
            <w:color w:val="auto"/>
          </w:rPr>
          <w:t>Purchase Agreement, dated August 14, 2018, by and between</w:t>
        </w:r>
      </w:hyperlink>
    </w:p>
    <w:p>
      <w:pPr>
        <w:spacing w:after="0" w:line="1" w:lineRule="exact"/>
        <w:rPr>
          <w:sz w:val="20"/>
          <w:szCs w:val="20"/>
          <w:color w:val="auto"/>
        </w:rPr>
      </w:pPr>
    </w:p>
    <w:p>
      <w:pPr>
        <w:ind w:left="960" w:hanging="733"/>
        <w:spacing w:after="0" w:line="258" w:lineRule="auto"/>
        <w:tabs>
          <w:tab w:leader="none" w:pos="940" w:val="left"/>
        </w:tabs>
        <w:rPr>
          <w:rFonts w:ascii="Arial" w:cs="Arial" w:eastAsia="Arial" w:hAnsi="Arial"/>
          <w:sz w:val="14"/>
          <w:szCs w:val="14"/>
          <w:color w:val="auto"/>
        </w:rPr>
      </w:pPr>
      <w:r>
        <w:rPr>
          <w:rFonts w:ascii="Arial" w:cs="Arial" w:eastAsia="Arial" w:hAnsi="Arial"/>
          <w:sz w:val="14"/>
          <w:szCs w:val="14"/>
          <w:color w:val="auto"/>
        </w:rPr>
        <w:t>10.39</w:t>
      </w:r>
      <w:r>
        <w:rPr>
          <w:sz w:val="20"/>
          <w:szCs w:val="20"/>
          <w:color w:val="auto"/>
        </w:rPr>
        <w:tab/>
      </w:r>
      <w:hyperlink r:id="rId120">
        <w:r>
          <w:rPr>
            <w:rFonts w:ascii="Arial" w:cs="Arial" w:eastAsia="Arial" w:hAnsi="Arial"/>
            <w:sz w:val="14"/>
            <w:szCs w:val="14"/>
            <w:color w:val="auto"/>
          </w:rPr>
          <w:t>Enphase Energy, Inc. and Credit Suisse Securities (USA) LLC,</w:t>
        </w:r>
      </w:hyperlink>
      <w:r>
        <w:rPr>
          <w:rFonts w:ascii="Arial" w:cs="Arial" w:eastAsia="Arial" w:hAnsi="Arial"/>
          <w:sz w:val="14"/>
          <w:szCs w:val="14"/>
          <w:color w:val="auto"/>
        </w:rPr>
        <w:t xml:space="preserve"> </w:t>
      </w:r>
      <w:hyperlink r:id="rId120">
        <w:r>
          <w:rPr>
            <w:rFonts w:ascii="Arial" w:cs="Arial" w:eastAsia="Arial" w:hAnsi="Arial"/>
            <w:sz w:val="14"/>
            <w:szCs w:val="14"/>
            <w:color w:val="auto"/>
          </w:rPr>
          <w:t>as representative of the several Initial Purchasers named therein.</w:t>
        </w:r>
      </w:hyperlink>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jc w:val="center"/>
              <w:ind w:right="388"/>
              <w:spacing w:after="0"/>
              <w:rPr>
                <w:sz w:val="20"/>
                <w:szCs w:val="20"/>
                <w:color w:val="auto"/>
              </w:rPr>
            </w:pPr>
            <w:r>
              <w:rPr>
                <w:rFonts w:ascii="Arial" w:cs="Arial" w:eastAsia="Arial" w:hAnsi="Arial"/>
                <w:sz w:val="14"/>
                <w:szCs w:val="14"/>
                <w:color w:val="auto"/>
              </w:rPr>
              <w:t>10-K</w:t>
            </w:r>
          </w:p>
        </w:tc>
        <w:tc>
          <w:tcPr>
            <w:tcW w:w="1600" w:type="dxa"/>
            <w:vAlign w:val="bottom"/>
          </w:tcPr>
          <w:p>
            <w:pPr>
              <w:jc w:val="right"/>
              <w:ind w:right="388"/>
              <w:spacing w:after="0"/>
              <w:rPr>
                <w:sz w:val="20"/>
                <w:szCs w:val="20"/>
                <w:color w:val="auto"/>
              </w:rPr>
            </w:pPr>
            <w:r>
              <w:rPr>
                <w:rFonts w:ascii="Arial" w:cs="Arial" w:eastAsia="Arial" w:hAnsi="Arial"/>
                <w:sz w:val="14"/>
                <w:szCs w:val="14"/>
                <w:color w:val="auto"/>
              </w:rPr>
              <w:t>001-35480</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rPr>
              <w:t>10.41</w:t>
            </w:r>
          </w:p>
        </w:tc>
        <w:tc>
          <w:tcPr>
            <w:tcW w:w="960" w:type="dxa"/>
            <w:vAlign w:val="bottom"/>
          </w:tcPr>
          <w:p>
            <w:pPr>
              <w:jc w:val="center"/>
              <w:ind w:left="248"/>
              <w:spacing w:after="0"/>
              <w:rPr>
                <w:sz w:val="20"/>
                <w:szCs w:val="20"/>
                <w:color w:val="auto"/>
              </w:rPr>
            </w:pPr>
            <w:r>
              <w:rPr>
                <w:rFonts w:ascii="Arial" w:cs="Arial" w:eastAsia="Arial" w:hAnsi="Arial"/>
                <w:sz w:val="14"/>
                <w:szCs w:val="14"/>
                <w:color w:val="auto"/>
              </w:rPr>
              <w:t>3/16/2017</w:t>
            </w:r>
          </w:p>
        </w:tc>
      </w:tr>
      <w:tr>
        <w:trPr>
          <w:trHeight w:val="756"/>
        </w:trPr>
        <w:tc>
          <w:tcPr>
            <w:tcW w:w="780" w:type="dxa"/>
            <w:vAlign w:val="bottom"/>
          </w:tcPr>
          <w:p>
            <w:pPr>
              <w:jc w:val="center"/>
              <w:ind w:right="348"/>
              <w:spacing w:after="0"/>
              <w:rPr>
                <w:sz w:val="20"/>
                <w:szCs w:val="20"/>
                <w:color w:val="auto"/>
              </w:rPr>
            </w:pPr>
            <w:r>
              <w:rPr>
                <w:rFonts w:ascii="Arial" w:cs="Arial" w:eastAsia="Arial" w:hAnsi="Arial"/>
                <w:sz w:val="14"/>
                <w:szCs w:val="14"/>
                <w:color w:val="auto"/>
              </w:rPr>
              <w:t>8-K</w:t>
            </w:r>
          </w:p>
        </w:tc>
        <w:tc>
          <w:tcPr>
            <w:tcW w:w="1600" w:type="dxa"/>
            <w:vAlign w:val="bottom"/>
          </w:tcPr>
          <w:p>
            <w:pPr>
              <w:jc w:val="right"/>
              <w:ind w:right="388"/>
              <w:spacing w:after="0"/>
              <w:rPr>
                <w:sz w:val="20"/>
                <w:szCs w:val="20"/>
                <w:color w:val="auto"/>
              </w:rPr>
            </w:pPr>
            <w:r>
              <w:rPr>
                <w:rFonts w:ascii="Arial" w:cs="Arial" w:eastAsia="Arial" w:hAnsi="Arial"/>
                <w:sz w:val="14"/>
                <w:szCs w:val="14"/>
                <w:color w:val="auto"/>
              </w:rPr>
              <w:t>001-35480</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248"/>
              <w:spacing w:after="0"/>
              <w:rPr>
                <w:sz w:val="20"/>
                <w:szCs w:val="20"/>
                <w:color w:val="auto"/>
              </w:rPr>
            </w:pPr>
            <w:r>
              <w:rPr>
                <w:rFonts w:ascii="Arial" w:cs="Arial" w:eastAsia="Arial" w:hAnsi="Arial"/>
                <w:sz w:val="14"/>
                <w:szCs w:val="14"/>
                <w:color w:val="auto"/>
              </w:rPr>
              <w:t>2/5/2018</w:t>
            </w:r>
          </w:p>
        </w:tc>
      </w:tr>
      <w:tr>
        <w:trPr>
          <w:trHeight w:val="675"/>
        </w:trPr>
        <w:tc>
          <w:tcPr>
            <w:tcW w:w="780" w:type="dxa"/>
            <w:vAlign w:val="bottom"/>
          </w:tcPr>
          <w:p>
            <w:pPr>
              <w:jc w:val="center"/>
              <w:ind w:right="388"/>
              <w:spacing w:after="0"/>
              <w:rPr>
                <w:sz w:val="20"/>
                <w:szCs w:val="20"/>
                <w:color w:val="auto"/>
              </w:rPr>
            </w:pPr>
            <w:r>
              <w:rPr>
                <w:rFonts w:ascii="Arial" w:cs="Arial" w:eastAsia="Arial" w:hAnsi="Arial"/>
                <w:sz w:val="14"/>
                <w:szCs w:val="14"/>
                <w:color w:val="auto"/>
              </w:rPr>
              <w:t>10-Q</w:t>
            </w:r>
          </w:p>
        </w:tc>
        <w:tc>
          <w:tcPr>
            <w:tcW w:w="1600" w:type="dxa"/>
            <w:vAlign w:val="bottom"/>
          </w:tcPr>
          <w:p>
            <w:pPr>
              <w:jc w:val="right"/>
              <w:ind w:right="388"/>
              <w:spacing w:after="0"/>
              <w:rPr>
                <w:sz w:val="20"/>
                <w:szCs w:val="20"/>
                <w:color w:val="auto"/>
              </w:rPr>
            </w:pPr>
            <w:r>
              <w:rPr>
                <w:rFonts w:ascii="Arial" w:cs="Arial" w:eastAsia="Arial" w:hAnsi="Arial"/>
                <w:sz w:val="14"/>
                <w:szCs w:val="14"/>
                <w:color w:val="auto"/>
              </w:rPr>
              <w:t>001-35480</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248"/>
              <w:spacing w:after="0"/>
              <w:rPr>
                <w:sz w:val="20"/>
                <w:szCs w:val="20"/>
                <w:color w:val="auto"/>
              </w:rPr>
            </w:pPr>
            <w:r>
              <w:rPr>
                <w:rFonts w:ascii="Arial" w:cs="Arial" w:eastAsia="Arial" w:hAnsi="Arial"/>
                <w:sz w:val="14"/>
                <w:szCs w:val="14"/>
                <w:color w:val="auto"/>
              </w:rPr>
              <w:t>8/6/2018</w:t>
            </w:r>
          </w:p>
        </w:tc>
      </w:tr>
      <w:tr>
        <w:trPr>
          <w:trHeight w:val="675"/>
        </w:trPr>
        <w:tc>
          <w:tcPr>
            <w:tcW w:w="780" w:type="dxa"/>
            <w:vAlign w:val="bottom"/>
          </w:tcPr>
          <w:p>
            <w:pPr>
              <w:jc w:val="center"/>
              <w:ind w:right="388"/>
              <w:spacing w:after="0"/>
              <w:rPr>
                <w:sz w:val="20"/>
                <w:szCs w:val="20"/>
                <w:color w:val="auto"/>
              </w:rPr>
            </w:pPr>
            <w:r>
              <w:rPr>
                <w:rFonts w:ascii="Arial" w:cs="Arial" w:eastAsia="Arial" w:hAnsi="Arial"/>
                <w:sz w:val="14"/>
                <w:szCs w:val="14"/>
                <w:color w:val="auto"/>
              </w:rPr>
              <w:t>8-K</w:t>
            </w:r>
          </w:p>
        </w:tc>
        <w:tc>
          <w:tcPr>
            <w:tcW w:w="1600" w:type="dxa"/>
            <w:vAlign w:val="bottom"/>
          </w:tcPr>
          <w:p>
            <w:pPr>
              <w:jc w:val="right"/>
              <w:ind w:right="388"/>
              <w:spacing w:after="0"/>
              <w:rPr>
                <w:sz w:val="20"/>
                <w:szCs w:val="20"/>
                <w:color w:val="auto"/>
              </w:rPr>
            </w:pPr>
            <w:r>
              <w:rPr>
                <w:rFonts w:ascii="Arial" w:cs="Arial" w:eastAsia="Arial" w:hAnsi="Arial"/>
                <w:sz w:val="14"/>
                <w:szCs w:val="14"/>
                <w:color w:val="auto"/>
              </w:rPr>
              <w:t>001-35480</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rPr>
              <w:t>10.1</w:t>
            </w:r>
          </w:p>
        </w:tc>
        <w:tc>
          <w:tcPr>
            <w:tcW w:w="960" w:type="dxa"/>
            <w:vAlign w:val="bottom"/>
          </w:tcPr>
          <w:p>
            <w:pPr>
              <w:jc w:val="center"/>
              <w:ind w:left="248"/>
              <w:spacing w:after="0"/>
              <w:rPr>
                <w:sz w:val="20"/>
                <w:szCs w:val="20"/>
                <w:color w:val="auto"/>
              </w:rPr>
            </w:pPr>
            <w:r>
              <w:rPr>
                <w:rFonts w:ascii="Arial" w:cs="Arial" w:eastAsia="Arial" w:hAnsi="Arial"/>
                <w:sz w:val="14"/>
                <w:szCs w:val="14"/>
                <w:color w:val="auto"/>
              </w:rPr>
              <w:t>8/17/2018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-1158240</wp:posOffset>
            </wp:positionV>
            <wp:extent cx="7246620" cy="4800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-300355</wp:posOffset>
            </wp:positionV>
            <wp:extent cx="7246620" cy="480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5120" w:space="520"/>
            <w:col w:w="5780"/>
          </w:cols>
          <w:pgMar w:left="240" w:top="283" w:right="239" w:bottom="1440" w:gutter="0" w:footer="0" w:header="0"/>
          <w:type w:val="continuous"/>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101 –</w:t>
      </w:r>
    </w:p>
    <w:p>
      <w:pPr>
        <w:sectPr>
          <w:pgSz w:w="11900" w:h="16838" w:orient="portrait"/>
          <w:cols w:equalWidth="0" w:num="1">
            <w:col w:w="11420"/>
          </w:cols>
          <w:pgMar w:left="240" w:top="283" w:right="239" w:bottom="1440" w:gutter="0" w:footer="0" w:header="0"/>
          <w:type w:val="continuous"/>
        </w:sectPr>
      </w:pPr>
    </w:p>
    <w:bookmarkStart w:id="101" w:name="page102"/>
    <w:bookmarkEnd w:id="101"/>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01"/>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top w:val="single" w:sz="8" w:color="auto"/>
            </w:tcBorders>
          </w:tcPr>
          <w:p>
            <w:pPr>
              <w:ind w:left="20"/>
              <w:spacing w:after="0"/>
              <w:rPr>
                <w:rFonts w:ascii="Arial" w:cs="Arial" w:eastAsia="Arial" w:hAnsi="Arial"/>
                <w:sz w:val="14"/>
                <w:szCs w:val="14"/>
                <w:color w:val="auto"/>
              </w:rPr>
            </w:pPr>
            <w:hyperlink r:id="rId123">
              <w:r>
                <w:rPr>
                  <w:rFonts w:ascii="Arial" w:cs="Arial" w:eastAsia="Arial" w:hAnsi="Arial"/>
                  <w:sz w:val="14"/>
                  <w:szCs w:val="14"/>
                  <w:color w:val="auto"/>
                </w:rPr>
                <w:t>Securities Purchase Agreement, dated August 14, 2018, by and</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23">
              <w:r>
                <w:rPr>
                  <w:rFonts w:ascii="Arial" w:cs="Arial" w:eastAsia="Arial" w:hAnsi="Arial"/>
                  <w:sz w:val="14"/>
                  <w:szCs w:val="14"/>
                  <w:color w:val="auto"/>
                </w:rPr>
                <w:t>between Enphase Energy, Inc. and the Rodgers Massey</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23">
              <w:r>
                <w:rPr>
                  <w:rFonts w:ascii="Arial" w:cs="Arial" w:eastAsia="Arial" w:hAnsi="Arial"/>
                  <w:sz w:val="14"/>
                  <w:szCs w:val="14"/>
                  <w:color w:val="auto"/>
                </w:rPr>
                <w:t>Revocable Trust dtd 4/4/11.</w:t>
              </w:r>
            </w:hyperlink>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124">
              <w:r>
                <w:rPr>
                  <w:rFonts w:ascii="Arial" w:cs="Arial" w:eastAsia="Arial" w:hAnsi="Arial"/>
                  <w:sz w:val="14"/>
                  <w:szCs w:val="14"/>
                  <w:color w:val="auto"/>
                </w:rPr>
                <w:t>2019 Performance Bonus Program Summary.</w:t>
              </w:r>
            </w:hyperlink>
          </w:p>
        </w:tc>
        <w:tc>
          <w:tcPr>
            <w:tcW w:w="0" w:type="dxa"/>
            <w:vAlign w:val="bottom"/>
          </w:tcPr>
          <w:p>
            <w:pPr>
              <w:spacing w:after="0"/>
              <w:rPr>
                <w:sz w:val="1"/>
                <w:szCs w:val="1"/>
                <w:color w:val="auto"/>
              </w:rPr>
            </w:pPr>
          </w:p>
        </w:tc>
      </w:tr>
      <w:tr>
        <w:trPr>
          <w:trHeight w:val="422"/>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r:id="rId125">
              <w:r>
                <w:rPr>
                  <w:rFonts w:ascii="Arial" w:cs="Arial" w:eastAsia="Arial" w:hAnsi="Arial"/>
                  <w:sz w:val="14"/>
                  <w:szCs w:val="14"/>
                  <w:color w:val="auto"/>
                </w:rPr>
                <w:t>Stockholders Agreement, dated as of August 9, 2018, by and</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auto"/>
              </w:rPr>
            </w:pPr>
            <w:hyperlink r:id="rId125">
              <w:r>
                <w:rPr>
                  <w:rFonts w:ascii="Arial" w:cs="Arial" w:eastAsia="Arial" w:hAnsi="Arial"/>
                  <w:sz w:val="14"/>
                  <w:szCs w:val="14"/>
                  <w:color w:val="auto"/>
                </w:rPr>
                <w:t>between Enphase Energy, Inc. and SunPower Corporation.</w:t>
              </w:r>
            </w:hyperlink>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10.43</w:t>
            </w:r>
            <w:r>
              <w:rPr>
                <w:rFonts w:ascii="Arial" w:cs="Arial" w:eastAsia="Arial" w:hAnsi="Arial"/>
                <w:sz w:val="21"/>
                <w:szCs w:val="21"/>
                <w:color w:val="auto"/>
                <w:w w:val="97"/>
                <w:vertAlign w:val="superscript"/>
              </w:rPr>
              <w:t>†</w:t>
            </w:r>
          </w:p>
        </w:tc>
        <w:tc>
          <w:tcPr>
            <w:tcW w:w="4220" w:type="dxa"/>
            <w:vAlign w:val="bottom"/>
          </w:tcPr>
          <w:p>
            <w:pPr>
              <w:ind w:left="20"/>
              <w:spacing w:after="0"/>
              <w:rPr>
                <w:rFonts w:ascii="Arial" w:cs="Arial" w:eastAsia="Arial" w:hAnsi="Arial"/>
                <w:sz w:val="14"/>
                <w:szCs w:val="14"/>
                <w:color w:val="auto"/>
              </w:rPr>
            </w:pPr>
            <w:hyperlink r:id="rId126">
              <w:r>
                <w:rPr>
                  <w:rFonts w:ascii="Arial" w:cs="Arial" w:eastAsia="Arial" w:hAnsi="Arial"/>
                  <w:sz w:val="14"/>
                  <w:szCs w:val="14"/>
                  <w:color w:val="auto"/>
                </w:rPr>
                <w:t>Master Supply Agreement, dated August 9, 2018, between</w:t>
              </w:r>
            </w:hyperlink>
          </w:p>
        </w:tc>
        <w:tc>
          <w:tcPr>
            <w:tcW w:w="0" w:type="dxa"/>
            <w:vAlign w:val="bottom"/>
          </w:tcPr>
          <w:p>
            <w:pPr>
              <w:spacing w:after="0"/>
              <w:rPr>
                <w:sz w:val="1"/>
                <w:szCs w:val="1"/>
                <w:color w:val="auto"/>
              </w:rPr>
            </w:pPr>
          </w:p>
        </w:tc>
      </w:tr>
      <w:tr>
        <w:trPr>
          <w:trHeight w:val="130"/>
        </w:trPr>
        <w:tc>
          <w:tcPr>
            <w:tcW w:w="940" w:type="dxa"/>
            <w:vAlign w:val="bottom"/>
            <w:gridSpan w:val="2"/>
            <w:vMerge w:val="continue"/>
          </w:tcPr>
          <w:p>
            <w:pPr>
              <w:spacing w:after="0"/>
              <w:rPr>
                <w:sz w:val="11"/>
                <w:szCs w:val="11"/>
                <w:color w:val="auto"/>
              </w:rPr>
            </w:pPr>
          </w:p>
        </w:tc>
        <w:tc>
          <w:tcPr>
            <w:tcW w:w="4220" w:type="dxa"/>
            <w:vAlign w:val="bottom"/>
            <w:vMerge w:val="restart"/>
          </w:tcPr>
          <w:p>
            <w:pPr>
              <w:ind w:left="20"/>
              <w:spacing w:after="0"/>
              <w:rPr>
                <w:rFonts w:ascii="Arial" w:cs="Arial" w:eastAsia="Arial" w:hAnsi="Arial"/>
                <w:sz w:val="14"/>
                <w:szCs w:val="14"/>
                <w:color w:val="auto"/>
              </w:rPr>
            </w:pPr>
            <w:hyperlink r:id="rId126">
              <w:r>
                <w:rPr>
                  <w:rFonts w:ascii="Arial" w:cs="Arial" w:eastAsia="Arial" w:hAnsi="Arial"/>
                  <w:sz w:val="14"/>
                  <w:szCs w:val="14"/>
                  <w:color w:val="auto"/>
                </w:rPr>
                <w:t>Enphase Energy, Inc. and SunPower Corporation.</w:t>
              </w:r>
            </w:hyperlink>
          </w:p>
        </w:tc>
        <w:tc>
          <w:tcPr>
            <w:tcW w:w="0" w:type="dxa"/>
            <w:vAlign w:val="bottom"/>
          </w:tcPr>
          <w:p>
            <w:pPr>
              <w:spacing w:after="0"/>
              <w:rPr>
                <w:sz w:val="1"/>
                <w:szCs w:val="1"/>
                <w:color w:val="auto"/>
              </w:rPr>
            </w:pPr>
          </w:p>
        </w:tc>
      </w:tr>
      <w:tr>
        <w:trPr>
          <w:trHeight w:val="42"/>
        </w:trPr>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2"/>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10.44</w:t>
            </w:r>
            <w:r>
              <w:rPr>
                <w:rFonts w:ascii="Arial" w:cs="Arial" w:eastAsia="Arial" w:hAnsi="Arial"/>
                <w:sz w:val="21"/>
                <w:szCs w:val="21"/>
                <w:color w:val="auto"/>
                <w:w w:val="97"/>
                <w:vertAlign w:val="superscript"/>
              </w:rPr>
              <w:t>†</w:t>
            </w:r>
          </w:p>
        </w:tc>
        <w:tc>
          <w:tcPr>
            <w:tcW w:w="4220" w:type="dxa"/>
            <w:vAlign w:val="bottom"/>
          </w:tcPr>
          <w:p>
            <w:pPr>
              <w:ind w:left="20"/>
              <w:spacing w:after="0"/>
              <w:rPr>
                <w:rFonts w:ascii="Arial" w:cs="Arial" w:eastAsia="Arial" w:hAnsi="Arial"/>
                <w:sz w:val="14"/>
                <w:szCs w:val="14"/>
                <w:color w:val="auto"/>
              </w:rPr>
            </w:pPr>
            <w:hyperlink r:id="rId127">
              <w:r>
                <w:rPr>
                  <w:rFonts w:ascii="Arial" w:cs="Arial" w:eastAsia="Arial" w:hAnsi="Arial"/>
                  <w:sz w:val="14"/>
                  <w:szCs w:val="14"/>
                  <w:color w:val="auto"/>
                </w:rPr>
                <w:t>Amendment No. 1 to Master Supply Agreement, dated</w:t>
              </w:r>
            </w:hyperlink>
          </w:p>
        </w:tc>
        <w:tc>
          <w:tcPr>
            <w:tcW w:w="0" w:type="dxa"/>
            <w:vAlign w:val="bottom"/>
          </w:tcPr>
          <w:p>
            <w:pPr>
              <w:spacing w:after="0"/>
              <w:rPr>
                <w:sz w:val="1"/>
                <w:szCs w:val="1"/>
                <w:color w:val="auto"/>
              </w:rPr>
            </w:pPr>
          </w:p>
        </w:tc>
      </w:tr>
      <w:tr>
        <w:trPr>
          <w:trHeight w:val="162"/>
        </w:trPr>
        <w:tc>
          <w:tcPr>
            <w:tcW w:w="940" w:type="dxa"/>
            <w:vAlign w:val="bottom"/>
            <w:gridSpan w:val="2"/>
            <w:vMerge w:val="continue"/>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27">
              <w:r>
                <w:rPr>
                  <w:rFonts w:ascii="Arial" w:cs="Arial" w:eastAsia="Arial" w:hAnsi="Arial"/>
                  <w:sz w:val="14"/>
                  <w:szCs w:val="14"/>
                  <w:color w:val="auto"/>
                </w:rPr>
                <w:t>December 10, 2018, by and between Enphase Energy, Inc. and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auto"/>
              </w:rPr>
            </w:pPr>
            <w:hyperlink r:id="rId127">
              <w:r>
                <w:rPr>
                  <w:rFonts w:ascii="Arial" w:cs="Arial" w:eastAsia="Arial" w:hAnsi="Arial"/>
                  <w:sz w:val="14"/>
                  <w:szCs w:val="14"/>
                  <w:color w:val="auto"/>
                </w:rPr>
                <w:t>SunPower Corporation.</w:t>
              </w:r>
            </w:hyperlink>
          </w:p>
        </w:tc>
        <w:tc>
          <w:tcPr>
            <w:tcW w:w="0" w:type="dxa"/>
            <w:vAlign w:val="bottom"/>
          </w:tcPr>
          <w:p>
            <w:pPr>
              <w:spacing w:after="0"/>
              <w:rPr>
                <w:sz w:val="1"/>
                <w:szCs w:val="1"/>
                <w:color w:val="auto"/>
              </w:rPr>
            </w:pPr>
          </w:p>
        </w:tc>
      </w:tr>
      <w:tr>
        <w:trPr>
          <w:trHeight w:val="422"/>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w:anchor="page104">
              <w:r>
                <w:rPr>
                  <w:rFonts w:ascii="Arial" w:cs="Arial" w:eastAsia="Arial" w:hAnsi="Arial"/>
                  <w:sz w:val="14"/>
                  <w:szCs w:val="14"/>
                  <w:color w:val="auto"/>
                </w:rPr>
                <w:t>Bayside Parkway Lease by and between Enphase Energy, Inc.</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auto"/>
              </w:rPr>
            </w:pPr>
            <w:hyperlink w:anchor="page104">
              <w:r>
                <w:rPr>
                  <w:rFonts w:ascii="Arial" w:cs="Arial" w:eastAsia="Arial" w:hAnsi="Arial"/>
                  <w:sz w:val="14"/>
                  <w:szCs w:val="14"/>
                  <w:color w:val="auto"/>
                </w:rPr>
                <w:t>and Dollinger Bayside Associates, dated April 12, 2018.</w:t>
              </w:r>
            </w:hyperlink>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w:anchor="page131">
              <w:r>
                <w:rPr>
                  <w:rFonts w:ascii="Arial" w:cs="Arial" w:eastAsia="Arial" w:hAnsi="Arial"/>
                  <w:sz w:val="14"/>
                  <w:szCs w:val="14"/>
                  <w:color w:val="auto"/>
                </w:rPr>
                <w:t>List of Subsidiaries of the Registrant</w:t>
              </w:r>
            </w:hyperlink>
          </w:p>
        </w:tc>
        <w:tc>
          <w:tcPr>
            <w:tcW w:w="0" w:type="dxa"/>
            <w:vAlign w:val="bottom"/>
          </w:tcPr>
          <w:p>
            <w:pPr>
              <w:spacing w:after="0"/>
              <w:rPr>
                <w:sz w:val="1"/>
                <w:szCs w:val="1"/>
                <w:color w:val="auto"/>
              </w:rPr>
            </w:pPr>
          </w:p>
        </w:tc>
      </w:tr>
      <w:tr>
        <w:trPr>
          <w:trHeight w:val="422"/>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auto"/>
              </w:rPr>
            </w:pPr>
            <w:hyperlink w:anchor="page132">
              <w:r>
                <w:rPr>
                  <w:rFonts w:ascii="Arial" w:cs="Arial" w:eastAsia="Arial" w:hAnsi="Arial"/>
                  <w:sz w:val="14"/>
                  <w:szCs w:val="14"/>
                  <w:color w:val="auto"/>
                </w:rPr>
                <w:t>Consent of Deloitte &amp; Touche LLP, Independent Registered</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auto"/>
              </w:rPr>
            </w:pPr>
            <w:hyperlink w:anchor="page132">
              <w:r>
                <w:rPr>
                  <w:rFonts w:ascii="Arial" w:cs="Arial" w:eastAsia="Arial" w:hAnsi="Arial"/>
                  <w:sz w:val="14"/>
                  <w:szCs w:val="14"/>
                  <w:color w:val="auto"/>
                </w:rPr>
                <w:t>Public Accounting Firm</w:t>
              </w:r>
            </w:hyperlink>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w w:val="95"/>
              </w:rPr>
              <w:t>24.1</w:t>
            </w:r>
          </w:p>
        </w:tc>
        <w:tc>
          <w:tcPr>
            <w:tcW w:w="4120" w:type="dxa"/>
            <w:vAlign w:val="bottom"/>
          </w:tcPr>
          <w:p>
            <w:pPr>
              <w:ind w:left="200"/>
              <w:spacing w:after="0"/>
              <w:rPr>
                <w:rFonts w:ascii="Arial" w:cs="Arial" w:eastAsia="Arial" w:hAnsi="Arial"/>
                <w:sz w:val="14"/>
                <w:szCs w:val="14"/>
                <w:color w:val="auto"/>
              </w:rPr>
            </w:pPr>
            <w:hyperlink w:anchor="page103">
              <w:r>
                <w:rPr>
                  <w:rFonts w:ascii="Arial" w:cs="Arial" w:eastAsia="Arial" w:hAnsi="Arial"/>
                  <w:sz w:val="14"/>
                  <w:szCs w:val="14"/>
                  <w:color w:val="auto"/>
                </w:rPr>
                <w:t>Power of Attorney (incorporated by reference to the signature</w:t>
              </w:r>
            </w:hyperlink>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120" w:type="dxa"/>
            <w:vAlign w:val="bottom"/>
            <w:vMerge w:val="restart"/>
          </w:tcPr>
          <w:p>
            <w:pPr>
              <w:ind w:left="200"/>
              <w:spacing w:after="0"/>
              <w:rPr>
                <w:rFonts w:ascii="Arial" w:cs="Arial" w:eastAsia="Arial" w:hAnsi="Arial"/>
                <w:sz w:val="14"/>
                <w:szCs w:val="14"/>
                <w:color w:val="auto"/>
              </w:rPr>
            </w:pPr>
            <w:hyperlink w:anchor="page103">
              <w:r>
                <w:rPr>
                  <w:rFonts w:ascii="Arial" w:cs="Arial" w:eastAsia="Arial" w:hAnsi="Arial"/>
                  <w:sz w:val="14"/>
                  <w:szCs w:val="14"/>
                  <w:color w:val="auto"/>
                </w:rPr>
                <w:t>page of this Annual Report on Form 10-K).</w:t>
              </w:r>
            </w:hyperlink>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w w:val="95"/>
              </w:rPr>
              <w:t>31.1</w:t>
            </w:r>
          </w:p>
        </w:tc>
        <w:tc>
          <w:tcPr>
            <w:tcW w:w="4120" w:type="dxa"/>
            <w:vAlign w:val="bottom"/>
          </w:tcPr>
          <w:p>
            <w:pPr>
              <w:ind w:left="200"/>
              <w:spacing w:after="0"/>
              <w:rPr>
                <w:rFonts w:ascii="Arial" w:cs="Arial" w:eastAsia="Arial" w:hAnsi="Arial"/>
                <w:sz w:val="14"/>
                <w:szCs w:val="14"/>
                <w:color w:val="auto"/>
              </w:rPr>
            </w:pPr>
            <w:hyperlink w:anchor="page133">
              <w:r>
                <w:rPr>
                  <w:rFonts w:ascii="Arial" w:cs="Arial" w:eastAsia="Arial" w:hAnsi="Arial"/>
                  <w:sz w:val="14"/>
                  <w:szCs w:val="14"/>
                  <w:color w:val="auto"/>
                </w:rPr>
                <w:t>Certification of Chief Executive Officer pursuant to Rule 13a-</w:t>
              </w:r>
            </w:hyperlink>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120" w:type="dxa"/>
            <w:vAlign w:val="bottom"/>
            <w:vMerge w:val="restart"/>
          </w:tcPr>
          <w:p>
            <w:pPr>
              <w:ind w:left="200"/>
              <w:spacing w:after="0"/>
              <w:rPr>
                <w:rFonts w:ascii="Arial" w:cs="Arial" w:eastAsia="Arial" w:hAnsi="Arial"/>
                <w:sz w:val="14"/>
                <w:szCs w:val="14"/>
                <w:color w:val="auto"/>
              </w:rPr>
            </w:pPr>
            <w:hyperlink w:anchor="page133">
              <w:r>
                <w:rPr>
                  <w:rFonts w:ascii="Arial" w:cs="Arial" w:eastAsia="Arial" w:hAnsi="Arial"/>
                  <w:sz w:val="14"/>
                  <w:szCs w:val="14"/>
                  <w:color w:val="auto"/>
                </w:rPr>
                <w:t>14(a)/15d-14(a).</w:t>
              </w:r>
            </w:hyperlink>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w w:val="95"/>
              </w:rPr>
              <w:t>31.2</w:t>
            </w:r>
          </w:p>
        </w:tc>
        <w:tc>
          <w:tcPr>
            <w:tcW w:w="4120" w:type="dxa"/>
            <w:vAlign w:val="bottom"/>
          </w:tcPr>
          <w:p>
            <w:pPr>
              <w:ind w:left="200"/>
              <w:spacing w:after="0"/>
              <w:rPr>
                <w:rFonts w:ascii="Arial" w:cs="Arial" w:eastAsia="Arial" w:hAnsi="Arial"/>
                <w:sz w:val="14"/>
                <w:szCs w:val="14"/>
                <w:color w:val="auto"/>
              </w:rPr>
            </w:pPr>
            <w:hyperlink w:anchor="page134">
              <w:r>
                <w:rPr>
                  <w:rFonts w:ascii="Arial" w:cs="Arial" w:eastAsia="Arial" w:hAnsi="Arial"/>
                  <w:sz w:val="14"/>
                  <w:szCs w:val="14"/>
                  <w:color w:val="auto"/>
                </w:rPr>
                <w:t>Certification of Chief Financial Officer pursuant to Rule 13a-</w:t>
              </w:r>
            </w:hyperlink>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120" w:type="dxa"/>
            <w:vAlign w:val="bottom"/>
            <w:vMerge w:val="restart"/>
          </w:tcPr>
          <w:p>
            <w:pPr>
              <w:ind w:left="200"/>
              <w:spacing w:after="0"/>
              <w:rPr>
                <w:rFonts w:ascii="Arial" w:cs="Arial" w:eastAsia="Arial" w:hAnsi="Arial"/>
                <w:sz w:val="14"/>
                <w:szCs w:val="14"/>
                <w:color w:val="auto"/>
              </w:rPr>
            </w:pPr>
            <w:hyperlink w:anchor="page134">
              <w:r>
                <w:rPr>
                  <w:rFonts w:ascii="Arial" w:cs="Arial" w:eastAsia="Arial" w:hAnsi="Arial"/>
                  <w:sz w:val="14"/>
                  <w:szCs w:val="14"/>
                  <w:color w:val="auto"/>
                </w:rPr>
                <w:t>14(a)/15d-14(a).</w:t>
              </w:r>
            </w:hyperlink>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47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8/17/2018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2/6/2019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SC 13D</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005-86790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color w:val="auto"/>
              </w:rPr>
              <w:t>SC 13D</w:t>
            </w:r>
          </w:p>
        </w:tc>
        <w:tc>
          <w:tcPr>
            <w:tcW w:w="1020" w:type="dxa"/>
            <w:vAlign w:val="bottom"/>
          </w:tcPr>
          <w:p>
            <w:pPr>
              <w:jc w:val="center"/>
              <w:spacing w:after="0"/>
              <w:rPr>
                <w:sz w:val="20"/>
                <w:szCs w:val="20"/>
                <w:color w:val="auto"/>
              </w:rPr>
            </w:pPr>
            <w:r>
              <w:rPr>
                <w:rFonts w:ascii="Arial" w:cs="Arial" w:eastAsia="Arial" w:hAnsi="Arial"/>
                <w:sz w:val="14"/>
                <w:szCs w:val="14"/>
                <w:color w:val="auto"/>
              </w:rPr>
              <w:t>8/20/2018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SC 13D</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005-86790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color w:val="auto"/>
              </w:rPr>
              <w:t>SC 13D</w:t>
            </w:r>
          </w:p>
        </w:tc>
        <w:tc>
          <w:tcPr>
            <w:tcW w:w="1020" w:type="dxa"/>
            <w:vAlign w:val="bottom"/>
          </w:tcPr>
          <w:p>
            <w:pPr>
              <w:jc w:val="center"/>
              <w:spacing w:after="0"/>
              <w:rPr>
                <w:sz w:val="20"/>
                <w:szCs w:val="20"/>
                <w:color w:val="auto"/>
              </w:rPr>
            </w:pPr>
            <w:r>
              <w:rPr>
                <w:rFonts w:ascii="Arial" w:cs="Arial" w:eastAsia="Arial" w:hAnsi="Arial"/>
                <w:sz w:val="14"/>
                <w:szCs w:val="14"/>
                <w:color w:val="auto"/>
              </w:rPr>
              <w:t>8/20/2018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001-34166</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-1329690</wp:posOffset>
            </wp:positionV>
            <wp:extent cx="72466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-677545</wp:posOffset>
            </wp:positionV>
            <wp:extent cx="7246620" cy="3771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179070</wp:posOffset>
            </wp:positionV>
            <wp:extent cx="7246620"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0">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83185</wp:posOffset>
            </wp:positionV>
            <wp:extent cx="724662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134620</wp:posOffset>
            </wp:positionV>
            <wp:extent cx="7246620" cy="377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12" w:lineRule="exact"/>
        <w:rPr>
          <w:sz w:val="20"/>
          <w:szCs w:val="20"/>
          <w:color w:val="auto"/>
        </w:rPr>
      </w:pPr>
    </w:p>
    <w:p>
      <w:pPr>
        <w:sectPr>
          <w:pgSz w:w="11900" w:h="16838" w:orient="portrait"/>
          <w:cols w:equalWidth="0" w:num="2">
            <w:col w:w="5160" w:space="120"/>
            <w:col w:w="614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900" w:type="dxa"/>
            <w:vAlign w:val="bottom"/>
            <w:shd w:val="clear" w:color="auto" w:fill="BFE4FF"/>
          </w:tcPr>
          <w:p>
            <w:pPr>
              <w:spacing w:after="0"/>
              <w:rPr>
                <w:sz w:val="24"/>
                <w:szCs w:val="24"/>
                <w:color w:val="auto"/>
              </w:rPr>
            </w:pPr>
          </w:p>
        </w:tc>
        <w:tc>
          <w:tcPr>
            <w:tcW w:w="7080" w:type="dxa"/>
            <w:vAlign w:val="bottom"/>
            <w:shd w:val="clear" w:color="auto" w:fill="BFE4FF"/>
          </w:tcPr>
          <w:p>
            <w:pPr>
              <w:ind w:left="60"/>
              <w:spacing w:after="0"/>
              <w:rPr>
                <w:rFonts w:ascii="Arial" w:cs="Arial" w:eastAsia="Arial" w:hAnsi="Arial"/>
                <w:sz w:val="14"/>
                <w:szCs w:val="14"/>
                <w:color w:val="auto"/>
              </w:rPr>
            </w:pPr>
            <w:hyperlink w:anchor="page135">
              <w:r>
                <w:rPr>
                  <w:rFonts w:ascii="Arial" w:cs="Arial" w:eastAsia="Arial" w:hAnsi="Arial"/>
                  <w:sz w:val="14"/>
                  <w:szCs w:val="14"/>
                  <w:color w:val="auto"/>
                </w:rPr>
                <w:t>Certification of Chief Executive Officer and Chief Financial Officer</w:t>
              </w:r>
            </w:hyperlink>
          </w:p>
        </w:tc>
        <w:tc>
          <w:tcPr>
            <w:tcW w:w="3440" w:type="dxa"/>
            <w:vAlign w:val="bottom"/>
            <w:shd w:val="clear" w:color="auto" w:fill="BFE4FF"/>
          </w:tcPr>
          <w:p>
            <w:pPr>
              <w:spacing w:after="0"/>
              <w:rPr>
                <w:sz w:val="24"/>
                <w:szCs w:val="24"/>
                <w:color w:val="auto"/>
              </w:rPr>
            </w:pPr>
          </w:p>
        </w:tc>
      </w:tr>
      <w:tr>
        <w:trPr>
          <w:trHeight w:val="162"/>
        </w:trPr>
        <w:tc>
          <w:tcPr>
            <w:tcW w:w="900" w:type="dxa"/>
            <w:vAlign w:val="bottom"/>
            <w:shd w:val="clear" w:color="auto" w:fill="BFE4FF"/>
          </w:tcPr>
          <w:p>
            <w:pPr>
              <w:jc w:val="center"/>
              <w:ind w:right="8"/>
              <w:spacing w:after="0"/>
              <w:rPr>
                <w:sz w:val="20"/>
                <w:szCs w:val="20"/>
                <w:color w:val="auto"/>
              </w:rPr>
            </w:pPr>
            <w:r>
              <w:rPr>
                <w:rFonts w:ascii="Arial" w:cs="Arial" w:eastAsia="Arial" w:hAnsi="Arial"/>
                <w:sz w:val="14"/>
                <w:szCs w:val="14"/>
                <w:color w:val="auto"/>
              </w:rPr>
              <w:t>32.1*</w:t>
            </w:r>
          </w:p>
        </w:tc>
        <w:tc>
          <w:tcPr>
            <w:tcW w:w="7080" w:type="dxa"/>
            <w:vAlign w:val="bottom"/>
            <w:shd w:val="clear" w:color="auto" w:fill="BFE4FF"/>
          </w:tcPr>
          <w:p>
            <w:pPr>
              <w:ind w:left="60"/>
              <w:spacing w:after="0"/>
              <w:rPr>
                <w:rFonts w:ascii="Arial" w:cs="Arial" w:eastAsia="Arial" w:hAnsi="Arial"/>
                <w:sz w:val="14"/>
                <w:szCs w:val="14"/>
                <w:color w:val="auto"/>
              </w:rPr>
            </w:pPr>
            <w:hyperlink w:anchor="page135">
              <w:r>
                <w:rPr>
                  <w:rFonts w:ascii="Arial" w:cs="Arial" w:eastAsia="Arial" w:hAnsi="Arial"/>
                  <w:sz w:val="14"/>
                  <w:szCs w:val="14"/>
                  <w:color w:val="auto"/>
                </w:rPr>
                <w:t>pursuant to 18 U.S.C. Section 1350 as Adopted Pursuant to</w:t>
              </w:r>
            </w:hyperlink>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r>
      <w:tr>
        <w:trPr>
          <w:trHeight w:val="172"/>
        </w:trPr>
        <w:tc>
          <w:tcPr>
            <w:tcW w:w="900" w:type="dxa"/>
            <w:vAlign w:val="bottom"/>
            <w:shd w:val="clear" w:color="auto" w:fill="BFE4FF"/>
          </w:tcPr>
          <w:p>
            <w:pPr>
              <w:spacing w:after="0"/>
              <w:rPr>
                <w:sz w:val="14"/>
                <w:szCs w:val="14"/>
                <w:color w:val="auto"/>
              </w:rPr>
            </w:pPr>
          </w:p>
        </w:tc>
        <w:tc>
          <w:tcPr>
            <w:tcW w:w="7080" w:type="dxa"/>
            <w:vAlign w:val="bottom"/>
            <w:shd w:val="clear" w:color="auto" w:fill="BFE4FF"/>
          </w:tcPr>
          <w:p>
            <w:pPr>
              <w:ind w:left="60"/>
              <w:spacing w:after="0"/>
              <w:rPr>
                <w:rFonts w:ascii="Arial" w:cs="Arial" w:eastAsia="Arial" w:hAnsi="Arial"/>
                <w:sz w:val="14"/>
                <w:szCs w:val="14"/>
                <w:color w:val="auto"/>
              </w:rPr>
            </w:pPr>
            <w:hyperlink w:anchor="page135">
              <w:r>
                <w:rPr>
                  <w:rFonts w:ascii="Arial" w:cs="Arial" w:eastAsia="Arial" w:hAnsi="Arial"/>
                  <w:sz w:val="14"/>
                  <w:szCs w:val="14"/>
                  <w:color w:val="auto"/>
                </w:rPr>
                <w:t>Section 906 of the Sarbanes-Oxley Act of 2002.</w:t>
              </w:r>
            </w:hyperlink>
          </w:p>
        </w:tc>
        <w:tc>
          <w:tcPr>
            <w:tcW w:w="3440" w:type="dxa"/>
            <w:vAlign w:val="bottom"/>
            <w:shd w:val="clear" w:color="auto" w:fill="BFE4FF"/>
          </w:tcPr>
          <w:p>
            <w:pPr>
              <w:spacing w:after="0"/>
              <w:rPr>
                <w:sz w:val="14"/>
                <w:szCs w:val="14"/>
                <w:color w:val="auto"/>
              </w:rPr>
            </w:pPr>
          </w:p>
        </w:tc>
      </w:tr>
      <w:tr>
        <w:trPr>
          <w:trHeight w:val="120"/>
        </w:trPr>
        <w:tc>
          <w:tcPr>
            <w:tcW w:w="900" w:type="dxa"/>
            <w:vAlign w:val="bottom"/>
            <w:shd w:val="clear" w:color="auto" w:fill="BFE4FF"/>
          </w:tcPr>
          <w:p>
            <w:pPr>
              <w:spacing w:after="0"/>
              <w:rPr>
                <w:sz w:val="10"/>
                <w:szCs w:val="10"/>
                <w:color w:val="auto"/>
              </w:rPr>
            </w:pPr>
          </w:p>
        </w:tc>
        <w:tc>
          <w:tcPr>
            <w:tcW w:w="708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r>
      <w:tr>
        <w:trPr>
          <w:trHeight w:val="312"/>
        </w:trPr>
        <w:tc>
          <w:tcPr>
            <w:tcW w:w="900" w:type="dxa"/>
            <w:vAlign w:val="bottom"/>
          </w:tcPr>
          <w:p>
            <w:pPr>
              <w:jc w:val="center"/>
              <w:spacing w:after="0"/>
              <w:rPr>
                <w:sz w:val="20"/>
                <w:szCs w:val="20"/>
                <w:color w:val="auto"/>
              </w:rPr>
            </w:pPr>
            <w:r>
              <w:rPr>
                <w:rFonts w:ascii="Arial" w:cs="Arial" w:eastAsia="Arial" w:hAnsi="Arial"/>
                <w:sz w:val="14"/>
                <w:szCs w:val="14"/>
                <w:color w:val="auto"/>
              </w:rPr>
              <w:t>101.INS</w:t>
            </w:r>
          </w:p>
        </w:tc>
        <w:tc>
          <w:tcPr>
            <w:tcW w:w="7080" w:type="dxa"/>
            <w:vAlign w:val="bottom"/>
          </w:tcPr>
          <w:p>
            <w:pPr>
              <w:ind w:left="60"/>
              <w:spacing w:after="0"/>
              <w:rPr>
                <w:sz w:val="20"/>
                <w:szCs w:val="20"/>
                <w:color w:val="auto"/>
              </w:rPr>
            </w:pPr>
            <w:r>
              <w:rPr>
                <w:rFonts w:ascii="Arial" w:cs="Arial" w:eastAsia="Arial" w:hAnsi="Arial"/>
                <w:sz w:val="14"/>
                <w:szCs w:val="14"/>
                <w:color w:val="auto"/>
              </w:rPr>
              <w:t>XBRL Instance Document.</w:t>
            </w:r>
          </w:p>
        </w:tc>
        <w:tc>
          <w:tcPr>
            <w:tcW w:w="3440" w:type="dxa"/>
            <w:vAlign w:val="bottom"/>
          </w:tcPr>
          <w:p>
            <w:pPr>
              <w:ind w:left="2880"/>
              <w:spacing w:after="0"/>
              <w:rPr>
                <w:sz w:val="20"/>
                <w:szCs w:val="20"/>
                <w:color w:val="auto"/>
              </w:rPr>
            </w:pPr>
            <w:r>
              <w:rPr>
                <w:rFonts w:ascii="Arial" w:cs="Arial" w:eastAsia="Arial" w:hAnsi="Arial"/>
                <w:sz w:val="14"/>
                <w:szCs w:val="14"/>
                <w:color w:val="auto"/>
              </w:rPr>
              <w:t>X</w:t>
            </w:r>
          </w:p>
        </w:tc>
      </w:tr>
      <w:tr>
        <w:trPr>
          <w:trHeight w:val="120"/>
        </w:trPr>
        <w:tc>
          <w:tcPr>
            <w:tcW w:w="90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3440" w:type="dxa"/>
            <w:vAlign w:val="bottom"/>
          </w:tcPr>
          <w:p>
            <w:pPr>
              <w:spacing w:after="0"/>
              <w:rPr>
                <w:sz w:val="10"/>
                <w:szCs w:val="10"/>
                <w:color w:val="auto"/>
              </w:rPr>
            </w:pPr>
          </w:p>
        </w:tc>
      </w:tr>
      <w:tr>
        <w:trPr>
          <w:trHeight w:val="312"/>
        </w:trPr>
        <w:tc>
          <w:tcPr>
            <w:tcW w:w="900" w:type="dxa"/>
            <w:vAlign w:val="bottom"/>
            <w:shd w:val="clear" w:color="auto" w:fill="BFE4FF"/>
          </w:tcPr>
          <w:p>
            <w:pPr>
              <w:jc w:val="center"/>
              <w:ind w:right="8"/>
              <w:spacing w:after="0"/>
              <w:rPr>
                <w:sz w:val="20"/>
                <w:szCs w:val="20"/>
                <w:color w:val="auto"/>
              </w:rPr>
            </w:pPr>
            <w:r>
              <w:rPr>
                <w:rFonts w:ascii="Arial" w:cs="Arial" w:eastAsia="Arial" w:hAnsi="Arial"/>
                <w:sz w:val="14"/>
                <w:szCs w:val="14"/>
                <w:color w:val="auto"/>
              </w:rPr>
              <w:t>101.SCH</w:t>
            </w:r>
          </w:p>
        </w:tc>
        <w:tc>
          <w:tcPr>
            <w:tcW w:w="7080" w:type="dxa"/>
            <w:vAlign w:val="bottom"/>
            <w:shd w:val="clear" w:color="auto" w:fill="BFE4FF"/>
          </w:tcPr>
          <w:p>
            <w:pPr>
              <w:ind w:left="60"/>
              <w:spacing w:after="0"/>
              <w:rPr>
                <w:sz w:val="20"/>
                <w:szCs w:val="20"/>
                <w:color w:val="auto"/>
              </w:rPr>
            </w:pPr>
            <w:r>
              <w:rPr>
                <w:rFonts w:ascii="Arial" w:cs="Arial" w:eastAsia="Arial" w:hAnsi="Arial"/>
                <w:sz w:val="14"/>
                <w:szCs w:val="14"/>
                <w:color w:val="auto"/>
              </w:rPr>
              <w:t>XBRL Taxonomy Extension Schema Document.</w:t>
            </w:r>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r>
      <w:tr>
        <w:trPr>
          <w:trHeight w:val="120"/>
        </w:trPr>
        <w:tc>
          <w:tcPr>
            <w:tcW w:w="900" w:type="dxa"/>
            <w:vAlign w:val="bottom"/>
            <w:shd w:val="clear" w:color="auto" w:fill="BFE4FF"/>
          </w:tcPr>
          <w:p>
            <w:pPr>
              <w:spacing w:after="0"/>
              <w:rPr>
                <w:sz w:val="10"/>
                <w:szCs w:val="10"/>
                <w:color w:val="auto"/>
              </w:rPr>
            </w:pPr>
          </w:p>
        </w:tc>
        <w:tc>
          <w:tcPr>
            <w:tcW w:w="708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r>
      <w:tr>
        <w:trPr>
          <w:trHeight w:val="312"/>
        </w:trPr>
        <w:tc>
          <w:tcPr>
            <w:tcW w:w="900" w:type="dxa"/>
            <w:vAlign w:val="bottom"/>
          </w:tcPr>
          <w:p>
            <w:pPr>
              <w:jc w:val="center"/>
              <w:spacing w:after="0"/>
              <w:rPr>
                <w:sz w:val="20"/>
                <w:szCs w:val="20"/>
                <w:color w:val="auto"/>
              </w:rPr>
            </w:pPr>
            <w:r>
              <w:rPr>
                <w:rFonts w:ascii="Arial" w:cs="Arial" w:eastAsia="Arial" w:hAnsi="Arial"/>
                <w:sz w:val="14"/>
                <w:szCs w:val="14"/>
                <w:color w:val="auto"/>
              </w:rPr>
              <w:t>101.CAL</w:t>
            </w:r>
          </w:p>
        </w:tc>
        <w:tc>
          <w:tcPr>
            <w:tcW w:w="7080" w:type="dxa"/>
            <w:vAlign w:val="bottom"/>
          </w:tcPr>
          <w:p>
            <w:pPr>
              <w:ind w:left="60"/>
              <w:spacing w:after="0"/>
              <w:rPr>
                <w:sz w:val="20"/>
                <w:szCs w:val="20"/>
                <w:color w:val="auto"/>
              </w:rPr>
            </w:pPr>
            <w:r>
              <w:rPr>
                <w:rFonts w:ascii="Arial" w:cs="Arial" w:eastAsia="Arial" w:hAnsi="Arial"/>
                <w:sz w:val="14"/>
                <w:szCs w:val="14"/>
                <w:color w:val="auto"/>
              </w:rPr>
              <w:t>XBRL Taxonomy Extension Calculation Linkbase Document.</w:t>
            </w:r>
          </w:p>
        </w:tc>
        <w:tc>
          <w:tcPr>
            <w:tcW w:w="3440" w:type="dxa"/>
            <w:vAlign w:val="bottom"/>
          </w:tcPr>
          <w:p>
            <w:pPr>
              <w:ind w:left="2880"/>
              <w:spacing w:after="0"/>
              <w:rPr>
                <w:sz w:val="20"/>
                <w:szCs w:val="20"/>
                <w:color w:val="auto"/>
              </w:rPr>
            </w:pPr>
            <w:r>
              <w:rPr>
                <w:rFonts w:ascii="Arial" w:cs="Arial" w:eastAsia="Arial" w:hAnsi="Arial"/>
                <w:sz w:val="14"/>
                <w:szCs w:val="14"/>
                <w:color w:val="auto"/>
              </w:rPr>
              <w:t>X</w:t>
            </w:r>
          </w:p>
        </w:tc>
      </w:tr>
      <w:tr>
        <w:trPr>
          <w:trHeight w:val="120"/>
        </w:trPr>
        <w:tc>
          <w:tcPr>
            <w:tcW w:w="90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3440" w:type="dxa"/>
            <w:vAlign w:val="bottom"/>
          </w:tcPr>
          <w:p>
            <w:pPr>
              <w:spacing w:after="0"/>
              <w:rPr>
                <w:sz w:val="10"/>
                <w:szCs w:val="10"/>
                <w:color w:val="auto"/>
              </w:rPr>
            </w:pPr>
          </w:p>
        </w:tc>
      </w:tr>
      <w:tr>
        <w:trPr>
          <w:trHeight w:val="312"/>
        </w:trPr>
        <w:tc>
          <w:tcPr>
            <w:tcW w:w="900" w:type="dxa"/>
            <w:vAlign w:val="bottom"/>
            <w:shd w:val="clear" w:color="auto" w:fill="BFE4FF"/>
          </w:tcPr>
          <w:p>
            <w:pPr>
              <w:jc w:val="center"/>
              <w:ind w:right="8"/>
              <w:spacing w:after="0"/>
              <w:rPr>
                <w:sz w:val="20"/>
                <w:szCs w:val="20"/>
                <w:color w:val="auto"/>
              </w:rPr>
            </w:pPr>
            <w:r>
              <w:rPr>
                <w:rFonts w:ascii="Arial" w:cs="Arial" w:eastAsia="Arial" w:hAnsi="Arial"/>
                <w:sz w:val="14"/>
                <w:szCs w:val="14"/>
                <w:color w:val="auto"/>
              </w:rPr>
              <w:t>101.DEF</w:t>
            </w:r>
          </w:p>
        </w:tc>
        <w:tc>
          <w:tcPr>
            <w:tcW w:w="7080" w:type="dxa"/>
            <w:vAlign w:val="bottom"/>
            <w:shd w:val="clear" w:color="auto" w:fill="BFE4FF"/>
          </w:tcPr>
          <w:p>
            <w:pPr>
              <w:ind w:left="60"/>
              <w:spacing w:after="0"/>
              <w:rPr>
                <w:sz w:val="20"/>
                <w:szCs w:val="20"/>
                <w:color w:val="auto"/>
              </w:rPr>
            </w:pPr>
            <w:r>
              <w:rPr>
                <w:rFonts w:ascii="Arial" w:cs="Arial" w:eastAsia="Arial" w:hAnsi="Arial"/>
                <w:sz w:val="14"/>
                <w:szCs w:val="14"/>
                <w:color w:val="auto"/>
              </w:rPr>
              <w:t>XBRL Taxonomy Extension Definition Linkbase Document.</w:t>
            </w:r>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r>
      <w:tr>
        <w:trPr>
          <w:trHeight w:val="120"/>
        </w:trPr>
        <w:tc>
          <w:tcPr>
            <w:tcW w:w="900" w:type="dxa"/>
            <w:vAlign w:val="bottom"/>
            <w:shd w:val="clear" w:color="auto" w:fill="BFE4FF"/>
          </w:tcPr>
          <w:p>
            <w:pPr>
              <w:spacing w:after="0"/>
              <w:rPr>
                <w:sz w:val="10"/>
                <w:szCs w:val="10"/>
                <w:color w:val="auto"/>
              </w:rPr>
            </w:pPr>
          </w:p>
        </w:tc>
        <w:tc>
          <w:tcPr>
            <w:tcW w:w="708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r>
      <w:tr>
        <w:trPr>
          <w:trHeight w:val="312"/>
        </w:trPr>
        <w:tc>
          <w:tcPr>
            <w:tcW w:w="900" w:type="dxa"/>
            <w:vAlign w:val="bottom"/>
          </w:tcPr>
          <w:p>
            <w:pPr>
              <w:jc w:val="center"/>
              <w:ind w:right="8"/>
              <w:spacing w:after="0"/>
              <w:rPr>
                <w:sz w:val="20"/>
                <w:szCs w:val="20"/>
                <w:color w:val="auto"/>
              </w:rPr>
            </w:pPr>
            <w:r>
              <w:rPr>
                <w:rFonts w:ascii="Arial" w:cs="Arial" w:eastAsia="Arial" w:hAnsi="Arial"/>
                <w:sz w:val="14"/>
                <w:szCs w:val="14"/>
                <w:color w:val="auto"/>
              </w:rPr>
              <w:t>101.LAB</w:t>
            </w:r>
          </w:p>
        </w:tc>
        <w:tc>
          <w:tcPr>
            <w:tcW w:w="7080" w:type="dxa"/>
            <w:vAlign w:val="bottom"/>
          </w:tcPr>
          <w:p>
            <w:pPr>
              <w:ind w:left="60"/>
              <w:spacing w:after="0"/>
              <w:rPr>
                <w:sz w:val="20"/>
                <w:szCs w:val="20"/>
                <w:color w:val="auto"/>
              </w:rPr>
            </w:pPr>
            <w:r>
              <w:rPr>
                <w:rFonts w:ascii="Arial" w:cs="Arial" w:eastAsia="Arial" w:hAnsi="Arial"/>
                <w:sz w:val="14"/>
                <w:szCs w:val="14"/>
                <w:color w:val="auto"/>
              </w:rPr>
              <w:t>XBRL Taxonomy Extension Label Linkbase Document.</w:t>
            </w:r>
          </w:p>
        </w:tc>
        <w:tc>
          <w:tcPr>
            <w:tcW w:w="3440" w:type="dxa"/>
            <w:vAlign w:val="bottom"/>
          </w:tcPr>
          <w:p>
            <w:pPr>
              <w:ind w:left="2880"/>
              <w:spacing w:after="0"/>
              <w:rPr>
                <w:sz w:val="20"/>
                <w:szCs w:val="20"/>
                <w:color w:val="auto"/>
              </w:rPr>
            </w:pPr>
            <w:r>
              <w:rPr>
                <w:rFonts w:ascii="Arial" w:cs="Arial" w:eastAsia="Arial" w:hAnsi="Arial"/>
                <w:sz w:val="14"/>
                <w:szCs w:val="14"/>
                <w:color w:val="auto"/>
              </w:rPr>
              <w:t>X</w:t>
            </w:r>
          </w:p>
        </w:tc>
      </w:tr>
      <w:tr>
        <w:trPr>
          <w:trHeight w:val="120"/>
        </w:trPr>
        <w:tc>
          <w:tcPr>
            <w:tcW w:w="90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3440" w:type="dxa"/>
            <w:vAlign w:val="bottom"/>
          </w:tcPr>
          <w:p>
            <w:pPr>
              <w:spacing w:after="0"/>
              <w:rPr>
                <w:sz w:val="10"/>
                <w:szCs w:val="10"/>
                <w:color w:val="auto"/>
              </w:rPr>
            </w:pPr>
          </w:p>
        </w:tc>
      </w:tr>
      <w:tr>
        <w:trPr>
          <w:trHeight w:val="312"/>
        </w:trPr>
        <w:tc>
          <w:tcPr>
            <w:tcW w:w="900" w:type="dxa"/>
            <w:vAlign w:val="bottom"/>
            <w:shd w:val="clear" w:color="auto" w:fill="BFE4FF"/>
          </w:tcPr>
          <w:p>
            <w:pPr>
              <w:jc w:val="center"/>
              <w:ind w:right="8"/>
              <w:spacing w:after="0"/>
              <w:rPr>
                <w:sz w:val="20"/>
                <w:szCs w:val="20"/>
                <w:color w:val="auto"/>
              </w:rPr>
            </w:pPr>
            <w:r>
              <w:rPr>
                <w:rFonts w:ascii="Arial" w:cs="Arial" w:eastAsia="Arial" w:hAnsi="Arial"/>
                <w:sz w:val="14"/>
                <w:szCs w:val="14"/>
                <w:color w:val="auto"/>
              </w:rPr>
              <w:t>101.PRE</w:t>
            </w:r>
          </w:p>
        </w:tc>
        <w:tc>
          <w:tcPr>
            <w:tcW w:w="7080" w:type="dxa"/>
            <w:vAlign w:val="bottom"/>
            <w:shd w:val="clear" w:color="auto" w:fill="BFE4FF"/>
          </w:tcPr>
          <w:p>
            <w:pPr>
              <w:ind w:left="60"/>
              <w:spacing w:after="0"/>
              <w:rPr>
                <w:sz w:val="20"/>
                <w:szCs w:val="20"/>
                <w:color w:val="auto"/>
              </w:rPr>
            </w:pPr>
            <w:r>
              <w:rPr>
                <w:rFonts w:ascii="Arial" w:cs="Arial" w:eastAsia="Arial" w:hAnsi="Arial"/>
                <w:sz w:val="14"/>
                <w:szCs w:val="14"/>
                <w:color w:val="auto"/>
              </w:rPr>
              <w:t>XBRL Taxonomy Extension Presentation Document.</w:t>
            </w:r>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r>
      <w:tr>
        <w:trPr>
          <w:trHeight w:val="120"/>
        </w:trPr>
        <w:tc>
          <w:tcPr>
            <w:tcW w:w="900" w:type="dxa"/>
            <w:vAlign w:val="bottom"/>
            <w:shd w:val="clear" w:color="auto" w:fill="BFE4FF"/>
          </w:tcPr>
          <w:p>
            <w:pPr>
              <w:spacing w:after="0"/>
              <w:rPr>
                <w:sz w:val="10"/>
                <w:szCs w:val="10"/>
                <w:color w:val="auto"/>
              </w:rPr>
            </w:pPr>
          </w:p>
        </w:tc>
        <w:tc>
          <w:tcPr>
            <w:tcW w:w="708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r>
      <w:tr>
        <w:trPr>
          <w:trHeight w:val="135"/>
        </w:trPr>
        <w:tc>
          <w:tcPr>
            <w:tcW w:w="900" w:type="dxa"/>
            <w:vAlign w:val="bottom"/>
            <w:tcBorders>
              <w:bottom w:val="single" w:sz="8" w:color="auto"/>
            </w:tcBorders>
          </w:tcPr>
          <w:p>
            <w:pPr>
              <w:spacing w:after="0"/>
              <w:rPr>
                <w:sz w:val="11"/>
                <w:szCs w:val="11"/>
                <w:color w:val="auto"/>
              </w:rPr>
            </w:pPr>
          </w:p>
        </w:tc>
        <w:tc>
          <w:tcPr>
            <w:tcW w:w="7080" w:type="dxa"/>
            <w:vAlign w:val="bottom"/>
          </w:tcPr>
          <w:p>
            <w:pPr>
              <w:spacing w:after="0"/>
              <w:rPr>
                <w:sz w:val="11"/>
                <w:szCs w:val="11"/>
                <w:color w:val="auto"/>
              </w:rPr>
            </w:pPr>
          </w:p>
        </w:tc>
        <w:tc>
          <w:tcPr>
            <w:tcW w:w="3440" w:type="dxa"/>
            <w:vAlign w:val="bottom"/>
          </w:tcPr>
          <w:p>
            <w:pPr>
              <w:spacing w:after="0"/>
              <w:rPr>
                <w:sz w:val="11"/>
                <w:szCs w:val="11"/>
                <w:color w:val="auto"/>
              </w:rPr>
            </w:pPr>
          </w:p>
        </w:tc>
      </w:tr>
    </w:tbl>
    <w:p>
      <w:pPr>
        <w:spacing w:after="0" w:line="12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63" w:lineRule="exact"/>
        <w:rPr>
          <w:sz w:val="20"/>
          <w:szCs w:val="20"/>
          <w:color w:val="auto"/>
        </w:rPr>
      </w:pPr>
    </w:p>
    <w:p>
      <w:pPr>
        <w:ind w:left="340" w:hanging="332"/>
        <w:spacing w:after="0" w:line="262"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 Omitted information has been filed separately with the Securities and Exchange Commission.</w:t>
      </w:r>
    </w:p>
    <w:p>
      <w:pPr>
        <w:spacing w:after="0" w:line="34" w:lineRule="exact"/>
        <w:rPr>
          <w:sz w:val="20"/>
          <w:szCs w:val="20"/>
          <w:color w:val="auto"/>
        </w:rPr>
      </w:pPr>
    </w:p>
    <w:p>
      <w:pPr>
        <w:ind w:left="340" w:right="160" w:hanging="332"/>
        <w:spacing w:after="0" w:line="256"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83" w:right="2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102 –</w:t>
      </w:r>
    </w:p>
    <w:p>
      <w:pPr>
        <w:sectPr>
          <w:pgSz w:w="11900" w:h="16838" w:orient="portrait"/>
          <w:cols w:equalWidth="0" w:num="1">
            <w:col w:w="11420"/>
          </w:cols>
          <w:pgMar w:left="240" w:top="283" w:right="239" w:bottom="1440" w:gutter="0" w:footer="0" w:header="0"/>
          <w:type w:val="continuous"/>
        </w:sectPr>
      </w:pPr>
    </w:p>
    <w:bookmarkStart w:id="102" w:name="page103"/>
    <w:bookmarkEnd w:id="10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15, 2019.</w:t>
      </w:r>
    </w:p>
    <w:p>
      <w:pPr>
        <w:spacing w:after="0" w:line="200" w:lineRule="exact"/>
        <w:rPr>
          <w:sz w:val="20"/>
          <w:szCs w:val="20"/>
          <w:color w:val="auto"/>
        </w:rPr>
      </w:pPr>
    </w:p>
    <w:p>
      <w:pPr>
        <w:spacing w:after="0" w:line="249"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auto"/>
        </w:rPr>
        <w:t>Enphase Energy, Inc.</w:t>
      </w:r>
    </w:p>
    <w:p>
      <w:pPr>
        <w:spacing w:after="0" w:line="200" w:lineRule="exact"/>
        <w:rPr>
          <w:sz w:val="20"/>
          <w:szCs w:val="20"/>
          <w:color w:val="auto"/>
        </w:rPr>
      </w:pPr>
    </w:p>
    <w:p>
      <w:pPr>
        <w:spacing w:after="0" w:line="203"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19050</wp:posOffset>
            </wp:positionV>
            <wp:extent cx="2984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Badrinarayanan Kothandaraman</w:t>
      </w:r>
    </w:p>
    <w:p>
      <w:pPr>
        <w:spacing w:after="0" w:line="7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President and Chief Executive Officer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8"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b w:val="1"/>
          <w:bCs w:val="1"/>
          <w:color w:val="auto"/>
        </w:rPr>
        <w:t xml:space="preserve">KNOW ALL PERSONS BY THESE PRESENTS, </w:t>
      </w:r>
      <w:r>
        <w:rPr>
          <w:rFonts w:ascii="Arial" w:cs="Arial" w:eastAsia="Arial" w:hAnsi="Arial"/>
          <w:sz w:val="18"/>
          <w:szCs w:val="18"/>
          <w:color w:val="auto"/>
        </w:rPr>
        <w:t>that each person whose signature appears below constitutes and appoints</w:t>
      </w:r>
      <w:r>
        <w:rPr>
          <w:rFonts w:ascii="Arial" w:cs="Arial" w:eastAsia="Arial" w:hAnsi="Arial"/>
          <w:sz w:val="18"/>
          <w:szCs w:val="18"/>
          <w:b w:val="1"/>
          <w:bCs w:val="1"/>
          <w:color w:val="auto"/>
        </w:rPr>
        <w:t xml:space="preserve"> </w:t>
      </w:r>
      <w:r>
        <w:rPr>
          <w:rFonts w:ascii="Arial" w:cs="Arial" w:eastAsia="Arial" w:hAnsi="Arial"/>
          <w:sz w:val="18"/>
          <w:szCs w:val="18"/>
          <w:color w:val="auto"/>
        </w:rPr>
        <w:t>Badrinarayanan Kothandaraman and Eric Branderiz,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51"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20" w:type="dxa"/>
            <w:vAlign w:val="bottom"/>
          </w:tcPr>
          <w:p>
            <w:pPr>
              <w:spacing w:after="0"/>
              <w:rPr>
                <w:sz w:val="16"/>
                <w:szCs w:val="16"/>
                <w:color w:val="auto"/>
              </w:rPr>
            </w:pPr>
          </w:p>
        </w:tc>
        <w:tc>
          <w:tcPr>
            <w:tcW w:w="444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4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BADRINARAYANAN KOTHANDARAMAN</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color w:val="auto"/>
              </w:rPr>
              <w:t>President and Chief Executive Officer</w:t>
            </w: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177"/>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rPr>
              <w:t>Badrinarayanan Kothandaraman</w:t>
            </w:r>
          </w:p>
        </w:tc>
        <w:tc>
          <w:tcPr>
            <w:tcW w:w="120" w:type="dxa"/>
            <w:vAlign w:val="bottom"/>
          </w:tcPr>
          <w:p>
            <w:pPr>
              <w:spacing w:after="0"/>
              <w:rPr>
                <w:sz w:val="15"/>
                <w:szCs w:val="15"/>
                <w:color w:val="auto"/>
              </w:rPr>
            </w:pPr>
          </w:p>
        </w:tc>
        <w:tc>
          <w:tcPr>
            <w:tcW w:w="454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(Principal Executive Officer)</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ERIC BRANDERIZ</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color w:val="auto"/>
              </w:rPr>
              <w:t>Vice President and Chief Financial Officer</w:t>
            </w: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177"/>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rPr>
              <w:t>Eric Branderiz</w:t>
            </w:r>
          </w:p>
        </w:tc>
        <w:tc>
          <w:tcPr>
            <w:tcW w:w="120" w:type="dxa"/>
            <w:vAlign w:val="bottom"/>
          </w:tcPr>
          <w:p>
            <w:pPr>
              <w:spacing w:after="0"/>
              <w:rPr>
                <w:sz w:val="15"/>
                <w:szCs w:val="15"/>
                <w:color w:val="auto"/>
              </w:rPr>
            </w:pPr>
          </w:p>
        </w:tc>
        <w:tc>
          <w:tcPr>
            <w:tcW w:w="454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(Principal Financial Officer)</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MANDY YANG</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color w:val="auto"/>
              </w:rPr>
              <w:t>Vice President, Chief Accounting Officer and Treasurer</w:t>
            </w: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177"/>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rPr>
              <w:t>Mandy Yang</w:t>
            </w:r>
          </w:p>
        </w:tc>
        <w:tc>
          <w:tcPr>
            <w:tcW w:w="120" w:type="dxa"/>
            <w:vAlign w:val="bottom"/>
          </w:tcPr>
          <w:p>
            <w:pPr>
              <w:spacing w:after="0"/>
              <w:rPr>
                <w:sz w:val="15"/>
                <w:szCs w:val="15"/>
                <w:color w:val="auto"/>
              </w:rPr>
            </w:pPr>
          </w:p>
        </w:tc>
        <w:tc>
          <w:tcPr>
            <w:tcW w:w="454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(Principal Accounting Officer)</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STEVEN J. GOMO</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Steven J. Gomo</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BENJAMIN KORTLANG</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Benjamin Kortlang</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RICHARD MORA</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Richard Mora</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THURMAN JOHN RODGERS</w:t>
            </w:r>
          </w:p>
        </w:tc>
        <w:tc>
          <w:tcPr>
            <w:tcW w:w="12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March 15, 2019</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Thurman John Rodgers</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20"/>
          </w:cols>
          <w:pgMar w:left="240" w:top="283" w:right="239" w:bottom="1440"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363220</wp:posOffset>
            </wp:positionV>
            <wp:extent cx="5338445" cy="8946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533844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9434830</wp:posOffset>
            </wp:positionV>
            <wp:extent cx="533844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533844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1184275</wp:posOffset>
            </wp:positionH>
            <wp:positionV relativeFrom="page">
              <wp:posOffset>517525</wp:posOffset>
            </wp:positionV>
            <wp:extent cx="5338445" cy="893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533844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Enphase Energy Australia Pty. Ltd., an Australian corporation.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Enphase Energy Canada, Inc., a Canadian corporation.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Enphase Energy S.A.S., a French corporation.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Enphase Energy NL B.V., a Dutch private limited liability company.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Enphase Energy New Zealand Limited, a New Zealand corporation.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Enphase International LLC, a Delaware corporation.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Enphase Solar Energy Private Limited, an Indian private company.</w:t>
      </w:r>
    </w:p>
    <w:p>
      <w:pPr>
        <w:sectPr>
          <w:pgSz w:w="11900" w:h="16838" w:orient="portrait"/>
          <w:cols w:equalWidth="0" w:num="1">
            <w:col w:w="10220"/>
          </w:cols>
          <w:pgMar w:left="1440" w:top="57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consent to the incorporation by reference in Registration Statement Nos. 333-216886, 333-209315 and 333-195694 on Form S-3 and Registration Statement Nos. 333-216986, 333-210037, 333-202630, 333-194749, 333-187057, and 333-181382 on Form S-8 of our report dated March 15, 2019, relating to (1) the 2018 financial statements of Enphase Energy, Inc. (which report expresses an unqualified opinion and includes an explanatory paragraph relating to the Company’s adoption of a new accounting standard), and (2) the effectiveness of the Enphase Energy Inc.’s internal control over financial reporting as of December 31, 2018, appearing in this Annual Report on Form 10-K of Enphase Energy, Inc. for the year ended December 31, 2018.</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420"/>
          </w:cols>
          <w:pgMar w:left="240" w:top="576"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10-K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Badrinarayanan Kothandaraman</w:t>
      </w:r>
    </w:p>
    <w:p>
      <w:pPr>
        <w:spacing w:after="0" w:line="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Eric Branderiz, certify that:</w:t>
      </w:r>
    </w:p>
    <w:p>
      <w:pPr>
        <w:spacing w:after="0" w:line="19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Form 10-K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Eric Branderiz</w:t>
      </w:r>
    </w:p>
    <w:p>
      <w:pPr>
        <w:spacing w:after="0" w:line="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and Chief Financial Officer</w:t>
      </w: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Vice President and Chief Financial Officer of the Company, each hereby certifies that, to the best of his or her knowledge:</w:t>
      </w:r>
    </w:p>
    <w:p>
      <w:pPr>
        <w:spacing w:after="0" w:line="177" w:lineRule="exact"/>
        <w:rPr>
          <w:sz w:val="20"/>
          <w:szCs w:val="20"/>
          <w:color w:val="auto"/>
        </w:rPr>
      </w:pPr>
    </w:p>
    <w:p>
      <w:pPr>
        <w:ind w:right="60" w:firstLine="8"/>
        <w:spacing w:after="0" w:line="262" w:lineRule="auto"/>
        <w:tabs>
          <w:tab w:leader="none" w:pos="20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period ended December 31, 2018,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right="240" w:firstLine="8"/>
        <w:spacing w:after="0" w:line="262" w:lineRule="auto"/>
        <w:tabs>
          <w:tab w:leader="none" w:pos="20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15th day of March,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/s/ ERIC BRANDERIZ</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Eric Branderiz</w:t>
            </w:r>
          </w:p>
        </w:tc>
      </w:tr>
      <w:tr>
        <w:trPr>
          <w:trHeight w:val="27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upperLetter"/>
      <w:start w:val="1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lvl w:ilvl="1">
      <w:lvlJc w:val="left"/>
      <w:lvlText w:val="\endash "/>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lvl w:ilvl="1">
      <w:lvlJc w:val="left"/>
      <w:lvlText w:val="\endash "/>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lvl w:ilvl="1">
      <w:lvlJc w:val="left"/>
      <w:lvlText w:val="\endash "/>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lvl w:ilvl="1">
      <w:lvlJc w:val="left"/>
      <w:lvlText w:val="\endash "/>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lowerRoman"/>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lvl w:ilvl="1">
      <w:lvlJc w:val="left"/>
      <w:lvlText w:val="\endash "/>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742"/>
    </w:lvl>
  </w:abstractNum>
  <w:abstractNum w:abstractNumId="35">
    <w:nsid w:val="7A6D8D3C"/>
    <w:multiLevelType w:val="hybridMultilevel"/>
    <w:lvl w:ilvl="0">
      <w:lvlJc w:val="left"/>
      <w:lvlText w:val="•"/>
      <w:numFmt w:val="bullet"/>
      <w:start w:val="1"/>
    </w:lvl>
    <w:lvl w:ilvl="1">
      <w:lvlJc w:val="left"/>
      <w:lvlText w:val="\endash "/>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4"/>
    </w:lvl>
  </w:abstractNum>
  <w:abstractNum w:abstractNumId="44">
    <w:nsid w:val="749ABB43"/>
    <w:multiLevelType w:val="hybridMultilevel"/>
    <w:lvl w:ilvl="0">
      <w:lvlJc w:val="left"/>
      <w:lvlText w:val="•"/>
      <w:numFmt w:val="bullet"/>
      <w:start w:val="1"/>
    </w:lvl>
    <w:lvl w:ilvl="1">
      <w:lvlJc w:val="left"/>
      <w:lvlText w:val="\endash "/>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5"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png"/><Relationship Id="rId95" Type="http://schemas.openxmlformats.org/officeDocument/2006/relationships/image" Target="media/image57.pn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8" Type="http://schemas.openxmlformats.org/officeDocument/2006/relationships/image" Target="media/image70.png"/><Relationship Id="rId129" Type="http://schemas.openxmlformats.org/officeDocument/2006/relationships/image" Target="media/image71.png"/><Relationship Id="rId130" Type="http://schemas.openxmlformats.org/officeDocument/2006/relationships/image" Target="media/image72.png"/><Relationship Id="rId131" Type="http://schemas.openxmlformats.org/officeDocument/2006/relationships/image" Target="media/image73.png"/><Relationship Id="rId132" Type="http://schemas.openxmlformats.org/officeDocument/2006/relationships/image" Target="media/image74.png"/><Relationship Id="rId133" Type="http://schemas.openxmlformats.org/officeDocument/2006/relationships/image" Target="media/image75.pn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54" Type="http://schemas.openxmlformats.org/officeDocument/2006/relationships/hyperlink" Target="http://www.sec.gov/Archives/edgar/data/1463101/000146310118000069/enph-assetpurchaseagreemen.htm" TargetMode="External"/><Relationship Id="rId55" Type="http://schemas.openxmlformats.org/officeDocument/2006/relationships/hyperlink" Target="http://www.sec.gov/Archives/edgar/data/1463101/000119312512153425/d330683dex31.htm" TargetMode="External"/><Relationship Id="rId56" Type="http://schemas.openxmlformats.org/officeDocument/2006/relationships/hyperlink" Target="http://www.sec.gov/Archives/edgar/data/1463101/000146310117000091/a2017q210-qexx31certificat.htm" TargetMode="External"/><Relationship Id="rId57" Type="http://schemas.openxmlformats.org/officeDocument/2006/relationships/hyperlink" Target="http://www.sec.gov/Archives/edgar/data/1463101/000146310118000075/a2018q210-qexx33.htm" TargetMode="External"/><Relationship Id="rId58" Type="http://schemas.openxmlformats.org/officeDocument/2006/relationships/hyperlink" Target="http://www.sec.gov/Archives/edgar/data/1463101/000119312512110086/d195596dex35.htm" TargetMode="External"/><Relationship Id="rId59" Type="http://schemas.openxmlformats.org/officeDocument/2006/relationships/hyperlink" Target="http://www.sec.gov/Archives/edgar/data/1463101/000119312512110086/d195596dex41.htm" TargetMode="External"/><Relationship Id="rId60" Type="http://schemas.openxmlformats.org/officeDocument/2006/relationships/hyperlink" Target="http://www.sec.gov/Archives/edgar/data/1463101/000110465918052638/a18-18308_2ex4d1.htm" TargetMode="External"/><Relationship Id="rId61" Type="http://schemas.openxmlformats.org/officeDocument/2006/relationships/hyperlink" Target="http://www.sec.gov/Archives/edgar/data/1463101/000119312511230109/dex101.htm" TargetMode="External"/><Relationship Id="rId62" Type="http://schemas.openxmlformats.org/officeDocument/2006/relationships/hyperlink" Target="http://www.sec.gov/Archives/edgar/data/1463101/000119312512230720/d339933dex991.htm" TargetMode="External"/><Relationship Id="rId63" Type="http://schemas.openxmlformats.org/officeDocument/2006/relationships/hyperlink" Target="http://www.sec.gov/Archives/edgar/data/1463101/000119312512230720/d339933dex992.htm" TargetMode="External"/><Relationship Id="rId64" Type="http://schemas.openxmlformats.org/officeDocument/2006/relationships/hyperlink" Target="http://www.sec.gov/Archives/edgar/data/1463101/000146310117000036/enphase2017definitiveproxy.htm" TargetMode="External"/><Relationship Id="rId65" Type="http://schemas.openxmlformats.org/officeDocument/2006/relationships/hyperlink" Target="http://www.sec.gov/Archives/edgar/data/1463101/000119312511165822/dex1014.htm" TargetMode="External"/><Relationship Id="rId73" Type="http://schemas.openxmlformats.org/officeDocument/2006/relationships/hyperlink" Target="http://www.sec.gov/Archives/edgar/data/1463101/000146310115000017/enph-20141231x10kxex1008.htm" TargetMode="External"/><Relationship Id="rId74" Type="http://schemas.openxmlformats.org/officeDocument/2006/relationships/hyperlink" Target="http://www.sec.gov/Archives/edgar/data/1463101/000146310115000017/enph-20141231x10kxex1009.htm" TargetMode="External"/><Relationship Id="rId76" Type="http://schemas.openxmlformats.org/officeDocument/2006/relationships/hyperlink" Target="http://www.sec.gov/Archives/edgar/data/1463101/000146310115000017/enph-20141231x10kxex1010.htm" TargetMode="External"/><Relationship Id="rId77" Type="http://schemas.openxmlformats.org/officeDocument/2006/relationships/hyperlink" Target="http://www.sec.gov/Archives/edgar/data/1463101/000146310115000017/enph-20141231x10kxex1011.htm" TargetMode="External"/><Relationship Id="rId78" Type="http://schemas.openxmlformats.org/officeDocument/2006/relationships/hyperlink" Target="http://www.sec.gov/Archives/edgar/data/1463101/000119312511165822/dex1015.htm" TargetMode="External"/><Relationship Id="rId79" Type="http://schemas.openxmlformats.org/officeDocument/2006/relationships/hyperlink" Target="http://www.sec.gov/Archives/edgar/data/1463101/000146310115000017/enph-20141231x10kxex1013.htm" TargetMode="External"/><Relationship Id="rId80" Type="http://schemas.openxmlformats.org/officeDocument/2006/relationships/hyperlink" Target="http://www.sec.gov/Archives/edgar/data/1463101/000119312512466673/d398955dex1040.htm" TargetMode="External"/><Relationship Id="rId81" Type="http://schemas.openxmlformats.org/officeDocument/2006/relationships/hyperlink" Target="http://www.sec.gov/Archives/edgar/data/1463101/000146310115000017/enph-20141231x10kxex1015.htm" TargetMode="External"/><Relationship Id="rId82" Type="http://schemas.openxmlformats.org/officeDocument/2006/relationships/hyperlink" Target="http://www.sec.gov/Archives/edgar/data/1463101/000119312511165822/dex1016.htm" TargetMode="External"/><Relationship Id="rId83" Type="http://schemas.openxmlformats.org/officeDocument/2006/relationships/hyperlink" Target="http://www.sec.gov/Archives/edgar/data/1463101/000146310116000063/a2016q310-qexx103.htm" TargetMode="External"/><Relationship Id="rId84" Type="http://schemas.openxmlformats.org/officeDocument/2006/relationships/hyperlink" Target="http://www.sec.gov/Archives/edgar/data/1463101/000119312511165822/dex1017.htm" TargetMode="External"/><Relationship Id="rId85" Type="http://schemas.openxmlformats.org/officeDocument/2006/relationships/hyperlink" Target="http://www.sec.gov/Archives/edgar/data/1463101/000146310116000063/a2016q310-qexx104.htm" TargetMode="External"/><Relationship Id="rId86" Type="http://schemas.openxmlformats.org/officeDocument/2006/relationships/hyperlink" Target="http://www.sec.gov/Archives/edgar/data/1463101/000119312511165822/dex1018.htm" TargetMode="External"/><Relationship Id="rId87" Type="http://schemas.openxmlformats.org/officeDocument/2006/relationships/hyperlink" Target="http://www.sec.gov/Archives/edgar/data/1463101/000146310115000023/enph03312015ex101.htm" TargetMode="External"/><Relationship Id="rId88" Type="http://schemas.openxmlformats.org/officeDocument/2006/relationships/hyperlink" Target="http://www.sec.gov/Archives/edgar/data/1463101/000119312511165822/dex1020.htm" TargetMode="External"/><Relationship Id="rId89" Type="http://schemas.openxmlformats.org/officeDocument/2006/relationships/hyperlink" Target="http://www.sec.gov/Archives/edgar/data/1463101/000119312511165822/dex1021.htm" TargetMode="External"/><Relationship Id="rId90" Type="http://schemas.openxmlformats.org/officeDocument/2006/relationships/hyperlink" Target="http://www.sec.gov/Archives/edgar/data/1463101/000146310117000091/a2017q210-qexx101flexmaste.htm" TargetMode="External"/><Relationship Id="rId91" Type="http://schemas.openxmlformats.org/officeDocument/2006/relationships/hyperlink" Target="http://www.sec.gov/Archives/edgar/data/1463101/000146310113000006/enph03312013ex1028.htm" TargetMode="External"/><Relationship Id="rId92" Type="http://schemas.openxmlformats.org/officeDocument/2006/relationships/hyperlink" Target="http://www.sec.gov/Archives/edgar/data/1463101/000146310117000119/ex101enphcco8-k12052017.htm" TargetMode="External"/><Relationship Id="rId101" Type="http://schemas.openxmlformats.org/officeDocument/2006/relationships/hyperlink" Target="http://www.sec.gov/Archives/edgar/data/1463101/000146310118000021/a8-k03092018ex101.htm" TargetMode="External"/><Relationship Id="rId102" Type="http://schemas.openxmlformats.org/officeDocument/2006/relationships/hyperlink" Target="http://www.sec.gov/Archives/edgar/data/1463101/000146310113000006/enph03312013ex1050.htm" TargetMode="External"/><Relationship Id="rId103" Type="http://schemas.openxmlformats.org/officeDocument/2006/relationships/hyperlink" Target="http://www.sec.gov/Archives/edgar/data/1463101/000146310115000029/enph0630201510-qexx102.htm" TargetMode="External"/><Relationship Id="rId104" Type="http://schemas.openxmlformats.org/officeDocument/2006/relationships/hyperlink" Target="http://www.sec.gov/Archives/edgar/data/1463101/000146310115000029/enph0630201510-qexx103.htm" TargetMode="External"/><Relationship Id="rId105" Type="http://schemas.openxmlformats.org/officeDocument/2006/relationships/hyperlink" Target="http://www.sec.gov/Archives/edgar/data/1463101/000146310115000029/enph0630201510-qexx104.htm" TargetMode="External"/><Relationship Id="rId106" Type="http://schemas.openxmlformats.org/officeDocument/2006/relationships/hyperlink" Target="http://www.sec.gov/Archives/edgar/data/1463101/000146310116000063/a2016q310-qexx102.htm" TargetMode="External"/><Relationship Id="rId107" Type="http://schemas.openxmlformats.org/officeDocument/2006/relationships/hyperlink" Target="http://www.sec.gov/Archives/edgar/data/1463101/000146310117000024/ex123120161037-firstamendm.htm" TargetMode="External"/><Relationship Id="rId108" Type="http://schemas.openxmlformats.org/officeDocument/2006/relationships/hyperlink" Target="http://www.sec.gov/Archives/edgar/data/1463101/000146310117000024/ex123120161038amendedandre.htm" TargetMode="External"/><Relationship Id="rId109" Type="http://schemas.openxmlformats.org/officeDocument/2006/relationships/hyperlink" Target="http://www.sec.gov/Archives/edgar/data/1463101/000146310117000024/ex123120161039-formofwarra.htm" TargetMode="External"/><Relationship Id="rId115" Type="http://schemas.openxmlformats.org/officeDocument/2006/relationships/hyperlink" Target="http://www.sec.gov/Archives/edgar/data/1463101/000146310117000005/securitiespurchaseagreement.htm" TargetMode="External"/><Relationship Id="rId116" Type="http://schemas.openxmlformats.org/officeDocument/2006/relationships/hyperlink" Target="http://www.sec.gov/Archives/edgar/data/1463101/000146310118000017/ex101amendmenttoloanagreem.htm" TargetMode="External"/><Relationship Id="rId117" Type="http://schemas.openxmlformats.org/officeDocument/2006/relationships/hyperlink" Target="http://www.sec.gov/Archives/edgar/data/1463101/000146310117000024/ex123120161041-waiverandse.htm" TargetMode="External"/><Relationship Id="rId118" Type="http://schemas.openxmlformats.org/officeDocument/2006/relationships/hyperlink" Target="http://www.sec.gov/Archives/edgar/data/1463101/000146310118000003/enphase-securitiespurchase.htm" TargetMode="External"/><Relationship Id="rId119" Type="http://schemas.openxmlformats.org/officeDocument/2006/relationships/hyperlink" Target="http://www.sec.gov/Archives/edgar/data/1463101/000146310118000075/a2018q210-qexx101.htm" TargetMode="External"/><Relationship Id="rId120" Type="http://schemas.openxmlformats.org/officeDocument/2006/relationships/hyperlink" Target="http://www.sec.gov/Archives/edgar/data/1463101/000110465918052638/a18-18308_2ex10d1.htm" TargetMode="External"/><Relationship Id="rId123" Type="http://schemas.openxmlformats.org/officeDocument/2006/relationships/hyperlink" Target="http://www.sec.gov/Archives/edgar/data/1463101/000110465918052638/a18-18308_2ex10d2.htm" TargetMode="External"/><Relationship Id="rId124" Type="http://schemas.openxmlformats.org/officeDocument/2006/relationships/hyperlink" Target="http://www.sec.gov/Archives/edgar/data/1463101/000146310119000003/a2019q1ex101bonusprogram.htm" TargetMode="External"/><Relationship Id="rId125" Type="http://schemas.openxmlformats.org/officeDocument/2006/relationships/hyperlink" Target="http://www.sec.gov/Archives/edgar/data/867773/000119312518253037/d650317dex992.htm" TargetMode="External"/><Relationship Id="rId126" Type="http://schemas.openxmlformats.org/officeDocument/2006/relationships/hyperlink" Target="http://www.sec.gov/Archives/edgar/data/1463101/000146310118000102/enph-redactedmastersupplya.htm" TargetMode="External"/><Relationship Id="rId127" Type="http://schemas.openxmlformats.org/officeDocument/2006/relationships/hyperlink" Target="http://www.sec.gov/Archives/edgar/data/867773/000086777319000006/amendment1_2018-12x18xtox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2019-12-28T14:33:55Z</dcterms:created>
  <dcterms:modified xsi:type="dcterms:W3CDTF">2019-12-28T14:33:55Z</dcterms:modified>
</cp:coreProperties>
</file>