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504825</wp:posOffset>
            </wp:positionH>
            <wp:positionV relativeFrom="page">
              <wp:posOffset>653415</wp:posOffset>
            </wp:positionV>
            <wp:extent cx="6899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619760</wp:posOffset>
            </wp:positionV>
            <wp:extent cx="6899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9275" cy="825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95250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89535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69" w:lineRule="exact"/>
        <w:rPr>
          <w:sz w:val="24"/>
          <w:szCs w:val="24"/>
          <w:color w:val="auto"/>
        </w:rPr>
      </w:pPr>
    </w:p>
    <w:p>
      <w:pPr>
        <w:ind w:left="660"/>
        <w:spacing w:after="0"/>
        <w:rPr>
          <w:sz w:val="20"/>
          <w:szCs w:val="20"/>
          <w:color w:val="auto"/>
        </w:rPr>
      </w:pPr>
      <w:r>
        <w:rPr>
          <w:rFonts w:ascii="Arial" w:cs="Arial" w:eastAsia="Arial" w:hAnsi="Arial"/>
          <w:sz w:val="10"/>
          <w:szCs w:val="10"/>
          <w:color w:val="auto"/>
        </w:rPr>
        <w:t>(Mark One)</w:t>
      </w:r>
    </w:p>
    <w:p>
      <w:pPr>
        <w:spacing w:after="0" w:line="46" w:lineRule="exact"/>
        <w:rPr>
          <w:sz w:val="24"/>
          <w:szCs w:val="24"/>
          <w:color w:val="auto"/>
        </w:rPr>
      </w:pPr>
    </w:p>
    <w:p>
      <w:pPr>
        <w:ind w:left="1860" w:hanging="993"/>
        <w:spacing w:after="0"/>
        <w:tabs>
          <w:tab w:leader="none" w:pos="1860"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2026</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3" w:lineRule="exact"/>
        <w:rPr>
          <w:sz w:val="24"/>
          <w:szCs w:val="24"/>
          <w:color w:val="auto"/>
        </w:rPr>
      </w:pPr>
    </w:p>
    <w:p>
      <w:pPr>
        <w:ind w:left="1860" w:hanging="993"/>
        <w:spacing w:after="0"/>
        <w:tabs>
          <w:tab w:leader="none" w:pos="1860" w:val="left"/>
        </w:tabs>
        <w:numPr>
          <w:ilvl w:val="0"/>
          <w:numId w:val="2"/>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18" w:lineRule="exact"/>
        <w:rPr>
          <w:sz w:val="24"/>
          <w:szCs w:val="24"/>
          <w:color w:val="auto"/>
        </w:rPr>
      </w:pPr>
    </w:p>
    <w:p>
      <w:pPr>
        <w:ind w:left="406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45085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202565</wp:posOffset>
            </wp:positionV>
            <wp:extent cx="1875155" cy="31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5155" cy="31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Enphase Energy,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111760</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680" w:type="dxa"/>
            <w:vAlign w:val="bottom"/>
            <w:gridSpan w:val="2"/>
          </w:tcPr>
          <w:p>
            <w:pPr>
              <w:jc w:val="center"/>
              <w:ind w:left="2676"/>
              <w:spacing w:after="0"/>
              <w:rPr>
                <w:sz w:val="20"/>
                <w:szCs w:val="20"/>
                <w:color w:val="auto"/>
              </w:rPr>
            </w:pPr>
            <w:r>
              <w:rPr>
                <w:rFonts w:ascii="Arial" w:cs="Arial" w:eastAsia="Arial" w:hAnsi="Arial"/>
                <w:sz w:val="14"/>
                <w:szCs w:val="14"/>
                <w:b w:val="1"/>
                <w:bCs w:val="1"/>
                <w:color w:val="auto"/>
              </w:rPr>
              <w:t>Delaware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60" w:type="dxa"/>
            <w:vAlign w:val="bottom"/>
            <w:gridSpan w:val="2"/>
          </w:tcPr>
          <w:p>
            <w:pPr>
              <w:jc w:val="right"/>
              <w:ind w:right="1841"/>
              <w:spacing w:after="0"/>
              <w:rPr>
                <w:sz w:val="20"/>
                <w:szCs w:val="20"/>
                <w:color w:val="auto"/>
              </w:rPr>
            </w:pPr>
            <w:r>
              <w:rPr>
                <w:rFonts w:ascii="Arial" w:cs="Arial" w:eastAsia="Arial" w:hAnsi="Arial"/>
                <w:sz w:val="14"/>
                <w:szCs w:val="14"/>
                <w:b w:val="1"/>
                <w:bCs w:val="1"/>
                <w:color w:val="auto"/>
              </w:rPr>
              <w:t>20-4645388</w:t>
            </w:r>
          </w:p>
        </w:tc>
      </w:tr>
      <w:tr>
        <w:trPr>
          <w:trHeight w:val="137"/>
        </w:trPr>
        <w:tc>
          <w:tcPr>
            <w:tcW w:w="7680" w:type="dxa"/>
            <w:vAlign w:val="bottom"/>
            <w:gridSpan w:val="7"/>
          </w:tcPr>
          <w:p>
            <w:pPr>
              <w:jc w:val="center"/>
              <w:ind w:right="1260"/>
              <w:spacing w:after="0"/>
              <w:rPr>
                <w:sz w:val="20"/>
                <w:szCs w:val="20"/>
                <w:color w:val="auto"/>
              </w:rPr>
            </w:pPr>
            <w:r>
              <w:rPr>
                <w:rFonts w:ascii="Arial" w:cs="Arial" w:eastAsia="Arial" w:hAnsi="Arial"/>
                <w:sz w:val="10"/>
                <w:szCs w:val="10"/>
                <w:color w:val="auto"/>
              </w:rPr>
              <w:t>(State or other jurisdiction of incorporation or organization)</w:t>
            </w:r>
          </w:p>
        </w:tc>
        <w:tc>
          <w:tcPr>
            <w:tcW w:w="200" w:type="dxa"/>
            <w:vAlign w:val="bottom"/>
          </w:tcPr>
          <w:p>
            <w:pPr>
              <w:spacing w:after="0"/>
              <w:rPr>
                <w:sz w:val="11"/>
                <w:szCs w:val="11"/>
                <w:color w:val="auto"/>
              </w:rPr>
            </w:pPr>
          </w:p>
        </w:tc>
        <w:tc>
          <w:tcPr>
            <w:tcW w:w="3360" w:type="dxa"/>
            <w:vAlign w:val="bottom"/>
          </w:tcPr>
          <w:p>
            <w:pPr>
              <w:jc w:val="center"/>
              <w:ind w:right="1101"/>
              <w:spacing w:after="0"/>
              <w:rPr>
                <w:sz w:val="20"/>
                <w:szCs w:val="20"/>
                <w:color w:val="auto"/>
              </w:rPr>
            </w:pPr>
            <w:r>
              <w:rPr>
                <w:rFonts w:ascii="Arial" w:cs="Arial" w:eastAsia="Arial" w:hAnsi="Arial"/>
                <w:sz w:val="10"/>
                <w:szCs w:val="10"/>
                <w:color w:val="auto"/>
              </w:rPr>
              <w:t>(I.R.S. Employer Identification No.)</w:t>
            </w:r>
          </w:p>
        </w:tc>
      </w:tr>
      <w:tr>
        <w:trPr>
          <w:trHeight w:val="364"/>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9"/>
              </w:rPr>
              <w:t>47281 Bayside Parkway</w:t>
            </w: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66"/>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9"/>
              </w:rPr>
              <w:t>Fremont, CA 94538</w:t>
            </w:r>
          </w:p>
        </w:tc>
        <w:tc>
          <w:tcPr>
            <w:tcW w:w="2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(Address of principal executive offices, including zip code)</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82"/>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3"/>
          </w:tcPr>
          <w:p>
            <w:pPr>
              <w:jc w:val="center"/>
              <w:ind w:left="801"/>
              <w:spacing w:after="0"/>
              <w:rPr>
                <w:sz w:val="20"/>
                <w:szCs w:val="20"/>
                <w:color w:val="auto"/>
              </w:rPr>
            </w:pPr>
            <w:r>
              <w:rPr>
                <w:rFonts w:ascii="Arial" w:cs="Arial" w:eastAsia="Arial" w:hAnsi="Arial"/>
                <w:sz w:val="16"/>
                <w:szCs w:val="16"/>
                <w:b w:val="1"/>
                <w:bCs w:val="1"/>
                <w:color w:val="auto"/>
                <w:w w:val="98"/>
              </w:rPr>
              <w:t>(707) 774-7000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(Registrant’s telephone number, including area code)</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29"/>
        </w:trPr>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3"/>
          </w:tcPr>
          <w:p>
            <w:pPr>
              <w:jc w:val="center"/>
              <w:ind w:right="940"/>
              <w:spacing w:after="0"/>
              <w:rPr>
                <w:sz w:val="20"/>
                <w:szCs w:val="20"/>
                <w:color w:val="auto"/>
              </w:rPr>
            </w:pPr>
            <w:r>
              <w:rPr>
                <w:rFonts w:ascii="Arial" w:cs="Arial" w:eastAsia="Arial" w:hAnsi="Arial"/>
                <w:sz w:val="16"/>
                <w:szCs w:val="16"/>
                <w:b w:val="1"/>
                <w:bCs w:val="1"/>
                <w:color w:val="auto"/>
                <w:w w:val="98"/>
              </w:rPr>
              <w:t>Not Applicable</w:t>
            </w:r>
          </w:p>
        </w:tc>
        <w:tc>
          <w:tcPr>
            <w:tcW w:w="2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(Former name, former address and former fiscal year, if changed since last report)</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112"/>
        </w:trPr>
        <w:tc>
          <w:tcPr>
            <w:tcW w:w="3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r>
      <w:tr>
        <w:trPr>
          <w:trHeight w:val="298"/>
        </w:trPr>
        <w:tc>
          <w:tcPr>
            <w:tcW w:w="36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63"/>
        </w:trPr>
        <w:tc>
          <w:tcPr>
            <w:tcW w:w="3680" w:type="dxa"/>
            <w:vAlign w:val="bottom"/>
            <w:tcBorders>
              <w:bottom w:val="single" w:sz="8" w:color="auto"/>
            </w:tcBorders>
            <w:gridSpan w:val="2"/>
          </w:tcPr>
          <w:p>
            <w:pPr>
              <w:jc w:val="center"/>
              <w:ind w:left="676"/>
              <w:spacing w:after="0"/>
              <w:rPr>
                <w:sz w:val="20"/>
                <w:szCs w:val="20"/>
                <w:color w:val="auto"/>
              </w:rPr>
            </w:pPr>
            <w:r>
              <w:rPr>
                <w:rFonts w:ascii="Arial" w:cs="Arial" w:eastAsia="Arial" w:hAnsi="Arial"/>
                <w:sz w:val="12"/>
                <w:szCs w:val="12"/>
                <w:color w:val="auto"/>
              </w:rPr>
              <w:t>Title of each class</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Trading Symbol(s)</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2"/>
          </w:tcPr>
          <w:p>
            <w:pPr>
              <w:jc w:val="center"/>
              <w:ind w:right="801"/>
              <w:spacing w:after="0"/>
              <w:rPr>
                <w:sz w:val="20"/>
                <w:szCs w:val="20"/>
                <w:color w:val="auto"/>
              </w:rPr>
            </w:pPr>
            <w:r>
              <w:rPr>
                <w:rFonts w:ascii="Arial" w:cs="Arial" w:eastAsia="Arial" w:hAnsi="Arial"/>
                <w:sz w:val="12"/>
                <w:szCs w:val="12"/>
                <w:color w:val="auto"/>
              </w:rPr>
              <w:t>Name of each exchange on which registered</w:t>
            </w:r>
          </w:p>
        </w:tc>
      </w:tr>
      <w:tr>
        <w:trPr>
          <w:trHeight w:val="179"/>
        </w:trPr>
        <w:tc>
          <w:tcPr>
            <w:tcW w:w="368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Common Stock, $0.00001 par value per share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960"/>
              <w:spacing w:after="0"/>
              <w:rPr>
                <w:sz w:val="20"/>
                <w:szCs w:val="20"/>
                <w:color w:val="auto"/>
              </w:rPr>
            </w:pPr>
            <w:r>
              <w:rPr>
                <w:rFonts w:ascii="Arial" w:cs="Arial" w:eastAsia="Arial" w:hAnsi="Arial"/>
                <w:sz w:val="13"/>
                <w:szCs w:val="13"/>
                <w:b w:val="1"/>
                <w:bCs w:val="1"/>
                <w:color w:val="auto"/>
                <w:w w:val="99"/>
              </w:rPr>
              <w:t>ENPH</w:t>
            </w:r>
          </w:p>
        </w:tc>
        <w:tc>
          <w:tcPr>
            <w:tcW w:w="200" w:type="dxa"/>
            <w:vAlign w:val="bottom"/>
          </w:tcPr>
          <w:p>
            <w:pPr>
              <w:spacing w:after="0"/>
              <w:rPr>
                <w:sz w:val="15"/>
                <w:szCs w:val="15"/>
                <w:color w:val="auto"/>
              </w:rPr>
            </w:pPr>
          </w:p>
        </w:tc>
        <w:tc>
          <w:tcPr>
            <w:tcW w:w="3360" w:type="dxa"/>
            <w:vAlign w:val="bottom"/>
          </w:tcPr>
          <w:p>
            <w:pPr>
              <w:jc w:val="center"/>
              <w:ind w:right="1001"/>
              <w:spacing w:after="0"/>
              <w:rPr>
                <w:sz w:val="20"/>
                <w:szCs w:val="20"/>
                <w:color w:val="auto"/>
              </w:rPr>
            </w:pPr>
            <w:r>
              <w:rPr>
                <w:rFonts w:ascii="Arial" w:cs="Arial" w:eastAsia="Arial" w:hAnsi="Arial"/>
                <w:sz w:val="13"/>
                <w:szCs w:val="13"/>
                <w:b w:val="1"/>
                <w:bCs w:val="1"/>
                <w:color w:val="auto"/>
              </w:rPr>
              <w:t>Nasdaq Global Market</w:t>
            </w:r>
          </w:p>
        </w:tc>
      </w:tr>
    </w:tbl>
    <w:p>
      <w:pPr>
        <w:spacing w:after="0" w:line="191" w:lineRule="exact"/>
        <w:rPr>
          <w:sz w:val="24"/>
          <w:szCs w:val="24"/>
          <w:color w:val="auto"/>
        </w:rPr>
      </w:pPr>
    </w:p>
    <w:p>
      <w:pPr>
        <w:ind w:right="40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20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5540" w:type="dxa"/>
            <w:vAlign w:val="bottom"/>
          </w:tcPr>
          <w:p>
            <w:pPr>
              <w:ind w:left="31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vMerge w:val="restart"/>
          </w:tcPr>
          <w:p>
            <w:pPr>
              <w:ind w:left="23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6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31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vMerge w:val="restart"/>
          </w:tcPr>
          <w:p>
            <w:pPr>
              <w:ind w:left="23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3"/>
                <w:szCs w:val="13"/>
                <w:color w:val="auto"/>
              </w:rPr>
              <w:t>Non-accelerated filer</w:t>
            </w:r>
          </w:p>
        </w:tc>
        <w:tc>
          <w:tcPr>
            <w:tcW w:w="4640" w:type="dxa"/>
            <w:vAlign w:val="bottom"/>
            <w:vMerge w:val="continue"/>
          </w:tcPr>
          <w:p>
            <w:pPr>
              <w:spacing w:after="0"/>
              <w:rPr>
                <w:sz w:val="14"/>
                <w:szCs w:val="14"/>
                <w:color w:val="auto"/>
              </w:rPr>
            </w:pPr>
          </w:p>
        </w:tc>
        <w:tc>
          <w:tcPr>
            <w:tcW w:w="880" w:type="dxa"/>
            <w:vAlign w:val="bottom"/>
            <w:vMerge w:val="restart"/>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87"/>
        </w:trPr>
        <w:tc>
          <w:tcPr>
            <w:tcW w:w="5540" w:type="dxa"/>
            <w:vAlign w:val="bottom"/>
          </w:tcPr>
          <w:p>
            <w:pPr>
              <w:spacing w:after="0"/>
              <w:rPr>
                <w:sz w:val="7"/>
                <w:szCs w:val="7"/>
                <w:color w:val="auto"/>
              </w:rPr>
            </w:pPr>
          </w:p>
        </w:tc>
        <w:tc>
          <w:tcPr>
            <w:tcW w:w="46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19"/>
                <w:szCs w:val="19"/>
                <w:color w:val="auto"/>
              </w:rPr>
            </w:pPr>
          </w:p>
        </w:tc>
        <w:tc>
          <w:tcPr>
            <w:tcW w:w="4640" w:type="dxa"/>
            <w:vAlign w:val="bottom"/>
          </w:tcPr>
          <w:p>
            <w:pPr>
              <w:ind w:left="23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6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right="328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r>
        <w:rPr>
          <w:rFonts w:ascii="Arial" w:cs="Arial" w:eastAsia="Arial" w:hAnsi="Arial"/>
          <w:sz w:val="13"/>
          <w:szCs w:val="13"/>
          <w:color w:val="auto"/>
        </w:rPr>
        <w:t xml:space="preserve"> As of April 20, 2026, there were 131,798,220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20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120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828282"/>
        </w:rPr>
        <w:t>Enphase Energy, Inc. | 2026 Form 10-Q |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ENPHASE ENERGY, INC.</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10-Q FOR THE QUARTERLY PERIOD ENDED MARCH 31, 2026</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0000FF"/>
                <w:w w:val="97"/>
              </w:rPr>
              <w:t>PART I. FINANCIAL INFORMATION</w:t>
            </w:r>
          </w:p>
        </w:tc>
        <w:tc>
          <w:tcPr>
            <w:tcW w:w="3360" w:type="dxa"/>
            <w:vAlign w:val="bottom"/>
            <w:vMerge w:val="restart"/>
          </w:tcPr>
          <w:p>
            <w:pPr>
              <w:spacing w:after="0"/>
              <w:rPr>
                <w:sz w:val="18"/>
                <w:szCs w:val="18"/>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580" w:type="dxa"/>
            <w:vAlign w:val="bottom"/>
            <w:tcBorders>
              <w:bottom w:val="single" w:sz="8" w:color="0000FF"/>
            </w:tcBorders>
            <w:gridSpan w:val="3"/>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5"/>
        </w:trPr>
        <w:tc>
          <w:tcPr>
            <w:tcW w:w="800" w:type="dxa"/>
            <w:vAlign w:val="bottom"/>
          </w:tcPr>
          <w:p>
            <w:pPr>
              <w:spacing w:after="0"/>
              <w:rPr>
                <w:sz w:val="20"/>
                <w:szCs w:val="20"/>
                <w:color w:val="auto"/>
              </w:rPr>
            </w:pPr>
            <w:r>
              <w:rPr>
                <w:rFonts w:ascii="Arial" w:cs="Arial" w:eastAsia="Arial" w:hAnsi="Arial"/>
                <w:sz w:val="16"/>
                <w:szCs w:val="16"/>
                <w:color w:val="0000FF"/>
              </w:rPr>
              <w:t>Item 1.</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Financial Statements (unaudited)</w:t>
            </w:r>
          </w:p>
        </w:tc>
        <w:tc>
          <w:tcPr>
            <w:tcW w:w="740" w:type="dxa"/>
            <w:vAlign w:val="bottom"/>
          </w:tcPr>
          <w:p>
            <w:pPr>
              <w:jc w:val="center"/>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Balance Sheets</w:t>
            </w:r>
          </w:p>
        </w:tc>
        <w:tc>
          <w:tcPr>
            <w:tcW w:w="740" w:type="dxa"/>
            <w:vAlign w:val="bottom"/>
          </w:tcPr>
          <w:p>
            <w:pPr>
              <w:jc w:val="center"/>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Operations</w:t>
            </w:r>
          </w:p>
        </w:tc>
        <w:tc>
          <w:tcPr>
            <w:tcW w:w="740" w:type="dxa"/>
            <w:vAlign w:val="bottom"/>
          </w:tcPr>
          <w:p>
            <w:pPr>
              <w:jc w:val="center"/>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Comprehensive Income (Loss)</w:t>
            </w:r>
          </w:p>
        </w:tc>
        <w:tc>
          <w:tcPr>
            <w:tcW w:w="740" w:type="dxa"/>
            <w:vAlign w:val="bottom"/>
          </w:tcPr>
          <w:p>
            <w:pPr>
              <w:jc w:val="center"/>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Stockholders' Equity</w:t>
            </w:r>
          </w:p>
        </w:tc>
        <w:tc>
          <w:tcPr>
            <w:tcW w:w="740" w:type="dxa"/>
            <w:vAlign w:val="bottom"/>
          </w:tcPr>
          <w:p>
            <w:pPr>
              <w:jc w:val="center"/>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Cash Flows</w:t>
            </w:r>
          </w:p>
        </w:tc>
        <w:tc>
          <w:tcPr>
            <w:tcW w:w="740" w:type="dxa"/>
            <w:vAlign w:val="bottom"/>
          </w:tcPr>
          <w:p>
            <w:pPr>
              <w:jc w:val="center"/>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Notes to Condensed Consolidated Financial Statements</w:t>
            </w:r>
          </w:p>
        </w:tc>
        <w:tc>
          <w:tcPr>
            <w:tcW w:w="740" w:type="dxa"/>
            <w:vAlign w:val="bottom"/>
          </w:tcPr>
          <w:p>
            <w:pPr>
              <w:jc w:val="center"/>
              <w:spacing w:after="0"/>
              <w:rPr>
                <w:sz w:val="20"/>
                <w:szCs w:val="20"/>
                <w:color w:val="auto"/>
              </w:rPr>
            </w:pPr>
            <w:r>
              <w:rPr>
                <w:rFonts w:ascii="Arial" w:cs="Arial" w:eastAsia="Arial" w:hAnsi="Arial"/>
                <w:sz w:val="16"/>
                <w:szCs w:val="16"/>
                <w:color w:val="0000FF"/>
              </w:rPr>
              <w:t>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2.</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40" w:type="dxa"/>
            <w:vAlign w:val="bottom"/>
          </w:tcPr>
          <w:p>
            <w:pPr>
              <w:jc w:val="center"/>
              <w:spacing w:after="0"/>
              <w:rPr>
                <w:sz w:val="20"/>
                <w:szCs w:val="20"/>
                <w:color w:val="auto"/>
              </w:rPr>
            </w:pPr>
            <w:r>
              <w:rPr>
                <w:rFonts w:ascii="Arial" w:cs="Arial" w:eastAsia="Arial" w:hAnsi="Arial"/>
                <w:sz w:val="16"/>
                <w:szCs w:val="16"/>
                <w:color w:val="0000FF"/>
              </w:rPr>
              <w:t>29</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3.</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Quantitative and Qualitative Disclosures About Market Risk</w:t>
            </w:r>
          </w:p>
        </w:tc>
        <w:tc>
          <w:tcPr>
            <w:tcW w:w="740" w:type="dxa"/>
            <w:vAlign w:val="bottom"/>
          </w:tcPr>
          <w:p>
            <w:pPr>
              <w:jc w:val="center"/>
              <w:spacing w:after="0"/>
              <w:rPr>
                <w:sz w:val="20"/>
                <w:szCs w:val="20"/>
                <w:color w:val="auto"/>
              </w:rPr>
            </w:pPr>
            <w:r>
              <w:rPr>
                <w:rFonts w:ascii="Arial" w:cs="Arial" w:eastAsia="Arial" w:hAnsi="Arial"/>
                <w:sz w:val="16"/>
                <w:szCs w:val="16"/>
                <w:color w:val="0000FF"/>
              </w:rPr>
              <w:t>38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4.</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Controls and Procedures</w:t>
            </w:r>
          </w:p>
        </w:tc>
        <w:tc>
          <w:tcPr>
            <w:tcW w:w="740" w:type="dxa"/>
            <w:vAlign w:val="bottom"/>
          </w:tcPr>
          <w:p>
            <w:pPr>
              <w:jc w:val="center"/>
              <w:spacing w:after="0"/>
              <w:rPr>
                <w:sz w:val="20"/>
                <w:szCs w:val="20"/>
                <w:color w:val="auto"/>
              </w:rPr>
            </w:pPr>
            <w:r>
              <w:rPr>
                <w:rFonts w:ascii="Arial" w:cs="Arial" w:eastAsia="Arial" w:hAnsi="Arial"/>
                <w:sz w:val="16"/>
                <w:szCs w:val="16"/>
                <w:color w:val="0000FF"/>
              </w:rPr>
              <w:t>39</w:t>
            </w:r>
          </w:p>
        </w:tc>
        <w:tc>
          <w:tcPr>
            <w:tcW w:w="0" w:type="dxa"/>
            <w:vAlign w:val="bottom"/>
          </w:tcPr>
          <w:p>
            <w:pPr>
              <w:spacing w:after="0"/>
              <w:rPr>
                <w:sz w:val="1"/>
                <w:szCs w:val="1"/>
                <w:color w:val="auto"/>
              </w:rPr>
            </w:pPr>
          </w:p>
        </w:tc>
      </w:tr>
      <w:tr>
        <w:trPr>
          <w:trHeight w:val="381"/>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3"/>
          </w:tcPr>
          <w:p>
            <w:pPr>
              <w:jc w:val="center"/>
              <w:ind w:right="3500"/>
              <w:spacing w:after="0"/>
              <w:rPr>
                <w:sz w:val="20"/>
                <w:szCs w:val="20"/>
                <w:color w:val="auto"/>
              </w:rPr>
            </w:pPr>
            <w:r>
              <w:rPr>
                <w:rFonts w:ascii="Arial" w:cs="Arial" w:eastAsia="Arial" w:hAnsi="Arial"/>
                <w:sz w:val="16"/>
                <w:szCs w:val="16"/>
                <w:b w:val="1"/>
                <w:bCs w:val="1"/>
                <w:color w:val="0000FF"/>
                <w:w w:val="97"/>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00" w:type="dxa"/>
            <w:vAlign w:val="bottom"/>
          </w:tcPr>
          <w:p>
            <w:pPr>
              <w:spacing w:after="0"/>
              <w:rPr>
                <w:sz w:val="20"/>
                <w:szCs w:val="20"/>
                <w:color w:val="auto"/>
              </w:rPr>
            </w:pPr>
            <w:r>
              <w:rPr>
                <w:rFonts w:ascii="Arial" w:cs="Arial" w:eastAsia="Arial" w:hAnsi="Arial"/>
                <w:sz w:val="16"/>
                <w:szCs w:val="16"/>
                <w:color w:val="0000FF"/>
              </w:rPr>
              <w:t>Item 1.</w:t>
            </w:r>
          </w:p>
        </w:tc>
        <w:tc>
          <w:tcPr>
            <w:tcW w:w="3700" w:type="dxa"/>
            <w:vAlign w:val="bottom"/>
            <w:gridSpan w:val="2"/>
          </w:tcPr>
          <w:p>
            <w:pPr>
              <w:ind w:left="240"/>
              <w:spacing w:after="0"/>
              <w:rPr>
                <w:sz w:val="20"/>
                <w:szCs w:val="20"/>
                <w:color w:val="auto"/>
              </w:rPr>
            </w:pPr>
            <w:r>
              <w:rPr>
                <w:rFonts w:ascii="Arial" w:cs="Arial" w:eastAsia="Arial" w:hAnsi="Arial"/>
                <w:sz w:val="16"/>
                <w:szCs w:val="16"/>
                <w:color w:val="0000FF"/>
              </w:rPr>
              <w:t>Legal Proceedings</w:t>
            </w:r>
          </w:p>
        </w:tc>
        <w:tc>
          <w:tcPr>
            <w:tcW w:w="2320" w:type="dxa"/>
            <w:vAlign w:val="bottom"/>
            <w:tcBorders>
              <w:top w:val="single" w:sz="8" w:color="0000FF"/>
            </w:tcBorders>
          </w:tcPr>
          <w:p>
            <w:pPr>
              <w:spacing w:after="0"/>
              <w:rPr>
                <w:sz w:val="24"/>
                <w:szCs w:val="24"/>
                <w:color w:val="auto"/>
              </w:rPr>
            </w:pPr>
          </w:p>
        </w:tc>
        <w:tc>
          <w:tcPr>
            <w:tcW w:w="350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0000FF"/>
              </w:rPr>
              <w:t>40</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1A.</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Risk Factors</w:t>
            </w:r>
          </w:p>
        </w:tc>
        <w:tc>
          <w:tcPr>
            <w:tcW w:w="740" w:type="dxa"/>
            <w:vAlign w:val="bottom"/>
          </w:tcPr>
          <w:p>
            <w:pPr>
              <w:jc w:val="center"/>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2.</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Unregistered Sales of Equity Securities and Use of Proceeds</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3.</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Defaults Upon Senior Securities</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4.</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Mine Safety Disclosures</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5.</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Other Information</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6.</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Exhibits</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Signature</w:t>
            </w:r>
          </w:p>
        </w:tc>
        <w:tc>
          <w:tcPr>
            <w:tcW w:w="740" w:type="dxa"/>
            <w:vAlign w:val="bottom"/>
          </w:tcPr>
          <w:p>
            <w:pPr>
              <w:jc w:val="center"/>
              <w:spacing w:after="0"/>
              <w:rPr>
                <w:sz w:val="20"/>
                <w:szCs w:val="20"/>
                <w:color w:val="auto"/>
              </w:rPr>
            </w:pPr>
            <w:r>
              <w:rPr>
                <w:rFonts w:ascii="Arial" w:cs="Arial" w:eastAsia="Arial" w:hAnsi="Arial"/>
                <w:sz w:val="16"/>
                <w:szCs w:val="16"/>
                <w:color w:val="0000FF"/>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420" w:top="132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71755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420" w:top="1323" w:right="4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Financial Statements (unaudited)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240" w:type="dxa"/>
            <w:vAlign w:val="bottom"/>
          </w:tcPr>
          <w:p>
            <w:pPr>
              <w:jc w:val="right"/>
              <w:ind w:right="182"/>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474,318</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433,095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1,038,536</w:t>
            </w:r>
          </w:p>
        </w:tc>
        <w:tc>
          <w:tcPr>
            <w:tcW w:w="0" w:type="dxa"/>
            <w:vAlign w:val="bottom"/>
          </w:tcPr>
          <w:p>
            <w:pPr>
              <w:spacing w:after="0"/>
              <w:rPr>
                <w:sz w:val="1"/>
                <w:szCs w:val="1"/>
                <w:color w:val="auto"/>
              </w:rPr>
            </w:pPr>
          </w:p>
        </w:tc>
      </w:tr>
      <w:tr>
        <w:trPr>
          <w:trHeight w:val="159"/>
        </w:trPr>
        <w:tc>
          <w:tcPr>
            <w:tcW w:w="826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Accounts receivable, net of allowances of $484 and $580 at March 31, 2026 and December 31, 2025,</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196,578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229,881</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290,701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288,047</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412,351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576,078</w:t>
            </w:r>
          </w:p>
        </w:tc>
        <w:tc>
          <w:tcPr>
            <w:tcW w:w="0" w:type="dxa"/>
            <w:vAlign w:val="bottom"/>
          </w:tcPr>
          <w:p>
            <w:pPr>
              <w:spacing w:after="0"/>
              <w:rPr>
                <w:sz w:val="1"/>
                <w:szCs w:val="1"/>
                <w:color w:val="auto"/>
              </w:rPr>
            </w:pPr>
          </w:p>
        </w:tc>
      </w:tr>
      <w:tr>
        <w:trPr>
          <w:trHeight w:val="201"/>
        </w:trPr>
        <w:tc>
          <w:tcPr>
            <w:tcW w:w="82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1,830,271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2,606,860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136,804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22,288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214,760</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211,706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222,677</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306,403</w:t>
            </w:r>
          </w:p>
        </w:tc>
        <w:tc>
          <w:tcPr>
            <w:tcW w:w="0" w:type="dxa"/>
            <w:vAlign w:val="bottom"/>
          </w:tcPr>
          <w:p>
            <w:pPr>
              <w:spacing w:after="0"/>
              <w:rPr>
                <w:sz w:val="1"/>
                <w:szCs w:val="1"/>
                <w:color w:val="auto"/>
              </w:rPr>
            </w:pPr>
          </w:p>
        </w:tc>
      </w:tr>
      <w:tr>
        <w:trPr>
          <w:trHeight w:val="201"/>
        </w:trPr>
        <w:tc>
          <w:tcPr>
            <w:tcW w:w="826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2,723,923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3,509,792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shd w:val="clear" w:color="auto" w:fill="CCEEFF"/>
          </w:tcPr>
          <w:p>
            <w:pPr>
              <w:ind w:left="248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203,039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217,366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 current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180,524</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Warranty obligations, 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29,038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current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632,183</w:t>
            </w:r>
          </w:p>
        </w:tc>
        <w:tc>
          <w:tcPr>
            <w:tcW w:w="0" w:type="dxa"/>
            <w:vAlign w:val="bottom"/>
          </w:tcPr>
          <w:p>
            <w:pPr>
              <w:spacing w:after="0"/>
              <w:rPr>
                <w:sz w:val="1"/>
                <w:szCs w:val="1"/>
                <w:color w:val="auto"/>
              </w:rPr>
            </w:pPr>
          </w:p>
        </w:tc>
      </w:tr>
      <w:tr>
        <w:trPr>
          <w:trHeight w:val="201"/>
        </w:trPr>
        <w:tc>
          <w:tcPr>
            <w:tcW w:w="826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481,783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1,262,150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Deferred revenues, non-current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337,923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obligations, non-current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185,005</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65,252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65,497</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non-current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572,510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572,194</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1,621,571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2,422,769</w:t>
            </w:r>
          </w:p>
        </w:tc>
        <w:tc>
          <w:tcPr>
            <w:tcW w:w="0" w:type="dxa"/>
            <w:vAlign w:val="bottom"/>
          </w:tcPr>
          <w:p>
            <w:pPr>
              <w:spacing w:after="0"/>
              <w:rPr>
                <w:sz w:val="1"/>
                <w:szCs w:val="1"/>
                <w:color w:val="auto"/>
              </w:rPr>
            </w:pPr>
          </w:p>
        </w:tc>
      </w:tr>
      <w:tr>
        <w:trPr>
          <w:trHeight w:val="19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6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w w:val="99"/>
              </w:rPr>
              <w:t>Common stock, $0.00001 par value, 300,000 shares authorized; and 131,784 shares and 131,080 shares issued</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outstanding at March 31, 2026 and December 31, 2025, respectively</w:t>
            </w: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1,319,469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1,289,164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(203,896)</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1,102,352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1,087,023</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2,723,923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3,509,792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356,084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187,843</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168,241</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50,174</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48,948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136,319</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31,922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14,971</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46,893</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(17,163)</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 (loss) per share: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per share calculation: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131,869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60" w:type="dxa"/>
            <w:vAlign w:val="bottom"/>
          </w:tcPr>
          <w:p>
            <w:pPr>
              <w:ind w:left="340"/>
              <w:spacing w:after="0" w:line="181"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131,337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136,208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right"/>
        <w:ind w:right="82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5247640</wp:posOffset>
            </wp:positionH>
            <wp:positionV relativeFrom="paragraph">
              <wp:posOffset>2540</wp:posOffset>
            </wp:positionV>
            <wp:extent cx="1892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230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14" w:lineRule="exact"/>
        <w:rPr>
          <w:sz w:val="20"/>
          <w:szCs w:val="20"/>
          <w:color w:val="auto"/>
        </w:rPr>
      </w:pPr>
    </w:p>
    <w:p>
      <w:pPr>
        <w:ind w:left="20"/>
        <w:spacing w:after="0"/>
        <w:tabs>
          <w:tab w:leader="none" w:pos="826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136765" cy="14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765"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Foreign currency translation adjustments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765" cy="2324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232410"/>
                    </a:xfrm>
                    <a:prstGeom prst="rect">
                      <a:avLst/>
                    </a:prstGeom>
                    <a:noFill/>
                  </pic:spPr>
                </pic:pic>
              </a:graphicData>
            </a:graphic>
          </wp:anchor>
        </w:drawing>
      </w:r>
    </w:p>
    <w:p>
      <w:pPr>
        <w:spacing w:after="0" w:line="5" w:lineRule="exact"/>
        <w:rPr>
          <w:sz w:val="20"/>
          <w:szCs w:val="20"/>
          <w:color w:val="auto"/>
        </w:rPr>
      </w:pPr>
    </w:p>
    <w:p>
      <w:pPr>
        <w:ind w:left="440" w:right="120"/>
        <w:spacing w:after="0" w:line="236" w:lineRule="auto"/>
        <w:rPr>
          <w:sz w:val="20"/>
          <w:szCs w:val="20"/>
          <w:color w:val="auto"/>
        </w:rPr>
      </w:pPr>
      <w:r>
        <w:rPr>
          <w:rFonts w:ascii="Arial" w:cs="Arial" w:eastAsia="Arial" w:hAnsi="Arial"/>
          <w:sz w:val="16"/>
          <w:szCs w:val="16"/>
          <w:color w:val="auto"/>
        </w:rPr>
        <w:t>Change in net unrealized gain (loss), net of income tax benefit (provision) of $749 and ($339) for the three months ended March 31, 2026 and 2025, respectively</w:t>
      </w:r>
    </w:p>
    <w:p>
      <w:pPr>
        <w:spacing w:after="0" w:line="4" w:lineRule="exact"/>
        <w:rPr>
          <w:sz w:val="20"/>
          <w:szCs w:val="20"/>
          <w:color w:val="auto"/>
        </w:rPr>
      </w:pPr>
    </w:p>
    <w:p>
      <w:pPr>
        <w:ind w:left="20"/>
        <w:spacing w:after="0"/>
        <w:tabs>
          <w:tab w:leader="none" w:pos="8260" w:val="left"/>
        </w:tabs>
        <w:rPr>
          <w:sz w:val="20"/>
          <w:szCs w:val="20"/>
          <w:color w:val="auto"/>
        </w:rPr>
      </w:pPr>
      <w:r>
        <w:rPr>
          <w:rFonts w:ascii="Arial" w:cs="Arial" w:eastAsia="Arial" w:hAnsi="Arial"/>
          <w:sz w:val="16"/>
          <w:szCs w:val="16"/>
          <w:color w:val="auto"/>
        </w:rPr>
        <w:t>Comprehensive income (loss)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jc w:val="right"/>
              <w:ind w:right="583"/>
              <w:spacing w:after="0"/>
              <w:rPr>
                <w:sz w:val="20"/>
                <w:szCs w:val="20"/>
                <w:color w:val="auto"/>
              </w:rPr>
            </w:pPr>
            <w:r>
              <w:rPr>
                <w:rFonts w:ascii="Arial" w:cs="Arial" w:eastAsia="Arial" w:hAnsi="Arial"/>
                <w:sz w:val="14"/>
                <w:szCs w:val="14"/>
                <w:b w:val="1"/>
                <w:bCs w:val="1"/>
                <w:color w:val="auto"/>
                <w:w w:val="96"/>
              </w:rPr>
              <w:t>2026</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0"/>
        </w:trPr>
        <w:tc>
          <w:tcPr>
            <w:tcW w:w="980" w:type="dxa"/>
            <w:vAlign w:val="bottom"/>
          </w:tcPr>
          <w:p>
            <w:pPr>
              <w:jc w:val="right"/>
              <w:ind w:right="43"/>
              <w:spacing w:after="0"/>
              <w:rPr>
                <w:sz w:val="20"/>
                <w:szCs w:val="20"/>
                <w:color w:val="auto"/>
              </w:rPr>
            </w:pPr>
            <w:r>
              <w:rPr>
                <w:rFonts w:ascii="Arial" w:cs="Arial" w:eastAsia="Arial" w:hAnsi="Arial"/>
                <w:sz w:val="16"/>
                <w:szCs w:val="16"/>
                <w:color w:val="auto"/>
              </w:rPr>
              <w:t>(7,406)</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29,730</w:t>
            </w:r>
          </w:p>
        </w:tc>
        <w:tc>
          <w:tcPr>
            <w:tcW w:w="0" w:type="dxa"/>
            <w:vAlign w:val="bottom"/>
          </w:tcPr>
          <w:p>
            <w:pPr>
              <w:spacing w:after="0"/>
              <w:rPr>
                <w:sz w:val="1"/>
                <w:szCs w:val="1"/>
                <w:color w:val="auto"/>
              </w:rPr>
            </w:pPr>
          </w:p>
        </w:tc>
      </w:tr>
      <w:tr>
        <w:trPr>
          <w:trHeight w:val="418"/>
        </w:trPr>
        <w:tc>
          <w:tcPr>
            <w:tcW w:w="980" w:type="dxa"/>
            <w:vAlign w:val="bottom"/>
          </w:tcPr>
          <w:p>
            <w:pPr>
              <w:jc w:val="right"/>
              <w:ind w:right="43"/>
              <w:spacing w:after="0"/>
              <w:rPr>
                <w:sz w:val="20"/>
                <w:szCs w:val="20"/>
                <w:color w:val="auto"/>
              </w:rPr>
            </w:pPr>
            <w:r>
              <w:rPr>
                <w:rFonts w:ascii="Arial" w:cs="Arial" w:eastAsia="Arial" w:hAnsi="Arial"/>
                <w:sz w:val="16"/>
                <w:szCs w:val="16"/>
                <w:color w:val="auto"/>
              </w:rPr>
              <w:t>(5,263)</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3,019</w:t>
            </w:r>
          </w:p>
        </w:tc>
        <w:tc>
          <w:tcPr>
            <w:tcW w:w="0" w:type="dxa"/>
            <w:vAlign w:val="bottom"/>
          </w:tcPr>
          <w:p>
            <w:pPr>
              <w:spacing w:after="0"/>
              <w:rPr>
                <w:sz w:val="1"/>
                <w:szCs w:val="1"/>
                <w:color w:val="auto"/>
              </w:rPr>
            </w:pPr>
          </w:p>
        </w:tc>
      </w:tr>
      <w:tr>
        <w:trPr>
          <w:trHeight w:val="497"/>
        </w:trPr>
        <w:tc>
          <w:tcPr>
            <w:tcW w:w="980" w:type="dxa"/>
            <w:vAlign w:val="bottom"/>
          </w:tcPr>
          <w:p>
            <w:pPr>
              <w:jc w:val="right"/>
              <w:ind w:right="43"/>
              <w:spacing w:after="0"/>
              <w:rPr>
                <w:sz w:val="20"/>
                <w:szCs w:val="20"/>
                <w:color w:val="auto"/>
              </w:rPr>
            </w:pPr>
            <w:r>
              <w:rPr>
                <w:rFonts w:ascii="Arial" w:cs="Arial" w:eastAsia="Arial" w:hAnsi="Arial"/>
                <w:sz w:val="16"/>
                <w:szCs w:val="16"/>
                <w:color w:val="auto"/>
              </w:rPr>
              <w:t>(2,307)</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81"/>
        </w:trPr>
        <w:tc>
          <w:tcPr>
            <w:tcW w:w="980" w:type="dxa"/>
            <w:vAlign w:val="bottom"/>
            <w:vMerge w:val="restart"/>
          </w:tcPr>
          <w:p>
            <w:pPr>
              <w:jc w:val="right"/>
              <w:ind w:right="43"/>
              <w:spacing w:after="0"/>
              <w:rPr>
                <w:sz w:val="20"/>
                <w:szCs w:val="20"/>
                <w:color w:val="auto"/>
              </w:rPr>
            </w:pPr>
            <w:r>
              <w:rPr>
                <w:rFonts w:ascii="Arial" w:cs="Arial" w:eastAsia="Arial" w:hAnsi="Arial"/>
                <w:sz w:val="16"/>
                <w:szCs w:val="16"/>
                <w:color w:val="auto"/>
              </w:rPr>
              <w:t>(14,976)</w:t>
            </w: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9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-32385</wp:posOffset>
            </wp:positionV>
            <wp:extent cx="913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-7620</wp:posOffset>
            </wp:positionV>
            <wp:extent cx="913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-173355</wp:posOffset>
            </wp:positionV>
            <wp:extent cx="913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360" w:space="460"/>
            <w:col w:w="2420"/>
          </w:cols>
          <w:pgMar w:left="320" w:top="279"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2026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Common stock and paid-in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8260" w:type="dxa"/>
            <w:vAlign w:val="bottom"/>
          </w:tcPr>
          <w:p>
            <w:pPr>
              <w:ind w:left="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1,289,165</w:t>
            </w:r>
          </w:p>
        </w:tc>
        <w:tc>
          <w:tcPr>
            <w:tcW w:w="100" w:type="dxa"/>
            <w:vAlign w:val="bottom"/>
          </w:tcPr>
          <w:p>
            <w:pPr>
              <w:spacing w:after="0"/>
              <w:rPr>
                <w:sz w:val="20"/>
                <w:szCs w:val="20"/>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1,084,574</w:t>
            </w:r>
          </w:p>
        </w:tc>
      </w:tr>
      <w:tr>
        <w:trPr>
          <w:trHeight w:val="236"/>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common stock from exercise of equity awards</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4"/>
        </w:trPr>
        <w:tc>
          <w:tcPr>
            <w:tcW w:w="8260" w:type="dxa"/>
            <w:vAlign w:val="bottom"/>
          </w:tcPr>
          <w:p>
            <w:pPr>
              <w:ind w:left="26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(12,110)</w:t>
            </w:r>
          </w:p>
        </w:tc>
      </w:tr>
      <w:tr>
        <w:trPr>
          <w:trHeight w:val="236"/>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48,991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55,633</w:t>
            </w:r>
          </w:p>
        </w:tc>
      </w:tr>
      <w:tr>
        <w:trPr>
          <w:trHeight w:val="214"/>
        </w:trPr>
        <w:tc>
          <w:tcPr>
            <w:tcW w:w="8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1,319,470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1,128,164</w:t>
            </w:r>
          </w:p>
        </w:tc>
      </w:tr>
      <w:tr>
        <w:trPr>
          <w:trHeight w:val="22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2"/>
        </w:trPr>
        <w:tc>
          <w:tcPr>
            <w:tcW w:w="8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Accumulated deficit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8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(245,206)</w:t>
            </w:r>
          </w:p>
        </w:tc>
      </w:tr>
      <w:tr>
        <w:trPr>
          <w:trHeight w:val="234"/>
        </w:trPr>
        <w:tc>
          <w:tcPr>
            <w:tcW w:w="826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(99,964)</w:t>
            </w:r>
          </w:p>
        </w:tc>
      </w:tr>
      <w:tr>
        <w:trPr>
          <w:trHeight w:val="236"/>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29,730</w:t>
            </w:r>
          </w:p>
        </w:tc>
      </w:tr>
      <w:tr>
        <w:trPr>
          <w:trHeight w:val="234"/>
        </w:trPr>
        <w:tc>
          <w:tcPr>
            <w:tcW w:w="8260" w:type="dxa"/>
            <w:vAlign w:val="bottom"/>
          </w:tcPr>
          <w:p>
            <w:pPr>
              <w:ind w:left="280"/>
              <w:spacing w:after="0"/>
              <w:rPr>
                <w:sz w:val="20"/>
                <w:szCs w:val="20"/>
                <w:color w:val="auto"/>
              </w:rPr>
            </w:pPr>
            <w:r>
              <w:rPr>
                <w:rFonts w:ascii="Arial" w:cs="Arial" w:eastAsia="Arial" w:hAnsi="Arial"/>
                <w:sz w:val="16"/>
                <w:szCs w:val="16"/>
                <w:color w:val="auto"/>
              </w:rPr>
              <w:t>Excise tax on net stock repurchases</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5"/>
        </w:trPr>
        <w:tc>
          <w:tcPr>
            <w:tcW w:w="82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(211,302)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(315,856)</w:t>
            </w:r>
          </w:p>
        </w:tc>
      </w:tr>
      <w:tr>
        <w:trPr>
          <w:trHeight w:val="229"/>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income (loss)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4"/>
        </w:trPr>
        <w:tc>
          <w:tcPr>
            <w:tcW w:w="8260" w:type="dxa"/>
            <w:vAlign w:val="bottom"/>
          </w:tcPr>
          <w:p>
            <w:pPr>
              <w:ind w:left="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20"/>
                <w:szCs w:val="20"/>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(6,352)</w:t>
            </w:r>
          </w:p>
        </w:tc>
      </w:tr>
      <w:tr>
        <w:trPr>
          <w:trHeight w:val="236"/>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w:t>
            </w:r>
          </w:p>
        </w:tc>
      </w:tr>
      <w:tr>
        <w:trPr>
          <w:trHeight w:val="234"/>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 in net unrealized gain (loss) on marketable securities, net of tax</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r>
      <w:tr>
        <w:trPr>
          <w:trHeight w:val="215"/>
        </w:trPr>
        <w:tc>
          <w:tcPr>
            <w:tcW w:w="8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Total stockholders' equity, ending balance</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1,102,352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810,698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(7,406)</w:t>
            </w:r>
          </w:p>
        </w:tc>
        <w:tc>
          <w:tcPr>
            <w:tcW w:w="100" w:type="dxa"/>
            <w:vAlign w:val="bottom"/>
          </w:tcPr>
          <w:p>
            <w:pPr>
              <w:spacing w:after="0"/>
              <w:rPr>
                <w:sz w:val="18"/>
                <w:szCs w:val="18"/>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29,730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19,915</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Discount from sale of AMPTC generated during 2025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Amortization (accretion) of investments purchased at a premium (discount)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3,512</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Change in fair value of debt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55,633</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8,560</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20,979</w:t>
            </w: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(75,553)</w:t>
            </w: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accrued and other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54,232</w:t>
            </w: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Warranty obligations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10,558</w:t>
            </w: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(82,357)</w:t>
            </w:r>
          </w:p>
        </w:tc>
      </w:tr>
      <w:tr>
        <w:trPr>
          <w:trHeight w:val="201"/>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48,414</w:t>
            </w:r>
          </w:p>
        </w:tc>
      </w:tr>
      <w:tr>
        <w:trPr>
          <w:trHeight w:val="19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(200,826)</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Maturities and sales of marketable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335,398</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(14,608)</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loan receivables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Investment in tax equity fund</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(6,904)</w:t>
            </w:r>
          </w:p>
        </w:tc>
      </w:tr>
      <w:tr>
        <w:trPr>
          <w:trHeight w:val="203"/>
        </w:trPr>
        <w:tc>
          <w:tcPr>
            <w:tcW w:w="82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576,383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113,060</w:t>
            </w:r>
          </w:p>
        </w:tc>
      </w:tr>
      <w:tr>
        <w:trPr>
          <w:trHeight w:val="18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 of Notes due 2026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Settlement of Notes due 2025</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(102,168)</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issuances of common stock under employee equity plans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Payments of withholding taxes related to net share settlement of equity awards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(12,110)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(99,964)</w:t>
            </w:r>
          </w:p>
        </w:tc>
      </w:tr>
      <w:tr>
        <w:trPr>
          <w:trHeight w:val="201"/>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(651,186)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(214,175)</w:t>
            </w:r>
          </w:p>
        </w:tc>
      </w:tr>
      <w:tr>
        <w:trPr>
          <w:trHeight w:val="203"/>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(49,026)</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474,318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464,116</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415,090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 through tenant improvement allowance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8260" w:type="dxa"/>
            <w:vAlign w:val="bottom"/>
          </w:tcPr>
          <w:p>
            <w:pPr>
              <w:ind w:left="14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12,044</w:t>
            </w:r>
          </w:p>
        </w:tc>
        <w:tc>
          <w:tcPr>
            <w:tcW w:w="100" w:type="dxa"/>
            <w:vAlign w:val="bottom"/>
          </w:tcPr>
          <w:p>
            <w:pPr>
              <w:spacing w:after="0"/>
              <w:rPr>
                <w:sz w:val="17"/>
                <w:szCs w:val="17"/>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4,207</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 w:name="page8"/>
    <w:bookmarkEnd w:id="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800" w:firstLine="5"/>
        <w:spacing w:after="0" w:line="386" w:lineRule="auto"/>
        <w:tabs>
          <w:tab w:leader="none" w:pos="339"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 Description of Business</w:t>
      </w:r>
    </w:p>
    <w:p>
      <w:pPr>
        <w:spacing w:after="0" w:line="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Enphase Energy, Inc. (the “Company”) is a global energy technology company. The Company delivers smart, easy-to-use solutions that manage solar generation, storage and communication on one platform.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accompanying condensed consolidated financial statements are presented in accordance with accounting principles generally accepted in the United States (“U.S. GAAP”). The condensed consolidated financial statements include the accounts of the Company and its wholly-owned subsidiaries. All intercompany balances and transactions have been eliminated in consolidation. Certain prior period amounts have been reclassified to conform to the current period presentation.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U.S. Securities and Exchange Commission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stockholders’ equity and cash flows for the interim periods indicated. The results of operations for the three months ended March 31, 2026 are not necessarily indicative of the operating results for the full year.</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credit losses, stock-based compensation, income tax benefit (provision), inventory valuation, government grants, accrued warranty obligations, fair value of debt securities, convertible notes,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w:t>
      </w:r>
    </w:p>
    <w:p>
      <w:pPr>
        <w:spacing w:after="0" w:line="70" w:lineRule="exact"/>
        <w:rPr>
          <w:sz w:val="20"/>
          <w:szCs w:val="20"/>
          <w:color w:val="auto"/>
        </w:rPr>
      </w:pPr>
    </w:p>
    <w:p>
      <w:pPr>
        <w:jc w:val="both"/>
        <w:ind w:firstLine="470"/>
        <w:spacing w:after="0" w:line="220" w:lineRule="exact"/>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by U.S. GAAP. The Company filed audited consolidated financial statements, which included all information and notes necessary for such a complete presentation, in conjunction with its Annual Report on Form 10-K for the year ended December 31, 2025 filed with the SEC on February 17, 2026 (the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Accounting Policies</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There have been no changes to the Company’s significant accounting policies as described in Note 2, “Summary of Significant Accounting Policies”, of the notes to consolidated financial statements included in Part II, Item 8 of the Form 10-K.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 Yet Effective</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November 2024, the Financial Accounting Standards Board (“FASB”) issued ASU 2024-03, “Income Statement-Reporting Comprehensive Income-Expense Disaggregation Disclosures” (“ASU 2024-03”), which requires additional disclosure of certain costs and expenses within the notes to the financial statements. ASU 2024-03 will be effective for fiscal years beginning after December 15, 2026, and interim periods beginning after December 15, 2027. Early adoption is permitted. The Company is currently evaluating the impact from ASU 2024-03 on its condensed consolidated financial statements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 w:name="page9"/>
    <w:bookmarkEnd w:id="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In September 2025, the FASB issued ASU 2025-06,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condensed consolidated financial statements.</w:t>
      </w:r>
    </w:p>
    <w:p>
      <w:pPr>
        <w:spacing w:after="0" w:line="6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condensed consolidated financial statements.</w:t>
      </w:r>
    </w:p>
    <w:p>
      <w:pPr>
        <w:spacing w:after="0" w:line="61" w:lineRule="exact"/>
        <w:rPr>
          <w:sz w:val="20"/>
          <w:szCs w:val="20"/>
          <w:color w:val="auto"/>
        </w:rPr>
      </w:pPr>
    </w:p>
    <w:p>
      <w:pPr>
        <w:ind w:right="8780" w:firstLine="5"/>
        <w:spacing w:after="0" w:line="386" w:lineRule="auto"/>
        <w:tabs>
          <w:tab w:leader="none" w:pos="33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Disaggregated Revenue</w:t>
      </w:r>
    </w:p>
    <w:p>
      <w:pPr>
        <w:spacing w:after="0" w:line="1" w:lineRule="exact"/>
        <w:rPr>
          <w:sz w:val="20"/>
          <w:szCs w:val="20"/>
          <w:color w:val="auto"/>
        </w:rPr>
      </w:pPr>
    </w:p>
    <w:p>
      <w:pPr>
        <w:jc w:val="both"/>
        <w:ind w:firstLine="470"/>
        <w:spacing w:after="0" w:line="290" w:lineRule="auto"/>
        <w:rPr>
          <w:sz w:val="20"/>
          <w:szCs w:val="20"/>
          <w:color w:val="auto"/>
        </w:rPr>
      </w:pPr>
      <w:r>
        <w:rPr>
          <w:rFonts w:ascii="Arial" w:cs="Arial" w:eastAsia="Arial" w:hAnsi="Arial"/>
          <w:sz w:val="17"/>
          <w:szCs w:val="17"/>
          <w:color w:val="auto"/>
        </w:rPr>
        <w:t>The Company has one major business activity, which is the design, manufacture and sale of solutions for the solar photovoltaic (“PV”) industry. Disaggregated revenue by primary geographical market and timing of revenue recognition for the Company’s single product line were as follows:</w:t>
      </w:r>
    </w:p>
    <w:p>
      <w:pPr>
        <w:spacing w:after="0" w:line="303"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Primary geographical markets: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233,905</w:t>
            </w:r>
          </w:p>
        </w:tc>
        <w:tc>
          <w:tcPr>
            <w:tcW w:w="80" w:type="dxa"/>
            <w:vAlign w:val="bottom"/>
          </w:tcPr>
          <w:p>
            <w:pPr>
              <w:spacing w:after="0"/>
              <w:rPr>
                <w:sz w:val="18"/>
                <w:szCs w:val="18"/>
                <w:color w:val="auto"/>
              </w:rPr>
            </w:pPr>
          </w:p>
        </w:tc>
        <w:tc>
          <w:tcPr>
            <w:tcW w:w="48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263,238</w:t>
            </w:r>
          </w:p>
        </w:tc>
      </w:tr>
      <w:tr>
        <w:trPr>
          <w:trHeight w:val="209"/>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48,995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92,846</w:t>
            </w:r>
          </w:p>
        </w:tc>
      </w:tr>
      <w:tr>
        <w:trPr>
          <w:trHeight w:val="203"/>
        </w:trPr>
        <w:tc>
          <w:tcPr>
            <w:tcW w:w="828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282,900</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356,084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3"/>
        </w:trPr>
        <w:tc>
          <w:tcPr>
            <w:tcW w:w="8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 delivered at a point in time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253,982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322,886</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Products and services delivered over time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28,918</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33,198</w:t>
            </w:r>
          </w:p>
        </w:tc>
      </w:tr>
      <w:tr>
        <w:trPr>
          <w:trHeight w:val="228"/>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282,900</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Accounts receivable, and contract assets and contract liabilities from contracts with customers,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229,881</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assets (Prepaid expenses and other current assets)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35,660</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35,976</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assets (Other assets)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115,067</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liabilities (Deferred revenues, current)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144,325</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180,524</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 (Deferred revenues, non-current)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337,923</w:t>
            </w:r>
          </w:p>
        </w:tc>
      </w:tr>
    </w:tbl>
    <w:p>
      <w:pPr>
        <w:spacing w:after="0" w:line="166"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 w:name="page10"/>
    <w:bookmarkEnd w:id="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Contract assets include deferred product costs and commissions associated with the deferred revenue and will be amortized along with the associated revenue. The Company had no asset impairment charges related to contract assets for the three months ended March 31, 2026.</w:t>
      </w:r>
    </w:p>
    <w:p>
      <w:pPr>
        <w:spacing w:after="0" w:line="37"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Significant changes in the balances of contract assets (prepaid expenses and other assets) in the three months ended March 31, 2026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beginning of period</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151,043</w:t>
            </w:r>
          </w:p>
        </w:tc>
      </w:tr>
      <w:tr>
        <w:trPr>
          <w:trHeight w:val="208"/>
        </w:trPr>
        <w:tc>
          <w:tcPr>
            <w:tcW w:w="9800" w:type="dxa"/>
            <w:vAlign w:val="bottom"/>
          </w:tcPr>
          <w:p>
            <w:pPr>
              <w:ind w:left="12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(15,300)</w:t>
            </w:r>
          </w:p>
        </w:tc>
      </w:tr>
      <w:tr>
        <w:trPr>
          <w:trHeight w:val="209"/>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r>
      <w:tr>
        <w:trPr>
          <w:trHeight w:val="203"/>
        </w:trPr>
        <w:tc>
          <w:tcPr>
            <w:tcW w:w="9800" w:type="dxa"/>
            <w:vAlign w:val="bottom"/>
          </w:tcPr>
          <w:p>
            <w:pPr>
              <w:ind w:left="20"/>
              <w:spacing w:after="0"/>
              <w:rPr>
                <w:sz w:val="20"/>
                <w:szCs w:val="20"/>
                <w:color w:val="auto"/>
              </w:rPr>
            </w:pPr>
            <w:r>
              <w:rPr>
                <w:rFonts w:ascii="Arial" w:cs="Arial" w:eastAsia="Arial" w:hAnsi="Arial"/>
                <w:sz w:val="16"/>
                <w:szCs w:val="16"/>
                <w:color w:val="auto"/>
              </w:rPr>
              <w:t>Contract assets, end of period</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139,838</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Contract liabilities are recorded as deferred revenue on the condensed consolidated balance sheets and include payments received in advance of performance obligations under the contract and are realized when the associated revenue is recognized under the contract.</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Significant changes in contract liabilities (deferred revenue) in the three months ended March 31, 2026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beginning of period</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518,447</w:t>
            </w:r>
          </w:p>
        </w:tc>
      </w:tr>
      <w:tr>
        <w:trPr>
          <w:trHeight w:val="208"/>
        </w:trPr>
        <w:tc>
          <w:tcPr>
            <w:tcW w:w="9800" w:type="dxa"/>
            <w:vAlign w:val="bottom"/>
          </w:tcPr>
          <w:p>
            <w:pPr>
              <w:ind w:left="120"/>
              <w:spacing w:after="0"/>
              <w:rPr>
                <w:sz w:val="20"/>
                <w:szCs w:val="20"/>
                <w:color w:val="auto"/>
              </w:rPr>
            </w:pPr>
            <w:r>
              <w:rPr>
                <w:rFonts w:ascii="Arial" w:cs="Arial" w:eastAsia="Arial" w:hAnsi="Arial"/>
                <w:sz w:val="16"/>
                <w:szCs w:val="16"/>
                <w:color w:val="auto"/>
              </w:rPr>
              <w:t>Revenue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(67,093)</w:t>
            </w:r>
          </w:p>
        </w:tc>
      </w:tr>
      <w:tr>
        <w:trPr>
          <w:trHeight w:val="210"/>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19,202</w:t>
            </w:r>
          </w:p>
        </w:tc>
      </w:tr>
      <w:tr>
        <w:trPr>
          <w:trHeight w:val="201"/>
        </w:trPr>
        <w:tc>
          <w:tcPr>
            <w:tcW w:w="9800" w:type="dxa"/>
            <w:vAlign w:val="bottom"/>
          </w:tcPr>
          <w:p>
            <w:pPr>
              <w:ind w:left="20"/>
              <w:spacing w:after="0"/>
              <w:rPr>
                <w:sz w:val="20"/>
                <w:szCs w:val="20"/>
                <w:color w:val="auto"/>
              </w:rPr>
            </w:pPr>
            <w:r>
              <w:rPr>
                <w:rFonts w:ascii="Arial" w:cs="Arial" w:eastAsia="Arial" w:hAnsi="Arial"/>
                <w:sz w:val="16"/>
                <w:szCs w:val="16"/>
                <w:color w:val="auto"/>
              </w:rPr>
              <w:t>Contract liabilities, end of period</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470,556</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Remaining Performance Obligations</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Estimated revenue expected to be recognized in future periods related to performance obligations that were unsatisfied or partially unsatisfied at the end of the reporting period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w w:val="99"/>
              </w:rPr>
              <w:t>March 31,</w:t>
            </w:r>
          </w:p>
        </w:tc>
      </w:tr>
      <w:tr>
        <w:trPr>
          <w:trHeight w:val="179"/>
        </w:trPr>
        <w:tc>
          <w:tcPr>
            <w:tcW w:w="9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2026</w:t>
            </w:r>
          </w:p>
        </w:tc>
      </w:tr>
      <w:tr>
        <w:trPr>
          <w:trHeight w:val="18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2026 (remaining nine months)</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116,990</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109,380</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93,762</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75,971</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2030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41,454</w:t>
            </w:r>
          </w:p>
        </w:tc>
      </w:tr>
      <w:tr>
        <w:trPr>
          <w:trHeight w:val="20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32,999</w:t>
            </w:r>
          </w:p>
        </w:tc>
      </w:tr>
      <w:tr>
        <w:trPr>
          <w:trHeight w:val="203"/>
        </w:trPr>
        <w:tc>
          <w:tcPr>
            <w:tcW w:w="980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470,556</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3</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INVENTORY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Inventory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102,512</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8,353</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177,182</w:t>
            </w:r>
          </w:p>
        </w:tc>
      </w:tr>
      <w:tr>
        <w:trPr>
          <w:trHeight w:val="201"/>
        </w:trPr>
        <w:tc>
          <w:tcPr>
            <w:tcW w:w="8260" w:type="dxa"/>
            <w:vAlign w:val="bottom"/>
          </w:tcPr>
          <w:p>
            <w:pPr>
              <w:ind w:left="240"/>
              <w:spacing w:after="0"/>
              <w:rPr>
                <w:sz w:val="20"/>
                <w:szCs w:val="20"/>
                <w:color w:val="auto"/>
              </w:rPr>
            </w:pPr>
            <w:r>
              <w:rPr>
                <w:rFonts w:ascii="Arial" w:cs="Arial" w:eastAsia="Arial" w:hAnsi="Arial"/>
                <w:sz w:val="16"/>
                <w:szCs w:val="16"/>
                <w:color w:val="auto"/>
              </w:rPr>
              <w:t>Total inventory</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288,047</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0" w:name="page11"/>
    <w:bookmarkEnd w:id="1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left="480" w:right="7660" w:hanging="475"/>
        <w:spacing w:after="0" w:line="414" w:lineRule="auto"/>
        <w:tabs>
          <w:tab w:leader="none" w:pos="34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Company’s goodwill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beginning of period</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211,571</w:t>
            </w:r>
          </w:p>
        </w:tc>
      </w:tr>
      <w:tr>
        <w:trPr>
          <w:trHeight w:val="208"/>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Currency translation adjustment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w:t>
            </w: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period</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214,760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purchased intangible assets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March 31, 2026</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2025</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9"/>
                <w:szCs w:val="9"/>
                <w:color w:val="auto"/>
              </w:rPr>
            </w:pPr>
          </w:p>
        </w:tc>
        <w:tc>
          <w:tcPr>
            <w:tcW w:w="720" w:type="dxa"/>
            <w:vAlign w:val="bottom"/>
            <w:vMerge w:val="restart"/>
          </w:tcPr>
          <w:p>
            <w:pPr>
              <w:jc w:val="right"/>
              <w:ind w:right="305"/>
              <w:spacing w:after="0"/>
              <w:rPr>
                <w:sz w:val="20"/>
                <w:szCs w:val="20"/>
                <w:color w:val="auto"/>
              </w:rPr>
            </w:pPr>
            <w:r>
              <w:rPr>
                <w:rFonts w:ascii="Arial" w:cs="Arial" w:eastAsia="Arial" w:hAnsi="Arial"/>
                <w:sz w:val="12"/>
                <w:szCs w:val="12"/>
                <w:b w:val="1"/>
                <w:bCs w:val="1"/>
                <w:color w:val="auto"/>
              </w:rPr>
              <w:t>Net</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9"/>
                <w:szCs w:val="9"/>
                <w:color w:val="auto"/>
              </w:rPr>
            </w:pPr>
          </w:p>
        </w:tc>
        <w:tc>
          <w:tcPr>
            <w:tcW w:w="760" w:type="dxa"/>
            <w:vAlign w:val="bottom"/>
            <w:vMerge w:val="restart"/>
          </w:tcPr>
          <w:p>
            <w:pPr>
              <w:jc w:val="right"/>
              <w:ind w:right="344"/>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79"/>
        </w:trPr>
        <w:tc>
          <w:tcPr>
            <w:tcW w:w="4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4"/>
          </w:tcPr>
          <w:p>
            <w:pPr>
              <w:jc w:val="right"/>
              <w:ind w:right="484"/>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60" w:type="dxa"/>
            <w:vAlign w:val="bottom"/>
          </w:tcPr>
          <w:p>
            <w:pPr>
              <w:ind w:left="220"/>
              <w:spacing w:after="0"/>
              <w:rPr>
                <w:sz w:val="20"/>
                <w:szCs w:val="20"/>
                <w:color w:val="auto"/>
              </w:rPr>
            </w:pPr>
            <w:r>
              <w:rPr>
                <w:rFonts w:ascii="Arial" w:cs="Arial" w:eastAsia="Arial" w:hAnsi="Arial"/>
                <w:sz w:val="16"/>
                <w:szCs w:val="16"/>
                <w:color w:val="auto"/>
              </w:rPr>
              <w:t>Indefinite-lived intangibles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with finite lives: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60" w:type="dxa"/>
            <w:vAlign w:val="bottom"/>
          </w:tcPr>
          <w:p>
            <w:pPr>
              <w:ind w:left="260"/>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Customer relationships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9,114</w:t>
            </w:r>
          </w:p>
        </w:tc>
        <w:tc>
          <w:tcPr>
            <w:tcW w:w="0" w:type="dxa"/>
            <w:vAlign w:val="bottom"/>
          </w:tcPr>
          <w:p>
            <w:pPr>
              <w:spacing w:after="0"/>
              <w:rPr>
                <w:sz w:val="1"/>
                <w:szCs w:val="1"/>
                <w:color w:val="auto"/>
              </w:rPr>
            </w:pPr>
          </w:p>
        </w:tc>
      </w:tr>
      <w:tr>
        <w:trPr>
          <w:trHeight w:val="208"/>
        </w:trPr>
        <w:tc>
          <w:tcPr>
            <w:tcW w:w="4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Trade-names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7,447</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purchased intangible assets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22,288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During the three months ended March 31, 2026, intangible assets increased by less than $0.1 million due to the impact of foreign currency translation.</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expense related to finite-lived intangible assets was as follows:</w:t>
      </w:r>
    </w:p>
    <w:p>
      <w:pPr>
        <w:spacing w:after="0" w:line="162"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92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1,512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1,867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r>
      <w:tr>
        <w:trPr>
          <w:trHeight w:val="203"/>
        </w:trPr>
        <w:tc>
          <w:tcPr>
            <w:tcW w:w="8280" w:type="dxa"/>
            <w:vAlign w:val="bottom"/>
          </w:tcPr>
          <w:p>
            <w:pPr>
              <w:ind w:left="140"/>
              <w:spacing w:after="0"/>
              <w:rPr>
                <w:sz w:val="20"/>
                <w:szCs w:val="20"/>
                <w:color w:val="auto"/>
              </w:rPr>
            </w:pPr>
            <w:r>
              <w:rPr>
                <w:rFonts w:ascii="Arial" w:cs="Arial" w:eastAsia="Arial" w:hAnsi="Arial"/>
                <w:sz w:val="16"/>
                <w:szCs w:val="16"/>
                <w:color w:val="auto"/>
              </w:rPr>
              <w:t>Total amortization expense</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4,711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Amortization of developed technology is recorded to cost of revenues, amortization of customer relationships and trade-names are recorded to sales and marketing expense, and amortization of certain customer relationships is recorded as a reduction to revenue.</w:t>
      </w:r>
    </w:p>
    <w:p>
      <w:pPr>
        <w:sectPr>
          <w:pgSz w:w="11900" w:h="16838" w:orient="portrait"/>
          <w:cols w:equalWidth="0" w:num="1">
            <w:col w:w="11240"/>
          </w:cols>
          <w:pgMar w:left="320" w:top="279" w:right="339" w:bottom="1440" w:gutter="0" w:footer="0" w:header="0"/>
        </w:sectPr>
      </w:pP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expected future amortization expense of intangible assets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136765" cy="132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year:</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2026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765" cy="132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2027</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March 31,</w:t>
      </w:r>
    </w:p>
    <w:p>
      <w:pPr>
        <w:jc w:val="center"/>
        <w:ind w:right="3"/>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wp:posOffset>
            </wp:positionV>
            <wp:extent cx="913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3" w:lineRule="exact"/>
        <w:rPr>
          <w:sz w:val="20"/>
          <w:szCs w:val="20"/>
          <w:color w:val="auto"/>
        </w:rPr>
      </w:pPr>
    </w:p>
    <w:p>
      <w:pPr>
        <w:ind w:left="257"/>
        <w:spacing w:after="0"/>
        <w:rPr>
          <w:sz w:val="20"/>
          <w:szCs w:val="20"/>
          <w:color w:val="auto"/>
        </w:rPr>
      </w:pPr>
      <w:r>
        <w:rPr>
          <w:rFonts w:ascii="Arial" w:cs="Arial" w:eastAsia="Arial" w:hAnsi="Arial"/>
          <w:sz w:val="14"/>
          <w:szCs w:val="14"/>
          <w:i w:val="1"/>
          <w:iCs w:val="1"/>
          <w:color w:val="auto"/>
        </w:rPr>
        <w:t>(In thousands)</w:t>
      </w:r>
    </w:p>
    <w:p>
      <w:pPr>
        <w:spacing w:after="0" w:line="239" w:lineRule="exact"/>
        <w:rPr>
          <w:sz w:val="20"/>
          <w:szCs w:val="20"/>
          <w:color w:val="auto"/>
        </w:rPr>
      </w:pPr>
    </w:p>
    <w:p>
      <w:pPr>
        <w:ind w:left="877" w:hanging="877"/>
        <w:spacing w:after="0"/>
        <w:tabs>
          <w:tab w:leader="none" w:pos="877" w:val="left"/>
        </w:tabs>
        <w:numPr>
          <w:ilvl w:val="0"/>
          <w:numId w:val="6"/>
        </w:numPr>
        <w:rPr>
          <w:rFonts w:ascii="Arial" w:cs="Arial" w:eastAsia="Arial" w:hAnsi="Arial"/>
          <w:sz w:val="15"/>
          <w:szCs w:val="15"/>
          <w:color w:val="auto"/>
        </w:rPr>
      </w:pPr>
      <w:r>
        <w:rPr>
          <w:rFonts w:ascii="Arial" w:cs="Arial" w:eastAsia="Arial" w:hAnsi="Arial"/>
          <w:sz w:val="15"/>
          <w:szCs w:val="15"/>
          <w:color w:val="auto"/>
        </w:rPr>
        <w:t>13,233</w:t>
      </w:r>
    </w:p>
    <w:p>
      <w:pPr>
        <w:spacing w:after="0" w:line="36" w:lineRule="exact"/>
        <w:rPr>
          <w:rFonts w:ascii="Arial" w:cs="Arial" w:eastAsia="Arial" w:hAnsi="Arial"/>
          <w:sz w:val="15"/>
          <w:szCs w:val="15"/>
          <w:color w:val="auto"/>
        </w:rPr>
      </w:pPr>
    </w:p>
    <w:p>
      <w:pPr>
        <w:ind w:left="957"/>
        <w:spacing w:after="0"/>
        <w:rPr>
          <w:rFonts w:ascii="Arial" w:cs="Arial" w:eastAsia="Arial" w:hAnsi="Arial"/>
          <w:sz w:val="15"/>
          <w:szCs w:val="15"/>
          <w:color w:val="auto"/>
        </w:rPr>
      </w:pPr>
      <w:r>
        <w:rPr>
          <w:rFonts w:ascii="Arial" w:cs="Arial" w:eastAsia="Arial" w:hAnsi="Arial"/>
          <w:sz w:val="15"/>
          <w:szCs w:val="15"/>
          <w:color w:val="auto"/>
        </w:rPr>
        <w:t>4,043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wp:posOffset>
            </wp:positionV>
            <wp:extent cx="913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30" w:lineRule="exact"/>
        <w:rPr>
          <w:sz w:val="20"/>
          <w:szCs w:val="20"/>
          <w:color w:val="auto"/>
        </w:rPr>
      </w:pPr>
    </w:p>
    <w:p>
      <w:pPr>
        <w:ind w:left="877" w:hanging="877"/>
        <w:spacing w:after="0"/>
        <w:tabs>
          <w:tab w:leader="none" w:pos="877" w:val="left"/>
        </w:tabs>
        <w:numPr>
          <w:ilvl w:val="0"/>
          <w:numId w:val="7"/>
        </w:numPr>
        <w:rPr>
          <w:rFonts w:ascii="Arial" w:cs="Arial" w:eastAsia="Arial" w:hAnsi="Arial"/>
          <w:sz w:val="15"/>
          <w:szCs w:val="15"/>
          <w:color w:val="auto"/>
        </w:rPr>
      </w:pPr>
      <w:r>
        <w:rPr>
          <w:rFonts w:ascii="Arial" w:cs="Arial" w:eastAsia="Arial" w:hAnsi="Arial"/>
          <w:sz w:val="15"/>
          <w:szCs w:val="15"/>
          <w:color w:val="auto"/>
        </w:rPr>
        <w:t>17,276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wp:posOffset>
            </wp:positionV>
            <wp:extent cx="913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47625</wp:posOffset>
            </wp:positionV>
            <wp:extent cx="913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103" w:space="720"/>
            <w:col w:w="1417"/>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1" w:name="page12"/>
    <w:bookmarkEnd w:id="1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5"/>
        <w:spacing w:after="0"/>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CASH EQUIVALENTS AND MARKETABLE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Cash equivalents and marketable securities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rPr>
              <w:t>March 31, 2026</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41"/>
        </w:trPr>
        <w:tc>
          <w:tcPr>
            <w:tcW w:w="3500" w:type="dxa"/>
            <w:vAlign w:val="bottom"/>
          </w:tcPr>
          <w:p>
            <w:pPr>
              <w:spacing w:after="0"/>
              <w:rPr>
                <w:sz w:val="12"/>
                <w:szCs w:val="12"/>
                <w:color w:val="auto"/>
              </w:rPr>
            </w:pPr>
          </w:p>
        </w:tc>
        <w:tc>
          <w:tcPr>
            <w:tcW w:w="1320" w:type="dxa"/>
            <w:vAlign w:val="bottom"/>
            <w:gridSpan w:val="3"/>
          </w:tcPr>
          <w:p>
            <w:pPr>
              <w:ind w:left="100"/>
              <w:spacing w:after="0" w:line="141" w:lineRule="exact"/>
              <w:rPr>
                <w:sz w:val="20"/>
                <w:szCs w:val="20"/>
                <w:color w:val="auto"/>
              </w:rPr>
            </w:pPr>
            <w:r>
              <w:rPr>
                <w:rFonts w:ascii="Arial" w:cs="Arial" w:eastAsia="Arial" w:hAnsi="Arial"/>
                <w:sz w:val="14"/>
                <w:szCs w:val="14"/>
                <w:b w:val="1"/>
                <w:bCs w:val="1"/>
                <w:color w:val="auto"/>
              </w:rPr>
              <w:t>Amortized Cost</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2"/>
                <w:szCs w:val="12"/>
                <w:color w:val="auto"/>
              </w:rPr>
            </w:pPr>
          </w:p>
        </w:tc>
        <w:tc>
          <w:tcPr>
            <w:tcW w:w="1120" w:type="dxa"/>
            <w:vAlign w:val="bottom"/>
            <w:gridSpan w:val="3"/>
          </w:tcPr>
          <w:p>
            <w:pPr>
              <w:ind w:left="80"/>
              <w:spacing w:after="0" w:line="141" w:lineRule="exact"/>
              <w:rPr>
                <w:sz w:val="20"/>
                <w:szCs w:val="20"/>
                <w:color w:val="auto"/>
              </w:rPr>
            </w:pPr>
            <w:r>
              <w:rPr>
                <w:rFonts w:ascii="Arial" w:cs="Arial" w:eastAsia="Arial" w:hAnsi="Arial"/>
                <w:sz w:val="14"/>
                <w:szCs w:val="14"/>
                <w:b w:val="1"/>
                <w:bCs w:val="1"/>
                <w:color w:val="auto"/>
              </w:rPr>
              <w:t>Fair Value</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2"/>
                <w:szCs w:val="12"/>
                <w:color w:val="auto"/>
              </w:rPr>
            </w:pPr>
          </w:p>
        </w:tc>
        <w:tc>
          <w:tcPr>
            <w:tcW w:w="1020" w:type="dxa"/>
            <w:vAlign w:val="bottom"/>
          </w:tcPr>
          <w:p>
            <w:pPr>
              <w:jc w:val="center"/>
              <w:ind w:right="104"/>
              <w:spacing w:after="0" w:line="141" w:lineRule="exact"/>
              <w:rPr>
                <w:sz w:val="20"/>
                <w:szCs w:val="20"/>
                <w:color w:val="auto"/>
              </w:rPr>
            </w:pPr>
            <w:r>
              <w:rPr>
                <w:rFonts w:ascii="Arial" w:cs="Arial" w:eastAsia="Arial" w:hAnsi="Arial"/>
                <w:sz w:val="14"/>
                <w:szCs w:val="14"/>
                <w:b w:val="1"/>
                <w:bCs w:val="1"/>
                <w:color w:val="auto"/>
                <w:w w:val="98"/>
              </w:rPr>
              <w:t>Marketable</w:t>
            </w:r>
          </w:p>
        </w:tc>
      </w:tr>
      <w:tr>
        <w:trPr>
          <w:trHeight w:val="179"/>
        </w:trPr>
        <w:tc>
          <w:tcPr>
            <w:tcW w:w="3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Securities</w:t>
            </w:r>
          </w:p>
        </w:tc>
      </w:tr>
      <w:tr>
        <w:trPr>
          <w:trHeight w:val="224"/>
        </w:trPr>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4"/>
                <w:szCs w:val="14"/>
                <w:i w:val="1"/>
                <w:iCs w:val="1"/>
                <w:color w:val="auto"/>
                <w:w w:val="98"/>
              </w:rPr>
              <w:t>(In thousands)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41,624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6,204</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150,617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150,749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150,749</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agency securities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272,270</w:t>
            </w:r>
          </w:p>
        </w:tc>
      </w:tr>
      <w:tr>
        <w:trPr>
          <w:trHeight w:val="201"/>
        </w:trPr>
        <w:tc>
          <w:tcPr>
            <w:tcW w:w="350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474,581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474,719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41,624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433,095</w:t>
            </w: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1"/>
        </w:trPr>
        <w:tc>
          <w:tcPr>
            <w:tcW w:w="3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9"/>
              </w:rPr>
              <w:t>December 31, 2025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7"/>
        </w:trPr>
        <w:tc>
          <w:tcPr>
            <w:tcW w:w="3500" w:type="dxa"/>
            <w:vAlign w:val="bottom"/>
          </w:tcPr>
          <w:p>
            <w:pPr>
              <w:spacing w:after="0"/>
              <w:rPr>
                <w:sz w:val="11"/>
                <w:szCs w:val="11"/>
                <w:color w:val="auto"/>
              </w:rPr>
            </w:pPr>
          </w:p>
        </w:tc>
        <w:tc>
          <w:tcPr>
            <w:tcW w:w="1320" w:type="dxa"/>
            <w:vAlign w:val="bottom"/>
            <w:gridSpan w:val="3"/>
          </w:tcPr>
          <w:p>
            <w:pPr>
              <w:ind w:left="100"/>
              <w:spacing w:after="0" w:line="137" w:lineRule="exact"/>
              <w:rPr>
                <w:sz w:val="20"/>
                <w:szCs w:val="20"/>
                <w:color w:val="auto"/>
              </w:rPr>
            </w:pPr>
            <w:r>
              <w:rPr>
                <w:rFonts w:ascii="Arial" w:cs="Arial" w:eastAsia="Arial" w:hAnsi="Arial"/>
                <w:sz w:val="14"/>
                <w:szCs w:val="14"/>
                <w:b w:val="1"/>
                <w:bCs w:val="1"/>
                <w:color w:val="auto"/>
              </w:rPr>
              <w:t>Amortized Cost</w:t>
            </w:r>
          </w:p>
        </w:tc>
        <w:tc>
          <w:tcPr>
            <w:tcW w:w="130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Gross Unrealized</w:t>
            </w:r>
          </w:p>
        </w:tc>
        <w:tc>
          <w:tcPr>
            <w:tcW w:w="130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1"/>
                <w:szCs w:val="11"/>
                <w:color w:val="auto"/>
              </w:rPr>
            </w:pPr>
          </w:p>
        </w:tc>
        <w:tc>
          <w:tcPr>
            <w:tcW w:w="1120" w:type="dxa"/>
            <w:vAlign w:val="bottom"/>
            <w:gridSpan w:val="3"/>
          </w:tcPr>
          <w:p>
            <w:pPr>
              <w:ind w:left="80"/>
              <w:spacing w:after="0" w:line="137" w:lineRule="exact"/>
              <w:rPr>
                <w:sz w:val="20"/>
                <w:szCs w:val="20"/>
                <w:color w:val="auto"/>
              </w:rPr>
            </w:pPr>
            <w:r>
              <w:rPr>
                <w:rFonts w:ascii="Arial" w:cs="Arial" w:eastAsia="Arial" w:hAnsi="Arial"/>
                <w:sz w:val="14"/>
                <w:szCs w:val="14"/>
                <w:b w:val="1"/>
                <w:bCs w:val="1"/>
                <w:color w:val="auto"/>
              </w:rPr>
              <w:t>Fair Value</w:t>
            </w:r>
          </w:p>
        </w:tc>
        <w:tc>
          <w:tcPr>
            <w:tcW w:w="130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1"/>
                <w:szCs w:val="11"/>
                <w:color w:val="auto"/>
              </w:rPr>
            </w:pPr>
          </w:p>
        </w:tc>
        <w:tc>
          <w:tcPr>
            <w:tcW w:w="1020" w:type="dxa"/>
            <w:vAlign w:val="bottom"/>
          </w:tcPr>
          <w:p>
            <w:pPr>
              <w:jc w:val="center"/>
              <w:ind w:right="104"/>
              <w:spacing w:after="0" w:line="137" w:lineRule="exact"/>
              <w:rPr>
                <w:sz w:val="20"/>
                <w:szCs w:val="20"/>
                <w:color w:val="auto"/>
              </w:rPr>
            </w:pPr>
            <w:r>
              <w:rPr>
                <w:rFonts w:ascii="Arial" w:cs="Arial" w:eastAsia="Arial" w:hAnsi="Arial"/>
                <w:sz w:val="14"/>
                <w:szCs w:val="14"/>
                <w:b w:val="1"/>
                <w:bCs w:val="1"/>
                <w:color w:val="auto"/>
                <w:w w:val="98"/>
              </w:rPr>
              <w:t>Marketable</w:t>
            </w:r>
          </w:p>
        </w:tc>
      </w:tr>
      <w:tr>
        <w:trPr>
          <w:trHeight w:val="183"/>
        </w:trPr>
        <w:tc>
          <w:tcPr>
            <w:tcW w:w="3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Securities</w:t>
            </w:r>
          </w:p>
        </w:tc>
      </w:tr>
      <w:tr>
        <w:trPr>
          <w:trHeight w:val="224"/>
        </w:trPr>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4"/>
                <w:szCs w:val="14"/>
                <w:i w:val="1"/>
                <w:iCs w:val="1"/>
                <w:color w:val="auto"/>
                <w:w w:val="98"/>
              </w:rPr>
              <w:t>(In thousands)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186,677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14,515</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371,895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373,383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373,383</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63,754</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U.S. Government agency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572,311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573,976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573,976</w:t>
            </w:r>
          </w:p>
        </w:tc>
      </w:tr>
      <w:tr>
        <w:trPr>
          <w:trHeight w:val="227"/>
        </w:trPr>
        <w:tc>
          <w:tcPr>
            <w:tcW w:w="3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1,266,888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1,270,083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231,547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1,038,536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contractual maturities of the Company’s cash equivalents and marketable securities as of March 31,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313,551</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within one to three years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161,168</w:t>
            </w:r>
          </w:p>
        </w:tc>
      </w:tr>
      <w:tr>
        <w:trPr>
          <w:trHeight w:val="22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474,719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All available-for-sale securities have been classified as current, based on management's intent and ability to use the funds in current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7560" w:firstLine="5"/>
        <w:spacing w:after="0" w:line="386" w:lineRule="auto"/>
        <w:tabs>
          <w:tab w:leader="none" w:pos="339"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FINANCIAL INFORMATION Prepaid Expenses and Other Current Assets</w:t>
      </w:r>
    </w:p>
    <w:p>
      <w:pPr>
        <w:ind w:left="480"/>
        <w:spacing w:after="0"/>
        <w:rPr>
          <w:rFonts w:ascii="Arial" w:cs="Arial" w:eastAsia="Arial" w:hAnsi="Arial"/>
          <w:sz w:val="17"/>
          <w:szCs w:val="17"/>
          <w:b w:val="1"/>
          <w:bCs w:val="1"/>
          <w:color w:val="auto"/>
        </w:rPr>
      </w:pPr>
      <w:r>
        <w:rPr>
          <w:rFonts w:ascii="Arial" w:cs="Arial" w:eastAsia="Arial" w:hAnsi="Arial"/>
          <w:sz w:val="17"/>
          <w:szCs w:val="17"/>
          <w:color w:val="auto"/>
        </w:rPr>
        <w:t>Prepaid expenses and other current assets consist of the following:</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164"/>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7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r>
      <w:tr>
        <w:trPr>
          <w:trHeight w:val="224"/>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4"/>
          </w:tcPr>
          <w:p>
            <w:pPr>
              <w:jc w:val="right"/>
              <w:ind w:right="92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income tax</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354,080</w:t>
            </w:r>
          </w:p>
        </w:tc>
      </w:tr>
      <w:tr>
        <w:trPr>
          <w:trHeight w:val="208"/>
        </w:trPr>
        <w:tc>
          <w:tcPr>
            <w:tcW w:w="7900" w:type="dxa"/>
            <w:vAlign w:val="bottom"/>
          </w:tcPr>
          <w:p>
            <w:pPr>
              <w:ind w:left="20"/>
              <w:spacing w:after="0"/>
              <w:rPr>
                <w:sz w:val="20"/>
                <w:szCs w:val="20"/>
                <w:color w:val="auto"/>
              </w:rPr>
            </w:pPr>
            <w:r>
              <w:rPr>
                <w:rFonts w:ascii="Arial" w:cs="Arial" w:eastAsia="Arial" w:hAnsi="Arial"/>
                <w:sz w:val="16"/>
                <w:szCs w:val="16"/>
                <w:color w:val="auto"/>
              </w:rPr>
              <w:t>Grant receivable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76,621</w:t>
            </w:r>
          </w:p>
        </w:tc>
      </w:tr>
      <w:tr>
        <w:trPr>
          <w:trHeight w:val="210"/>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 receivable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48,324</w:t>
            </w:r>
          </w:p>
        </w:tc>
      </w:tr>
      <w:tr>
        <w:trPr>
          <w:trHeight w:val="208"/>
        </w:trPr>
        <w:tc>
          <w:tcPr>
            <w:tcW w:w="7900" w:type="dxa"/>
            <w:vAlign w:val="bottom"/>
          </w:tcPr>
          <w:p>
            <w:pPr>
              <w:ind w:left="20"/>
              <w:spacing w:after="0"/>
              <w:rPr>
                <w:sz w:val="20"/>
                <w:szCs w:val="20"/>
                <w:color w:val="auto"/>
              </w:rPr>
            </w:pPr>
            <w:r>
              <w:rPr>
                <w:rFonts w:ascii="Arial" w:cs="Arial" w:eastAsia="Arial" w:hAnsi="Arial"/>
                <w:sz w:val="16"/>
                <w:szCs w:val="16"/>
                <w:color w:val="auto"/>
              </w:rPr>
              <w:t>Short-term contract assets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35,976</w:t>
            </w: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61,077</w:t>
            </w:r>
          </w:p>
        </w:tc>
      </w:tr>
      <w:tr>
        <w:trPr>
          <w:trHeight w:val="203"/>
        </w:trPr>
        <w:tc>
          <w:tcPr>
            <w:tcW w:w="7900" w:type="dxa"/>
            <w:vAlign w:val="bottom"/>
          </w:tcPr>
          <w:p>
            <w:pPr>
              <w:ind w:left="120"/>
              <w:spacing w:after="0"/>
              <w:rPr>
                <w:sz w:val="20"/>
                <w:szCs w:val="20"/>
                <w:color w:val="auto"/>
              </w:rPr>
            </w:pPr>
            <w:r>
              <w:rPr>
                <w:rFonts w:ascii="Arial" w:cs="Arial" w:eastAsia="Arial" w:hAnsi="Arial"/>
                <w:sz w:val="16"/>
                <w:szCs w:val="16"/>
                <w:color w:val="auto"/>
              </w:rPr>
              <w:t>Total prepaid expenses and other current assets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576,078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Liabilities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Accrued liabilities consist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rebates and sales incentives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79,585</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Liability due to supply and service agreements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62,789</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Duties and tariffs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30,499</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Freight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8,034</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4,919</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8,211</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VAT payable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related to restructuring accruals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11,384</w:t>
            </w:r>
          </w:p>
        </w:tc>
      </w:tr>
      <w:tr>
        <w:trPr>
          <w:trHeight w:val="228"/>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accrued liabilities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40" w:hanging="335"/>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GOVERNMENT GRANTS</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Government grants represent benefits provided by federal, state, or local governments that are not subject to the scope of Accounting Standards Codification (“ASC”) 740. The Company recognizes a grant when it has reasonable assurance that it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spacing w:after="0" w:line="6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August 2022, the United States enacted the Inflation Reduction Act of 2022 (“IRA”), which includes credits under the Advanced Manufacturing Production Tax Credit (“AMPTC”), to incentivize clean energy component sourcing and production, including for the production of microinverters. The IRA provides for an AMPTC on microinverters of 11 cents per alternating current watt basis. The AMPTC on microinverters decreases by 25% each year beginning in 2030 and ending after 2032. The Company recognized credits under AMPTC as a reduction to cost of revenues in the consolidated statements of operations for the microinverters manufactured in the United States and sold to customers. Such credit is also reflected as an increase to grant receivable or prepaid income tax on the Company’s condensed consolidated balance sheets within prepaid expenses and other current assets.</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benefits recognized from AMPTC in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 w:name="page14"/>
    <w:bookmarkEnd w:id="1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Arial" w:cs="Arial" w:eastAsia="Arial" w:hAnsi="Arial"/>
                <w:sz w:val="14"/>
                <w:szCs w:val="14"/>
                <w:b w:val="1"/>
                <w:bCs w:val="1"/>
                <w:color w:val="auto"/>
                <w:w w:val="95"/>
              </w:rPr>
              <w:t>March 31,</w:t>
            </w:r>
          </w:p>
        </w:tc>
      </w:tr>
      <w:tr>
        <w:trPr>
          <w:trHeight w:val="179"/>
        </w:trPr>
        <w:tc>
          <w:tcPr>
            <w:tcW w:w="110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r>
      <w:tr>
        <w:trPr>
          <w:trHeight w:val="185"/>
        </w:trPr>
        <w:tc>
          <w:tcPr>
            <w:tcW w:w="11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6"/>
                <w:szCs w:val="16"/>
                <w:color w:val="auto"/>
              </w:rPr>
            </w:pPr>
          </w:p>
        </w:tc>
      </w:tr>
      <w:tr>
        <w:trPr>
          <w:trHeight w:val="21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Transactions recorded to cost of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8280" w:type="dxa"/>
            <w:vAlign w:val="bottom"/>
            <w:gridSpan w:val="2"/>
          </w:tcPr>
          <w:p>
            <w:pPr>
              <w:ind w:left="20"/>
              <w:spacing w:after="0"/>
              <w:rPr>
                <w:sz w:val="20"/>
                <w:szCs w:val="20"/>
                <w:color w:val="auto"/>
              </w:rPr>
            </w:pPr>
            <w:r>
              <w:rPr>
                <w:rFonts w:ascii="Arial" w:cs="Arial" w:eastAsia="Arial" w:hAnsi="Arial"/>
                <w:sz w:val="16"/>
                <w:szCs w:val="16"/>
                <w:color w:val="auto"/>
              </w:rPr>
              <w:t>AMPTC generated</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59,812</w:t>
            </w:r>
          </w:p>
        </w:tc>
        <w:tc>
          <w:tcPr>
            <w:tcW w:w="80" w:type="dxa"/>
            <w:vAlign w:val="bottom"/>
          </w:tcPr>
          <w:p>
            <w:pPr>
              <w:spacing w:after="0"/>
              <w:rPr>
                <w:sz w:val="18"/>
                <w:szCs w:val="18"/>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53,631</w:t>
            </w:r>
          </w:p>
        </w:tc>
      </w:tr>
      <w:tr>
        <w:trPr>
          <w:trHeight w:val="210"/>
        </w:trPr>
        <w:tc>
          <w:tcPr>
            <w:tcW w:w="82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Loss from sale of AMPTC generated during 2025</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Adjustments to record AMPTC generated in period at fair value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benefit from AMPTC reducing cost of revenues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35,687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53,631</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1100" w:type="dxa"/>
            <w:vAlign w:val="bottom"/>
            <w:tcBorders>
              <w:bottom w:val="single" w:sz="8" w:color="auto"/>
            </w:tcBorders>
          </w:tcPr>
          <w:p>
            <w:pPr>
              <w:spacing w:after="0"/>
              <w:rPr>
                <w:sz w:val="14"/>
                <w:szCs w:val="14"/>
                <w:color w:val="auto"/>
              </w:rPr>
            </w:pPr>
          </w:p>
        </w:tc>
        <w:tc>
          <w:tcPr>
            <w:tcW w:w="7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5" w:lineRule="exact"/>
        <w:rPr>
          <w:sz w:val="20"/>
          <w:szCs w:val="20"/>
          <w:color w:val="auto"/>
        </w:rPr>
      </w:pPr>
    </w:p>
    <w:p>
      <w:pPr>
        <w:ind w:firstLine="5"/>
        <w:spacing w:after="0" w:line="298" w:lineRule="auto"/>
        <w:tabs>
          <w:tab w:leader="none" w:pos="26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March 2026, the Company entered into an agreement for the sale of $235.0 million of AMPTC it generated during 2025 at 93% face value, resulting in a discount of approximately $16.5 million. The Company also incurred approximately $2.5 million in transaction-related fees.</w:t>
      </w:r>
    </w:p>
    <w:p>
      <w:pPr>
        <w:spacing w:after="0" w:line="35" w:lineRule="exact"/>
        <w:rPr>
          <w:sz w:val="20"/>
          <w:szCs w:val="20"/>
          <w:color w:val="auto"/>
        </w:rPr>
      </w:pPr>
    </w:p>
    <w:p>
      <w:pPr>
        <w:ind w:left="340" w:hanging="335"/>
        <w:spacing w:after="0"/>
        <w:tabs>
          <w:tab w:leader="none" w:pos="3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WARRANTY OBLIGATIONS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warranty obligation activities were as follows:</w:t>
      </w:r>
    </w:p>
    <w:p>
      <w:pPr>
        <w:spacing w:after="0" w:line="162"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224"/>
        </w:trPr>
        <w:tc>
          <w:tcPr>
            <w:tcW w:w="110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Warranty obligations, beginning of period</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192,889</w:t>
            </w:r>
          </w:p>
        </w:tc>
      </w:tr>
      <w:tr>
        <w:trPr>
          <w:trHeight w:val="208"/>
        </w:trPr>
        <w:tc>
          <w:tcPr>
            <w:tcW w:w="8260" w:type="dxa"/>
            <w:vAlign w:val="bottom"/>
            <w:gridSpan w:val="2"/>
          </w:tcPr>
          <w:p>
            <w:pPr>
              <w:ind w:left="22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7,309</w:t>
            </w:r>
          </w:p>
        </w:tc>
      </w:tr>
      <w:tr>
        <w:trPr>
          <w:trHeight w:val="210"/>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Expense (benefit) from changes in estimates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7,721</w:t>
            </w:r>
          </w:p>
        </w:tc>
      </w:tr>
      <w:tr>
        <w:trPr>
          <w:trHeight w:val="208"/>
        </w:trPr>
        <w:tc>
          <w:tcPr>
            <w:tcW w:w="8260" w:type="dxa"/>
            <w:vAlign w:val="bottom"/>
            <w:gridSpan w:val="2"/>
          </w:tcPr>
          <w:p>
            <w:pPr>
              <w:ind w:left="22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(6,582)</w:t>
            </w:r>
          </w:p>
        </w:tc>
      </w:tr>
      <w:tr>
        <w:trPr>
          <w:trHeight w:val="210"/>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r>
      <w:tr>
        <w:trPr>
          <w:trHeight w:val="209"/>
        </w:trPr>
        <w:tc>
          <w:tcPr>
            <w:tcW w:w="8260" w:type="dxa"/>
            <w:vAlign w:val="bottom"/>
            <w:gridSpan w:val="2"/>
          </w:tcPr>
          <w:p>
            <w:pPr>
              <w:ind w:left="240"/>
              <w:spacing w:after="0" w:line="209" w:lineRule="exact"/>
              <w:rPr>
                <w:sz w:val="20"/>
                <w:szCs w:val="20"/>
                <w:color w:val="auto"/>
              </w:rPr>
            </w:pPr>
            <w:r>
              <w:rPr>
                <w:rFonts w:ascii="Arial" w:cs="Arial" w:eastAsia="Arial" w:hAnsi="Arial"/>
                <w:sz w:val="16"/>
                <w:szCs w:val="16"/>
                <w:color w:val="auto"/>
              </w:rPr>
              <w:t>Change in profit element and risk premium</w:t>
            </w:r>
            <w:r>
              <w:rPr>
                <w:rFonts w:ascii="Arial" w:cs="Arial" w:eastAsia="Arial" w:hAnsi="Arial"/>
                <w:sz w:val="20"/>
                <w:szCs w:val="20"/>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09"/>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r>
      <w:tr>
        <w:trPr>
          <w:trHeight w:val="201"/>
        </w:trPr>
        <w:tc>
          <w:tcPr>
            <w:tcW w:w="8260" w:type="dxa"/>
            <w:vAlign w:val="bottom"/>
            <w:gridSpan w:val="2"/>
          </w:tcPr>
          <w:p>
            <w:pPr>
              <w:ind w:left="20"/>
              <w:spacing w:after="0"/>
              <w:rPr>
                <w:sz w:val="20"/>
                <w:szCs w:val="20"/>
                <w:color w:val="auto"/>
              </w:rPr>
            </w:pPr>
            <w:r>
              <w:rPr>
                <w:rFonts w:ascii="Arial" w:cs="Arial" w:eastAsia="Arial" w:hAnsi="Arial"/>
                <w:sz w:val="16"/>
                <w:szCs w:val="16"/>
                <w:color w:val="auto"/>
              </w:rPr>
              <w:t>Warranty obligations, end of period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204,207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203,447</w:t>
            </w:r>
          </w:p>
        </w:tc>
      </w:tr>
      <w:tr>
        <w:trPr>
          <w:trHeight w:val="21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warranty obligations, 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(33,298)</w:t>
            </w:r>
          </w:p>
        </w:tc>
      </w:tr>
      <w:tr>
        <w:trPr>
          <w:trHeight w:val="201"/>
        </w:trPr>
        <w:tc>
          <w:tcPr>
            <w:tcW w:w="8260" w:type="dxa"/>
            <w:vAlign w:val="bottom"/>
            <w:gridSpan w:val="2"/>
          </w:tcPr>
          <w:p>
            <w:pPr>
              <w:ind w:left="240"/>
              <w:spacing w:after="0"/>
              <w:rPr>
                <w:sz w:val="20"/>
                <w:szCs w:val="20"/>
                <w:color w:val="auto"/>
              </w:rPr>
            </w:pPr>
            <w:r>
              <w:rPr>
                <w:rFonts w:ascii="Arial" w:cs="Arial" w:eastAsia="Arial" w:hAnsi="Arial"/>
                <w:sz w:val="16"/>
                <w:szCs w:val="16"/>
                <w:color w:val="auto"/>
              </w:rPr>
              <w:t>Warranty obligations, non-current</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175,795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170,149</w:t>
            </w:r>
          </w:p>
        </w:tc>
      </w:tr>
      <w:tr>
        <w:trPr>
          <w:trHeight w:val="20"/>
        </w:trPr>
        <w:tc>
          <w:tcPr>
            <w:tcW w:w="11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5"/>
        </w:trPr>
        <w:tc>
          <w:tcPr>
            <w:tcW w:w="1100" w:type="dxa"/>
            <w:vAlign w:val="bottom"/>
            <w:tcBorders>
              <w:bottom w:val="single" w:sz="8" w:color="auto"/>
            </w:tcBorders>
          </w:tcPr>
          <w:p>
            <w:pPr>
              <w:spacing w:after="0"/>
              <w:rPr>
                <w:sz w:val="18"/>
                <w:szCs w:val="18"/>
                <w:color w:val="auto"/>
              </w:rPr>
            </w:pPr>
          </w:p>
        </w:tc>
        <w:tc>
          <w:tcPr>
            <w:tcW w:w="7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18" w:lineRule="exact"/>
        <w:rPr>
          <w:sz w:val="20"/>
          <w:szCs w:val="20"/>
          <w:color w:val="auto"/>
        </w:rPr>
      </w:pPr>
    </w:p>
    <w:p>
      <w:pPr>
        <w:ind w:firstLine="5"/>
        <w:spacing w:after="0" w:line="298" w:lineRule="auto"/>
        <w:tabs>
          <w:tab w:leader="none" w:pos="27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9</w:t>
      </w:r>
      <w:r>
        <w:rPr>
          <w:rFonts w:ascii="Arial" w:cs="Arial" w:eastAsia="Arial" w:hAnsi="Arial"/>
          <w:sz w:val="17"/>
          <w:szCs w:val="17"/>
          <w:color w:val="auto"/>
        </w:rPr>
        <w:t>, “Fair Value Measurements,” for additional information about the monetary impact for changes in the profit element and risk premium.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Estimates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battery and related accessories. The changes in estimates discussed below resulted from consideration of new or additional information becoming available and subsequent developments. Changes in estimates included in the table above were comprised of the following:</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 the three months ended March 31, 2026, the Company recorded $7.4 million in warranty benefit from changes in estimates, primarily due to change in replacement costs from lower tariff costs to be incurred.</w:t>
      </w:r>
    </w:p>
    <w:p>
      <w:pPr>
        <w:spacing w:after="0" w:line="37"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In the three months ended March 31, 2025, the Company recorded $7.7 million in warranty expense from changes in estimates, of which $5.9 million related to estimated additional tariff costs to be incurred on product replacement costs and $1.8 million related to continuing analysis of field performance data and diagnostic root-cause failure analysis primarily for prior generation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5"/>
        <w:spacing w:after="0"/>
        <w:tabs>
          <w:tab w:leader="none" w:pos="3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7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5" w:lineRule="exact"/>
        <w:rPr>
          <w:sz w:val="20"/>
          <w:szCs w:val="20"/>
          <w:color w:val="auto"/>
        </w:rPr>
      </w:pPr>
    </w:p>
    <w:p>
      <w:pPr>
        <w:jc w:val="both"/>
        <w:ind w:left="640" w:hanging="322"/>
        <w:spacing w:after="0" w:line="277"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55" w:lineRule="exact"/>
        <w:rPr>
          <w:rFonts w:ascii="Arial" w:cs="Arial" w:eastAsia="Arial" w:hAnsi="Arial"/>
          <w:sz w:val="17"/>
          <w:szCs w:val="17"/>
          <w:color w:val="auto"/>
        </w:rPr>
      </w:pPr>
    </w:p>
    <w:p>
      <w:pPr>
        <w:ind w:left="640" w:hanging="322"/>
        <w:spacing w:after="0" w:line="29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2 - Valuations based on one or more quoted prices in markets that are not active or for which all significant inputs are observable, either directly or indirectly.</w:t>
      </w:r>
    </w:p>
    <w:p>
      <w:pPr>
        <w:spacing w:after="0" w:line="37"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assets and liabilities measured at fair value on a recurring basis using the above input categories: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2025</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4"/>
          </w:tcPr>
          <w:p>
            <w:pPr>
              <w:jc w:val="right"/>
              <w:ind w:right="722"/>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tcPr>
          <w:p>
            <w:pPr>
              <w:ind w:left="140"/>
              <w:spacing w:after="0"/>
              <w:rPr>
                <w:sz w:val="20"/>
                <w:szCs w:val="20"/>
                <w:color w:val="auto"/>
              </w:rPr>
            </w:pPr>
            <w:r>
              <w:rPr>
                <w:rFonts w:ascii="Arial" w:cs="Arial" w:eastAsia="Arial" w:hAnsi="Arial"/>
                <w:sz w:val="16"/>
                <w:szCs w:val="16"/>
                <w:i w:val="1"/>
                <w:iCs w:val="1"/>
                <w:color w:val="auto"/>
              </w:rPr>
              <w:t>Cash equivalents: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14,985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Treasuries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Certificates of deposit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12,908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notes and bonds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150,749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373,383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U.S. Treasuries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63,754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Government agency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573,976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debt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55,046</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Investment in equity instruments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tax equity fund</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41,624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439,395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60,707</w:t>
            </w:r>
          </w:p>
        </w:tc>
        <w:tc>
          <w:tcPr>
            <w:tcW w:w="100" w:type="dxa"/>
            <w:vAlign w:val="bottom"/>
          </w:tcPr>
          <w:p>
            <w:pPr>
              <w:spacing w:after="0"/>
              <w:rPr>
                <w:sz w:val="17"/>
                <w:szCs w:val="17"/>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186,677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1,089,706</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60,800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Warranty obligations: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Current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23,325</w:t>
            </w:r>
          </w:p>
        </w:tc>
        <w:tc>
          <w:tcPr>
            <w:tcW w:w="100" w:type="dxa"/>
            <w:vAlign w:val="bottom"/>
          </w:tcPr>
          <w:p>
            <w:pPr>
              <w:spacing w:after="0"/>
              <w:rPr>
                <w:sz w:val="18"/>
                <w:szCs w:val="18"/>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23,259</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169,963</w:t>
            </w:r>
          </w:p>
        </w:tc>
        <w:tc>
          <w:tcPr>
            <w:tcW w:w="0" w:type="dxa"/>
            <w:vAlign w:val="bottom"/>
          </w:tcPr>
          <w:p>
            <w:pPr>
              <w:spacing w:after="0"/>
              <w:rPr>
                <w:sz w:val="1"/>
                <w:szCs w:val="1"/>
                <w:color w:val="auto"/>
              </w:rPr>
            </w:pPr>
          </w:p>
        </w:tc>
      </w:tr>
      <w:tr>
        <w:trPr>
          <w:trHeight w:val="138"/>
        </w:trPr>
        <w:tc>
          <w:tcPr>
            <w:tcW w:w="3520" w:type="dxa"/>
            <w:vAlign w:val="bottom"/>
          </w:tcPr>
          <w:p>
            <w:pPr>
              <w:ind w:left="460"/>
              <w:spacing w:after="0" w:line="138" w:lineRule="exact"/>
              <w:rPr>
                <w:sz w:val="20"/>
                <w:szCs w:val="20"/>
                <w:color w:val="auto"/>
              </w:rPr>
            </w:pPr>
            <w:r>
              <w:rPr>
                <w:rFonts w:ascii="Arial" w:cs="Arial" w:eastAsia="Arial" w:hAnsi="Arial"/>
                <w:sz w:val="15"/>
                <w:szCs w:val="15"/>
                <w:color w:val="auto"/>
              </w:rPr>
              <w:t>Total warranty obligations measured at fair</w:t>
            </w:r>
          </w:p>
        </w:tc>
        <w:tc>
          <w:tcPr>
            <w:tcW w:w="2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185,454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193,222</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value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measured at fair value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193,222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 w:name="page16"/>
    <w:bookmarkEnd w:id="1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 xml:space="preserve">The Company carries the Notes due 2028 (as defined in </w:t>
      </w:r>
      <w:r>
        <w:rPr>
          <w:rFonts w:ascii="Arial" w:cs="Arial" w:eastAsia="Arial" w:hAnsi="Arial"/>
          <w:sz w:val="17"/>
          <w:szCs w:val="17"/>
          <w:color w:val="0000FF"/>
        </w:rPr>
        <w:t>Note 11</w:t>
      </w:r>
      <w:r>
        <w:rPr>
          <w:rFonts w:ascii="Arial" w:cs="Arial" w:eastAsia="Arial" w:hAnsi="Arial"/>
          <w:sz w:val="17"/>
          <w:szCs w:val="17"/>
          <w:color w:val="auto"/>
        </w:rPr>
        <w:t>, “Debt”) at face value less unamortized debt issuance costs on its condensed consolidated balance sheets. As of March 31, 2026, the fair value of the Notes due 2028 was $ 510.3 million. The fair value as of March 31, 2026 was determined based on the closing trading price per $100 principal amount as of the last day of trading for the period. The Company considers the fair value of the Notes due 2028 to be a Level 2 measurement as they are not actively traded.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debt securities</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Investments in debt securities are recorded in “Other assets” on the condensed consolidated balance sheets. The changes in the balance of investments in debt securities were as follows:</w:t>
      </w:r>
    </w:p>
    <w:p>
      <w:pPr>
        <w:spacing w:after="0" w:line="81"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gridSpan w:val="3"/>
          </w:tcPr>
          <w:p>
            <w:pPr>
              <w:jc w:val="right"/>
              <w:ind w:right="22"/>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3"/>
              </w:rPr>
              <w:t>61,346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64,834</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Fair value adjustments included in other income (expense), net</w:t>
            </w: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2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88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93"/>
              </w:rPr>
              <w:t>61,346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65,157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In September 2021, the Company invested approximately $13.0 million in secured convertible promissory notes issued by the stockholders of a privately-held company. In February 2026, the notes were amended to extend the maturity date and modify certain other contractual terms. The notes are classified as debt securities, and the Company has elected the fair value option, with changes in fair value recognized in “Other income (expense), net” in the condensed consolidated statements of operations. The notes are categorized as Level 3 within the fair value hierarchy, as the valuation incorporates significant unobservable inputs. The fair value of $11.0 million as of both March 31, 2026 and December 31, 2025 was estimated using a discounted cash flow methodology, which included assumptions related to implied yield and estimated duration.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receivables</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loan receivables represent financing arrangements provided to certain direct and indirect customers. These loan receivables have contractual maturities ranging from one to three years and are recorded on an amortized cost basis. Interest income is accrued and recognized based on the stated coupon rate, included in “Other income (expense), net” on the condensed consolidated statements of operations. The principal outstanding under the loan receivables were as follows: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Loan receivables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March 31,</w:t>
      </w:r>
    </w:p>
    <w:p>
      <w:pPr>
        <w:jc w:val="center"/>
        <w:ind w:right="3"/>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913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16" w:lineRule="exact"/>
        <w:rPr>
          <w:sz w:val="20"/>
          <w:szCs w:val="20"/>
          <w:color w:val="auto"/>
        </w:rPr>
      </w:pPr>
    </w:p>
    <w:p>
      <w:pPr>
        <w:ind w:left="257"/>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-6234430</wp:posOffset>
            </wp:positionH>
            <wp:positionV relativeFrom="paragraph">
              <wp:posOffset>18415</wp:posOffset>
            </wp:positionV>
            <wp:extent cx="7136765"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0" w:lineRule="exact"/>
        <w:rPr>
          <w:sz w:val="20"/>
          <w:szCs w:val="20"/>
          <w:color w:val="auto"/>
        </w:rPr>
      </w:pPr>
    </w:p>
    <w:p>
      <w:pPr>
        <w:ind w:left="877" w:hanging="877"/>
        <w:spacing w:after="0"/>
        <w:tabs>
          <w:tab w:leader="none" w:pos="877" w:val="left"/>
        </w:tabs>
        <w:numPr>
          <w:ilvl w:val="0"/>
          <w:numId w:val="16"/>
        </w:numPr>
        <w:rPr>
          <w:rFonts w:ascii="Arial" w:cs="Arial" w:eastAsia="Arial" w:hAnsi="Arial"/>
          <w:sz w:val="15"/>
          <w:szCs w:val="15"/>
          <w:color w:val="auto"/>
        </w:rPr>
      </w:pPr>
      <w:r>
        <w:rPr>
          <w:rFonts w:ascii="Arial" w:cs="Arial" w:eastAsia="Arial" w:hAnsi="Arial"/>
          <w:sz w:val="15"/>
          <w:szCs w:val="15"/>
          <w:color w:val="auto"/>
        </w:rPr>
        <w:t>47,653</w:t>
      </w:r>
    </w:p>
    <w:p>
      <w:pPr>
        <w:spacing w:after="0" w:line="36" w:lineRule="exact"/>
        <w:rPr>
          <w:rFonts w:ascii="Arial" w:cs="Arial" w:eastAsia="Arial" w:hAnsi="Arial"/>
          <w:sz w:val="15"/>
          <w:szCs w:val="15"/>
          <w:color w:val="auto"/>
        </w:rPr>
      </w:pPr>
    </w:p>
    <w:p>
      <w:pPr>
        <w:ind w:left="957"/>
        <w:spacing w:after="0"/>
        <w:rPr>
          <w:rFonts w:ascii="Arial" w:cs="Arial" w:eastAsia="Arial" w:hAnsi="Arial"/>
          <w:sz w:val="15"/>
          <w:szCs w:val="15"/>
          <w:color w:val="auto"/>
        </w:rPr>
      </w:pPr>
      <w:r>
        <w:rPr>
          <w:rFonts w:ascii="Arial" w:cs="Arial" w:eastAsia="Arial" w:hAnsi="Arial"/>
          <w:sz w:val="15"/>
          <w:szCs w:val="15"/>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-6234430</wp:posOffset>
            </wp:positionH>
            <wp:positionV relativeFrom="paragraph">
              <wp:posOffset>22860</wp:posOffset>
            </wp:positionV>
            <wp:extent cx="7136765" cy="157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30" w:lineRule="exact"/>
        <w:rPr>
          <w:sz w:val="20"/>
          <w:szCs w:val="20"/>
          <w:color w:val="auto"/>
        </w:rPr>
      </w:pPr>
    </w:p>
    <w:p>
      <w:pPr>
        <w:ind w:left="877" w:hanging="877"/>
        <w:spacing w:after="0"/>
        <w:tabs>
          <w:tab w:leader="none" w:pos="877" w:val="left"/>
        </w:tabs>
        <w:numPr>
          <w:ilvl w:val="0"/>
          <w:numId w:val="17"/>
        </w:numPr>
        <w:rPr>
          <w:rFonts w:ascii="Arial" w:cs="Arial" w:eastAsia="Arial" w:hAnsi="Arial"/>
          <w:sz w:val="15"/>
          <w:szCs w:val="15"/>
          <w:color w:val="auto"/>
        </w:rPr>
      </w:pPr>
      <w:r>
        <w:rPr>
          <w:rFonts w:ascii="Arial" w:cs="Arial" w:eastAsia="Arial" w:hAnsi="Arial"/>
          <w:sz w:val="15"/>
          <w:szCs w:val="15"/>
          <w:color w:val="auto"/>
        </w:rPr>
        <w:t>49,153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913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03" w:space="720"/>
            <w:col w:w="1417"/>
          </w:cols>
          <w:pgMar w:left="320" w:top="279" w:right="339" w:bottom="1440" w:gutter="0" w:footer="0" w:header="0"/>
          <w:type w:val="continuous"/>
        </w:sectPr>
      </w:pPr>
    </w:p>
    <w:p>
      <w:pPr>
        <w:spacing w:after="0" w:line="2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was no activity in the allowance for credit losses related to loan receivables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6" w:name="page17"/>
    <w:bookmarkEnd w:id="1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 for Warranty Obligations Related to Products Sold Since January 1, 2014</w:t>
      </w:r>
    </w:p>
    <w:p>
      <w:pPr>
        <w:spacing w:after="0" w:line="118"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spacing w:after="0" w:line="64"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regarding changes in non-financial liabilities related to the Company’s warranty obligations measured at fair value on a recurring basis using significant unobservable inputs designated as Level 3 for the periods indicated:</w:t>
      </w:r>
    </w:p>
    <w:p>
      <w:pPr>
        <w:spacing w:after="0" w:line="8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170,916</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7,299</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estimates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(4,898)</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Change in profit element and risk premium</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185,454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180,053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Quantitative and Qualitative Information about Level 3 Fair Value Measurements</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As of March 31, 2026 and December 31, 2025, the significant unobservable inputs used in the fair value measurement of the Company’s liabilities designated as Level 3 were as follows: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3"/>
          </w:tcPr>
          <w:p>
            <w:pPr>
              <w:jc w:val="center"/>
              <w:ind w:right="950"/>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37"/>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Item Measured at Fair Value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Valuation Technique</w:t>
            </w:r>
          </w:p>
        </w:tc>
        <w:tc>
          <w:tcPr>
            <w:tcW w:w="100" w:type="dxa"/>
            <w:vAlign w:val="bottom"/>
            <w:vMerge w:val="restart"/>
          </w:tcPr>
          <w:p>
            <w:pPr>
              <w:spacing w:after="0"/>
              <w:rPr>
                <w:sz w:val="11"/>
                <w:szCs w:val="11"/>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Description of Significant Unobservable Input</w:t>
            </w:r>
          </w:p>
        </w:tc>
        <w:tc>
          <w:tcPr>
            <w:tcW w:w="100" w:type="dxa"/>
            <w:vAlign w:val="bottom"/>
            <w:vMerge w:val="restart"/>
          </w:tcPr>
          <w:p>
            <w:pPr>
              <w:spacing w:after="0"/>
              <w:rPr>
                <w:sz w:val="11"/>
                <w:szCs w:val="11"/>
                <w:color w:val="auto"/>
              </w:rPr>
            </w:pPr>
          </w:p>
        </w:tc>
        <w:tc>
          <w:tcPr>
            <w:tcW w:w="1040" w:type="dxa"/>
            <w:vAlign w:val="bottom"/>
          </w:tcPr>
          <w:p>
            <w:pPr>
              <w:ind w:left="400"/>
              <w:spacing w:after="0" w:line="137" w:lineRule="exact"/>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ind w:left="260"/>
              <w:spacing w:after="0" w:line="13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3180" w:type="dxa"/>
            <w:vAlign w:val="bottom"/>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center"/>
              <w:ind w:left="327"/>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246"/>
        </w:trPr>
        <w:tc>
          <w:tcPr>
            <w:tcW w:w="3180" w:type="dxa"/>
            <w:vAlign w:val="bottom"/>
          </w:tcPr>
          <w:p>
            <w:pPr>
              <w:spacing w:after="0"/>
              <w:rPr>
                <w:sz w:val="20"/>
                <w:szCs w:val="20"/>
                <w:color w:val="auto"/>
              </w:rPr>
            </w:pPr>
            <w:r>
              <w:rPr>
                <w:rFonts w:ascii="Arial" w:cs="Arial" w:eastAsia="Arial" w:hAnsi="Arial"/>
                <w:sz w:val="16"/>
                <w:szCs w:val="16"/>
                <w:color w:val="auto"/>
              </w:rPr>
              <w:t>Warranty obligations for products sold since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7"/>
              </w:rPr>
              <w:t>Discounted cash flows</w:t>
            </w:r>
          </w:p>
        </w:tc>
        <w:tc>
          <w:tcPr>
            <w:tcW w:w="32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Profit element and risk premium</w:t>
            </w:r>
          </w:p>
        </w:tc>
        <w:tc>
          <w:tcPr>
            <w:tcW w:w="1040" w:type="dxa"/>
            <w:vAlign w:val="bottom"/>
            <w:tcBorders>
              <w:bottom w:val="single" w:sz="8" w:color="CCEEFF"/>
            </w:tcBorders>
            <w:shd w:val="clear" w:color="auto" w:fill="CCEEFF"/>
          </w:tcPr>
          <w:p>
            <w:pPr>
              <w:jc w:val="center"/>
              <w:ind w:left="327"/>
              <w:spacing w:after="0"/>
              <w:rPr>
                <w:sz w:val="20"/>
                <w:szCs w:val="20"/>
                <w:color w:val="auto"/>
              </w:rPr>
            </w:pPr>
            <w:r>
              <w:rPr>
                <w:rFonts w:ascii="Arial" w:cs="Arial" w:eastAsia="Arial" w:hAnsi="Arial"/>
                <w:sz w:val="16"/>
                <w:szCs w:val="16"/>
                <w:color w:val="auto"/>
                <w:w w:val="96"/>
              </w:rPr>
              <w:t>14.9%</w:t>
            </w:r>
          </w:p>
        </w:tc>
        <w:tc>
          <w:tcPr>
            <w:tcW w:w="1920" w:type="dxa"/>
            <w:vAlign w:val="bottom"/>
            <w:tcBorders>
              <w:bottom w:val="single" w:sz="8" w:color="CCEEFF"/>
            </w:tcBorders>
            <w:gridSpan w:val="3"/>
            <w:shd w:val="clear" w:color="auto" w:fill="CCEEFF"/>
          </w:tcPr>
          <w:p>
            <w:pPr>
              <w:jc w:val="center"/>
              <w:ind w:left="425"/>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82"/>
        </w:trPr>
        <w:tc>
          <w:tcPr>
            <w:tcW w:w="3180" w:type="dxa"/>
            <w:vAlign w:val="bottom"/>
            <w:vMerge w:val="restart"/>
          </w:tcPr>
          <w:p>
            <w:pPr>
              <w:spacing w:after="0" w:line="161" w:lineRule="exact"/>
              <w:rPr>
                <w:sz w:val="20"/>
                <w:szCs w:val="20"/>
                <w:color w:val="auto"/>
              </w:rPr>
            </w:pPr>
            <w:r>
              <w:rPr>
                <w:rFonts w:ascii="Arial" w:cs="Arial" w:eastAsia="Arial" w:hAnsi="Arial"/>
                <w:sz w:val="16"/>
                <w:szCs w:val="16"/>
                <w:color w:val="auto"/>
              </w:rPr>
              <w:t>January 1, 2014</w:t>
            </w:r>
          </w:p>
        </w:tc>
        <w:tc>
          <w:tcPr>
            <w:tcW w:w="1820" w:type="dxa"/>
            <w:vAlign w:val="bottom"/>
            <w:gridSpan w:val="2"/>
            <w:vMerge w:val="continue"/>
          </w:tcPr>
          <w:p>
            <w:pPr>
              <w:spacing w:after="0"/>
              <w:rPr>
                <w:sz w:val="7"/>
                <w:szCs w:val="7"/>
                <w:color w:val="auto"/>
              </w:rPr>
            </w:pPr>
          </w:p>
        </w:tc>
        <w:tc>
          <w:tcPr>
            <w:tcW w:w="3260" w:type="dxa"/>
            <w:vAlign w:val="bottom"/>
            <w:tcBorders>
              <w:top w:val="single" w:sz="8" w:color="ACACAC"/>
            </w:tcBorders>
            <w:gridSpan w:val="2"/>
            <w:vMerge w:val="restart"/>
          </w:tcPr>
          <w:p>
            <w:pPr>
              <w:jc w:val="center"/>
              <w:ind w:right="80"/>
              <w:spacing w:after="0"/>
              <w:rPr>
                <w:sz w:val="20"/>
                <w:szCs w:val="20"/>
                <w:color w:val="auto"/>
              </w:rPr>
            </w:pPr>
            <w:r>
              <w:rPr>
                <w:rFonts w:ascii="Arial" w:cs="Arial" w:eastAsia="Arial" w:hAnsi="Arial"/>
                <w:sz w:val="16"/>
                <w:szCs w:val="16"/>
                <w:color w:val="auto"/>
                <w:w w:val="97"/>
              </w:rPr>
              <w:t>Credit-adjusted risk-free rate</w:t>
            </w:r>
          </w:p>
        </w:tc>
        <w:tc>
          <w:tcPr>
            <w:tcW w:w="1040" w:type="dxa"/>
            <w:vAlign w:val="bottom"/>
            <w:tcBorders>
              <w:top w:val="single" w:sz="8" w:color="ACACAC"/>
            </w:tcBorders>
            <w:vMerge w:val="restart"/>
          </w:tcPr>
          <w:p>
            <w:pPr>
              <w:jc w:val="center"/>
              <w:ind w:left="327"/>
              <w:spacing w:after="0"/>
              <w:rPr>
                <w:sz w:val="20"/>
                <w:szCs w:val="20"/>
                <w:color w:val="auto"/>
              </w:rPr>
            </w:pPr>
            <w:r>
              <w:rPr>
                <w:rFonts w:ascii="Arial" w:cs="Arial" w:eastAsia="Arial" w:hAnsi="Arial"/>
                <w:sz w:val="16"/>
                <w:szCs w:val="16"/>
                <w:color w:val="auto"/>
                <w:w w:val="98"/>
              </w:rPr>
              <w:t>7.3%</w:t>
            </w:r>
          </w:p>
        </w:tc>
        <w:tc>
          <w:tcPr>
            <w:tcW w:w="1920" w:type="dxa"/>
            <w:vAlign w:val="bottom"/>
            <w:tcBorders>
              <w:top w:val="single" w:sz="8" w:color="ACACAC"/>
            </w:tcBorders>
            <w:gridSpan w:val="3"/>
            <w:vMerge w:val="restart"/>
          </w:tcPr>
          <w:p>
            <w:pPr>
              <w:jc w:val="center"/>
              <w:ind w:left="445"/>
              <w:spacing w:after="0"/>
              <w:rPr>
                <w:sz w:val="20"/>
                <w:szCs w:val="20"/>
                <w:color w:val="auto"/>
              </w:rPr>
            </w:pPr>
            <w:r>
              <w:rPr>
                <w:rFonts w:ascii="Arial" w:cs="Arial" w:eastAsia="Arial" w:hAnsi="Arial"/>
                <w:sz w:val="16"/>
                <w:szCs w:val="16"/>
                <w:color w:val="auto"/>
                <w:w w:val="98"/>
              </w:rPr>
              <w:t>7.3%</w:t>
            </w:r>
          </w:p>
        </w:tc>
        <w:tc>
          <w:tcPr>
            <w:tcW w:w="0" w:type="dxa"/>
            <w:vAlign w:val="bottom"/>
          </w:tcPr>
          <w:p>
            <w:pPr>
              <w:spacing w:after="0"/>
              <w:rPr>
                <w:sz w:val="1"/>
                <w:szCs w:val="1"/>
                <w:color w:val="auto"/>
              </w:rPr>
            </w:pPr>
          </w:p>
        </w:tc>
      </w:tr>
      <w:tr>
        <w:trPr>
          <w:trHeight w:val="78"/>
        </w:trPr>
        <w:tc>
          <w:tcPr>
            <w:tcW w:w="318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Sensitivity of Level 3 Inputs - Warranty Obligations</w:t>
      </w:r>
    </w:p>
    <w:p>
      <w:pPr>
        <w:spacing w:after="0" w:line="118"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Each of the significant unobservable inputs is independent of the other. The profit element and risk premium are estimated based on the requirements of a third-party participant willing to assume the Company’s warranty obligations, which decreased 2.6% during the three months ended March 31, 2026, contributing to a $3.5 million change in warranty benefit captured in “Change in profit element and risk premium” in the table above. The discount rate is determined by reference to the Company’s own credit standing at the fair value measurement date. Under the expected present value technique, increasing the profit element and risk premium input by 100 basis points would result in a $1.4 million increase to the liability. Decreasing the profit element and risk premium by 100 basis points would result in a $1.4 million reduction to the liability. Increasing the discount rate by 100 basis points would result in a $12.5 million decrease to the liability. Decreasing the discount rate by 100 basis points would result in a $14.1 million increase to the liability.</w:t>
      </w:r>
    </w:p>
    <w:p>
      <w:pPr>
        <w:spacing w:after="0" w:line="68" w:lineRule="exact"/>
        <w:rPr>
          <w:sz w:val="20"/>
          <w:szCs w:val="20"/>
          <w:color w:val="auto"/>
        </w:rPr>
      </w:pPr>
    </w:p>
    <w:p>
      <w:pPr>
        <w:ind w:left="-80" w:right="6180" w:firstLine="85"/>
        <w:spacing w:after="0" w:line="439" w:lineRule="auto"/>
        <w:tabs>
          <w:tab w:leader="none" w:pos="434"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AND ASSET IMPAIRMENT CHARGES 2026 Restructuring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In January 2026, the Company implemented a restructuring plan (the “2026 Restructuring Plan”) designed to better align its workforce and cost structure with its business needs, strategic priorities and ongoing commitment to profitable growth.</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details of the Company’s restructuring charges under the 2026 Restructuring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ind w:right="186"/>
              <w:spacing w:after="0"/>
              <w:rPr>
                <w:sz w:val="20"/>
                <w:szCs w:val="20"/>
                <w:color w:val="auto"/>
              </w:rPr>
            </w:pPr>
            <w:r>
              <w:rPr>
                <w:rFonts w:ascii="Arial" w:cs="Arial" w:eastAsia="Arial" w:hAnsi="Arial"/>
                <w:sz w:val="14"/>
                <w:szCs w:val="14"/>
                <w:b w:val="1"/>
                <w:bCs w:val="1"/>
                <w:color w:val="auto"/>
                <w:w w:val="99"/>
              </w:rPr>
              <w:t>Three Months Ended</w:t>
            </w:r>
          </w:p>
        </w:tc>
      </w:tr>
      <w:tr>
        <w:trPr>
          <w:trHeight w:val="179"/>
        </w:trPr>
        <w:tc>
          <w:tcPr>
            <w:tcW w:w="9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9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9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center"/>
              <w:ind w:right="146"/>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benefits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w:t>
            </w:r>
          </w:p>
        </w:tc>
      </w:tr>
      <w:tr>
        <w:trPr>
          <w:trHeight w:val="208"/>
        </w:trPr>
        <w:tc>
          <w:tcPr>
            <w:tcW w:w="9180" w:type="dxa"/>
            <w:vAlign w:val="bottom"/>
          </w:tcPr>
          <w:p>
            <w:pPr>
              <w:ind w:left="20"/>
              <w:spacing w:after="0"/>
              <w:rPr>
                <w:sz w:val="20"/>
                <w:szCs w:val="20"/>
                <w:color w:val="auto"/>
              </w:rPr>
            </w:pPr>
            <w:r>
              <w:rPr>
                <w:rFonts w:ascii="Arial" w:cs="Arial" w:eastAsia="Arial" w:hAnsi="Arial"/>
                <w:sz w:val="16"/>
                <w:szCs w:val="16"/>
                <w:color w:val="auto"/>
              </w:rPr>
              <w:t>Contract termination charges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09"/>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3"/>
        </w:trPr>
        <w:tc>
          <w:tcPr>
            <w:tcW w:w="9180" w:type="dxa"/>
            <w:vAlign w:val="bottom"/>
          </w:tcPr>
          <w:p>
            <w:pPr>
              <w:ind w:left="240"/>
              <w:spacing w:after="0"/>
              <w:rPr>
                <w:sz w:val="20"/>
                <w:szCs w:val="20"/>
                <w:color w:val="auto"/>
              </w:rPr>
            </w:pPr>
            <w:r>
              <w:rPr>
                <w:rFonts w:ascii="Arial" w:cs="Arial" w:eastAsia="Arial" w:hAnsi="Arial"/>
                <w:sz w:val="16"/>
                <w:szCs w:val="16"/>
                <w:color w:val="auto"/>
              </w:rPr>
              <w:t>Total restructuring and asset impairment charges</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w:t>
            </w:r>
          </w:p>
        </w:tc>
      </w:tr>
      <w:tr>
        <w:trPr>
          <w:trHeight w:val="20"/>
        </w:trPr>
        <w:tc>
          <w:tcPr>
            <w:tcW w:w="9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regarding changes in the Company’s accrued restructuring balances under the 2026 Restructuring Plan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Employee Severance and</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 Termination</w:t>
            </w: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Asset Impairment</w:t>
            </w:r>
          </w:p>
        </w:tc>
        <w:tc>
          <w:tcPr>
            <w:tcW w:w="320" w:type="dxa"/>
            <w:vAlign w:val="bottom"/>
          </w:tcPr>
          <w:p>
            <w:pPr>
              <w:spacing w:after="0"/>
              <w:rPr>
                <w:sz w:val="14"/>
                <w:szCs w:val="14"/>
                <w:color w:val="auto"/>
              </w:rPr>
            </w:pPr>
          </w:p>
        </w:tc>
        <w:tc>
          <w:tcPr>
            <w:tcW w:w="110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vMerge w:val="restart"/>
          </w:tcPr>
          <w:p>
            <w:pPr>
              <w:jc w:val="right"/>
              <w:ind w:right="584"/>
              <w:spacing w:after="0"/>
              <w:rPr>
                <w:sz w:val="20"/>
                <w:szCs w:val="20"/>
                <w:color w:val="auto"/>
              </w:rPr>
            </w:pPr>
            <w:r>
              <w:rPr>
                <w:rFonts w:ascii="Arial" w:cs="Arial" w:eastAsia="Arial" w:hAnsi="Arial"/>
                <w:sz w:val="14"/>
                <w:szCs w:val="14"/>
                <w:b w:val="1"/>
                <w:bCs w:val="1"/>
                <w:color w:val="auto"/>
              </w:rPr>
              <w:t>Benefits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Charges</w:t>
            </w:r>
          </w:p>
        </w:tc>
        <w:tc>
          <w:tcPr>
            <w:tcW w:w="80" w:type="dxa"/>
            <w:vAlign w:val="bottom"/>
            <w:vMerge w:val="restart"/>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7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3"/>
          </w:tcPr>
          <w:p>
            <w:pPr>
              <w:jc w:val="right"/>
              <w:ind w:right="405"/>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and receipts, net</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0" w:type="dxa"/>
            <w:vAlign w:val="bottom"/>
          </w:tcPr>
          <w:p>
            <w:pPr>
              <w:spacing w:after="0"/>
              <w:rPr>
                <w:sz w:val="1"/>
                <w:szCs w:val="1"/>
                <w:color w:val="auto"/>
              </w:rPr>
            </w:pPr>
          </w:p>
        </w:tc>
      </w:tr>
      <w:tr>
        <w:trPr>
          <w:trHeight w:val="208"/>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b w:val="1"/>
          <w:bCs w:val="1"/>
          <w:color w:val="auto"/>
        </w:rPr>
        <w:t>DEBT</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the Company’s debt: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2028</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575,000</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2028</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572,510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572,194</w:t>
            </w:r>
          </w:p>
        </w:tc>
      </w:tr>
      <w:tr>
        <w:trPr>
          <w:trHeight w:val="249"/>
        </w:trPr>
        <w:tc>
          <w:tcPr>
            <w:tcW w:w="8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2"/>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2026</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632,500</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2026</w:t>
            </w: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632,183</w:t>
            </w:r>
          </w:p>
        </w:tc>
      </w:tr>
      <w:tr>
        <w:trPr>
          <w:trHeight w:val="249"/>
        </w:trPr>
        <w:tc>
          <w:tcPr>
            <w:tcW w:w="8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Total carrying amount of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572,510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1,204,377</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debt, current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(632,183)</w:t>
            </w:r>
          </w:p>
        </w:tc>
      </w:tr>
      <w:tr>
        <w:trPr>
          <w:trHeight w:val="203"/>
        </w:trPr>
        <w:tc>
          <w:tcPr>
            <w:tcW w:w="8260" w:type="dxa"/>
            <w:vAlign w:val="bottom"/>
          </w:tcPr>
          <w:p>
            <w:pPr>
              <w:ind w:left="140"/>
              <w:spacing w:after="0"/>
              <w:rPr>
                <w:sz w:val="20"/>
                <w:szCs w:val="20"/>
                <w:color w:val="auto"/>
              </w:rPr>
            </w:pPr>
            <w:r>
              <w:rPr>
                <w:rFonts w:ascii="Arial" w:cs="Arial" w:eastAsia="Arial" w:hAnsi="Arial"/>
                <w:sz w:val="16"/>
                <w:szCs w:val="16"/>
                <w:color w:val="auto"/>
              </w:rPr>
              <w:t>Debt, non-current</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572,510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572,194</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presents the total amount of interest cost recognized in the condensed consolidated statement of operations relating to the Company’s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right="6"/>
              <w:spacing w:after="0"/>
              <w:rPr>
                <w:sz w:val="20"/>
                <w:szCs w:val="20"/>
                <w:color w:val="auto"/>
              </w:rPr>
            </w:pPr>
            <w:r>
              <w:rPr>
                <w:rFonts w:ascii="Arial" w:cs="Arial" w:eastAsia="Arial" w:hAnsi="Arial"/>
                <w:sz w:val="14"/>
                <w:szCs w:val="14"/>
                <w:b w:val="1"/>
                <w:bCs w:val="1"/>
                <w:color w:val="auto"/>
                <w:w w:val="99"/>
              </w:rPr>
              <w:t>Three Months Ended March 31,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89"/>
        </w:trPr>
        <w:tc>
          <w:tcPr>
            <w:tcW w:w="5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28"/>
        </w:trPr>
        <w:tc>
          <w:tcPr>
            <w:tcW w:w="546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2028</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Notes due 2026</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Notes due 2028</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Notes due 2026</w:t>
            </w: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Notes due 2025</w:t>
            </w:r>
          </w:p>
        </w:tc>
      </w:tr>
      <w:tr>
        <w:trPr>
          <w:trHeight w:val="224"/>
        </w:trPr>
        <w:tc>
          <w:tcPr>
            <w:tcW w:w="5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8"/>
              </w:rPr>
              <w:t>(In thousands)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4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485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5460" w:type="dxa"/>
            <w:vAlign w:val="bottom"/>
          </w:tcPr>
          <w:p>
            <w:pPr>
              <w:ind w:left="140"/>
              <w:spacing w:after="0"/>
              <w:rPr>
                <w:sz w:val="20"/>
                <w:szCs w:val="20"/>
                <w:color w:val="auto"/>
              </w:rPr>
            </w:pPr>
            <w:r>
              <w:rPr>
                <w:rFonts w:ascii="Arial" w:cs="Arial" w:eastAsia="Arial" w:hAnsi="Arial"/>
                <w:sz w:val="16"/>
                <w:szCs w:val="16"/>
                <w:color w:val="auto"/>
              </w:rPr>
              <w:t>Total interest cost recognized</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2028</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spacing w:after="0" w:line="276"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spacing w:after="0" w:line="6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 w:cs="Arial" w:eastAsia="Arial" w:hAnsi="Arial"/>
          <w:sz w:val="17"/>
          <w:szCs w:val="17"/>
          <w:i w:val="1"/>
          <w:iCs w:val="1"/>
          <w:color w:val="auto"/>
        </w:rPr>
        <w:t>i.e.,</w:t>
      </w:r>
      <w:r>
        <w:rPr>
          <w:rFonts w:ascii="Arial" w:cs="Arial" w:eastAsia="Arial" w:hAnsi="Arial"/>
          <w:sz w:val="17"/>
          <w:szCs w:val="17"/>
          <w:color w:val="auto"/>
        </w:rPr>
        <w:t xml:space="preserve"> $370.33,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spacing w:after="0" w:line="278"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As of March 31, 2026, the sales price of the Company’s common stock was not greater than or equal to $370.33 (130% of the notes conversion price) for at least 20 trading days (whether consecutive or not) during a period of 30 consecutive trading days preceding the quarter-ended March 31, 2026. As a result, the Notes due 2028 are not convertible at the holders’ option. Accordingly, the Company classified the net carrying amount of the Notes due 2028 of $572.5 million as Debt, non-current on the condensed consolidated balance sheet as of March 31, 2026. As of March 31, 2026, the unamortized deferred issuance cost for the Notes due 2028 was $2.5 million on the condensed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 Hedge and Warrant Transactions</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spacing w:after="0" w:line="2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spacing w:after="0" w:line="7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2028 Hedge and the 2028 Warrants transactions were recorded in stockholders’ equity, and they were not accounted for as derivatives and are not remeasured each reporting period.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2026</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On March 2, 2026, the Company settled all of its outstanding 0.0% convertible senior notes due 2026 (the “Notes due 2026”) for cash consideration of $632.5 million, representing payment of the full principal amount. No shares of the Company’s common stock were issued in connection with the settlement, as the conversion value of the Notes due 2026 was less than the principal amount outstanding. As a result of the settlement, there were no Notes due 2026 outstanding as of March 31, 2026.</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2026 Hedge and Warrant Transactions</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In connection with the issuance of the Notes due 2026, the Company entered into privately negotiated convertible note hedge transactions (the “Notes due 2026 Hedge”). The Notes due 2026 Hedge was intended to reduce potential dilution to the Company’s common stock upon any conversion of the Notes due 2026 and/or to offset any cash payments the Company would have been required to make in excess of the principal amount upon conversion. The Notes due 2026 Hedge expired on March 2, 2026 in connection with the settlement of the Notes due 2026. No value was realized from the Notes due 2026 Hedge at expiration, as the applicable strike price exceeded the market price of the Company’s common stock.</w:t>
      </w:r>
    </w:p>
    <w:p>
      <w:pPr>
        <w:spacing w:after="0" w:line="276"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0" w:name="page21"/>
    <w:bookmarkEnd w:id="2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share.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The 2026 Warrants are only exercisable on the applicable expiration dates in accordance with the 2026 Warrants. Subject to the other terms of the 2026 Warrants, the first expiration date applicable to the Warrants is June 1, 2026, and the final expiration date applicable to the 2026 Warrants is July 27, 2026.</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2026 Hedge and the 2026 Warrants transactions were recorded in stockholders’ equity, and they were not accounted for as derivatives and are not remeasured each reporting period.</w:t>
      </w:r>
    </w:p>
    <w:p>
      <w:pPr>
        <w:spacing w:after="0" w:line="35" w:lineRule="exact"/>
        <w:rPr>
          <w:sz w:val="20"/>
          <w:szCs w:val="20"/>
          <w:color w:val="auto"/>
        </w:rPr>
      </w:pPr>
    </w:p>
    <w:p>
      <w:pPr>
        <w:ind w:right="7560" w:firstLine="5"/>
        <w:spacing w:after="0" w:line="386" w:lineRule="auto"/>
        <w:tabs>
          <w:tab w:leader="none" w:pos="43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The Company leases office facilities under noncancellable operating leases that expire on various dates through 2034, some of which may include options to extend the leases for up to 12 years.</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expense were as follows:</w:t>
      </w:r>
    </w:p>
    <w:p>
      <w:pPr>
        <w:spacing w:after="0" w:line="162"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5247640</wp:posOffset>
            </wp:positionH>
            <wp:positionV relativeFrom="paragraph">
              <wp:posOffset>2540</wp:posOffset>
            </wp:positionV>
            <wp:extent cx="1892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2300" cy="8255"/>
                    </a:xfrm>
                    <a:prstGeom prst="rect">
                      <a:avLst/>
                    </a:prstGeom>
                    <a:noFill/>
                  </pic:spPr>
                </pic:pic>
              </a:graphicData>
            </a:graphic>
          </wp:anchor>
        </w:drawing>
      </w:r>
    </w:p>
    <w:p>
      <w:pPr>
        <w:spacing w:after="0" w:line="1" w:lineRule="exact"/>
        <w:rPr>
          <w:sz w:val="20"/>
          <w:szCs w:val="20"/>
          <w:color w:val="auto"/>
        </w:rPr>
      </w:pPr>
    </w:p>
    <w:p>
      <w:pPr>
        <w:ind w:left="8820"/>
        <w:spacing w:after="0"/>
        <w:tabs>
          <w:tab w:leader="none" w:pos="103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5247640</wp:posOffset>
            </wp:positionH>
            <wp:positionV relativeFrom="paragraph">
              <wp:posOffset>19685</wp:posOffset>
            </wp:positionV>
            <wp:extent cx="1892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230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700" w:type="dxa"/>
            <w:vAlign w:val="bottom"/>
            <w:gridSpan w:val="2"/>
          </w:tcPr>
          <w:p>
            <w:pPr>
              <w:jc w:val="right"/>
              <w:ind w:right="222"/>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6"/>
                <w:szCs w:val="16"/>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39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2,781</w:t>
            </w:r>
          </w:p>
        </w:tc>
        <w:tc>
          <w:tcPr>
            <w:tcW w:w="7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right of use assets and lease liabilities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r>
      <w:tr>
        <w:trPr>
          <w:trHeight w:val="176"/>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7"/>
          </w:tcPr>
          <w:p>
            <w:pPr>
              <w:ind w:left="20"/>
              <w:spacing w:after="0"/>
              <w:rPr>
                <w:sz w:val="20"/>
                <w:szCs w:val="20"/>
                <w:color w:val="auto"/>
              </w:rPr>
            </w:pPr>
            <w:r>
              <w:rPr>
                <w:rFonts w:ascii="Arial" w:cs="Arial" w:eastAsia="Arial" w:hAnsi="Arial"/>
                <w:sz w:val="14"/>
                <w:szCs w:val="14"/>
                <w:i w:val="1"/>
                <w:iCs w:val="1"/>
                <w:color w:val="auto"/>
              </w:rPr>
              <w:t>(In thousands, except years and percentage</w:t>
            </w:r>
          </w:p>
        </w:tc>
      </w:tr>
      <w:tr>
        <w:trPr>
          <w:trHeight w:val="183"/>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data)</w:t>
            </w:r>
          </w:p>
        </w:tc>
        <w:tc>
          <w:tcPr>
            <w:tcW w:w="1220" w:type="dxa"/>
            <w:vAlign w:val="bottom"/>
          </w:tcPr>
          <w:p>
            <w:pPr>
              <w:spacing w:after="0"/>
              <w:rPr>
                <w:sz w:val="15"/>
                <w:szCs w:val="15"/>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right of use asset, net (Other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34,573</w:t>
            </w:r>
          </w:p>
        </w:tc>
      </w:tr>
      <w:tr>
        <w:trPr>
          <w:trHeight w:val="210"/>
        </w:trPr>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liabilities, current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8,211</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31,195</w:t>
            </w:r>
          </w:p>
        </w:tc>
      </w:tr>
      <w:tr>
        <w:trPr>
          <w:trHeight w:val="203"/>
        </w:trPr>
        <w:tc>
          <w:tcPr>
            <w:tcW w:w="8260" w:type="dxa"/>
            <w:vAlign w:val="bottom"/>
          </w:tcPr>
          <w:p>
            <w:pPr>
              <w:ind w:left="140"/>
              <w:spacing w:after="0"/>
              <w:rPr>
                <w:sz w:val="20"/>
                <w:szCs w:val="20"/>
                <w:color w:val="auto"/>
              </w:rPr>
            </w:pPr>
            <w:r>
              <w:rPr>
                <w:rFonts w:ascii="Arial" w:cs="Arial" w:eastAsia="Arial" w:hAnsi="Arial"/>
                <w:sz w:val="16"/>
                <w:szCs w:val="16"/>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lease information: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5.4 years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5.6 years</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66"/>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464"/>
              <w:spacing w:after="0"/>
              <w:rPr>
                <w:sz w:val="20"/>
                <w:szCs w:val="20"/>
                <w:color w:val="auto"/>
              </w:rPr>
            </w:pPr>
            <w:r>
              <w:rPr>
                <w:rFonts w:ascii="Arial" w:cs="Arial" w:eastAsia="Arial" w:hAnsi="Arial"/>
                <w:sz w:val="16"/>
                <w:szCs w:val="16"/>
                <w:color w:val="auto"/>
              </w:rPr>
              <w:t>6.3%</w:t>
            </w:r>
          </w:p>
        </w:tc>
      </w:tr>
      <w:tr>
        <w:trPr>
          <w:trHeight w:val="398"/>
        </w:trPr>
        <w:tc>
          <w:tcPr>
            <w:tcW w:w="8260" w:type="dxa"/>
            <w:vAlign w:val="bottom"/>
          </w:tcPr>
          <w:p>
            <w:pPr>
              <w:ind w:left="480"/>
              <w:spacing w:after="0"/>
              <w:rPr>
                <w:sz w:val="20"/>
                <w:szCs w:val="20"/>
                <w:color w:val="auto"/>
              </w:rPr>
            </w:pPr>
            <w:r>
              <w:rPr>
                <w:rFonts w:ascii="Arial" w:cs="Arial" w:eastAsia="Arial" w:hAnsi="Arial"/>
                <w:sz w:val="17"/>
                <w:szCs w:val="17"/>
                <w:color w:val="auto"/>
              </w:rPr>
              <w:t>Supplemental cash flow and other information related to operating leases were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4"/>
        </w:trPr>
        <w:tc>
          <w:tcPr>
            <w:tcW w:w="8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6"/>
          </w:tcPr>
          <w:p>
            <w:pPr>
              <w:jc w:val="center"/>
              <w:ind w:right="164"/>
              <w:spacing w:after="0"/>
              <w:rPr>
                <w:sz w:val="20"/>
                <w:szCs w:val="20"/>
                <w:color w:val="auto"/>
              </w:rPr>
            </w:pPr>
            <w:r>
              <w:rPr>
                <w:rFonts w:ascii="Arial" w:cs="Arial" w:eastAsia="Arial" w:hAnsi="Arial"/>
                <w:sz w:val="14"/>
                <w:szCs w:val="14"/>
                <w:b w:val="1"/>
                <w:bCs w:val="1"/>
                <w:color w:val="auto"/>
                <w:w w:val="99"/>
              </w:rPr>
              <w:t>Three Months Ended</w:t>
            </w:r>
          </w:p>
        </w:tc>
      </w:tr>
      <w:tr>
        <w:trPr>
          <w:trHeight w:val="179"/>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right="104"/>
              <w:spacing w:after="0"/>
              <w:rPr>
                <w:sz w:val="20"/>
                <w:szCs w:val="20"/>
                <w:color w:val="auto"/>
              </w:rPr>
            </w:pPr>
            <w:r>
              <w:rPr>
                <w:rFonts w:ascii="Arial" w:cs="Arial" w:eastAsia="Arial" w:hAnsi="Arial"/>
                <w:sz w:val="14"/>
                <w:szCs w:val="14"/>
                <w:b w:val="1"/>
                <w:bCs w:val="1"/>
                <w:color w:val="auto"/>
                <w:w w:val="99"/>
              </w:rPr>
              <w:t>March 31,</w:t>
            </w:r>
          </w:p>
        </w:tc>
      </w:tr>
      <w:tr>
        <w:trPr>
          <w:trHeight w:val="189"/>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2025</w:t>
            </w:r>
          </w:p>
        </w:tc>
      </w:tr>
      <w:tr>
        <w:trPr>
          <w:trHeight w:val="224"/>
        </w:trPr>
        <w:tc>
          <w:tcPr>
            <w:tcW w:w="8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6"/>
          </w:tcPr>
          <w:p>
            <w:pPr>
              <w:jc w:val="center"/>
              <w:ind w:right="12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826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2,845</w:t>
            </w:r>
          </w:p>
        </w:tc>
        <w:tc>
          <w:tcPr>
            <w:tcW w:w="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2,131</w:t>
            </w:r>
          </w:p>
        </w:tc>
      </w:tr>
      <w:tr>
        <w:trPr>
          <w:trHeight w:val="210"/>
        </w:trPr>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arising from obtaining right-of-use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2,749</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0" w:type="dxa"/>
            <w:vAlign w:val="bottom"/>
          </w:tcPr>
          <w:p>
            <w:pPr>
              <w:ind w:left="4600"/>
              <w:spacing w:after="0"/>
              <w:rPr>
                <w:sz w:val="20"/>
                <w:szCs w:val="20"/>
                <w:color w:val="auto"/>
              </w:rPr>
            </w:pPr>
            <w:r>
              <w:rPr>
                <w:rFonts w:ascii="Arial" w:cs="Arial" w:eastAsia="Arial" w:hAnsi="Arial"/>
                <w:sz w:val="17"/>
                <w:szCs w:val="17"/>
                <w:b w:val="1"/>
                <w:bCs w:val="1"/>
                <w:color w:val="auto"/>
              </w:rPr>
              <w:t>ENPHASE ENERGY, INC.</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0"/>
        </w:trPr>
        <w:tc>
          <w:tcPr>
            <w:tcW w:w="9800" w:type="dxa"/>
            <w:vAlign w:val="bottom"/>
          </w:tcPr>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933"/>
        </w:trPr>
        <w:tc>
          <w:tcPr>
            <w:tcW w:w="9800" w:type="dxa"/>
            <w:vAlign w:val="bottom"/>
          </w:tcPr>
          <w:p>
            <w:pPr>
              <w:ind w:left="480"/>
              <w:spacing w:after="0"/>
              <w:rPr>
                <w:sz w:val="20"/>
                <w:szCs w:val="20"/>
                <w:color w:val="auto"/>
              </w:rPr>
            </w:pPr>
            <w:r>
              <w:rPr>
                <w:rFonts w:ascii="Arial" w:cs="Arial" w:eastAsia="Arial" w:hAnsi="Arial"/>
                <w:sz w:val="17"/>
                <w:szCs w:val="17"/>
                <w:color w:val="auto"/>
              </w:rPr>
              <w:t>Undiscounted cash flows of operating lease liabilities as of March 31, 2026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3"/>
        </w:trPr>
        <w:tc>
          <w:tcPr>
            <w:tcW w:w="9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Lease Amounts</w:t>
            </w:r>
          </w:p>
        </w:tc>
      </w:tr>
      <w:tr>
        <w:trPr>
          <w:trHeight w:val="185"/>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9800" w:type="dxa"/>
            <w:vAlign w:val="bottom"/>
          </w:tcPr>
          <w:p>
            <w:pPr>
              <w:ind w:left="200"/>
              <w:spacing w:after="0"/>
              <w:rPr>
                <w:sz w:val="20"/>
                <w:szCs w:val="20"/>
                <w:color w:val="auto"/>
              </w:rPr>
            </w:pPr>
            <w:r>
              <w:rPr>
                <w:rFonts w:ascii="Arial" w:cs="Arial" w:eastAsia="Arial" w:hAnsi="Arial"/>
                <w:sz w:val="16"/>
                <w:szCs w:val="16"/>
                <w:color w:val="auto"/>
              </w:rPr>
              <w:t>2026 (remaining nine months)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8,196</w:t>
            </w:r>
          </w:p>
        </w:tc>
      </w:tr>
      <w:tr>
        <w:trPr>
          <w:trHeight w:val="210"/>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w:t>
            </w:r>
          </w:p>
        </w:tc>
      </w:tr>
      <w:tr>
        <w:trPr>
          <w:trHeight w:val="208"/>
        </w:trPr>
        <w:tc>
          <w:tcPr>
            <w:tcW w:w="9800" w:type="dxa"/>
            <w:vAlign w:val="bottom"/>
          </w:tcPr>
          <w:p>
            <w:pPr>
              <w:ind w:left="200"/>
              <w:spacing w:after="0"/>
              <w:rPr>
                <w:sz w:val="20"/>
                <w:szCs w:val="20"/>
                <w:color w:val="auto"/>
              </w:rPr>
            </w:pPr>
            <w:r>
              <w:rPr>
                <w:rFonts w:ascii="Arial" w:cs="Arial" w:eastAsia="Arial" w:hAnsi="Arial"/>
                <w:sz w:val="16"/>
                <w:szCs w:val="16"/>
                <w:color w:val="auto"/>
              </w:rPr>
              <w:t>2028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8,269</w:t>
            </w:r>
          </w:p>
        </w:tc>
      </w:tr>
      <w:tr>
        <w:trPr>
          <w:trHeight w:val="210"/>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r>
      <w:tr>
        <w:trPr>
          <w:trHeight w:val="208"/>
        </w:trPr>
        <w:tc>
          <w:tcPr>
            <w:tcW w:w="9800" w:type="dxa"/>
            <w:vAlign w:val="bottom"/>
          </w:tcPr>
          <w:p>
            <w:pPr>
              <w:ind w:left="200"/>
              <w:spacing w:after="0"/>
              <w:rPr>
                <w:sz w:val="20"/>
                <w:szCs w:val="20"/>
                <w:color w:val="auto"/>
              </w:rPr>
            </w:pPr>
            <w:r>
              <w:rPr>
                <w:rFonts w:ascii="Arial" w:cs="Arial" w:eastAsia="Arial" w:hAnsi="Arial"/>
                <w:sz w:val="16"/>
                <w:szCs w:val="16"/>
                <w:color w:val="auto"/>
              </w:rPr>
              <w:t>2030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6,289</w:t>
            </w:r>
          </w:p>
        </w:tc>
      </w:tr>
      <w:tr>
        <w:trPr>
          <w:trHeight w:val="210"/>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w:t>
            </w:r>
          </w:p>
        </w:tc>
      </w:tr>
      <w:tr>
        <w:trPr>
          <w:trHeight w:val="201"/>
        </w:trPr>
        <w:tc>
          <w:tcPr>
            <w:tcW w:w="9800" w:type="dxa"/>
            <w:vAlign w:val="bottom"/>
          </w:tcPr>
          <w:p>
            <w:pPr>
              <w:ind w:left="2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47,455</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lease interest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(7,838)</w:t>
            </w:r>
          </w:p>
        </w:tc>
      </w:tr>
      <w:tr>
        <w:trPr>
          <w:trHeight w:val="203"/>
        </w:trPr>
        <w:tc>
          <w:tcPr>
            <w:tcW w:w="980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39,617</w:t>
            </w: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Obligations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Company has contractual obligations related to component inventory that it and its contract manufacturers procure on its behalf in accordance with its production forecast as well as other inventory related purchase commitments. As of March 31, 2026, these purchase obligations totaled approximately $275.0 million.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is subject to various legal proceedings and claims that have arisen in the ordinary course of business and that have not been fully resolved. An accrual for a loss contingency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March 31, 2026, in the opinion of management, there was not at least a reasonable possibility the Company may have incurred a material loss, or a material loss greater than a recorded accrual, concerning loss contingencies for asserted legal and other claims.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Tariff Contingencies</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 xml:space="preserve">On February 20, 2026, the United States Supreme Court issued a ruling in </w:t>
      </w:r>
      <w:r>
        <w:rPr>
          <w:rFonts w:ascii="Arial" w:cs="Arial" w:eastAsia="Arial" w:hAnsi="Arial"/>
          <w:sz w:val="17"/>
          <w:szCs w:val="17"/>
          <w:i w:val="1"/>
          <w:iCs w:val="1"/>
          <w:color w:val="auto"/>
        </w:rPr>
        <w:t>Learning Resources, Inc. v. Trump</w:t>
      </w:r>
      <w:r>
        <w:rPr>
          <w:rFonts w:ascii="Arial" w:cs="Arial" w:eastAsia="Arial" w:hAnsi="Arial"/>
          <w:sz w:val="17"/>
          <w:szCs w:val="17"/>
          <w:color w:val="auto"/>
        </w:rPr>
        <w:t xml:space="preserve"> invalidating certain tariffs previously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w:t>
      </w:r>
    </w:p>
    <w:p>
      <w:pPr>
        <w:spacing w:after="0" w:line="6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On April 20, 2026, CBP launched an online portal through which companies may submit IEEPA tariff refund requests. Submitted claims are subject to review and validation by CBP, and the approval, timing, and amount of any refunds remain subject to CBP determination.</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Based on the Company’s submitted refund requests related to tariffs paid during fiscal 2025 and the first quarter of fiscal 2026, the Company may be eligible to receive tariff refunds. However, because the approval and timing of such refunds remain uncertain and are contingent upon CBP’s review and validation process, the Company has not recognized a receivable as of March 31, 2026 and will not recognize such amounts until they are realized or realizable. The ultimate impact of any approved refunds, if any,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hanging="435"/>
        <w:spacing w:after="0"/>
        <w:tabs>
          <w:tab w:leader="none" w:pos="4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0"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spacing w:after="0" w:line="27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During the three months ended March 31, 2026, there were no repurchases of common stock. During the three months ended March 31, 2025, the Company repurchased and subsequently retired 1,594,105 shares of common stock from the open market at an average cost of $62.71 per share for a total of $100.0 million.</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March 31, 2026, $268.7 million remains available for repurchasing shares under the 2023 Repurchase Program.</w:t>
      </w:r>
    </w:p>
    <w:p>
      <w:pPr>
        <w:spacing w:after="0" w:line="116" w:lineRule="exact"/>
        <w:rPr>
          <w:sz w:val="20"/>
          <w:szCs w:val="20"/>
          <w:color w:val="auto"/>
        </w:rPr>
      </w:pPr>
    </w:p>
    <w:p>
      <w:pPr>
        <w:ind w:right="8060" w:firstLine="5"/>
        <w:spacing w:after="0" w:line="386" w:lineRule="auto"/>
        <w:tabs>
          <w:tab w:leader="none" w:pos="436"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Stock-based Compensation Expense</w:t>
      </w:r>
    </w:p>
    <w:p>
      <w:pPr>
        <w:spacing w:after="0" w:line="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Stock-based compensation expense for all stock-based awards, which includes shares purchased under the Company’s employee stock purchase plan (“ESPP”), restricted stock units (“RSUs”) and performance stock units (“PSUs”), expected to vest is measured at fair value on the date of grant and recognized ratably over the requisite service period.</w:t>
      </w:r>
    </w:p>
    <w:p>
      <w:pPr>
        <w:spacing w:after="0" w:line="5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summarizes the components of total stock-based compensation expense included in the condensed consolidated statement of operations for the periods presented:</w:t>
      </w:r>
    </w:p>
    <w:p>
      <w:pPr>
        <w:spacing w:after="0" w:line="81"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6"/>
                <w:szCs w:val="16"/>
                <w:color w:val="auto"/>
                <w:w w:val="93"/>
              </w:rPr>
              <w:t>18,834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21,647</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93"/>
              </w:rPr>
              <w:t>14,717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16,396</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6"/>
                <w:szCs w:val="16"/>
                <w:color w:val="auto"/>
                <w:w w:val="93"/>
              </w:rPr>
              <w:t>11,878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12,842</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201"/>
        </w:trPr>
        <w:tc>
          <w:tcPr>
            <w:tcW w:w="8280" w:type="dxa"/>
            <w:vAlign w:val="bottom"/>
          </w:tcPr>
          <w:p>
            <w:pPr>
              <w:ind w:left="3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3"/>
              </w:rPr>
              <w:t>48,991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55,633</w:t>
            </w:r>
          </w:p>
        </w:tc>
      </w:tr>
      <w:tr>
        <w:trPr>
          <w:trHeight w:val="20"/>
        </w:trPr>
        <w:tc>
          <w:tcPr>
            <w:tcW w:w="8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various types of stock-based compensation expense for the periods presented:</w:t>
      </w:r>
    </w:p>
    <w:p>
      <w:pPr>
        <w:spacing w:after="0" w:line="14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3"/>
              </w:rPr>
              <w:t>47,368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54,176</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1,623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r>
      <w:tr>
        <w:trPr>
          <w:trHeight w:val="227"/>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93"/>
              </w:rPr>
              <w:t>48,991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As of March 31, 2026, there was $303.1 million of total unrecognized stock-based compensation expense related to unvested equity awards, which are expected to be recognized over a weighted-average period of 2.3 years.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Awards Activity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No stock options were granted during the three months ended March 31, 2026 and 2025. Stock option activity during the period, as well as stock options outstanding as of March 31, 2026, were immaterial.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3" w:name="page24"/>
    <w:bookmarkEnd w:id="2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Weighted-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7"/>
              </w:rPr>
              <w:t>Average</w:t>
            </w:r>
          </w:p>
        </w:tc>
        <w:tc>
          <w:tcPr>
            <w:tcW w:w="15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98"/>
              </w:rPr>
              <w:t>per Share at</w:t>
            </w:r>
          </w:p>
        </w:tc>
        <w:tc>
          <w:tcPr>
            <w:tcW w:w="15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tcPr>
          <w:p>
            <w:pPr>
              <w:jc w:val="center"/>
              <w:ind w:right="106"/>
              <w:spacing w:after="0" w:line="140"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9"/>
                <w:szCs w:val="9"/>
                <w:b w:val="1"/>
                <w:bCs w:val="1"/>
                <w:color w:val="auto"/>
                <w:w w:val="99"/>
              </w:rPr>
              <w:t>(1)</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6"/>
                <w:szCs w:val="16"/>
                <w:color w:val="auto"/>
              </w:rPr>
            </w:pPr>
          </w:p>
        </w:tc>
        <w:tc>
          <w:tcPr>
            <w:tcW w:w="1240" w:type="dxa"/>
            <w:vAlign w:val="bottom"/>
          </w:tcPr>
          <w:p>
            <w:pPr>
              <w:jc w:val="center"/>
              <w:ind w:right="126"/>
              <w:spacing w:after="0"/>
              <w:rPr>
                <w:sz w:val="20"/>
                <w:szCs w:val="20"/>
                <w:color w:val="auto"/>
              </w:rPr>
            </w:pPr>
            <w:r>
              <w:rPr>
                <w:rFonts w:ascii="Arial" w:cs="Arial" w:eastAsia="Arial" w:hAnsi="Arial"/>
                <w:sz w:val="14"/>
                <w:szCs w:val="14"/>
                <w:i w:val="1"/>
                <w:iCs w:val="1"/>
                <w:color w:val="auto"/>
                <w:w w:val="98"/>
              </w:rPr>
              <w:t>(In thousands)</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2025</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69.01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121,780</w:t>
            </w:r>
          </w:p>
        </w:tc>
        <w:tc>
          <w:tcPr>
            <w:tcW w:w="0" w:type="dxa"/>
            <w:vAlign w:val="bottom"/>
          </w:tcPr>
          <w:p>
            <w:pPr>
              <w:spacing w:after="0"/>
              <w:rPr>
                <w:sz w:val="1"/>
                <w:szCs w:val="1"/>
                <w:color w:val="auto"/>
              </w:rPr>
            </w:pPr>
          </w:p>
        </w:tc>
      </w:tr>
      <w:tr>
        <w:trPr>
          <w:trHeight w:val="208"/>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800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98.42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25,244</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6"/>
              <w:spacing w:after="0"/>
              <w:rPr>
                <w:sz w:val="20"/>
                <w:szCs w:val="20"/>
                <w:color w:val="auto"/>
              </w:rPr>
            </w:pPr>
            <w:r>
              <w:rPr>
                <w:rFonts w:ascii="Arial" w:cs="Arial" w:eastAsia="Arial" w:hAnsi="Arial"/>
                <w:sz w:val="16"/>
                <w:szCs w:val="16"/>
                <w:color w:val="auto"/>
              </w:rPr>
              <w:t>63.20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March 31, 2026</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3,781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58.43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142,970</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Expected to vest at March 31, 2026</w:t>
            </w:r>
          </w:p>
        </w:tc>
        <w:tc>
          <w:tcPr>
            <w:tcW w:w="144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color w:val="auto"/>
              </w:rPr>
              <w:t>3,781</w:t>
            </w:r>
          </w:p>
        </w:tc>
        <w:tc>
          <w:tcPr>
            <w:tcW w:w="3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line="181" w:lineRule="exact"/>
              <w:rPr>
                <w:sz w:val="20"/>
                <w:szCs w:val="20"/>
                <w:color w:val="auto"/>
              </w:rPr>
            </w:pPr>
            <w:r>
              <w:rPr>
                <w:rFonts w:ascii="Arial" w:cs="Arial" w:eastAsia="Arial" w:hAnsi="Arial"/>
                <w:sz w:val="16"/>
                <w:szCs w:val="16"/>
                <w:color w:val="auto"/>
              </w:rPr>
              <w:t>58.43</w:t>
            </w: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5"/>
                <w:szCs w:val="15"/>
                <w:color w:val="auto"/>
              </w:rPr>
            </w:pPr>
          </w:p>
        </w:tc>
        <w:tc>
          <w:tcPr>
            <w:tcW w:w="200" w:type="dxa"/>
            <w:vAlign w:val="bottom"/>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142,970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80" w:type="dxa"/>
            <w:vAlign w:val="bottom"/>
            <w:tcBorders>
              <w:bottom w:val="single" w:sz="8" w:color="auto"/>
            </w:tcBorders>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5"/>
        <w:spacing w:after="0" w:line="277" w:lineRule="auto"/>
        <w:tabs>
          <w:tab w:leader="none" w:pos="2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intrinsic value of RSUs vested is based upon the value of the Company’s stock when vested. The intrinsic value of RSUs outstanding and expected to vest as of March 31, 2026 is based on the closing price of the last trading day during the period ended March 31, 2026. The Company’s stock fair value used in this computation was $37.81 per share.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PSU activity: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Weighted-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7"/>
              </w:rPr>
              <w:t>Average</w:t>
            </w:r>
          </w:p>
        </w:tc>
        <w:tc>
          <w:tcPr>
            <w:tcW w:w="15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8"/>
              </w:rPr>
              <w:t>Fair Value</w:t>
            </w:r>
          </w:p>
        </w:tc>
        <w:tc>
          <w:tcPr>
            <w:tcW w:w="15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per Share at</w:t>
            </w: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1"/>
                <w:szCs w:val="11"/>
                <w:color w:val="auto"/>
              </w:rPr>
            </w:pPr>
          </w:p>
        </w:tc>
        <w:tc>
          <w:tcPr>
            <w:tcW w:w="124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6"/>
              <w:spacing w:after="0" w:line="182" w:lineRule="exact"/>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6"/>
                <w:szCs w:val="16"/>
                <w:color w:val="auto"/>
              </w:rPr>
            </w:pPr>
          </w:p>
        </w:tc>
        <w:tc>
          <w:tcPr>
            <w:tcW w:w="1240" w:type="dxa"/>
            <w:vAlign w:val="bottom"/>
          </w:tcPr>
          <w:p>
            <w:pPr>
              <w:jc w:val="center"/>
              <w:ind w:right="126"/>
              <w:spacing w:after="0"/>
              <w:rPr>
                <w:sz w:val="20"/>
                <w:szCs w:val="20"/>
                <w:color w:val="auto"/>
              </w:rPr>
            </w:pPr>
            <w:r>
              <w:rPr>
                <w:rFonts w:ascii="Arial" w:cs="Arial" w:eastAsia="Arial" w:hAnsi="Arial"/>
                <w:sz w:val="14"/>
                <w:szCs w:val="14"/>
                <w:i w:val="1"/>
                <w:iCs w:val="1"/>
                <w:color w:val="auto"/>
                <w:w w:val="98"/>
              </w:rPr>
              <w:t>(In thousands)</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2025</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110.34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0" w:type="dxa"/>
            <w:vAlign w:val="bottom"/>
          </w:tcPr>
          <w:p>
            <w:pPr>
              <w:spacing w:after="0"/>
              <w:rPr>
                <w:sz w:val="1"/>
                <w:szCs w:val="1"/>
                <w:color w:val="auto"/>
              </w:rPr>
            </w:pPr>
          </w:p>
        </w:tc>
      </w:tr>
      <w:tr>
        <w:trPr>
          <w:trHeight w:val="208"/>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1,339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64.95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23,368</w:t>
            </w:r>
          </w:p>
        </w:tc>
        <w:tc>
          <w:tcPr>
            <w:tcW w:w="0" w:type="dxa"/>
            <w:vAlign w:val="bottom"/>
          </w:tcPr>
          <w:p>
            <w:pPr>
              <w:spacing w:after="0"/>
              <w:rPr>
                <w:sz w:val="1"/>
                <w:szCs w:val="1"/>
                <w:color w:val="auto"/>
              </w:rPr>
            </w:pPr>
          </w:p>
        </w:tc>
      </w:tr>
      <w:tr>
        <w:trPr>
          <w:trHeight w:val="208"/>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Pr>
          <w:p>
            <w:pPr>
              <w:jc w:val="right"/>
              <w:spacing w:after="0"/>
              <w:rPr>
                <w:sz w:val="20"/>
                <w:szCs w:val="20"/>
                <w:color w:val="auto"/>
              </w:rPr>
            </w:pPr>
            <w:r>
              <w:rPr>
                <w:rFonts w:ascii="Arial" w:cs="Arial" w:eastAsia="Arial" w:hAnsi="Arial"/>
                <w:sz w:val="16"/>
                <w:szCs w:val="16"/>
                <w:color w:val="auto"/>
              </w:rPr>
              <w:t>(229)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223.03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March 31, 2026</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2,196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72.03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83,050</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0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Expected to vest at March 31, 2026</w:t>
            </w:r>
          </w:p>
        </w:tc>
        <w:tc>
          <w:tcPr>
            <w:tcW w:w="144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color w:val="auto"/>
              </w:rPr>
              <w:t>2,196</w:t>
            </w:r>
          </w:p>
        </w:tc>
        <w:tc>
          <w:tcPr>
            <w:tcW w:w="3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line="181" w:lineRule="exact"/>
              <w:rPr>
                <w:sz w:val="20"/>
                <w:szCs w:val="20"/>
                <w:color w:val="auto"/>
              </w:rPr>
            </w:pPr>
            <w:r>
              <w:rPr>
                <w:rFonts w:ascii="Arial" w:cs="Arial" w:eastAsia="Arial" w:hAnsi="Arial"/>
                <w:sz w:val="16"/>
                <w:szCs w:val="16"/>
                <w:color w:val="auto"/>
              </w:rPr>
              <w:t>72.03</w:t>
            </w: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Arial" w:cs="Arial" w:eastAsia="Arial" w:hAnsi="Arial"/>
                <w:sz w:val="16"/>
                <w:szCs w:val="16"/>
                <w:color w:val="auto"/>
                <w:w w:val="98"/>
              </w:rPr>
              <w:t>1.8</w:t>
            </w:r>
          </w:p>
        </w:tc>
        <w:tc>
          <w:tcPr>
            <w:tcW w:w="100" w:type="dxa"/>
            <w:vAlign w:val="bottom"/>
          </w:tcPr>
          <w:p>
            <w:pPr>
              <w:spacing w:after="0"/>
              <w:rPr>
                <w:sz w:val="15"/>
                <w:szCs w:val="15"/>
                <w:color w:val="auto"/>
              </w:rPr>
            </w:pPr>
          </w:p>
        </w:tc>
        <w:tc>
          <w:tcPr>
            <w:tcW w:w="200" w:type="dxa"/>
            <w:vAlign w:val="bottom"/>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83,050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80" w:type="dxa"/>
            <w:vAlign w:val="bottom"/>
            <w:tcBorders>
              <w:bottom w:val="single" w:sz="8" w:color="auto"/>
            </w:tcBorders>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5"/>
        <w:spacing w:after="0" w:line="277" w:lineRule="auto"/>
        <w:tabs>
          <w:tab w:leader="none" w:pos="26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intrinsic value of PSUs vested is based upon the value of the Company’s stock when vested. The intrinsic value of PSUs outstanding and expected to vest as of March 31, 2026 is based on the closing price of the last trading day during the period ended March 31, 2026. The Company’s stock fair value used in this computation was $37.81 per share.</w:t>
      </w:r>
    </w:p>
    <w:p>
      <w:pPr>
        <w:spacing w:after="0" w:line="53" w:lineRule="exact"/>
        <w:rPr>
          <w:sz w:val="20"/>
          <w:szCs w:val="20"/>
          <w:color w:val="auto"/>
        </w:rPr>
      </w:pPr>
    </w:p>
    <w:p>
      <w:pPr>
        <w:ind w:left="440" w:hanging="435"/>
        <w:spacing w:after="0"/>
        <w:tabs>
          <w:tab w:leader="none" w:pos="4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months ended March 31, 2026, the Company recognized an income tax benefit of $6.5 million, on a loss before income taxes of $13.9 million, compared to an income tax provision of $17.2 million, on income before income taxes of $46.9 million for the three months ended March 31, 2025.</w:t>
      </w:r>
    </w:p>
    <w:p>
      <w:pPr>
        <w:spacing w:after="0" w:line="55" w:lineRule="exact"/>
        <w:rPr>
          <w:sz w:val="20"/>
          <w:szCs w:val="20"/>
          <w:color w:val="auto"/>
        </w:rPr>
      </w:pPr>
    </w:p>
    <w:p>
      <w:pPr>
        <w:jc w:val="both"/>
        <w:ind w:firstLine="470"/>
        <w:spacing w:after="0" w:line="212" w:lineRule="exact"/>
        <w:rPr>
          <w:sz w:val="20"/>
          <w:szCs w:val="20"/>
          <w:color w:val="auto"/>
        </w:rPr>
      </w:pPr>
      <w:r>
        <w:rPr>
          <w:rFonts w:ascii="Arial" w:cs="Arial" w:eastAsia="Arial" w:hAnsi="Arial"/>
          <w:sz w:val="17"/>
          <w:szCs w:val="17"/>
          <w:color w:val="auto"/>
        </w:rPr>
        <w:t>The income tax benefit for the three months ended March 31, 2026 was calculated using the annualized effective tax rate method and primarily reflects tax benefits attributable to losses generated in the United States and the impact of AMPTC under Section 45X of the Internal Revenue Code of 1986, as amended, partially offset by income in profitable foreign jurisdictions and tax expense related to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shortfalls. AMPTC is generated based on qualifying production and shipment activity and are therefore directly related to the Company’s pretax income; however, the AMPTC is treated as permanent items for income tax accounting purposes and is excluded from the calculation of the annualized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70"/>
        <w:spacing w:after="0" w:line="232" w:lineRule="exact"/>
        <w:rPr>
          <w:sz w:val="20"/>
          <w:szCs w:val="20"/>
          <w:color w:val="auto"/>
        </w:rPr>
      </w:pPr>
      <w:r>
        <w:rPr>
          <w:rFonts w:ascii="Arial" w:cs="Arial" w:eastAsia="Arial" w:hAnsi="Arial"/>
          <w:sz w:val="17"/>
          <w:szCs w:val="17"/>
          <w:color w:val="auto"/>
        </w:rPr>
        <w:t>The income tax provision for the three months ended March 31, 2025 primarily reflected tax expense in profitable U.S. and foreign jurisdictions, tax expense related to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shortfalls, and discrete prior</w:t>
      </w:r>
      <w:r>
        <w:rPr>
          <w:rFonts w:ascii="MS PGothic" w:cs="MS PGothic" w:eastAsia="MS PGothic" w:hAnsi="MS PGothic"/>
          <w:sz w:val="17"/>
          <w:szCs w:val="17"/>
          <w:color w:val="auto"/>
        </w:rPr>
        <w:t>‑</w:t>
      </w:r>
      <w:r>
        <w:rPr>
          <w:rFonts w:ascii="Arial" w:cs="Arial" w:eastAsia="Arial" w:hAnsi="Arial"/>
          <w:sz w:val="17"/>
          <w:szCs w:val="17"/>
          <w:color w:val="auto"/>
        </w:rPr>
        <w:t>year return</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provision adjustments.</w:t>
      </w:r>
    </w:p>
    <w:p>
      <w:pPr>
        <w:spacing w:after="0" w:line="20" w:lineRule="exact"/>
        <w:rPr>
          <w:sz w:val="20"/>
          <w:szCs w:val="20"/>
          <w:color w:val="auto"/>
        </w:rPr>
      </w:pPr>
    </w:p>
    <w:p>
      <w:pPr>
        <w:jc w:val="both"/>
        <w:ind w:firstLine="470"/>
        <w:spacing w:after="0" w:line="224" w:lineRule="exact"/>
        <w:rPr>
          <w:sz w:val="20"/>
          <w:szCs w:val="20"/>
          <w:color w:val="auto"/>
        </w:rPr>
      </w:pPr>
      <w:r>
        <w:rPr>
          <w:rFonts w:ascii="Arial" w:cs="Arial" w:eastAsia="Arial" w:hAnsi="Arial"/>
          <w:sz w:val="17"/>
          <w:szCs w:val="17"/>
          <w:color w:val="auto"/>
        </w:rPr>
        <w:t>In accordance with ASC 740</w:t>
      </w:r>
      <w:r>
        <w:rPr>
          <w:rFonts w:ascii="MS PGothic" w:cs="MS PGothic" w:eastAsia="MS PGothic" w:hAnsi="MS PGothic"/>
          <w:sz w:val="17"/>
          <w:szCs w:val="17"/>
          <w:color w:val="auto"/>
        </w:rPr>
        <w:t>‑</w:t>
      </w:r>
      <w:r>
        <w:rPr>
          <w:rFonts w:ascii="Arial" w:cs="Arial" w:eastAsia="Arial" w:hAnsi="Arial"/>
          <w:sz w:val="17"/>
          <w:szCs w:val="17"/>
          <w:color w:val="auto"/>
        </w:rPr>
        <w:t>270, the Company computed its provision for income taxes based on a projected annual effective tax rate, excluding the effects of permanent items and losses generated in jurisdictions for which realization of the related tax benefits is not considered more likely than not. As a result, the Company’s effective tax rate may differ significantly from the U.S. federal statutory rate and may not be indicative of the Company’s annual effective tax rate.</w:t>
      </w:r>
    </w:p>
    <w:p>
      <w:pPr>
        <w:spacing w:after="0" w:line="8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In March 2026, the Company revoked its direct pay election and made a transfer election on its timely filed 2025 federal income tax return to sell $235.0 million of AMPTC generated during 2025 to a third party. The transfer election did not have a material impact on the income tax provision for the three months ended March 31, 2026.</w:t>
      </w:r>
    </w:p>
    <w:p>
      <w:pPr>
        <w:spacing w:after="0" w:line="53" w:lineRule="exact"/>
        <w:rPr>
          <w:sz w:val="20"/>
          <w:szCs w:val="20"/>
          <w:color w:val="auto"/>
        </w:rPr>
      </w:pPr>
    </w:p>
    <w:p>
      <w:pPr>
        <w:ind w:left="440" w:hanging="435"/>
        <w:spacing w:after="0"/>
        <w:tabs>
          <w:tab w:leader="none" w:pos="44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(loss) per share for the periods presented:</w:t>
      </w:r>
    </w:p>
    <w:p>
      <w:pPr>
        <w:spacing w:after="0" w:line="162"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185"/>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242"/>
              <w:spacing w:after="0"/>
              <w:rPr>
                <w:sz w:val="20"/>
                <w:szCs w:val="20"/>
                <w:color w:val="auto"/>
              </w:rPr>
            </w:pPr>
            <w:r>
              <w:rPr>
                <w:rFonts w:ascii="Arial" w:cs="Arial" w:eastAsia="Arial" w:hAnsi="Arial"/>
                <w:sz w:val="14"/>
                <w:szCs w:val="14"/>
                <w:i w:val="1"/>
                <w:iCs w:val="1"/>
                <w:color w:val="auto"/>
              </w:rPr>
              <w:t>(In thousands, except per share data)</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(7,406)</w:t>
            </w:r>
          </w:p>
        </w:tc>
        <w:tc>
          <w:tcPr>
            <w:tcW w:w="100" w:type="dxa"/>
            <w:vAlign w:val="bottom"/>
          </w:tcPr>
          <w:p>
            <w:pPr>
              <w:spacing w:after="0"/>
              <w:rPr>
                <w:sz w:val="18"/>
                <w:szCs w:val="18"/>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29,730</w:t>
            </w:r>
          </w:p>
        </w:tc>
      </w:tr>
      <w:tr>
        <w:trPr>
          <w:trHeight w:val="209"/>
        </w:trPr>
        <w:tc>
          <w:tcPr>
            <w:tcW w:w="8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due 2028 and Notes due 2026 financing costs, net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Adjusted net income (loss)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30,335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8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used for basic calculation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131,869</w:t>
            </w:r>
          </w:p>
        </w:tc>
      </w:tr>
      <w:tr>
        <w:trPr>
          <w:trHeight w:val="208"/>
        </w:trPr>
        <w:tc>
          <w:tcPr>
            <w:tcW w:w="8260" w:type="dxa"/>
            <w:vAlign w:val="bottom"/>
          </w:tcPr>
          <w:p>
            <w:pPr>
              <w:ind w:left="120"/>
              <w:spacing w:after="0"/>
              <w:rPr>
                <w:sz w:val="20"/>
                <w:szCs w:val="20"/>
                <w:color w:val="auto"/>
              </w:rPr>
            </w:pPr>
            <w:r>
              <w:rPr>
                <w:rFonts w:ascii="Arial" w:cs="Arial" w:eastAsia="Arial" w:hAnsi="Arial"/>
                <w:sz w:val="16"/>
                <w:szCs w:val="16"/>
                <w:color w:val="auto"/>
              </w:rPr>
              <w:t>Effect of dilutive securities: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8"/>
        </w:trPr>
        <w:tc>
          <w:tcPr>
            <w:tcW w:w="8260" w:type="dxa"/>
            <w:vAlign w:val="bottom"/>
          </w:tcPr>
          <w:p>
            <w:pPr>
              <w:ind w:left="280"/>
              <w:spacing w:after="0"/>
              <w:rPr>
                <w:sz w:val="20"/>
                <w:szCs w:val="20"/>
                <w:color w:val="auto"/>
              </w:rPr>
            </w:pPr>
            <w:r>
              <w:rPr>
                <w:rFonts w:ascii="Arial" w:cs="Arial" w:eastAsia="Arial" w:hAnsi="Arial"/>
                <w:sz w:val="16"/>
                <w:szCs w:val="16"/>
                <w:color w:val="auto"/>
              </w:rPr>
              <w:t>Notes due 2026</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09"/>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used for diluted calculation</w:t>
            </w: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131,337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136,208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8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Basic and diluted net income (loss) per share: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basic</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8260" w:type="dxa"/>
            <w:vAlign w:val="bottom"/>
          </w:tcPr>
          <w:p>
            <w:pPr>
              <w:ind w:left="20"/>
              <w:spacing w:after="0" w:line="181" w:lineRule="exact"/>
              <w:rPr>
                <w:sz w:val="20"/>
                <w:szCs w:val="20"/>
                <w:color w:val="auto"/>
              </w:rPr>
            </w:pPr>
            <w:r>
              <w:rPr>
                <w:rFonts w:ascii="Arial" w:cs="Arial" w:eastAsia="Arial" w:hAnsi="Arial"/>
                <w:sz w:val="16"/>
                <w:szCs w:val="16"/>
                <w:color w:val="auto"/>
              </w:rPr>
              <w:t>Net income (loss) per share, diluted</w:t>
            </w:r>
          </w:p>
        </w:tc>
        <w:tc>
          <w:tcPr>
            <w:tcW w:w="22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(0.06)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0.22</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Diluted earnings per share for the three months ended March 31, 2025 included the dilutive effect of potentially dilutive common shares by application of the treasury stock method for stock options, RSUs, PSUs, ESPP, Notes due 2025, and includes potentially dilutive common shares by application of the if-converted method for the Notes due 2026 and the Notes due 2028. To the extent potential common shares are antidilutive, they are excluded from the calculation of diluted net income per share.</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Company under the relevant sections of the indenture, irrevocably may elect to settle principal in cash and any excess conversion value in cash or shares of the Company’s common stock for the Notes due 2028. If and when the Company makes such election, there would be no adjustment to net income and the Company would use the average share price to determine the potential number of shares issuable upon an assumed conversion to be included in the diluted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5" w:name="page26"/>
    <w:bookmarkEnd w:id="2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Notes due 2026 were convertible at any time from September 1, 2025 until the close of business on the second scheduled trading day immediately preceding the maturity date of March 1, 2026. Upon any conversion, the Company had elected, on August 28, 2025, to settle the Notes due 2026 with a combination settlement method, whereby the principal amount would have been settled in cash and any excess conversion value would have been settled in shares of the Company's common stock. As a result, after the election date, there was no adjustment to net income and the Company used the average share price to determine the potential number of shares issuable upon an assumed conversion to be included in the diluted share count.</w:t>
      </w:r>
    </w:p>
    <w:p>
      <w:pPr>
        <w:spacing w:after="0" w:line="64"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outstanding shares of common stock equivalents were excluded from the calculation of diluted net income (loss) per share because their effect would have been antidilutive:</w:t>
      </w:r>
    </w:p>
    <w:p>
      <w:pPr>
        <w:spacing w:after="0" w:line="81"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r>
      <w:tr>
        <w:trPr>
          <w:trHeight w:val="213"/>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stock-based awards</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r>
      <w:tr>
        <w:trPr>
          <w:trHeight w:val="208"/>
        </w:trPr>
        <w:tc>
          <w:tcPr>
            <w:tcW w:w="9160" w:type="dxa"/>
            <w:vAlign w:val="bottom"/>
            <w:gridSpan w:val="2"/>
          </w:tcPr>
          <w:p>
            <w:pPr>
              <w:ind w:left="20"/>
              <w:spacing w:after="0"/>
              <w:rPr>
                <w:sz w:val="20"/>
                <w:szCs w:val="20"/>
                <w:color w:val="auto"/>
              </w:rPr>
            </w:pPr>
            <w:r>
              <w:rPr>
                <w:rFonts w:ascii="Arial" w:cs="Arial" w:eastAsia="Arial" w:hAnsi="Arial"/>
                <w:sz w:val="16"/>
                <w:szCs w:val="16"/>
                <w:color w:val="auto"/>
              </w:rPr>
              <w:t>Notes due 2025</w:t>
            </w:r>
          </w:p>
        </w:tc>
        <w:tc>
          <w:tcPr>
            <w:tcW w:w="11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 due 2026</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9160" w:type="dxa"/>
            <w:vAlign w:val="bottom"/>
            <w:gridSpan w:val="2"/>
          </w:tcPr>
          <w:p>
            <w:pPr>
              <w:ind w:left="20"/>
              <w:spacing w:after="0"/>
              <w:rPr>
                <w:sz w:val="20"/>
                <w:szCs w:val="20"/>
                <w:color w:val="auto"/>
              </w:rPr>
            </w:pPr>
            <w:r>
              <w:rPr>
                <w:rFonts w:ascii="Arial" w:cs="Arial" w:eastAsia="Arial" w:hAnsi="Arial"/>
                <w:sz w:val="16"/>
                <w:szCs w:val="16"/>
                <w:color w:val="auto"/>
              </w:rPr>
              <w:t>2026 Warrants</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10,879</w:t>
            </w:r>
          </w:p>
        </w:tc>
      </w:tr>
      <w:tr>
        <w:trPr>
          <w:trHeight w:val="21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 due 2028</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Warrants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w:t>
            </w:r>
          </w:p>
        </w:tc>
      </w:tr>
      <w:tr>
        <w:trPr>
          <w:trHeight w:val="223"/>
        </w:trPr>
        <w:tc>
          <w:tcPr>
            <w:tcW w:w="9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93"/>
              </w:rPr>
              <w:t>11,407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40" w:hanging="435"/>
        <w:spacing w:after="0"/>
        <w:tabs>
          <w:tab w:leader="none" w:pos="44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Company’s chief operating decision maker is the Chief Executive Officer (the “CEO”). The Company has one business activity, which entails the design, development, manufacture and sale of solutions for the solar PV industry. There are no segment managers who are held accountable for operations, operating results or plans for levels or components below the consolidated unit level. Accordingly, management has determined that the Company has a single operating and reportable segment. The primary measure of segment profit or loss is consolidated net income as presented below and is used by the CEO for the purpose of evaluating segment performance and allocation of budget to support business expansion, new product development and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6" w:name="page27"/>
    <w:bookmarkEnd w:id="2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224"/>
        </w:trPr>
        <w:tc>
          <w:tcPr>
            <w:tcW w:w="110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356,084</w:t>
            </w:r>
          </w:p>
        </w:tc>
      </w:tr>
      <w:tr>
        <w:trPr>
          <w:trHeight w:val="208"/>
        </w:trPr>
        <w:tc>
          <w:tcPr>
            <w:tcW w:w="826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826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Other cost of revenues</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235,655</w:t>
            </w:r>
          </w:p>
        </w:tc>
      </w:tr>
      <w:tr>
        <w:trPr>
          <w:trHeight w:val="208"/>
        </w:trPr>
        <w:tc>
          <w:tcPr>
            <w:tcW w:w="8260" w:type="dxa"/>
            <w:vAlign w:val="bottom"/>
            <w:gridSpan w:val="2"/>
          </w:tcPr>
          <w:p>
            <w:pPr>
              <w:ind w:left="120"/>
              <w:spacing w:after="0"/>
              <w:rPr>
                <w:sz w:val="20"/>
                <w:szCs w:val="20"/>
                <w:color w:val="auto"/>
              </w:rPr>
            </w:pPr>
            <w:r>
              <w:rPr>
                <w:rFonts w:ascii="Arial" w:cs="Arial" w:eastAsia="Arial" w:hAnsi="Arial"/>
                <w:sz w:val="16"/>
                <w:szCs w:val="16"/>
                <w:color w:val="auto"/>
              </w:rPr>
              <w:t>Fair value of AMPTC generated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(54,592)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(53,631)</w:t>
            </w:r>
          </w:p>
        </w:tc>
      </w:tr>
      <w:tr>
        <w:trPr>
          <w:trHeight w:val="21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 from sale of AMPTC generated during 2025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60" w:type="dxa"/>
            <w:vAlign w:val="bottom"/>
            <w:gridSpan w:val="2"/>
          </w:tcPr>
          <w:p>
            <w:pPr>
              <w:ind w:left="1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55,633</w:t>
            </w:r>
          </w:p>
        </w:tc>
      </w:tr>
      <w:tr>
        <w:trPr>
          <w:trHeight w:val="210"/>
        </w:trPr>
        <w:tc>
          <w:tcPr>
            <w:tcW w:w="826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Acquisition related expenses and amortization</w:t>
            </w:r>
            <w:r>
              <w:rPr>
                <w:rFonts w:ascii="Arial" w:cs="Arial" w:eastAsia="Arial" w:hAnsi="Arial"/>
                <w:sz w:val="20"/>
                <w:szCs w:val="20"/>
                <w:color w:val="auto"/>
                <w:vertAlign w:val="superscript"/>
              </w:rPr>
              <w:t>(2)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r>
      <w:tr>
        <w:trPr>
          <w:trHeight w:val="209"/>
        </w:trPr>
        <w:tc>
          <w:tcPr>
            <w:tcW w:w="8260" w:type="dxa"/>
            <w:vAlign w:val="bottom"/>
            <w:gridSpan w:val="2"/>
          </w:tcPr>
          <w:p>
            <w:pPr>
              <w:ind w:left="120"/>
              <w:spacing w:after="0" w:line="209" w:lineRule="exact"/>
              <w:rPr>
                <w:sz w:val="20"/>
                <w:szCs w:val="20"/>
                <w:color w:val="auto"/>
              </w:rPr>
            </w:pPr>
            <w:r>
              <w:rPr>
                <w:rFonts w:ascii="Arial" w:cs="Arial" w:eastAsia="Arial" w:hAnsi="Arial"/>
                <w:sz w:val="16"/>
                <w:szCs w:val="16"/>
                <w:color w:val="auto"/>
              </w:rPr>
              <w:t>Other restructuring and asset impairment charges</w:t>
            </w:r>
            <w:r>
              <w:rPr>
                <w:rFonts w:ascii="Arial" w:cs="Arial" w:eastAsia="Arial" w:hAnsi="Arial"/>
                <w:sz w:val="20"/>
                <w:szCs w:val="20"/>
                <w:color w:val="auto"/>
                <w:vertAlign w:val="superscript"/>
              </w:rPr>
              <w:t>(3)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09"/>
        </w:trPr>
        <w:tc>
          <w:tcPr>
            <w:tcW w:w="8260" w:type="dxa"/>
            <w:vAlign w:val="bottom"/>
            <w:gridSpan w:val="2"/>
            <w:shd w:val="clear" w:color="auto" w:fill="CCEEFF"/>
          </w:tcPr>
          <w:p>
            <w:pPr>
              <w:ind w:left="120"/>
              <w:spacing w:after="0" w:line="209" w:lineRule="exact"/>
              <w:rPr>
                <w:sz w:val="20"/>
                <w:szCs w:val="20"/>
                <w:color w:val="auto"/>
              </w:rPr>
            </w:pPr>
            <w:r>
              <w:rPr>
                <w:rFonts w:ascii="Arial" w:cs="Arial" w:eastAsia="Arial" w:hAnsi="Arial"/>
                <w:sz w:val="16"/>
                <w:szCs w:val="16"/>
                <w:color w:val="auto"/>
              </w:rPr>
              <w:t>Other research and development</w:t>
            </w:r>
            <w:r>
              <w:rPr>
                <w:rFonts w:ascii="Arial" w:cs="Arial" w:eastAsia="Arial" w:hAnsi="Arial"/>
                <w:sz w:val="20"/>
                <w:szCs w:val="20"/>
                <w:color w:val="auto"/>
                <w:vertAlign w:val="superscript"/>
              </w:rPr>
              <w:t>(4)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28,527</w:t>
            </w:r>
          </w:p>
        </w:tc>
      </w:tr>
      <w:tr>
        <w:trPr>
          <w:trHeight w:val="209"/>
        </w:trPr>
        <w:tc>
          <w:tcPr>
            <w:tcW w:w="8260" w:type="dxa"/>
            <w:vAlign w:val="bottom"/>
            <w:gridSpan w:val="2"/>
          </w:tcPr>
          <w:p>
            <w:pPr>
              <w:ind w:left="120"/>
              <w:spacing w:after="0" w:line="209" w:lineRule="exact"/>
              <w:rPr>
                <w:sz w:val="20"/>
                <w:szCs w:val="20"/>
                <w:color w:val="auto"/>
              </w:rPr>
            </w:pPr>
            <w:r>
              <w:rPr>
                <w:rFonts w:ascii="Arial" w:cs="Arial" w:eastAsia="Arial" w:hAnsi="Arial"/>
                <w:sz w:val="16"/>
                <w:szCs w:val="16"/>
                <w:color w:val="auto"/>
              </w:rPr>
              <w:t>Other sales and marketing</w:t>
            </w:r>
            <w:r>
              <w:rPr>
                <w:rFonts w:ascii="Arial" w:cs="Arial" w:eastAsia="Arial" w:hAnsi="Arial"/>
                <w:sz w:val="20"/>
                <w:szCs w:val="20"/>
                <w:color w:val="auto"/>
                <w:vertAlign w:val="superscript"/>
              </w:rPr>
              <w:t>(5)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30,569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29,703</w:t>
            </w:r>
          </w:p>
        </w:tc>
      </w:tr>
      <w:tr>
        <w:trPr>
          <w:trHeight w:val="209"/>
        </w:trPr>
        <w:tc>
          <w:tcPr>
            <w:tcW w:w="8260" w:type="dxa"/>
            <w:vAlign w:val="bottom"/>
            <w:gridSpan w:val="2"/>
            <w:shd w:val="clear" w:color="auto" w:fill="CCEEFF"/>
          </w:tcPr>
          <w:p>
            <w:pPr>
              <w:ind w:left="120"/>
              <w:spacing w:after="0" w:line="209" w:lineRule="exact"/>
              <w:rPr>
                <w:sz w:val="20"/>
                <w:szCs w:val="20"/>
                <w:color w:val="auto"/>
              </w:rPr>
            </w:pPr>
            <w:r>
              <w:rPr>
                <w:rFonts w:ascii="Arial" w:cs="Arial" w:eastAsia="Arial" w:hAnsi="Arial"/>
                <w:sz w:val="16"/>
                <w:szCs w:val="16"/>
                <w:color w:val="auto"/>
              </w:rPr>
              <w:t>Other general and administrative</w:t>
            </w:r>
            <w:r>
              <w:rPr>
                <w:rFonts w:ascii="Arial" w:cs="Arial" w:eastAsia="Arial" w:hAnsi="Arial"/>
                <w:sz w:val="20"/>
                <w:szCs w:val="20"/>
                <w:color w:val="auto"/>
                <w:vertAlign w:val="superscript"/>
              </w:rPr>
              <w:t>(6)</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21,193</w:t>
            </w:r>
          </w:p>
        </w:tc>
      </w:tr>
      <w:tr>
        <w:trPr>
          <w:trHeight w:val="201"/>
        </w:trPr>
        <w:tc>
          <w:tcPr>
            <w:tcW w:w="8260" w:type="dxa"/>
            <w:vAlign w:val="bottom"/>
            <w:gridSpan w:val="2"/>
          </w:tcPr>
          <w:p>
            <w:pPr>
              <w:ind w:left="240"/>
              <w:spacing w:after="0"/>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31,922</w:t>
            </w:r>
          </w:p>
        </w:tc>
      </w:tr>
      <w:tr>
        <w:trPr>
          <w:trHeight w:val="21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14,971</w:t>
            </w:r>
          </w:p>
        </w:tc>
      </w:tr>
      <w:tr>
        <w:trPr>
          <w:trHeight w:val="201"/>
        </w:trPr>
        <w:tc>
          <w:tcPr>
            <w:tcW w:w="826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(13,860)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46,893</w:t>
            </w:r>
          </w:p>
        </w:tc>
      </w:tr>
      <w:tr>
        <w:trPr>
          <w:trHeight w:val="20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(17,163)</w:t>
            </w:r>
          </w:p>
        </w:tc>
      </w:tr>
      <w:tr>
        <w:trPr>
          <w:trHeight w:val="203"/>
        </w:trPr>
        <w:tc>
          <w:tcPr>
            <w:tcW w:w="8260" w:type="dxa"/>
            <w:vAlign w:val="bottom"/>
            <w:gridSpan w:val="2"/>
          </w:tcPr>
          <w:p>
            <w:pPr>
              <w:ind w:left="1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29,730</w:t>
            </w:r>
          </w:p>
        </w:tc>
      </w:tr>
      <w:tr>
        <w:trPr>
          <w:trHeight w:val="20"/>
        </w:trPr>
        <w:tc>
          <w:tcPr>
            <w:tcW w:w="11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4"/>
        </w:trPr>
        <w:tc>
          <w:tcPr>
            <w:tcW w:w="1100" w:type="dxa"/>
            <w:vAlign w:val="bottom"/>
            <w:tcBorders>
              <w:bottom w:val="single" w:sz="8" w:color="auto"/>
            </w:tcBorders>
          </w:tcPr>
          <w:p>
            <w:pPr>
              <w:spacing w:after="0"/>
              <w:rPr>
                <w:sz w:val="18"/>
                <w:szCs w:val="18"/>
                <w:color w:val="auto"/>
              </w:rPr>
            </w:pPr>
          </w:p>
        </w:tc>
        <w:tc>
          <w:tcPr>
            <w:tcW w:w="7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71" w:lineRule="exact"/>
        <w:rPr>
          <w:sz w:val="20"/>
          <w:szCs w:val="20"/>
          <w:color w:val="auto"/>
        </w:rPr>
      </w:pPr>
    </w:p>
    <w:p>
      <w:pPr>
        <w:ind w:left="480" w:hanging="475"/>
        <w:spacing w:after="0" w:line="298" w:lineRule="auto"/>
        <w:tabs>
          <w:tab w:leader="none" w:pos="5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consolidated cost of revenue excluding stock-based compensation, acquisition related amortization, fair value of AMPTC generated and loss from sale of AMPTC generated during 2025.</w:t>
      </w:r>
    </w:p>
    <w:p>
      <w:pPr>
        <w:spacing w:after="0" w:line="37" w:lineRule="exact"/>
        <w:rPr>
          <w:rFonts w:ascii="Arial" w:cs="Arial" w:eastAsia="Arial" w:hAnsi="Arial"/>
          <w:sz w:val="17"/>
          <w:szCs w:val="17"/>
          <w:color w:val="auto"/>
        </w:rPr>
      </w:pPr>
    </w:p>
    <w:p>
      <w:pPr>
        <w:ind w:left="480" w:right="120" w:hanging="475"/>
        <w:spacing w:after="0" w:line="298" w:lineRule="auto"/>
        <w:tabs>
          <w:tab w:leader="none" w:pos="4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costs incurred in connection with acquisition-related activities, which are not indicative of normal, recurring operating expenses, and acquisition related amortization.</w:t>
      </w:r>
    </w:p>
    <w:p>
      <w:pPr>
        <w:spacing w:after="0" w:line="37" w:lineRule="exact"/>
        <w:rPr>
          <w:rFonts w:ascii="Arial" w:cs="Arial" w:eastAsia="Arial" w:hAnsi="Arial"/>
          <w:sz w:val="17"/>
          <w:szCs w:val="17"/>
          <w:color w:val="auto"/>
        </w:rPr>
      </w:pPr>
    </w:p>
    <w:p>
      <w:pPr>
        <w:ind w:left="420" w:hanging="415"/>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consolidated restructuring and asset impairment charges excluding stock-based compensation.</w:t>
      </w:r>
    </w:p>
    <w:p>
      <w:pPr>
        <w:spacing w:after="0" w:line="118" w:lineRule="exact"/>
        <w:rPr>
          <w:rFonts w:ascii="Arial" w:cs="Arial" w:eastAsia="Arial" w:hAnsi="Arial"/>
          <w:sz w:val="17"/>
          <w:szCs w:val="17"/>
          <w:color w:val="auto"/>
        </w:rPr>
      </w:pPr>
    </w:p>
    <w:p>
      <w:pPr>
        <w:ind w:left="420" w:hanging="415"/>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consolidated research and development excluding stock-based compensation.</w:t>
      </w:r>
    </w:p>
    <w:p>
      <w:pPr>
        <w:spacing w:after="0" w:line="118" w:lineRule="exact"/>
        <w:rPr>
          <w:rFonts w:ascii="Arial" w:cs="Arial" w:eastAsia="Arial" w:hAnsi="Arial"/>
          <w:sz w:val="17"/>
          <w:szCs w:val="17"/>
          <w:color w:val="auto"/>
        </w:rPr>
      </w:pPr>
    </w:p>
    <w:p>
      <w:pPr>
        <w:ind w:left="420" w:hanging="415"/>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consolidated sales and marketing excluding stock-based compensation and acquisition related amortization.</w:t>
      </w:r>
    </w:p>
    <w:p>
      <w:pPr>
        <w:spacing w:after="0" w:line="118" w:lineRule="exact"/>
        <w:rPr>
          <w:rFonts w:ascii="Arial" w:cs="Arial" w:eastAsia="Arial" w:hAnsi="Arial"/>
          <w:sz w:val="17"/>
          <w:szCs w:val="17"/>
          <w:color w:val="auto"/>
        </w:rPr>
      </w:pPr>
    </w:p>
    <w:p>
      <w:pPr>
        <w:ind w:left="420" w:hanging="415"/>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consolidated general and administrative excluding stock-based compensation and acquisition related expenses.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2</w:t>
      </w:r>
      <w:r>
        <w:rPr>
          <w:rFonts w:ascii="Arial" w:cs="Arial" w:eastAsia="Arial" w:hAnsi="Arial"/>
          <w:sz w:val="17"/>
          <w:szCs w:val="17"/>
          <w:color w:val="auto"/>
        </w:rPr>
        <w:t>, “Revenue Recognition”, for the table presenting net revenues (based on the destination of shipments).</w:t>
      </w:r>
    </w:p>
    <w:p>
      <w:pPr>
        <w:spacing w:after="0" w:line="116" w:lineRule="exact"/>
        <w:rPr>
          <w:sz w:val="20"/>
          <w:szCs w:val="20"/>
          <w:color w:val="auto"/>
        </w:rPr>
      </w:pPr>
    </w:p>
    <w:p>
      <w:pPr>
        <w:ind w:left="440" w:hanging="435"/>
        <w:spacing w:after="0"/>
        <w:tabs>
          <w:tab w:leader="none" w:pos="44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In September 2025, the Company invested $6.3 million in cash to purchase convertible notes with an aggregate principal amount of $7.0 million issued by SunPower Inc. (“SunPower”) (formerly named “Complete Solaria, Inc.”). The CEO of SunPower also serves as a member of the Company’s Board of Directors, and therefore this transaction constitutes a related party transaction. The notes bear an interest rate of 7% per annum and mature on July 1, 2029. The initial conversion rate is 467.8363 shares of SunPower common stock per $1,000 principal amount of notes (equivalent to a conversion price of approximately $2.14 per share). The terms of the transaction were reviewed and approved by the Company’s Audit Committee and were determined to be on an arm’s-length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7" w:name="page28"/>
    <w:bookmarkEnd w:id="2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70"/>
        <w:spacing w:after="0" w:line="216" w:lineRule="exact"/>
        <w:rPr>
          <w:sz w:val="20"/>
          <w:szCs w:val="20"/>
          <w:color w:val="auto"/>
        </w:rPr>
      </w:pPr>
      <w:r>
        <w:rPr>
          <w:rFonts w:ascii="Arial" w:cs="Arial" w:eastAsia="Arial" w:hAnsi="Arial"/>
          <w:sz w:val="17"/>
          <w:szCs w:val="17"/>
          <w:color w:val="auto"/>
        </w:rPr>
        <w:t>On March 1, 2026 and April 7, 2026, the Company, in its capacity as a holder of the SunPower notes, executed a consent that allows SunPower to issue up to $50.0 million of senior secured notes that can be secured by a first</w:t>
      </w:r>
      <w:r>
        <w:rPr>
          <w:rFonts w:ascii="MS PGothic" w:cs="MS PGothic" w:eastAsia="MS PGothic" w:hAnsi="MS PGothic"/>
          <w:sz w:val="17"/>
          <w:szCs w:val="17"/>
          <w:color w:val="auto"/>
        </w:rPr>
        <w:t>‑</w:t>
      </w:r>
      <w:r>
        <w:rPr>
          <w:rFonts w:ascii="Arial" w:cs="Arial" w:eastAsia="Arial" w:hAnsi="Arial"/>
          <w:sz w:val="17"/>
          <w:szCs w:val="17"/>
          <w:color w:val="auto"/>
        </w:rPr>
        <w:t>priority lien on SunPower’s assets and can rank senior to the Company’s unsecured convertible notes. The consent was provided pursuant to the provisions of the existing indenture, which was not modified or amended, and will terminate if the first closing does not occur on or before May 1, 2026. The Company’s Audit Committee reviewed and approved the consent, and the Company believes the consent was provided on terms consistent with those offered to other noteholders and continues to be on an arm’s</w:t>
      </w:r>
      <w:r>
        <w:rPr>
          <w:rFonts w:ascii="MS PGothic" w:cs="MS PGothic" w:eastAsia="MS PGothic" w:hAnsi="MS PGothic"/>
          <w:sz w:val="17"/>
          <w:szCs w:val="17"/>
          <w:color w:val="auto"/>
        </w:rPr>
        <w:t>‑</w:t>
      </w:r>
      <w:r>
        <w:rPr>
          <w:rFonts w:ascii="Arial" w:cs="Arial" w:eastAsia="Arial" w:hAnsi="Arial"/>
          <w:sz w:val="17"/>
          <w:szCs w:val="17"/>
          <w:color w:val="auto"/>
        </w:rPr>
        <w:t>length basis.</w:t>
      </w:r>
    </w:p>
    <w:p>
      <w:pPr>
        <w:spacing w:after="0" w:line="62" w:lineRule="exact"/>
        <w:rPr>
          <w:sz w:val="20"/>
          <w:szCs w:val="20"/>
          <w:color w:val="auto"/>
        </w:rPr>
      </w:pPr>
    </w:p>
    <w:p>
      <w:pPr>
        <w:ind w:left="440" w:hanging="435"/>
        <w:spacing w:after="0"/>
        <w:tabs>
          <w:tab w:leader="none" w:pos="44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On April 10, 2026, the Company entered into a $30.0 million secured revolving credit facility with a private-held company which the Company holds a non-controlling equity interest. The facility matures on the earlier of April 30, 2027 or an event of default and bears interest at 9% per annum. In April 2026, the Company funded an initial borrowing of approximately $6.1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8" w:name="page29"/>
    <w:bookmarkEnd w:id="2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100"/>
        <w:spacing w:after="0" w:line="386"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“aim” or “continue” or the negative of these terms or other comparable terminology. Such statements, include but are not limited to statements regarding: our expectations as to future financial performance, including revenue, cost of revenue, expenses, liquidity, cash requirements, and our ability to maintain and grow our profitability; the capabilities, performance and competitive advantage of our technology and products and planned changes; timing of new product releases, and the anticipated market adoption of our current and future products; expectations regarding the development of our 1.25 megawatt (“MW”) IQ® Solid-State Transformer (“IQ SST”) product for data centers; our expectations regarding, and our ability to meet, demand for our products; our business strategies, including anticipated trends and operating conditions; growth of and development in markets in which we target, and our expansion into new and existing markets; our performance in operations, including our supply chain management and manufacturing operations and timelines; our product quality and customer service; our expectations regarding qualification of our products for domestic content credit under U.S. tax laws and our ability to meet FEOC requirements for our U.S. products; our expectations regarding macroeconomic events and geopolitical developments, including the effects of tariffs, which may impact our business operations, financial performance and the markets in which we, our suppliers, manufacturers and installers operate; our expectations regarding potential growth through engagement in the third-party ownership (“TPO”) market; expectations regarding the increased variability of in the timing of revenue recognition and cash flows related to safe harbor agreements; market risks associated with financial instruments and foreign currency exchange rates; the anticipated benefits and risks relating to acquisitions and investments; and the importance of government incentives for solar products, including the impact of recent changes in the tax laws, rules and regulations. You should be aware that the forward-looking statements contained in this report are based on our current views and assumptions, and are subject to known and unknown risks, uncertainties and other factors that may cause actual events or results to differ materially. For a discussion identifying some of the important factors that could cause actual results to vary materially from those anticipated in the forward-looking statements, see below, those discussed in the section entitled “Risk Factors” herein and those included in our Annual Report on Form 10-K for the year ended December 31, 2025 filed on February 17, 2026 (the “Form 10-K”). Unless the context requires otherwise, references in this report to “Enphase,” “we,” “us” and “our” refer to Enphase Energy, Inc. and its consolidated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March 31, 2026, we have shipped approximately 87.8 million microinverters, and more than 5.2 million Enphase residential and commercial systems have been deployed in over 165 countries.</w:t>
      </w:r>
    </w:p>
    <w:p>
      <w:pPr>
        <w:spacing w:after="0" w:line="57" w:lineRule="exact"/>
        <w:rPr>
          <w:sz w:val="20"/>
          <w:szCs w:val="20"/>
          <w:color w:val="auto"/>
        </w:rPr>
      </w:pPr>
    </w:p>
    <w:p>
      <w:pPr>
        <w:jc w:val="both"/>
        <w:ind w:firstLine="470"/>
        <w:spacing w:after="0" w:line="232" w:lineRule="auto"/>
        <w:rPr>
          <w:sz w:val="20"/>
          <w:szCs w:val="20"/>
          <w:color w:val="auto"/>
        </w:rPr>
      </w:pPr>
      <w:r>
        <w:rPr>
          <w:rFonts w:ascii="Arial" w:cs="Arial" w:eastAsia="Arial" w:hAnsi="Arial"/>
          <w:sz w:val="17"/>
          <w:szCs w:val="17"/>
          <w:color w:val="auto"/>
        </w:rPr>
        <w:t>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whole solution, of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Microinverters,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Batteries,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Load Controllers,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 Charger, allowing rapid commissioning with 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Installer App, consumption monitoring with our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device with our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Gateway™ device, and our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a cloud-based energy management platform.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 w:name="page30"/>
    <w:bookmarkEnd w:id="2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 products and racking systems, and resell to installers in each target region. In addition to our solar distributors, we sell directly to select large installers, original equipment manufacturers (“OEMs”) and strategic partners. Our OEM customers include solar module manufacturers who integrate our microinverters with their solar module products and resell to both distributors and installers. Strategic partners include a variety of companies, including industrial equipment suppliers, module companies, energy suppliers and developers of third-party solar finance offerings (such as TPOs). We also sell certain products and services to homeowners primarily in support of our warranty services and legacy product upgrade programs, via our online store.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Affecting our Business and Operations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we have a growing global footprint, we are subject to risk and exposure from the evolving macroeconomic environment, including the effects of military conflicts (including the Iran conflict), increased global inflationary pressures, tariffs and interest rates, fluctuations in foreign currency exchange rates, potential economic slowdowns or recessions, geopolitical pressures and potential regulatory changes, including the unknown impacts of current and future trade regulations. We continuously monitor the direct and indirect impacts of these circumstances on our business and financial results.</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i w:val="1"/>
          <w:iCs w:val="1"/>
          <w:color w:val="auto"/>
        </w:rPr>
        <w:t xml:space="preserve">One Big Beautiful Bill Act. </w:t>
      </w:r>
      <w:r>
        <w:rPr>
          <w:rFonts w:ascii="Arial" w:cs="Arial" w:eastAsia="Arial" w:hAnsi="Arial"/>
          <w:sz w:val="17"/>
          <w:szCs w:val="17"/>
          <w:color w:val="auto"/>
        </w:rPr>
        <w:t>In July 2025, the One Big Beautiful Bill Act (the “OBBBA”) was enacted, introducing material changes to clean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tax credit programs that are significant to our business and may impact our financial condition, results of operations and future prospects.</w:t>
      </w:r>
    </w:p>
    <w:p>
      <w:pPr>
        <w:spacing w:after="0" w:line="3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OBBBA scales back the Investment Tax Credit (the “ITC”) available under Section 25D of the Internal Revenue Code of 1986, as amended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6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OBBBA also amends the domestic content bonus credit rules for Section 48E projects. Projects commencing construction after June 16, 2025 must meet a 45% domestic cost threshold, up from 40%.</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Additionally, the OBBBA introduces new compliance requirements under the Foreign Entity of Concern (“FEOC”) provisions for both Section 48E of the Code and the Advanced Manufacturing Production Tax Credit (“AMPTC”) under Section 45X of the Code. These provisions establish an escalating threshold of non-FEOC content that must be met by solar and storage projects beginning construction in 2026 and by manufactured components produced beginning in 2026.</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On July 7, 2025, the President issued an Executive Order directing the Secretary of the Treasury to issue updated guidance within 45 days on the “beginning of construction” requirements applicable to Section 48E projects. In August 2025, Treasury and the IRS issued revised “beginning of construction” guidance for clean energy tax credits that only applies to projects above 1 MW. The Executive Order also requires the Secretary to implement the FEOC restrictions set forth in the OBBBA.</w:t>
      </w:r>
    </w:p>
    <w:p>
      <w:pPr>
        <w:spacing w:after="0" w:line="61" w:lineRule="exact"/>
        <w:rPr>
          <w:sz w:val="20"/>
          <w:szCs w:val="20"/>
          <w:color w:val="auto"/>
        </w:rPr>
      </w:pPr>
    </w:p>
    <w:p>
      <w:pPr>
        <w:jc w:val="both"/>
        <w:ind w:firstLine="470"/>
        <w:spacing w:after="0" w:line="218" w:lineRule="exact"/>
        <w:rPr>
          <w:sz w:val="20"/>
          <w:szCs w:val="20"/>
          <w:color w:val="auto"/>
        </w:rPr>
      </w:pPr>
      <w:r>
        <w:rPr>
          <w:rFonts w:ascii="Arial" w:cs="Arial" w:eastAsia="Arial" w:hAnsi="Arial"/>
          <w:sz w:val="17"/>
          <w:szCs w:val="17"/>
          <w:color w:val="auto"/>
        </w:rPr>
        <w:t>In February 2026, the U.S. Department of the Treasury and the Internal Revenue Service (“IRS”) issued guidance under the OBBBA’s FEOC provisions applicable to Sections 48E and 45X of the Code, including rules and interim safe harbors for determining whether projects or manufactured components receive material assistance from prohibited foreign entities. Treasury and the IRS have indicated that additional proposed regulations and safe harbor tables are expected, including guidance addressing ownership, effective control, debt, licensing arrangements and anti</w:t>
      </w:r>
      <w:r>
        <w:rPr>
          <w:rFonts w:ascii="MS PGothic" w:cs="MS PGothic" w:eastAsia="MS PGothic" w:hAnsi="MS PGothic"/>
          <w:sz w:val="17"/>
          <w:szCs w:val="17"/>
          <w:color w:val="auto"/>
        </w:rPr>
        <w:t>‑</w:t>
      </w:r>
      <w:r>
        <w:rPr>
          <w:rFonts w:ascii="Arial" w:cs="Arial" w:eastAsia="Arial" w:hAnsi="Arial"/>
          <w:sz w:val="17"/>
          <w:szCs w:val="17"/>
          <w:color w:val="auto"/>
        </w:rPr>
        <w:t>circumvention matters, which could make the compliance requirements more restrictive over time.</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 March 2026, we entered into an agreement for the sale of $235.0 million of AMPTC we generated during 2025 at 93% face value, resulting in a discount of approximately $16.5 million. We also incurred approximately $2.5 million in transaction-related fees.</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These legislative and regulatory developments have impacted and may in the future negatively impact our eligibility for certain tax credits, the attractiveness of our offerings to solar and storage system lease providers, or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0" w:name="page31"/>
    <w:bookmarkEnd w:id="3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 xml:space="preserve">Trade Tariff Uncertainties. </w:t>
      </w:r>
      <w:r>
        <w:rPr>
          <w:rFonts w:ascii="Arial" w:cs="Arial" w:eastAsia="Arial" w:hAnsi="Arial"/>
          <w:sz w:val="17"/>
          <w:szCs w:val="17"/>
          <w:color w:val="auto"/>
        </w:rPr>
        <w:t>The impact of new or existing tariffs, trade restrictions or retaliatory actions on us, the solar industry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continue to create uncertainty and impact on our business operations. On February 20, 2026, the United States Supreme Court issued a decision invalidating certain tariffs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 On April 20, 2026, CBP launched an online portal through which companies may submit IEEPA tariff refund requests. Submitted claims are subject to review and validation by CBP, and the approval, timing, and amount of any refunds remain subject to CBP determination. Based on our submitted refund requests related to tariffs paid during fiscal 2025 and the first quarter of fiscal 2026, we may be eligible to receive tariff refunds. However, because the approval and timing of such refunds remain uncertain and are contingent upon CBP’s review and validation process, no assurance can be given that any refunds will be realized. Furthermore, following the Supreme Court’s decision, the Administration announced the imposition of new global tariffs of up to 15% under the provisions of Section 122 of the Trade Act of 1974.</w:t>
      </w:r>
    </w:p>
    <w:p>
      <w:pPr>
        <w:spacing w:after="0" w:line="2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have moved a significant portion of our manufacturing to the United States while continuing to utilize contract manufacturing in China and India. However, certain critical components for our products are still sourced from outside the United States. For example, lithium iron phosphate (“LFP”) battery cells used in our storage products are still supplied by two vendors located in China. Although we are in the process of searching for other vendors outside of China for future supplies, the expertise and industry for the LFP battery cell is primarily in China, and it will require significant effort to identify qualified suppliers with the right expertise to develop our battery cells.</w:t>
      </w:r>
    </w:p>
    <w:p>
      <w:pPr>
        <w:spacing w:after="0" w:line="63"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21" w:lineRule="exact"/>
        <w:rPr>
          <w:sz w:val="20"/>
          <w:szCs w:val="20"/>
          <w:color w:val="auto"/>
        </w:rPr>
      </w:pPr>
    </w:p>
    <w:p>
      <w:pPr>
        <w:jc w:val="both"/>
        <w:ind w:firstLine="470"/>
        <w:spacing w:after="0" w:line="221" w:lineRule="exact"/>
        <w:rPr>
          <w:sz w:val="20"/>
          <w:szCs w:val="20"/>
          <w:color w:val="auto"/>
        </w:rPr>
      </w:pPr>
      <w:r>
        <w:rPr>
          <w:rFonts w:ascii="Arial" w:cs="Arial" w:eastAsia="Arial" w:hAnsi="Arial"/>
          <w:sz w:val="17"/>
          <w:szCs w:val="17"/>
          <w:i w:val="1"/>
          <w:iCs w:val="1"/>
          <w:color w:val="auto"/>
        </w:rPr>
        <w:t xml:space="preserve">Safe Harbor Agreements. </w:t>
      </w:r>
      <w:r>
        <w:rPr>
          <w:rFonts w:ascii="Arial" w:cs="Arial" w:eastAsia="Arial" w:hAnsi="Arial"/>
          <w:sz w:val="17"/>
          <w:szCs w:val="17"/>
          <w:color w:val="auto"/>
        </w:rPr>
        <w:t>During the year ended December 31, 2025, and continuing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date through the date of this filing on April 28,</w:t>
      </w:r>
      <w:r>
        <w:rPr>
          <w:rFonts w:ascii="Arial" w:cs="Arial" w:eastAsia="Arial" w:hAnsi="Arial"/>
          <w:sz w:val="17"/>
          <w:szCs w:val="17"/>
          <w:i w:val="1"/>
          <w:iCs w:val="1"/>
          <w:color w:val="auto"/>
        </w:rPr>
        <w:t xml:space="preserve"> </w:t>
      </w:r>
      <w:r>
        <w:rPr>
          <w:rFonts w:ascii="Arial" w:cs="Arial" w:eastAsia="Arial" w:hAnsi="Arial"/>
          <w:sz w:val="17"/>
          <w:szCs w:val="17"/>
          <w:color w:val="auto"/>
        </w:rPr>
        <w:t>2026, we expanded our engagement in the TPO market through the execution of additional safe harbor agreements with solar and battery financing companies that offer lease and power purchase agreement structures to homeowners. These arrangements are designed to support customers’ qualification for investment tax credits and have become an increasingly important growth channel for U.S. residential solar and battery adoption following the expiration of the residential Investment Tax Credit under Section 25D of the Code on December 31, 2025.</w:t>
      </w:r>
    </w:p>
    <w:p>
      <w:pPr>
        <w:spacing w:after="0" w:line="46" w:lineRule="exact"/>
        <w:rPr>
          <w:sz w:val="20"/>
          <w:szCs w:val="20"/>
          <w:color w:val="auto"/>
        </w:rPr>
      </w:pPr>
    </w:p>
    <w:p>
      <w:pPr>
        <w:jc w:val="both"/>
        <w:ind w:firstLine="470"/>
        <w:spacing w:after="0" w:line="225" w:lineRule="exact"/>
        <w:rPr>
          <w:sz w:val="20"/>
          <w:szCs w:val="20"/>
          <w:color w:val="auto"/>
        </w:rPr>
      </w:pPr>
      <w:r>
        <w:rPr>
          <w:rFonts w:ascii="Arial" w:cs="Arial" w:eastAsia="Arial" w:hAnsi="Arial"/>
          <w:sz w:val="17"/>
          <w:szCs w:val="17"/>
          <w:color w:val="auto"/>
        </w:rPr>
        <w:t>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date, we executed agreements with TPOs for products totaling approximately $843.6 million, including approximately $89.6 million under the Investment Tax Credit Five Percent Safe Harbor method and approximately $ 754.0 million under the Physical Work Test beginning</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construction method. Product deliveries and revenue recognition associated with these arrangements may occur over multiple periods and are dependent on the timing of product shipment and satisfaction of performance obligations. As a result, the timing and structure of these safe harbor arrangements have contributed to increased variability in the timing of revenue recognition and cash flows between reporting periods.</w:t>
      </w:r>
    </w:p>
    <w:p>
      <w:pPr>
        <w:spacing w:after="0" w:line="275"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 xml:space="preserve">Demand for Products. </w:t>
      </w:r>
      <w:r>
        <w:rPr>
          <w:rFonts w:ascii="Arial" w:cs="Arial" w:eastAsia="Arial" w:hAnsi="Arial"/>
          <w:sz w:val="17"/>
          <w:szCs w:val="17"/>
          <w:color w:val="auto"/>
        </w:rPr>
        <w:t>The prolonged softness in demand in the solar industry has continued to adversely impact certain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installers, contributing to reduced liquidity, bankruptcies and business closures across the channel. These disruptions have negatively affected our revenue and profitability and could result in higher allowances for credit losses in the future. In Europe, the overall business environment across the region is still challenging, and is expected to remain constrained in 2026. In the United States, uncertainty related to changes in legislation, including from the OBBBA, which eliminates or reduces existing tax credits for clean energy programs, as well as evolving U.S. trade and tariff policies, may further contribute to market volatility and adversely impact customer demand for our products, pricing and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1" w:name="page32"/>
    <w:bookmarkEnd w:id="3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120" w:lineRule="exact"/>
        <w:rPr>
          <w:sz w:val="20"/>
          <w:szCs w:val="20"/>
          <w:color w:val="auto"/>
        </w:rPr>
      </w:pPr>
    </w:p>
    <w:p>
      <w:pPr>
        <w:jc w:val="both"/>
        <w:ind w:firstLine="470"/>
        <w:spacing w:after="0" w:line="212" w:lineRule="exact"/>
        <w:rPr>
          <w:sz w:val="20"/>
          <w:szCs w:val="20"/>
          <w:color w:val="auto"/>
        </w:rPr>
      </w:pPr>
      <w:r>
        <w:rPr>
          <w:rFonts w:ascii="Arial" w:cs="Arial" w:eastAsia="Arial" w:hAnsi="Arial"/>
          <w:sz w:val="17"/>
          <w:szCs w:val="17"/>
          <w:color w:val="auto"/>
        </w:rPr>
        <w:t>The Enphase Energy System is a comprehensive portfolio of solar, storage and energy management hardware, software and services designed to support residential, commercial and small utility applications. While IQ Microinverters and IQ Batteries represent the most significant components of our revenue, our offering also includes a range of balance-of-system products, grid interconnection and control devices, power management software, monitoring platforms, and other services that together enable integrated energy solutions. Our products are designed to maximize energy production, simplify system design and installation, enhance reliability, and support a wide range of grid</w:t>
      </w:r>
      <w:r>
        <w:rPr>
          <w:rFonts w:ascii="MS PGothic" w:cs="MS PGothic" w:eastAsia="MS PGothic" w:hAnsi="MS PGothic"/>
          <w:sz w:val="17"/>
          <w:szCs w:val="17"/>
          <w:color w:val="auto"/>
        </w:rPr>
        <w:t>‑</w:t>
      </w:r>
      <w:r>
        <w:rPr>
          <w:rFonts w:ascii="Arial" w:cs="Arial" w:eastAsia="Arial" w:hAnsi="Arial"/>
          <w:sz w:val="17"/>
          <w:szCs w:val="17"/>
          <w:color w:val="auto"/>
        </w:rPr>
        <w:t>connected, backup and off-grid use cases.</w:t>
      </w:r>
    </w:p>
    <w:p>
      <w:pPr>
        <w:spacing w:after="0" w:line="8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IQ Microinverters</w:t>
      </w:r>
      <w:r>
        <w:rPr>
          <w:rFonts w:ascii="Arial" w:cs="Arial" w:eastAsia="Arial" w:hAnsi="Arial"/>
          <w:sz w:val="17"/>
          <w:szCs w:val="17"/>
          <w:color w:val="auto"/>
        </w:rPr>
        <w:t>. We ship IQ8™ Microinverters into 58 countries worldwide. Our IQ8P 3P™ Microinverters, with peak output power of</w:t>
      </w:r>
      <w:r>
        <w:rPr>
          <w:rFonts w:ascii="Arial" w:cs="Arial" w:eastAsia="Arial" w:hAnsi="Arial"/>
          <w:sz w:val="17"/>
          <w:szCs w:val="17"/>
          <w:i w:val="1"/>
          <w:iCs w:val="1"/>
          <w:color w:val="auto"/>
        </w:rPr>
        <w:t xml:space="preserve"> </w:t>
      </w:r>
      <w:r>
        <w:rPr>
          <w:rFonts w:ascii="Arial" w:cs="Arial" w:eastAsia="Arial" w:hAnsi="Arial"/>
          <w:sz w:val="17"/>
          <w:szCs w:val="17"/>
          <w:color w:val="auto"/>
        </w:rPr>
        <w:t>480 W AC, are designed to maximize energy production and can manage a continuous DC current of 14 amperes, supporting higher powered solar modules through increased energy harvesting. These microinverters are offered for residential and small commercial applications in North America and for grid-tied applications in South Africa, Mexico, Brazil, India, Thailand, the Philippines, France, Spain, Switzerland, the United Kingdom, Italy, Portugal, Poland, Turkey, Colombia, Panama, Costa Rica, Vietnam, Malaysia, Australia and 13 Caribbean countries.</w:t>
      </w:r>
    </w:p>
    <w:p>
      <w:pPr>
        <w:spacing w:after="0" w:line="63"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began shipping our new IQ9N-3P™ Commercial Microinverter in December 2025. This is the first microinverter powered by advanced gallium nitride technology and designed for three-phase 480Y/277 V (wye) grid configurations, without using external transformers. The IQ9N-3P Commercial Microinverter helps simplify design complexity, lowers installation and balance of system costs, and improves system efficiency for 480 V commercial projects.</w:t>
      </w:r>
    </w:p>
    <w:p>
      <w:pPr>
        <w:spacing w:after="0" w:line="57" w:lineRule="exact"/>
        <w:rPr>
          <w:sz w:val="20"/>
          <w:szCs w:val="20"/>
          <w:color w:val="auto"/>
        </w:rPr>
      </w:pPr>
    </w:p>
    <w:p>
      <w:pPr>
        <w:jc w:val="both"/>
        <w:ind w:firstLine="470"/>
        <w:spacing w:after="0" w:line="244" w:lineRule="auto"/>
        <w:rPr>
          <w:sz w:val="20"/>
          <w:szCs w:val="20"/>
          <w:color w:val="auto"/>
        </w:rPr>
      </w:pPr>
      <w:r>
        <w:rPr>
          <w:rFonts w:ascii="Arial" w:cs="Arial" w:eastAsia="Arial" w:hAnsi="Arial"/>
          <w:sz w:val="17"/>
          <w:szCs w:val="17"/>
          <w:color w:val="auto"/>
        </w:rPr>
        <w:t>In 2025, we released a software update in our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Gateway™ device that enables homeowners with existing legacy IQ7™ Microinverter-based systems to expand their solar capacity with IQ8 Microinverters. This software facilitates seamless interoperability between legacy and current system architectures and is available in North America, Europe, Australia, South Africa, the Philippines and other key markets.</w:t>
      </w:r>
    </w:p>
    <w:p>
      <w:pPr>
        <w:spacing w:after="0" w:line="81" w:lineRule="exact"/>
        <w:rPr>
          <w:sz w:val="20"/>
          <w:szCs w:val="20"/>
          <w:color w:val="auto"/>
        </w:rPr>
      </w:pPr>
    </w:p>
    <w:p>
      <w:pPr>
        <w:jc w:val="both"/>
        <w:ind w:firstLine="470"/>
        <w:spacing w:after="0"/>
        <w:rPr>
          <w:sz w:val="20"/>
          <w:szCs w:val="20"/>
          <w:color w:val="auto"/>
        </w:rPr>
      </w:pPr>
      <w:r>
        <w:rPr>
          <w:rFonts w:ascii="Arial" w:cs="Arial" w:eastAsia="Arial" w:hAnsi="Arial"/>
          <w:sz w:val="17"/>
          <w:szCs w:val="17"/>
          <w:color w:val="auto"/>
        </w:rPr>
        <w:t>We ship our IQ8HC™ Microinverters, IQ8X™ Microinverters, IQ8P-3P Commercial Microinverters, IQ9N-3P Commercial Microinverters,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5Ps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10Cs supplied from manufacturing facilities in the United States with higher domestic content than previous models, that when paired with other U.S.-made solar equipment could qualify for the domestic content bonus tax credit under the Inflation Reduction Act of 2022.</w:t>
      </w:r>
    </w:p>
    <w:p>
      <w:pPr>
        <w:spacing w:after="0" w:line="235" w:lineRule="exact"/>
        <w:rPr>
          <w:sz w:val="20"/>
          <w:szCs w:val="20"/>
          <w:color w:val="auto"/>
        </w:rPr>
      </w:pPr>
    </w:p>
    <w:p>
      <w:pPr>
        <w:jc w:val="both"/>
        <w:ind w:firstLine="470"/>
        <w:spacing w:after="0" w:line="250" w:lineRule="auto"/>
        <w:rPr>
          <w:sz w:val="20"/>
          <w:szCs w:val="20"/>
          <w:color w:val="auto"/>
        </w:rPr>
      </w:pPr>
      <w:r>
        <w:rPr>
          <w:rFonts w:ascii="Arial" w:cs="Arial" w:eastAsia="Arial" w:hAnsi="Arial"/>
          <w:sz w:val="17"/>
          <w:szCs w:val="17"/>
          <w:color w:val="auto"/>
        </w:rPr>
        <w:t>In February 2026, we announced the introduction of Enphase Power Control™ software with our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Gateway™ device for IQ9™ and IQ8™ Microinverter-based small commercial solar systems. Enphase Power Control™ software simplifies interconnections, reduces permitting complexity, and avoids costly utility upgrades, making it easier and more cost-effective to design and install small commercial microinverter systems. This software solution is designed to help installers reduce costs, simplify interconnection requirements, and enable projects that might otherwise not proceed due to unfavorable project economics.</w:t>
      </w:r>
    </w:p>
    <w:p>
      <w:pPr>
        <w:spacing w:after="0" w:line="76"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i w:val="1"/>
          <w:iCs w:val="1"/>
          <w:color w:val="auto"/>
        </w:rPr>
        <w:t xml:space="preserve">IQ Batteries. </w:t>
      </w:r>
      <w:r>
        <w:rPr>
          <w:rFonts w:ascii="Arial" w:cs="Arial" w:eastAsia="Arial" w:hAnsi="Arial"/>
          <w:sz w:val="17"/>
          <w:szCs w:val="17"/>
          <w:color w:val="auto"/>
        </w:rPr>
        <w:t>We continue to scale our global footprint, by delivering advanced, grid-independent microinverter-based storage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powered by our proprietary Ensemble OS™ software.</w:t>
      </w:r>
    </w:p>
    <w:p>
      <w:pPr>
        <w:spacing w:after="0" w:line="33" w:lineRule="exact"/>
        <w:rPr>
          <w:sz w:val="20"/>
          <w:szCs w:val="20"/>
          <w:color w:val="auto"/>
        </w:rPr>
      </w:pPr>
    </w:p>
    <w:p>
      <w:pPr>
        <w:jc w:val="both"/>
        <w:ind w:firstLine="470"/>
        <w:spacing w:after="0" w:line="250" w:lineRule="auto"/>
        <w:rPr>
          <w:sz w:val="20"/>
          <w:szCs w:val="20"/>
          <w:color w:val="auto"/>
        </w:rPr>
      </w:pPr>
      <w:r>
        <w:rPr>
          <w:rFonts w:ascii="Arial" w:cs="Arial" w:eastAsia="Arial" w:hAnsi="Arial"/>
          <w:sz w:val="17"/>
          <w:szCs w:val="17"/>
          <w:color w:val="auto"/>
        </w:rPr>
        <w:t>Our fourth-generation Enphase Energy System features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10C,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Meter Collar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6C. The IQ Battery 10C is designed to be 30% more energy-dense, occupy 60% less wall space, and cost less than previous models. The IQ Meter Collar simplifies whole-home backup by providing microgrid interconnection device functionality, while the IQ Combiner 6C further streamlines installation by consolidating interconnection equipment into one enclosure. Together, these components are designed to simplify the entire backup installation process and enhance reliability.</w:t>
      </w:r>
    </w:p>
    <w:p>
      <w:pPr>
        <w:spacing w:after="0" w:line="76" w:lineRule="exact"/>
        <w:rPr>
          <w:sz w:val="20"/>
          <w:szCs w:val="20"/>
          <w:color w:val="auto"/>
        </w:rPr>
      </w:pPr>
    </w:p>
    <w:p>
      <w:pPr>
        <w:jc w:val="both"/>
        <w:ind w:firstLine="470"/>
        <w:spacing w:after="0" w:line="247" w:lineRule="auto"/>
        <w:rPr>
          <w:sz w:val="20"/>
          <w:szCs w:val="20"/>
          <w:color w:val="auto"/>
        </w:rPr>
      </w:pPr>
      <w:r>
        <w:rPr>
          <w:rFonts w:ascii="Arial" w:cs="Arial" w:eastAsia="Arial" w:hAnsi="Arial"/>
          <w:sz w:val="17"/>
          <w:szCs w:val="17"/>
          <w:color w:val="auto"/>
        </w:rPr>
        <w:t>Our IQ Battery 10C is now shipping in the United States, including Puerto Rico and Bermuda. This battery provides a base capacity of 10 kWh and is designed to easily scale up to 80 kWh as a homeowner's energy requirements grow. Delivering 7.1 kVA continuous output and 90 A of PowerStart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capability per 10 kWh unit, the IQ Battery 10C is engineered to seamlessly support heavy household loads like HVAC units and pool pumps, without requiring additional neutral-forming hardware.</w:t>
      </w:r>
    </w:p>
    <w:p>
      <w:pPr>
        <w:spacing w:after="0" w:line="7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continue to expand the deployment of the IQ Battery 5P with FlexPhase™, an AC-coupled, modular 5 kWh battery with 3.84 kVA of continuous power per unit, for both single-phase and three-phase applications. The product is currently shipping to Austria, Germany, Switzerland, Luxembourg, Poland, France, Spain, Portugal, the Netherlands, Greece, Romania, Croatia, Finland, Malta, Estonia, India, Belgium, Slovenia, Slovakia, Denmark, Latvia, Lithuania, Sweden, Hungary, Bulgaria and Australia. The standard IQ Battery 5P continues to ship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 States, Australia, New Zealand, Puerto Rico, Mexico, Canada, the United Kingdom, Italy, France, the Netherlands, Luxembourg, Belgium, Romania and India. These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Our older Enphase IQ Battery 3T and IQ Battery 10T storage systems, have a usable capacity of 10.1 kWh and 3.4 kWh for the United States, and 10.5 kWh and 3.5 kWh for Europe and other international countries. We currently ship these IQ Battery storage systems customers in the United States, Puerto Rico, Canada, Mexico, Australia, New Zealand, Belgium, Germany, the United Kingdom, Italy, Austria, France, the Netherlands, Luxembourg, Finland, Switzerland, Spain, Portugal, Sweden, Denmark and Greece.</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In October 2025, we announced support in the United States for complete off-grid system configurations that are capable of operating without a utility connection when needed. The system requires the IQ Battery 5P with embedded grid-forming microinverters, IQ8 Series Microinverters with Sunlight JumpStart™ technology and a third-party standby AC generator, which all work together to power the home.</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In December 2025, we launched our PowerMatch™ technology, a battery software upgrade in Europe. PowerMatch intelligently adjusts IQ Battery output to match a home’s real-time power needs, delivering more usable energy, longer battery life and greater long-term savings. The efficiency gains achieved with this technology can improve battery performance by as much as 40%.</w:t>
      </w:r>
    </w:p>
    <w:p>
      <w:pPr>
        <w:spacing w:after="0" w:line="55" w:lineRule="exact"/>
        <w:rPr>
          <w:sz w:val="20"/>
          <w:szCs w:val="20"/>
          <w:color w:val="auto"/>
        </w:rPr>
      </w:pPr>
    </w:p>
    <w:p>
      <w:pPr>
        <w:jc w:val="both"/>
        <w:ind w:firstLine="5"/>
        <w:spacing w:after="0" w:line="283" w:lineRule="auto"/>
        <w:tabs>
          <w:tab w:leader="none" w:pos="87"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      New Products in Development. </w:t>
      </w:r>
      <w:r>
        <w:rPr>
          <w:rFonts w:ascii="Arial" w:cs="Arial" w:eastAsia="Arial" w:hAnsi="Arial"/>
          <w:sz w:val="16"/>
          <w:szCs w:val="16"/>
          <w:color w:val="auto"/>
        </w:rPr>
        <w:t>On April 28, 2026, we announced that we are developing our 1.25 MW IQ SST product for data centers,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solid-state transformer platform designed to convert medium-voltage AC directly to low-voltage DC in a single stage. The IQ SST will be built as a supercluster of 342 power modules, with each module powered by our custom Kestrel ASIC and high-frequency GaN-based power platform. The architecture is designed to deliver native 800 V DC output for next-generation AI racks, fast response on the order of 1 to 3 milliseconds, built-in redundancy, and serviceability through hot-swappable modules. We have completed feasibility, built working power modules, converged on the system design, and have more than 80 engineers working on the program. We expect full system demonstrations late this year, customer pilots in 2027 and volume shipments in 2028.</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2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282,900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Net revenues decreased by $ 73.2 million, or 21%, in the three months ended March 31, 2026, as compared to the same period in 2025, driven primarily by a 39% decrease in IQ Batteries MWh shipped and 8% decrease in microinverter units sold. During the three months ended March 31, 2026, we sold approximately 1.4 million microinverter units and shipped 103.1 MWh of IQ Batteries, as compared to approximately 1.5 million microinverter units and 170.1 MWh of IQ Batteries shipped in the three months ended March 31, 2025.</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Net revenues in the United States were $233.9 million in the three months ended March 31, 2026, as compared to $263.2 million in the same period in 2025, a decrease of $29.3 million, or 11%, primarily due to the expiration of the federal residential clean energy tax credit under Section 25D of the Internal Revenue Code. Microinverter shipments that are associated with safe harbor transactions with customers were $34.5 million and $54.3 million in the three months ended March 31, 2026 and 2025, respectively.</w:t>
      </w:r>
    </w:p>
    <w:p>
      <w:pPr>
        <w:spacing w:after="0" w:line="61" w:lineRule="exact"/>
        <w:rPr>
          <w:sz w:val="20"/>
          <w:szCs w:val="20"/>
          <w:color w:val="auto"/>
        </w:rPr>
      </w:pPr>
    </w:p>
    <w:p>
      <w:pPr>
        <w:jc w:val="both"/>
        <w:ind w:firstLine="470"/>
        <w:spacing w:after="0" w:line="218" w:lineRule="exact"/>
        <w:rPr>
          <w:sz w:val="20"/>
          <w:szCs w:val="20"/>
          <w:color w:val="auto"/>
        </w:rPr>
      </w:pPr>
      <w:r>
        <w:rPr>
          <w:rFonts w:ascii="Arial" w:cs="Arial" w:eastAsia="Arial" w:hAnsi="Arial"/>
          <w:sz w:val="17"/>
          <w:szCs w:val="17"/>
          <w:color w:val="auto"/>
        </w:rPr>
        <w:t>Net revenues from international markets were $49.0 million in the three months ended March 31, 2026, as compared to $92.8 million in the same period in 2025, a decrease of $43.9 million, or 47%, primarily driven by lower shipments to customers in Europe driven by continued softening in demand and delayed purchasing activity. In addition, demand in certain European markets was impacted by macroeconomic conditions, regulatory and incentive framework transitions, and lower electricity prices compared to the same period in 2025, which reduced near</w:t>
      </w:r>
      <w:r>
        <w:rPr>
          <w:rFonts w:ascii="MS PGothic" w:cs="MS PGothic" w:eastAsia="MS PGothic" w:hAnsi="MS PGothic"/>
          <w:sz w:val="17"/>
          <w:szCs w:val="17"/>
          <w:color w:val="auto"/>
        </w:rPr>
        <w:t>‑</w:t>
      </w:r>
      <w:r>
        <w:rPr>
          <w:rFonts w:ascii="Arial" w:cs="Arial" w:eastAsia="Arial" w:hAnsi="Arial"/>
          <w:sz w:val="17"/>
          <w:szCs w:val="17"/>
          <w:color w:val="auto"/>
        </w:rPr>
        <w:t>term installation activity and delayed project starts.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Margin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6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7"/>
          </w:tcPr>
          <w:p>
            <w:pPr>
              <w:ind w:left="160"/>
              <w:spacing w:after="0"/>
              <w:rPr>
                <w:sz w:val="20"/>
                <w:szCs w:val="20"/>
                <w:color w:val="auto"/>
              </w:rPr>
            </w:pPr>
            <w:r>
              <w:rPr>
                <w:rFonts w:ascii="Arial" w:cs="Arial" w:eastAsia="Arial" w:hAnsi="Arial"/>
                <w:sz w:val="12"/>
                <w:szCs w:val="12"/>
                <w:i w:val="1"/>
                <w:iCs w:val="1"/>
                <w:color w:val="auto"/>
              </w:rPr>
              <w:t>(In thousands, except percentages)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182,507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187,843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61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6"/>
              <w:spacing w:after="0"/>
              <w:rPr>
                <w:sz w:val="20"/>
                <w:szCs w:val="20"/>
                <w:color w:val="auto"/>
              </w:rPr>
            </w:pPr>
            <w:r>
              <w:rPr>
                <w:rFonts w:ascii="Arial" w:cs="Arial" w:eastAsia="Arial" w:hAnsi="Arial"/>
                <w:sz w:val="16"/>
                <w:szCs w:val="16"/>
                <w:color w:val="auto"/>
              </w:rPr>
              <w:t>100,393</w:t>
            </w:r>
          </w:p>
        </w:tc>
        <w:tc>
          <w:tcPr>
            <w:tcW w:w="100" w:type="dxa"/>
            <w:vAlign w:val="bottom"/>
          </w:tcPr>
          <w:p>
            <w:pPr>
              <w:spacing w:after="0"/>
              <w:rPr>
                <w:sz w:val="18"/>
                <w:szCs w:val="18"/>
                <w:color w:val="auto"/>
              </w:rPr>
            </w:pPr>
          </w:p>
        </w:tc>
        <w:tc>
          <w:tcPr>
            <w:tcW w:w="380" w:type="dxa"/>
            <w:vAlign w:val="bottom"/>
          </w:tcPr>
          <w:p>
            <w:pPr>
              <w:jc w:val="right"/>
              <w:ind w:right="207"/>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168,241</w:t>
            </w:r>
          </w:p>
        </w:tc>
        <w:tc>
          <w:tcPr>
            <w:tcW w:w="8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(67,848)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Cost of revenues decreased by $5.3 million, or 3%, for the three months ended March 31, 2026, as compared to the same period in 2025.</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primarily driven by a decreased in MWh of IQ Batteries and microinverter units shipped and lower tariffs.</w:t>
      </w:r>
    </w:p>
    <w:p>
      <w:pPr>
        <w:spacing w:after="0" w:line="10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This decrease in cost of revenues was partially offset by $18.9 million loss from the sale of tax credits generated during 2025 and $5.2 million reduction in fair value of AMPTC generated during the three months ended March 31, 2026. The AMPTC generated in the three months ended March 31, 2026 and 2025 was $59.8 million and $53.6 million, respectively, and after taking into account the total fair value adjustments of the AMPTC of $24.1 million and zero, respectively, the net benefit from the AMPTC generated reducing cost of revenues was $35.7 million and $53.6 million, respectively.</w:t>
      </w:r>
    </w:p>
    <w:p>
      <w:pPr>
        <w:spacing w:after="0" w:line="63"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Gross margin decreased by 11.7 percentage points in the three months ended March 31, 2026, as compared to the same period in 2025. The decrease was primarily due to 6.7 percentage points from the sale of tax credits generated during 2025, 1.8 percentage points from reduction in fair value of AMPTC generated during the three months ended March 31, 2026, and lower shipment volumes of microinverters and IQ Batteries, which resulted in unfavorable absorption of fixed manufacturing and supply chain costs over a lower revenue base, partially offset by lower tariffs.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9"/>
              </w:rPr>
              <w:t>Three Months Ended</w:t>
            </w:r>
          </w:p>
        </w:tc>
        <w:tc>
          <w:tcPr>
            <w:tcW w:w="360" w:type="dxa"/>
            <w:vAlign w:val="bottom"/>
          </w:tcPr>
          <w:p>
            <w:pPr>
              <w:spacing w:after="0"/>
              <w:rPr>
                <w:sz w:val="14"/>
                <w:szCs w:val="14"/>
                <w:color w:val="auto"/>
              </w:rPr>
            </w:pPr>
          </w:p>
        </w:tc>
        <w:tc>
          <w:tcPr>
            <w:tcW w:w="13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60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5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7"/>
          </w:tcPr>
          <w:p>
            <w:pPr>
              <w:ind w:left="220"/>
              <w:spacing w:after="0"/>
              <w:rPr>
                <w:sz w:val="20"/>
                <w:szCs w:val="20"/>
                <w:color w:val="auto"/>
              </w:rPr>
            </w:pPr>
            <w:r>
              <w:rPr>
                <w:rFonts w:ascii="Arial" w:cs="Arial" w:eastAsia="Arial" w:hAnsi="Arial"/>
                <w:sz w:val="12"/>
                <w:szCs w:val="12"/>
                <w:i w:val="1"/>
                <w:iCs w:val="1"/>
                <w:color w:val="auto"/>
              </w:rPr>
              <w:t>(In thousands, except percentages)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44,867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50,174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Research and development expense decreased by $5.3 million, or 11%, in the three months ended March 31, 2026, as compared to the same period in 2025. The decrease was primarily due to actions in connection with the restructuring initiatives implemented at the beginning of 2026 that lowered personnel-related expenses as a result of a reduction in headcount by $4.5 million, lowered professional services costs by $0.4 million and other equipment costs by $0.4 million. The amount of research and development expenses may fluctuate from period to period due to the differing levels and stages of development activity for our products.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2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587"/>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5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7"/>
          </w:tcPr>
          <w:p>
            <w:pPr>
              <w:ind w:left="200"/>
              <w:spacing w:after="0"/>
              <w:rPr>
                <w:sz w:val="20"/>
                <w:szCs w:val="20"/>
                <w:color w:val="auto"/>
              </w:rPr>
            </w:pPr>
            <w:r>
              <w:rPr>
                <w:rFonts w:ascii="Arial" w:cs="Arial" w:eastAsia="Arial" w:hAnsi="Arial"/>
                <w:sz w:val="12"/>
                <w:szCs w:val="12"/>
                <w:i w:val="1"/>
                <w:iCs w:val="1"/>
                <w:color w:val="auto"/>
              </w:rPr>
              <w:t>(In thousands, except percentages)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48,087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48,948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Sales and marketing expense decreased by $0.9 million, or 2%, in the three months ended March 31, 2026, as compared to the same period in 2025. The decrease was primarily due to actions in connection with the restructuring initiatives implemented at the beginning of 2026 that lowered personnel-related expenses as a result of moving certain functions to more cost efficient regions and leveraging advanced artificial intelligence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2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47"/>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6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7"/>
          </w:tcPr>
          <w:p>
            <w:pPr>
              <w:ind w:left="140"/>
              <w:spacing w:after="0"/>
              <w:rPr>
                <w:sz w:val="20"/>
                <w:szCs w:val="20"/>
                <w:color w:val="auto"/>
              </w:rPr>
            </w:pPr>
            <w:r>
              <w:rPr>
                <w:rFonts w:ascii="Arial" w:cs="Arial" w:eastAsia="Arial" w:hAnsi="Arial"/>
                <w:sz w:val="12"/>
                <w:szCs w:val="12"/>
                <w:i w:val="1"/>
                <w:iCs w:val="1"/>
                <w:color w:val="auto"/>
              </w:rPr>
              <w:t>(In thousands, except percentages)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33,255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34,035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626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General and administrative expense decreased by $0.8 million, or 2%, in the three months ended March 31, 2026, as compared to the same period in 2025. The decrease was primarily due to actions in connection with the restructuring initiatives implemented at the beginning of 2026 that lowered personnel-related expenses by $1.3 million and lowered equipment costs by $0.5 million, partially offset by advisory and legal fees of $1.0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Asset Impairment Charges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540" w:type="dxa"/>
            <w:vAlign w:val="bottom"/>
            <w:vMerge w:val="restart"/>
          </w:tcPr>
          <w:p>
            <w:pPr>
              <w:jc w:val="right"/>
              <w:ind w:right="207"/>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62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67"/>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6"/>
        </w:trPr>
        <w:tc>
          <w:tcPr>
            <w:tcW w:w="5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60" w:type="dxa"/>
            <w:vAlign w:val="bottom"/>
            <w:gridSpan w:val="4"/>
          </w:tcPr>
          <w:p>
            <w:pPr>
              <w:jc w:val="right"/>
              <w:ind w:right="967"/>
              <w:spacing w:after="0"/>
              <w:rPr>
                <w:sz w:val="20"/>
                <w:szCs w:val="20"/>
                <w:color w:val="auto"/>
              </w:rPr>
            </w:pPr>
            <w:r>
              <w:rPr>
                <w:rFonts w:ascii="Arial" w:cs="Arial" w:eastAsia="Arial" w:hAnsi="Arial"/>
                <w:sz w:val="12"/>
                <w:szCs w:val="12"/>
                <w:i w:val="1"/>
                <w:iCs w:val="1"/>
                <w:color w:val="auto"/>
              </w:rPr>
              <w:t>(In thousands, except percentages)</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5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asset impairment charges</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3,827</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687"/>
              <w:spacing w:after="0"/>
              <w:rPr>
                <w:sz w:val="20"/>
                <w:szCs w:val="20"/>
                <w:color w:val="auto"/>
              </w:rPr>
            </w:pPr>
            <w:r>
              <w:rPr>
                <w:rFonts w:ascii="Arial" w:cs="Arial" w:eastAsia="Arial" w:hAnsi="Arial"/>
                <w:sz w:val="16"/>
                <w:szCs w:val="16"/>
                <w:color w:val="auto"/>
              </w:rPr>
              <w:t>665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1.4 %</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Restructuring and asset impairment charges of $3.8 million in the three months ended March 31, 2026, primarily consisted of $3.5 million of employee related expenses and $0.3 million of contract termination charges. Restructuring and asset impairment charges of $3.2 million in the three months ended March 31, 2025, primarily consisted of employee severance, one-time benefits and other employee related expenses.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3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 in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ind w:left="20"/>
              <w:spacing w:after="0"/>
              <w:rPr>
                <w:sz w:val="20"/>
                <w:szCs w:val="20"/>
                <w:color w:val="auto"/>
              </w:rPr>
            </w:pPr>
            <w:r>
              <w:rPr>
                <w:rFonts w:ascii="Arial" w:cs="Arial" w:eastAsia="Arial" w:hAnsi="Arial"/>
                <w:sz w:val="12"/>
                <w:szCs w:val="12"/>
                <w:i w:val="1"/>
                <w:iCs w:val="1"/>
                <w:color w:val="auto"/>
              </w:rPr>
              <w:t>(In thousands, except percentages)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4"/>
        </w:trPr>
        <w:tc>
          <w:tcPr>
            <w:tcW w:w="60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1,414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5"/>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3,805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(27,179)%</w:t>
            </w:r>
          </w:p>
        </w:tc>
        <w:tc>
          <w:tcPr>
            <w:tcW w:w="0" w:type="dxa"/>
            <w:vAlign w:val="bottom"/>
          </w:tcPr>
          <w:p>
            <w:pPr>
              <w:spacing w:after="0"/>
              <w:rPr>
                <w:sz w:val="1"/>
                <w:szCs w:val="1"/>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Interest income of $12.6 million decreased in the three months ended March 31, 2026, as compared to $17.0 million in the three months ended March 31, 2025, primarily due to lower average cash, cash equivalents and marketable securities, and lower interest rates.</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Interest expense of $0.6 million in the three months ended March 31, 2026, primarily included amortization of debt issuance costs with the Notes due 2026 and the Notes due 2028. Interest expense of $2.0 million in the three months ended March 31, 2025, primarily included $2.0 million for coupon interest, debt discount amortization for the Notes due 2025 and amortization of debt issuance costs for the Notes due 2025, the Notes due 2026 and the Notes due 2028.</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Other income, net, of $3.8 million in the three months ended March 31, 2026, primarily consisted of $1.7 million gain related on the sale of patents, a $1.4 million realized gain from sale of marketable securities, and a $0.8 million net foreign currency gain from remeasurement of monetary assets and liabilities, partially offset by $0.1 million decrease in the fair value of our tax equity fund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(Provision)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8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9"/>
              </w:rPr>
              <w:t>Three Months Ended</w:t>
            </w:r>
          </w:p>
        </w:tc>
        <w:tc>
          <w:tcPr>
            <w:tcW w:w="780" w:type="dxa"/>
            <w:vAlign w:val="bottom"/>
          </w:tcPr>
          <w:p>
            <w:pPr>
              <w:spacing w:after="0"/>
              <w:rPr>
                <w:sz w:val="14"/>
                <w:szCs w:val="14"/>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8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2"/>
                <w:szCs w:val="12"/>
                <w:i w:val="1"/>
                <w:iCs w:val="1"/>
                <w:color w:val="auto"/>
              </w:rPr>
              <w:t>(In thousands, except percentages)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820" w:type="dxa"/>
            <w:vAlign w:val="bottom"/>
            <w:shd w:val="clear" w:color="auto" w:fill="CCEEFF"/>
          </w:tcPr>
          <w:p>
            <w:pPr>
              <w:jc w:val="right"/>
              <w:ind w:right="647"/>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6,454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23,617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70"/>
        <w:spacing w:after="0" w:line="224" w:lineRule="exact"/>
        <w:rPr>
          <w:sz w:val="20"/>
          <w:szCs w:val="20"/>
          <w:color w:val="auto"/>
        </w:rPr>
      </w:pPr>
      <w:r>
        <w:rPr>
          <w:rFonts w:ascii="Arial" w:cs="Arial" w:eastAsia="Arial" w:hAnsi="Arial"/>
          <w:sz w:val="17"/>
          <w:szCs w:val="17"/>
          <w:color w:val="auto"/>
        </w:rPr>
        <w:t>For the three months ended March 31, 2026, we recorded an income tax benefit of $6.5 million, compared to an income tax provision of $17.2 million in the same period in 2025. This $23.6 million change primarily reflects the change from pretax income in the prior</w:t>
      </w:r>
      <w:r>
        <w:rPr>
          <w:rFonts w:ascii="MS PGothic" w:cs="MS PGothic" w:eastAsia="MS PGothic" w:hAnsi="MS PGothic"/>
          <w:sz w:val="17"/>
          <w:szCs w:val="17"/>
          <w:color w:val="auto"/>
        </w:rPr>
        <w:t>‑</w:t>
      </w:r>
      <w:r>
        <w:rPr>
          <w:rFonts w:ascii="Arial" w:cs="Arial" w:eastAsia="Arial" w:hAnsi="Arial"/>
          <w:sz w:val="17"/>
          <w:szCs w:val="17"/>
          <w:color w:val="auto"/>
        </w:rPr>
        <w:t>year period to a pretax loss in the current</w:t>
      </w:r>
      <w:r>
        <w:rPr>
          <w:rFonts w:ascii="MS PGothic" w:cs="MS PGothic" w:eastAsia="MS PGothic" w:hAnsi="MS PGothic"/>
          <w:sz w:val="17"/>
          <w:szCs w:val="17"/>
          <w:color w:val="auto"/>
        </w:rPr>
        <w:t>‑</w:t>
      </w:r>
      <w:r>
        <w:rPr>
          <w:rFonts w:ascii="Arial" w:cs="Arial" w:eastAsia="Arial" w:hAnsi="Arial"/>
          <w:sz w:val="17"/>
          <w:szCs w:val="17"/>
          <w:color w:val="auto"/>
        </w:rPr>
        <w:t>year period, principally in the United States.</w:t>
      </w:r>
    </w:p>
    <w:p>
      <w:pPr>
        <w:spacing w:after="0" w:line="6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income tax benefit for the three months ended March 31, 2026 was calculated using the annualized effective tax rate method and primarily reflects tax benefits associated with U.S. operating losses and the generation of AMPTC. While the AMPTC is directly related to qualifying production and shipment activity and pretax income, it is treated as permanent items for income tax accounting purposes and is excluded from the annualized effective tax rate calculation. As a result, our effective tax rate for the period reflects the impact of these permanent benefits and may not be indicative of the statutory tax rate or expected annual effective tax rate.</w:t>
      </w:r>
    </w:p>
    <w:p>
      <w:pPr>
        <w:spacing w:after="0" w:line="23" w:lineRule="exact"/>
        <w:rPr>
          <w:sz w:val="20"/>
          <w:szCs w:val="20"/>
          <w:color w:val="auto"/>
        </w:rPr>
      </w:pPr>
    </w:p>
    <w:p>
      <w:pPr>
        <w:jc w:val="both"/>
        <w:ind w:firstLine="470"/>
        <w:spacing w:after="0" w:line="238" w:lineRule="exact"/>
        <w:rPr>
          <w:sz w:val="20"/>
          <w:szCs w:val="20"/>
          <w:color w:val="auto"/>
        </w:rPr>
      </w:pPr>
      <w:r>
        <w:rPr>
          <w:rFonts w:ascii="Arial" w:cs="Arial" w:eastAsia="Arial" w:hAnsi="Arial"/>
          <w:sz w:val="17"/>
          <w:szCs w:val="17"/>
          <w:color w:val="auto"/>
        </w:rPr>
        <w:t>These benefits were partially offset by tax expense in profitable foreign jurisdictions and tax expense related to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shortfalls, which were generally consistent with the prior</w:t>
      </w:r>
      <w:r>
        <w:rPr>
          <w:rFonts w:ascii="MS PGothic" w:cs="MS PGothic" w:eastAsia="MS PGothic" w:hAnsi="MS PGothic"/>
          <w:sz w:val="17"/>
          <w:szCs w:val="17"/>
          <w:color w:val="auto"/>
        </w:rPr>
        <w:t>‑</w:t>
      </w:r>
      <w:r>
        <w:rPr>
          <w:rFonts w:ascii="Arial" w:cs="Arial" w:eastAsia="Arial" w:hAnsi="Arial"/>
          <w:sz w:val="17"/>
          <w:szCs w:val="17"/>
          <w:color w:val="auto"/>
        </w:rPr>
        <w:t>year period. We continue to apply the interim income tax methodology prescribed by ASC 740</w:t>
      </w:r>
      <w:r>
        <w:rPr>
          <w:rFonts w:ascii="MS PGothic" w:cs="MS PGothic" w:eastAsia="MS PGothic" w:hAnsi="MS PGothic"/>
          <w:sz w:val="17"/>
          <w:szCs w:val="17"/>
          <w:color w:val="auto"/>
        </w:rPr>
        <w:t>‑</w:t>
      </w:r>
      <w:r>
        <w:rPr>
          <w:rFonts w:ascii="Arial" w:cs="Arial" w:eastAsia="Arial" w:hAnsi="Arial"/>
          <w:sz w:val="17"/>
          <w:szCs w:val="17"/>
          <w:color w:val="auto"/>
        </w:rPr>
        <w:t>270.</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8"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As of March 31, 2026, we had $1.3 billion in net working capital, including cash, cash equivalents and marketable securities of $930.6 million, of which $ 788.5 million were held in the United States. Our cash, cash equivalents and marketable securities primarily consist of U.S. Government agency securities and treasuries, money market mutual funds, corporate notes and bonds, commercial paper and certificates of deposit, and both interest-bearing and non-interest-bearing deposits, with the remainder held in various foreign subsidiaries. We consider amounts held outside the United States to be accessible and have provided for the estimated withholding tax liability on the repatriation of our foreign earnings.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6"/>
          </w:tcPr>
          <w:p>
            <w:pPr>
              <w:ind w:left="180"/>
              <w:spacing w:after="0"/>
              <w:rPr>
                <w:sz w:val="20"/>
                <w:szCs w:val="20"/>
                <w:color w:val="auto"/>
              </w:rPr>
            </w:pPr>
            <w:r>
              <w:rPr>
                <w:rFonts w:ascii="Arial" w:cs="Arial" w:eastAsia="Arial" w:hAnsi="Arial"/>
                <w:sz w:val="12"/>
                <w:szCs w:val="12"/>
                <w:i w:val="1"/>
                <w:iCs w:val="1"/>
                <w:color w:val="auto"/>
              </w:rPr>
              <w:t>(In thousands, except percentages)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marketable securities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930,641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1,531,870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(601,229)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572,510</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1,201,891</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(629,381)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Our cash, cash equivalents and marketable securities decreased by $601.2 million from March 31, 2025 to March 31, 2026, primarily due to payoff of the Notes due 2026, repurchases of common stock pursuant to our share repurchase program, investments in private and public companies, issuance of loan receivables and payments of withholding taxes related to net share settlement of equity awards, partially offset by cash generated from operations and the sale of AMPTC we generated during 2025.</w:t>
      </w:r>
    </w:p>
    <w:p>
      <w:pPr>
        <w:spacing w:after="0" w:line="6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Total carrying amount of debt decreased by $629.4 million from March 31, 2025 to March 31, 2026, primarily due to the payoff of the Notes due 2026, partially offset by accretion of issuance costs.</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expect our principal short-term cash requirements (over the next 12 months) to include working capital, strategic investments, acquisitions, repurchases of common stock and payments of withholding taxes for net share settlement of employee equity awards, payments on our outstanding debt, and purchases of property and equipment. We plan to fund any cash requirements for the next 12 months from our existing cash, cash equivalents and marketable securities on hand, and cash generated from operations.</w:t>
      </w:r>
    </w:p>
    <w:p>
      <w:pPr>
        <w:spacing w:after="0" w:line="6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For the long-term period (beyond 12 months), we plan to continue growing cash flows from operations and sale of AMPTC to support our business operations and strategic investment plans. We regularly evaluate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liquidity position, debt obligations and anticipated cash needs. As part of this ongoing assessment, we may pursue additional financing through the issuance of equity or the debt financing, as necessary, to support our operational and investment needs.</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anticipate that access to the debt market will be more constrained compared to prior periods due to elevated interest rates and recent policy changes to solar tax incentives following the enactment of the OBBBA. Our ability to secure debt or any other additional financing that we may choose to, or need to, obtain will depend on, various factors including our development efforts, business plans, operating performance and prevailing capital market conditions.</w:t>
      </w:r>
    </w:p>
    <w:p>
      <w:pPr>
        <w:spacing w:after="0" w:line="61"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Repurchase of Common Stock</w:t>
      </w:r>
      <w:r>
        <w:rPr>
          <w:rFonts w:ascii="Arial" w:cs="Arial" w:eastAsia="Arial" w:hAnsi="Arial"/>
          <w:sz w:val="17"/>
          <w:szCs w:val="17"/>
          <w:color w:val="auto"/>
        </w:rPr>
        <w:t>. In July 2023, our board of directors authorized the 2023 Repurchase Program pursuant to which we were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repurchase up to $1.0 billion of our common stock. The repurchases could be funded from available working capital and marketable securities and could be executed from time to time, subject to general business and market conditions and other investment opportunities, through open market purchases or privately negotiated transactions, including through Rule 10b5-1 plans. The 2023 Repurchase Program may be discontinued or amended at any time and expires on July 26, 2026. As of March 31, 2026, we had $268.7 million remaining for repurchasing shares under the 2023 Repurchase Program.</w:t>
      </w:r>
    </w:p>
    <w:p>
      <w:pPr>
        <w:spacing w:after="0" w:line="6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i w:val="1"/>
          <w:iCs w:val="1"/>
          <w:color w:val="auto"/>
        </w:rPr>
        <w:t>Convertible Notes</w:t>
      </w:r>
      <w:r>
        <w:rPr>
          <w:rFonts w:ascii="Arial" w:cs="Arial" w:eastAsia="Arial" w:hAnsi="Arial"/>
          <w:sz w:val="17"/>
          <w:szCs w:val="17"/>
          <w:color w:val="auto"/>
        </w:rPr>
        <w:t>. As of March 31, 2026, our aggregate principal convertible notes obligations were the Notes due 2028 of $575.0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Upon any conversion of the Notes due 2028, we expect to pay cash equal to the principal amount, and at our election, we will pay or deliver cash and/or shares of our common stock for any conversion premium.</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have entered into various non-cancelable operating leases primarily for our facilities with original lease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expiring through the year 2034, with the most significant leases relating to our offices in Petaluma, California, Arlington, Texas and Bengaluru, India. As of March 31, 2026, we had total operating lease obligations of $39.6 million recorded on our condensed consolidated balance sheet.</w:t>
      </w:r>
    </w:p>
    <w:p>
      <w:pPr>
        <w:spacing w:after="0" w:line="55"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i w:val="1"/>
          <w:iCs w:val="1"/>
          <w:color w:val="auto"/>
        </w:rPr>
        <w:t>Other Material Cash Requirements</w:t>
      </w:r>
      <w:r>
        <w:rPr>
          <w:rFonts w:ascii="Arial" w:cs="Arial" w:eastAsia="Arial" w:hAnsi="Arial"/>
          <w:sz w:val="17"/>
          <w:szCs w:val="17"/>
          <w:color w:val="auto"/>
        </w:rPr>
        <w:t>. As of March 31, 2026, we had open purchase obligations of $275.0 million related to component</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that we and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summarizes our cash flows for the periods presented:</w:t>
      </w:r>
    </w:p>
    <w:p>
      <w:pPr>
        <w:spacing w:after="0" w:line="162"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24"/>
        </w:trPr>
        <w:tc>
          <w:tcPr>
            <w:tcW w:w="8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102,871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48,414</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576,383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113,060</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(214,175)</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w:t>
            </w:r>
          </w:p>
        </w:tc>
      </w:tr>
      <w:tr>
        <w:trPr>
          <w:trHeight w:val="22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23,228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Cash flows from operating activities consisted of our net income (loss) adjusted for certain non-cash reconciling items, such as stock-based compensation expense, discount from sale of AMPTC generated during 2025, asset impairment, non-cash interest expense, change in the fair value of debt securities, deferred income taxes, depreciation and amortization, amortization (accretion) of premium (discount) on marketable securities, provision for credit losses, and changes in our operating assets and liabilities. Net cash provided by operating activities increased by $54.5 million for the three months ended March 31, 2026, compared to the same period in 2025, primarily due net cash proceeds of $218.1 million we received in March 2026 for the sale of $235.0 million of AMPTC contributing to a favorable change in working capital, partially offset by $172.4 million higher cash outflows from accounts payable,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months ended March 31, 2026, net cash provided by investing activities of $ 576.4 million was primarily from the maturities of $597.3 million of marketable securities, partially offset by $19.9 million used in purchases of test and assembly equipment for U.S. manufacturing related facility improvements and information technology enhancements and $1.0 million used for issuance of loan receivable.</w:t>
      </w:r>
    </w:p>
    <w:p>
      <w:pPr>
        <w:spacing w:after="0" w:line="55"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three months ended March 31, 2025, net cash provided by investing activities of $113.1 million was primarily from the maturities of $134.6 million of marketable securities, net of purchases, partially offset by $14.6 million used in purchases of test and assembly equipment for U.S. manufacturing, related facility improvements and information technology enhancements, including capitalized costs related to internal-use software and $6.9 million used in an investment in a tax equity fund.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months ended March 31, 2026, net cash used in financing activities of approximately $651.2 million was primarily from payment of $632.5 million towards the settlement of the Notes due 2026 and payment of $18.7 million in employee withholding taxes related to net share settlement of employee equity awards.</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months ended March 31, 2025, net cash used in financing activities of $214.2 million was primarily from payment of $102.2 million towards the settlement of the Notes due 2025, $100.0 million used to repurchase our common stock under the 2023 Repurchase Program and payment of $12.1 million in employee withholding taxes related to net share settlement of employee equity awards.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73"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 There have been no changes to our critical accounting policies as described in the Form 10-K.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New and Recently Issued Accounting Pronouncements</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 xml:space="preserve">For a discussion of adoption of new and recently issued accounting pronouncements, refer to </w:t>
      </w:r>
      <w:r>
        <w:rPr>
          <w:rFonts w:ascii="Arial" w:cs="Arial" w:eastAsia="Arial" w:hAnsi="Arial"/>
          <w:sz w:val="17"/>
          <w:szCs w:val="17"/>
          <w:color w:val="0000FF"/>
        </w:rPr>
        <w:t>Note 1</w:t>
      </w:r>
      <w:r>
        <w:rPr>
          <w:rFonts w:ascii="Arial" w:cs="Arial" w:eastAsia="Arial" w:hAnsi="Arial"/>
          <w:sz w:val="17"/>
          <w:szCs w:val="17"/>
          <w:color w:val="auto"/>
        </w:rPr>
        <w:t>, “Description of Business and Basis of Presentation”, of the notes to condensed consolidated financial statements included in Part I, Item 1 of this Quarterly Report on Form 10-Q.</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There have been no material changes in our market risk compared to the disclosures in Part II, Item 7A, “Quantitative and Qualitative Disclosures About Market Risk”, in the Form 10-K. Also see the section entitled “Risk Factors” in Part I, Item 1A in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as amended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2026, our Chief Executive Officer and Chief Financial Officer concluded that, as of such date, our disclosure controls and procedures were effective.</w:t>
      </w:r>
    </w:p>
    <w:p>
      <w:pPr>
        <w:spacing w:after="0" w:line="69"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39" w:name="page40"/>
    <w:bookmarkEnd w:id="3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Legal Proceedings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1, we are not currently involved in any material legal proceedings, the ultimate disposition of which could have a material adverse effect on our operations, financial condition or cash flows.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Class Action Lawsuits</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On July 15, 2024, a putative class action complaint was filed against us, our chief executive officer and our chief financial officer (collectively, the “Initial Defendants”) in the United States District Court for the Northern District of California, captioned Hayes v. Enphase Energy, Inc., Case No. 3:24-cv-04249 (the “Securities Class Action”), purportedly on behalf of a class of individuals who purchased or otherwise acquired our common stock between December 12, 2022 and April 25, 2023. The Securities Class Action alleges that Initial Defendants made false and/or misleading statements in violation of Sections 10(b) and 20(a) of the Exchange Act and Rule 10b-5 promulgated thereunder. The complaint seeks unspecified monetary damages and other relief.</w:t>
      </w:r>
    </w:p>
    <w:p>
      <w:pPr>
        <w:spacing w:after="0" w:line="6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On or about July 29, 2024, six additional stockholders filed motions to be appointed lead plaintiff and have their selection of counsel appointed as lead counsel in the Securities Class Action. The Court held a hearing on the lead plaintiff motions on September 5, 2024, and appointed Lon D. Praytor as lead plaintiff on March 31, 2025. On April 17, 2025, movant Andrey Ponomarchuk filed a motion for reconsideration of the Court’s order appointing Praytor as lead plaintiff. Lead plaintiff Praytor filed an amended complaint on May 21, 2025, alleging violations of Sections 10(b) and 20(a) of the Exchange Act and Rule 10b-5 promulgated thereunder by Enphase and our chief executive officer, purportedly on behalf of a class of individuals who purchased or otherwise acquired our common stock between February 7, 2023 and April 25, 2023 and removing our chief financial officer as a defendant (the remaining defendants referred herein as “Hayes Defendants”). Hayes Defendants filed a motion to dismiss on July 2, 2025. Lead plaintiff filed his opposition on August 15, 2025, and Hayes Defendants filed their reply on September 15, 2025. A hearing on the motion to dismiss is currently scheduled for September 17, 2026.</w:t>
      </w:r>
    </w:p>
    <w:p>
      <w:pPr>
        <w:spacing w:after="0" w:line="73"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On December 13, 2024, another putative class action complaint was filed naming us, our chief executive officer and our chief products officer (collectively, “Trustees Defendants”) in the United States District Court for the Northern District of California, captioned Trustees of the Welfare and Pension Funds of Local 464A v. Enphase Energy, Inc., Case No. 4:24-cv-09038 (the “Pension Fund Action”), purportedly on behalf of a class of individuals who purchased or otherwise acquired our common stock between April 25, 2023 and October 22, 2024. The Pension Fund Action alleges that Trustees Defendants made false and/or misleading statements in violation of Sections 10(b) and 20(a) of the Exchange Act and Rule 10b-5 promulgated thereunder. The complaint seeks unspecified monetary damages and other relief.</w:t>
      </w:r>
    </w:p>
    <w:p>
      <w:pPr>
        <w:spacing w:after="0" w:line="64"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On or about February 11, 2025, several additional stockholders moved to be appointed lead plaintiff in the Pension Fund Action and have their selection of counsel appointed as lead counsel. On August 20, 2025, the Court appointed HANSAINVEST Hanseatische Investment-GMBH as lead plaintiff. Lead plaintiff filed its amended complaint on October 20, 2025. Trustees Defendants’ filed their motion to dismiss on December 12, 2025. Lead plaintiff filed its opposition on February 10, 2026, and Trustees Defendants filed their reply on March 27, 2026. A hearing is currently scheduled for May 7, 2026. We dispute the allegations in each of the above-referenced lawsuits and intend to defend the matters vigorously.</w:t>
      </w:r>
    </w:p>
    <w:p>
      <w:pPr>
        <w:spacing w:after="0" w:line="2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 xml:space="preserve">On February 17, 2026, a putative class action complaint was filed naming us, our chief executive officer, and our chief financial officer (together “Tripathi Defendants”) in the United States District Court for the Northern District of California, captioned </w:t>
      </w:r>
      <w:r>
        <w:rPr>
          <w:rFonts w:ascii="Arial" w:cs="Arial" w:eastAsia="Arial" w:hAnsi="Arial"/>
          <w:sz w:val="17"/>
          <w:szCs w:val="17"/>
          <w:i w:val="1"/>
          <w:iCs w:val="1"/>
          <w:color w:val="auto"/>
        </w:rPr>
        <w:t>Tripathi v. Enphase Energy,</w:t>
      </w:r>
      <w:r>
        <w:rPr>
          <w:rFonts w:ascii="Arial" w:cs="Arial" w:eastAsia="Arial" w:hAnsi="Arial"/>
          <w:sz w:val="17"/>
          <w:szCs w:val="17"/>
          <w:color w:val="auto"/>
        </w:rPr>
        <w:t xml:space="preserve"> </w:t>
      </w:r>
      <w:r>
        <w:rPr>
          <w:rFonts w:ascii="Arial" w:cs="Arial" w:eastAsia="Arial" w:hAnsi="Arial"/>
          <w:sz w:val="17"/>
          <w:szCs w:val="17"/>
          <w:i w:val="1"/>
          <w:iCs w:val="1"/>
          <w:color w:val="auto"/>
        </w:rPr>
        <w:t>Inc., et al.</w:t>
      </w:r>
      <w:r>
        <w:rPr>
          <w:rFonts w:ascii="Arial" w:cs="Arial" w:eastAsia="Arial" w:hAnsi="Arial"/>
          <w:sz w:val="17"/>
          <w:szCs w:val="17"/>
          <w:color w:val="auto"/>
        </w:rPr>
        <w:t>, Case No. 4:26-cv-01380 (the “Tripathi Action”), purportedly on behalf of a class of individuals who purchased or otherwise acquired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between April 22, 2025 and October 28, 2025. The Tripathi Action alleges that Tripathi Defendants made false and/or misleading statements in violation of Sections 10(b) and 20(a) of the Exchange Act and Rule 10b-5 promulgated thereunder. The complaint seeks unspecified monetary damages and other relief. The Court has not yet appointed a lead plaintiff or lead counsel in the Tripathi Action. Tripathi Defendants anticipate moving to dismiss the amended or operative complaint filed by the court-appointed lead 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0" w:name="page41"/>
    <w:bookmarkEnd w:id="4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120" w:firstLine="470"/>
        <w:spacing w:after="0" w:line="385" w:lineRule="auto"/>
        <w:rPr>
          <w:sz w:val="20"/>
          <w:szCs w:val="20"/>
          <w:color w:val="auto"/>
        </w:rPr>
      </w:pPr>
      <w:r>
        <w:rPr>
          <w:rFonts w:ascii="Arial" w:cs="Arial" w:eastAsia="Arial" w:hAnsi="Arial"/>
          <w:sz w:val="17"/>
          <w:szCs w:val="17"/>
          <w:color w:val="auto"/>
        </w:rPr>
        <w:t xml:space="preserve">We dispute the allegations in each of the above-referenced lawsuits and intend to defend the matters vigorously. </w:t>
      </w:r>
      <w:r>
        <w:rPr>
          <w:rFonts w:ascii="Arial" w:cs="Arial" w:eastAsia="Arial" w:hAnsi="Arial"/>
          <w:sz w:val="17"/>
          <w:szCs w:val="17"/>
          <w:b w:val="1"/>
          <w:bCs w:val="1"/>
          <w:color w:val="auto"/>
        </w:rPr>
        <w:t>Shareholder Derivative Lawsuits</w:t>
      </w:r>
    </w:p>
    <w:p>
      <w:pPr>
        <w:jc w:val="both"/>
        <w:ind w:firstLine="470"/>
        <w:spacing w:after="0" w:line="263" w:lineRule="auto"/>
        <w:rPr>
          <w:sz w:val="20"/>
          <w:szCs w:val="20"/>
          <w:color w:val="auto"/>
        </w:rPr>
      </w:pPr>
      <w:r>
        <w:rPr>
          <w:rFonts w:ascii="Arial" w:cs="Arial" w:eastAsia="Arial" w:hAnsi="Arial"/>
          <w:sz w:val="17"/>
          <w:szCs w:val="17"/>
          <w:color w:val="auto"/>
        </w:rPr>
        <w:t>On July 16, 2024, a shareholder derivative lawsuit was filed purportedly on our behalf against the Initial Defendants, our non-employee directors and us (as nominal defendant) in the United States District Court for the Northern District of California, captioned Ibarra v. Kothandaraman, et al., Case No. 3:24-cv-04278 (the “Ibarra Action”). The Ibarra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Securities Class Action. The Ibarra Action is seeking unspecified damages and other relief, including reforms and improvements to our corporate governance and internal procedures.</w:t>
      </w:r>
    </w:p>
    <w:p>
      <w:pPr>
        <w:spacing w:after="0" w:line="6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September 5, 2024, another shareholder derivative lawsuit was filed purportedly on our behalf against the Initial Defendants, our non-employee directors and us (as nominal defendant) in the United States District Court for the Northern District of California, captioned Isaac v. Kothandaraman, et al., Case No. 4:24-cv-06257 (the “Isaac Action”), containing substantially the same allegations as those in the Ibarra Action. On September 20, 2024, the Court consolidated the Isaac and Ibarra Actions for all purposes into one action under the title In re Enphase Energy, Inc. Stockholder Derivative Litigation (the “Derivative Action”).</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On October 11, 2024, the Court granted the parties’ stipulation to stay the Derivative Action until all motions to dismiss the Securities Class Action are decided.</w:t>
      </w:r>
    </w:p>
    <w:p>
      <w:pPr>
        <w:spacing w:after="0" w:line="3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On December 31, 2024, a shareholder derivative lawsuit was filed purportedly on our behalf against Trustees Defendants, our non-employee directors and us (as nominal defendant) in the United States District Court for the Northern District of California, captioned Hirani v. Kothandaraman, et al., Case No. 4:24-cv-09532 (the “Hirani Action”). The Hirani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Pension Fund Action. The Hirani Action is seeking unspecified damages and other relief, including reforms and improvements to our corporate governance and internal procedures.</w:t>
      </w:r>
    </w:p>
    <w:p>
      <w:pPr>
        <w:spacing w:after="0" w:line="69"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On January 17, 2025, another shareholder derivative lawsuit was filed purportedly on our behalf against Defendants II, our non-employee directors and us (as nominal defendant) in the United States District Court for the Northern District of California, captioned Hanowski v. Kothandaraman, et al., Case No. 4:25-cv-000652 (the “Hanowski Action”). The Hanowski Action asserts claims substantially similar to those asserted in the Hirani Action, also based on the same allegedly false and misleading statements asserted in the Pension Fund Action. The Hanowski Action is seeking unspecified damages and other relief, including reforms and improvements to our corporate governance and internal procedures.</w:t>
      </w:r>
    </w:p>
    <w:p>
      <w:pPr>
        <w:spacing w:after="0" w:line="2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On January 31, 2025, the plaintiffs in the Hirani and Hanowski Actions filed a motion to relate their actions to the Pension Fund Action, which the Court approved on February 18, 2025. On March 7, 2025, the Court granted the parties’ stipulation to consolidate the Hirani and Hanowski Actions for all purposes into one action under the title In re Enphase Energy, Inc. 2025 Shareholder Derivative Litigation (the “Derivative</w:t>
      </w:r>
    </w:p>
    <w:p>
      <w:pPr>
        <w:spacing w:after="0" w:line="1" w:lineRule="exact"/>
        <w:rPr>
          <w:sz w:val="20"/>
          <w:szCs w:val="20"/>
          <w:color w:val="auto"/>
        </w:rPr>
      </w:pPr>
    </w:p>
    <w:p>
      <w:pPr>
        <w:jc w:val="both"/>
        <w:ind w:firstLine="5"/>
        <w:spacing w:after="0" w:line="259" w:lineRule="auto"/>
        <w:tabs>
          <w:tab w:leader="none" w:pos="1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Action”). On May 8, 2025, the Court stayed the Derivative II Action pending resolution of all motion(s) to dismiss in the Pension Fund Action. On January 28, 2026, purported shareholder Ahmed Ibrahim filed a motion to intervene in the Derivative II Action. On February 25, 2026, Trustees Defendants and Plaintiff Hanowski filed responses to Ibrahim’s intervention motion. Ibrahim filed his reply on March 6, 2026. On March 12, 2026, proposed intervenors Edwin Isaac and Edna Martin filed a separate motion to intervene. On March 13, 2026, Hanowski filed an administrative motion seeking permission to file a sur-reply to Ibrahim’s reply brief. Ibrahim opposed the sur-reply motion on March 16, 2026. On March 26, 2026, Ibrahim and Trustees Defendants filed responses to the Isaac and Martin motion to intervene. The following day, the Court granted Hanowski’s motion for leave to file a sur-reply. On April 2, 2026, Isaac and Martin filed their reply in support of their motion to intervene. On April 9, 2026, the Court denied both motions to intervene, and the case remains stayed.</w:t>
      </w:r>
    </w:p>
    <w:p>
      <w:pPr>
        <w:spacing w:after="0" w:line="7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On April 23, 2026, purported shareholder Terrence Collins filed a derivative lawsuit in the Court of Chancery for the State of Delaware against our non-employee directors and certain of our executives captioned Collins v. Kothandaraman, et al., Case No. 2026-0519 (the “Collins Action”). The Collins Action alleges that the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purportedly breached their fiduciary duties in connection with allowing the issuance of the statements challenged in the Securities Class Action, the Pension Fund Action, and the Tripathi Action, as well as in connection with purported sales of stock. The Collins Action seeks unspecified damages and other relief, including reforms and improvements to our corporate governance and internal procedures.</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dispute the allegations in each of the above-referenced lawsuits and intend to defend the matters vigorously.</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pending lawsuits and any other related lawsuits are subject to inherent uncertainties, and the actual defense and disposition costs will depend upon many unknown factors. We could be forced to expend significant resources in the defense of the pending lawsuits and any additional lawsuits, and we may not prevail. In addition, we may incur substantial legal fees and costs in connection with such lawsuits.</w:t>
      </w:r>
    </w:p>
    <w:p>
      <w:pPr>
        <w:spacing w:after="0" w:line="5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20" w:lineRule="exact"/>
        <w:rPr>
          <w:sz w:val="20"/>
          <w:szCs w:val="20"/>
          <w:color w:val="auto"/>
        </w:rPr>
      </w:pPr>
    </w:p>
    <w:p>
      <w:pPr>
        <w:jc w:val="both"/>
        <w:ind w:firstLine="470"/>
        <w:spacing w:after="0" w:line="218" w:lineRule="exact"/>
        <w:rPr>
          <w:sz w:val="20"/>
          <w:szCs w:val="20"/>
          <w:color w:val="auto"/>
        </w:rPr>
      </w:pPr>
      <w:r>
        <w:rPr>
          <w:rFonts w:ascii="Arial" w:cs="Arial" w:eastAsia="Arial" w:hAnsi="Arial"/>
          <w:sz w:val="17"/>
          <w:szCs w:val="17"/>
          <w:color w:val="auto"/>
        </w:rPr>
        <w:t>Investing in our securities involves a high degree of risk. Before investing in our securities, you should consider carefully the information contained in this Quarterly Report on Form 10-Q and in the Form 10-K, including the risk factors identified in Part I, Item 1A thereof. This Quarterly Report on Form 10-Q contains forward-looking statements that involve risks and uncertainties. See “Forward-Looking Statements” in “Management’s Discussion and Analysis of Financial Conditions and Results of Operations” above. Our actual results could differ materially from those contained in the forward-looking statements. Any of the risks discussed in the Form 10-K, in other reports we file with the Securities and Exchange Commission and other risks we have not anticipated or discussed, could have a material adverse impact on our business, financial condition or results of operations. Except as set forth below, there has been no material change to our risk factors from those disclosed in Part I, Item 1A in the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the United States trade environment, including the imposition of import tariffs, has and could adversely affect the amount or timing of our revenue, results of operations or cash flows.</w:t>
      </w:r>
    </w:p>
    <w:p>
      <w:pPr>
        <w:spacing w:after="0" w:line="21"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Our business is dependent upon the availability of raw materials and components for assembly. During 2025, the United States imposed significant new tariffs on nearly all products and components imported into the United States and pursued a new approach to trade policy that included renegotiating or terminating pre-existing bilateral or multi-lateral trade agreements, enacting sweeping new tariffs on all imports, and imposing additional “reciprocal” tariffs on targeted imports from specified countries. A subset of our products is sourced from China and India, and certain components necessary to manufacture our products in the United States, including our microinverters, batteries and related accessories, are imported from China, India, Taiwan, Vietnam and Japan, among other countries.</w:t>
      </w:r>
    </w:p>
    <w:p>
      <w:pPr>
        <w:spacing w:after="0" w:line="6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On February 20, 2026, the U.S. Supreme Court ruled that tariffs imposed by the U.S. under IEEPA were invalid. The U.S. Supreme Court did not address refunds or remedies but instead remanded the matter to the Court of International Trade to address remedies. In response, the President issued an executive order rescinding the IEEPA tariffs and directing agencies to take measures to cease collection of the tariffs. However, a presidential proclamation was issued imposing a tariff surcharge of at least 10% under the balance of payments provision in Section 122 of the Trade Act of 1974 on all imports with certain exceptions for certain commodities (e.g., electronics, critical minerals) and United States-Mexico-Canada Agreement qualified products. The tariffs under this statute went into effect on February 24, 2026, and will remain in effect for 150 days (the maximum under the statute). The ultimate impact of these newly enacted and potential future tariffs or other restrictions on international trade will depend on various factors, including the ultimate level of tariffs, the duration such tariffs remain in place, and how other countries respond to U.S. tariffs. Due to broad uncertainty regarding the timing, content and extent of any regulatory changes in the United States or abroad, we cannot predict the impact, if any, that these changes could have to our business, financial condition and results of operations.</w:t>
      </w:r>
    </w:p>
    <w:p>
      <w:pPr>
        <w:spacing w:after="0" w:line="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have moved a significant portion of our manufacturing to the United States, while retaining limited contract manufacturing in China and India. However, certain components necessary for our products are still required to be imported from outside the United States. For example, LFP battery cells used in our storage products are still supplied solely by two vendors in China. Although we are in the process of searching for other vendors outside of China for future supplies, the expertise and industry for the LFP battery cell is primarily in China, and it will require significant effort to identify qualified suppliers with the right expertise to develop our battery cells. The resulting environment of retaliatory trade or other practices or additional trade restrictions or barriers, if implemented on a broader range of products or components from outside the United States, could harm our ability to obtain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2" w:name="page43"/>
    <w:bookmarkEnd w:id="4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product components or to sell our products at prices customers are willing to pay, which could have a material adverse effect on our business, prospects, results of operations and cash flows.</w:t>
      </w:r>
    </w:p>
    <w:p>
      <w:pPr>
        <w:spacing w:after="0" w:line="3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Trade disputes, trade restrictions, tariffs and other geopolitical tensions between the United States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July 2023, our board of directors authorized the 2023 Repurchase Program pursuant to which we may repurchase up to an aggregate of $1.0 billion of our common stock. As of March 31, 2026, we have $268.7 million remaining for repurchase of shares under the 2023 Repurchase Program. Purchases may be completed from time to time in the open market or privately negotiated transactions, including through Rule 10b5-1 plans. The 2023 Repurchase Program may be discontinued or amended at any time and expires on July 26, 2026. During the three months ended March 31, 2026 there were no repurchases of common stock.</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about our repurchases of our common stock during the three months ended March 31, 2026 (in thousands, except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Period Ended</w:t>
            </w:r>
          </w:p>
        </w:tc>
        <w:tc>
          <w:tcPr>
            <w:tcW w:w="1960" w:type="dxa"/>
            <w:vAlign w:val="bottom"/>
          </w:tcPr>
          <w:p>
            <w:pPr>
              <w:ind w:left="200"/>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Average Price Paid per</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Approximate Dollar Value of</w:t>
            </w:r>
          </w:p>
        </w:tc>
      </w:tr>
      <w:tr>
        <w:trPr>
          <w:trHeight w:val="170"/>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ind w:left="620"/>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Share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Shares that May Yet Be</w:t>
            </w:r>
          </w:p>
        </w:tc>
      </w:tr>
      <w:tr>
        <w:trPr>
          <w:trHeight w:val="157"/>
        </w:trPr>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Publicly Announced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jc w:val="center"/>
              <w:ind w:right="86"/>
              <w:spacing w:after="0" w:line="157" w:lineRule="exact"/>
              <w:rPr>
                <w:sz w:val="20"/>
                <w:szCs w:val="20"/>
                <w:color w:val="auto"/>
              </w:rPr>
            </w:pPr>
            <w:r>
              <w:rPr>
                <w:rFonts w:ascii="Arial" w:cs="Arial" w:eastAsia="Arial" w:hAnsi="Arial"/>
                <w:sz w:val="14"/>
                <w:szCs w:val="14"/>
                <w:b w:val="1"/>
                <w:bCs w:val="1"/>
                <w:color w:val="auto"/>
                <w:w w:val="99"/>
              </w:rPr>
              <w:t>Purchased Under the</w:t>
            </w:r>
          </w:p>
        </w:tc>
      </w:tr>
      <w:tr>
        <w:trPr>
          <w:trHeight w:val="192"/>
        </w:trPr>
        <w:tc>
          <w:tcPr>
            <w:tcW w:w="106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7"/>
              </w:rPr>
              <w:t>Programs</w:t>
            </w:r>
          </w:p>
        </w:tc>
      </w:tr>
      <w:tr>
        <w:trPr>
          <w:trHeight w:val="215"/>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2026</w:t>
            </w:r>
          </w:p>
        </w:tc>
        <w:tc>
          <w:tcPr>
            <w:tcW w:w="196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268,680</w:t>
            </w:r>
          </w:p>
        </w:tc>
      </w:tr>
      <w:tr>
        <w:trPr>
          <w:trHeight w:val="234"/>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February 2026</w:t>
            </w:r>
          </w:p>
        </w:tc>
        <w:tc>
          <w:tcPr>
            <w:tcW w:w="1960" w:type="dxa"/>
            <w:vAlign w:val="bottom"/>
          </w:tcPr>
          <w:p>
            <w:pPr>
              <w:ind w:left="17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1960" w:type="dxa"/>
            <w:vAlign w:val="bottom"/>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268,680</w:t>
            </w:r>
          </w:p>
        </w:tc>
      </w:tr>
      <w:tr>
        <w:trPr>
          <w:trHeight w:val="23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2026</w:t>
            </w:r>
          </w:p>
        </w:tc>
        <w:tc>
          <w:tcPr>
            <w:tcW w:w="196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268,680</w:t>
            </w:r>
          </w:p>
        </w:tc>
      </w:tr>
      <w:tr>
        <w:trPr>
          <w:trHeight w:val="200"/>
        </w:trPr>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ind w:left="1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ind w:left="1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8"/>
        </w:trPr>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4"/>
        </w:trPr>
        <w:tc>
          <w:tcPr>
            <w:tcW w:w="1060" w:type="dxa"/>
            <w:vAlign w:val="bottom"/>
            <w:tcBorders>
              <w:bottom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5.</w:t>
        <w:tab/>
        <w:t>Other Information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Rule 10b5-1 Trading Plans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list of exhibits filed with this report or incorporated herein by reference is found in the Exhibit Index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3" w:name="page44"/>
    <w:bookmarkEnd w:id="43"/>
    <w:p>
      <w:pPr>
        <w:ind w:left="480"/>
        <w:spacing w:after="0"/>
        <w:rPr>
          <w:sz w:val="20"/>
          <w:szCs w:val="20"/>
          <w:color w:val="auto"/>
        </w:rPr>
      </w:pPr>
      <w:r>
        <w:rPr>
          <w:rFonts w:ascii="Arial" w:cs="Arial" w:eastAsia="Arial" w:hAnsi="Arial"/>
          <w:sz w:val="17"/>
          <w:szCs w:val="17"/>
          <w:i w:val="1"/>
          <w:iCs w:val="1"/>
          <w:color w:val="0000FF"/>
        </w:rPr>
        <w:t>Table of Contents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ind w:left="240"/>
        <w:spacing w:after="0"/>
        <w:rPr>
          <w:sz w:val="20"/>
          <w:szCs w:val="20"/>
          <w:color w:val="auto"/>
        </w:rPr>
      </w:pPr>
      <w:r>
        <w:rPr>
          <w:rFonts w:ascii="Arial" w:cs="Arial" w:eastAsia="Arial" w:hAnsi="Arial"/>
          <w:sz w:val="14"/>
          <w:szCs w:val="14"/>
          <w:b w:val="1"/>
          <w:bCs w:val="1"/>
          <w:color w:val="auto"/>
        </w:rPr>
        <w:t>Number</w:t>
      </w:r>
    </w:p>
    <w:p>
      <w:pPr>
        <w:spacing w:after="0" w:line="34" w:lineRule="exact"/>
        <w:rPr>
          <w:sz w:val="20"/>
          <w:szCs w:val="20"/>
          <w:color w:val="auto"/>
        </w:rPr>
      </w:pPr>
    </w:p>
    <w:p>
      <w:pPr>
        <w:ind w:left="400"/>
        <w:spacing w:after="0"/>
        <w:rPr>
          <w:rFonts w:ascii="Arial" w:cs="Arial" w:eastAsia="Arial" w:hAnsi="Arial"/>
          <w:sz w:val="14"/>
          <w:szCs w:val="14"/>
          <w:color w:val="0000FF"/>
        </w:rPr>
      </w:pPr>
      <w:hyperlink r:id="rId79">
        <w:r>
          <w:rPr>
            <w:rFonts w:ascii="Arial" w:cs="Arial" w:eastAsia="Arial" w:hAnsi="Arial"/>
            <w:sz w:val="14"/>
            <w:szCs w:val="14"/>
            <w:color w:val="0000FF"/>
          </w:rPr>
          <w:t>3.1</w:t>
        </w:r>
      </w:hyperlink>
    </w:p>
    <w:p>
      <w:pPr>
        <w:spacing w:after="0" w:line="140" w:lineRule="exact"/>
        <w:rPr>
          <w:sz w:val="20"/>
          <w:szCs w:val="20"/>
          <w:color w:val="auto"/>
        </w:rPr>
      </w:pPr>
    </w:p>
    <w:p>
      <w:pPr>
        <w:ind w:left="400"/>
        <w:spacing w:after="0"/>
        <w:rPr>
          <w:rFonts w:ascii="Arial" w:cs="Arial" w:eastAsia="Arial" w:hAnsi="Arial"/>
          <w:sz w:val="14"/>
          <w:szCs w:val="14"/>
          <w:color w:val="0000FF"/>
        </w:rPr>
      </w:pPr>
      <w:hyperlink r:id="rId80">
        <w:r>
          <w:rPr>
            <w:rFonts w:ascii="Arial" w:cs="Arial" w:eastAsia="Arial" w:hAnsi="Arial"/>
            <w:sz w:val="14"/>
            <w:szCs w:val="14"/>
            <w:color w:val="0000FF"/>
          </w:rPr>
          <w:t>3.2</w:t>
        </w:r>
      </w:hyperlink>
    </w:p>
    <w:p>
      <w:pPr>
        <w:spacing w:after="0" w:line="231" w:lineRule="exact"/>
        <w:rPr>
          <w:sz w:val="20"/>
          <w:szCs w:val="20"/>
          <w:color w:val="auto"/>
        </w:rPr>
      </w:pPr>
    </w:p>
    <w:p>
      <w:pPr>
        <w:ind w:left="400"/>
        <w:spacing w:after="0"/>
        <w:rPr>
          <w:rFonts w:ascii="Arial" w:cs="Arial" w:eastAsia="Arial" w:hAnsi="Arial"/>
          <w:sz w:val="14"/>
          <w:szCs w:val="14"/>
          <w:color w:val="0000FF"/>
        </w:rPr>
      </w:pPr>
      <w:hyperlink r:id="rId81">
        <w:r>
          <w:rPr>
            <w:rFonts w:ascii="Arial" w:cs="Arial" w:eastAsia="Arial" w:hAnsi="Arial"/>
            <w:sz w:val="14"/>
            <w:szCs w:val="14"/>
            <w:color w:val="0000FF"/>
          </w:rPr>
          <w:t>3.3</w:t>
        </w:r>
      </w:hyperlink>
    </w:p>
    <w:p>
      <w:pPr>
        <w:spacing w:after="0" w:line="231" w:lineRule="exact"/>
        <w:rPr>
          <w:sz w:val="20"/>
          <w:szCs w:val="20"/>
          <w:color w:val="auto"/>
        </w:rPr>
      </w:pPr>
    </w:p>
    <w:p>
      <w:pPr>
        <w:ind w:left="400"/>
        <w:spacing w:after="0"/>
        <w:rPr>
          <w:rFonts w:ascii="Arial" w:cs="Arial" w:eastAsia="Arial" w:hAnsi="Arial"/>
          <w:sz w:val="14"/>
          <w:szCs w:val="14"/>
          <w:color w:val="0000FF"/>
        </w:rPr>
      </w:pPr>
      <w:hyperlink r:id="rId82">
        <w:r>
          <w:rPr>
            <w:rFonts w:ascii="Arial" w:cs="Arial" w:eastAsia="Arial" w:hAnsi="Arial"/>
            <w:sz w:val="14"/>
            <w:szCs w:val="14"/>
            <w:color w:val="0000FF"/>
          </w:rPr>
          <w:t>3.4</w:t>
        </w:r>
      </w:hyperlink>
    </w:p>
    <w:p>
      <w:pPr>
        <w:spacing w:after="0" w:line="231" w:lineRule="exact"/>
        <w:rPr>
          <w:sz w:val="20"/>
          <w:szCs w:val="20"/>
          <w:color w:val="auto"/>
        </w:rPr>
      </w:pPr>
    </w:p>
    <w:p>
      <w:pPr>
        <w:ind w:left="400"/>
        <w:spacing w:after="0"/>
        <w:rPr>
          <w:rFonts w:ascii="Arial" w:cs="Arial" w:eastAsia="Arial" w:hAnsi="Arial"/>
          <w:sz w:val="14"/>
          <w:szCs w:val="14"/>
          <w:color w:val="0000FF"/>
        </w:rPr>
      </w:pPr>
      <w:hyperlink r:id="rId83">
        <w:r>
          <w:rPr>
            <w:rFonts w:ascii="Arial" w:cs="Arial" w:eastAsia="Arial" w:hAnsi="Arial"/>
            <w:sz w:val="14"/>
            <w:szCs w:val="14"/>
            <w:color w:val="0000FF"/>
          </w:rPr>
          <w:t>3.5</w:t>
        </w:r>
      </w:hyperlink>
    </w:p>
    <w:p>
      <w:pPr>
        <w:spacing w:after="0" w:line="153" w:lineRule="exact"/>
        <w:rPr>
          <w:sz w:val="20"/>
          <w:szCs w:val="20"/>
          <w:color w:val="auto"/>
        </w:rPr>
      </w:pPr>
    </w:p>
    <w:p>
      <w:pPr>
        <w:ind w:left="400"/>
        <w:spacing w:after="0"/>
        <w:rPr>
          <w:rFonts w:ascii="Arial" w:cs="Arial" w:eastAsia="Arial" w:hAnsi="Arial"/>
          <w:sz w:val="14"/>
          <w:szCs w:val="14"/>
          <w:color w:val="0000FF"/>
        </w:rPr>
      </w:pPr>
      <w:hyperlink r:id="rId84">
        <w:r>
          <w:rPr>
            <w:rFonts w:ascii="Arial" w:cs="Arial" w:eastAsia="Arial" w:hAnsi="Arial"/>
            <w:sz w:val="14"/>
            <w:szCs w:val="14"/>
            <w:color w:val="0000FF"/>
          </w:rPr>
          <w:t>3.6</w:t>
        </w:r>
      </w:hyperlink>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31.1</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31.2</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32.1</w:t>
      </w:r>
      <w:r>
        <w:rPr>
          <w:rFonts w:ascii="Arial" w:cs="Arial" w:eastAsia="Arial" w:hAnsi="Arial"/>
          <w:sz w:val="17"/>
          <w:szCs w:val="17"/>
          <w:color w:val="000000"/>
        </w:rPr>
        <w:t>*</w:t>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101.INS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101.SCH</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101.CAL</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101.DEF</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101.LAB</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101.PRE</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89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61595</wp:posOffset>
            </wp:positionV>
            <wp:extent cx="7136765" cy="149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07" w:lineRule="exact"/>
        <w:rPr>
          <w:sz w:val="20"/>
          <w:szCs w:val="20"/>
          <w:color w:val="auto"/>
        </w:rPr>
      </w:pPr>
    </w:p>
    <w:p>
      <w:pPr>
        <w:spacing w:after="0"/>
        <w:rPr>
          <w:rFonts w:ascii="Arial" w:cs="Arial" w:eastAsia="Arial" w:hAnsi="Arial"/>
          <w:sz w:val="14"/>
          <w:szCs w:val="14"/>
          <w:color w:val="0000FF"/>
        </w:rPr>
      </w:pPr>
      <w:hyperlink r:id="rId79">
        <w:r>
          <w:rPr>
            <w:rFonts w:ascii="Arial" w:cs="Arial" w:eastAsia="Arial" w:hAnsi="Arial"/>
            <w:sz w:val="14"/>
            <w:szCs w:val="14"/>
            <w:color w:val="0000FF"/>
          </w:rPr>
          <w:t>Amended and Restated Certificate of Incorporation of Enphase Energy, Inc.</w:t>
        </w:r>
      </w:hyperlink>
    </w:p>
    <w:p>
      <w:pPr>
        <w:spacing w:after="0" w:line="61" w:lineRule="exact"/>
        <w:rPr>
          <w:sz w:val="20"/>
          <w:szCs w:val="20"/>
          <w:color w:val="auto"/>
        </w:rPr>
      </w:pPr>
    </w:p>
    <w:p>
      <w:pPr>
        <w:jc w:val="both"/>
        <w:ind w:right="20"/>
        <w:spacing w:after="0" w:line="287" w:lineRule="auto"/>
        <w:rPr>
          <w:rFonts w:ascii="Arial" w:cs="Arial" w:eastAsia="Arial" w:hAnsi="Arial"/>
          <w:sz w:val="14"/>
          <w:szCs w:val="14"/>
          <w:color w:val="0000FF"/>
        </w:rPr>
      </w:pPr>
      <w:hyperlink r:id="rId80">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0">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-5715</wp:posOffset>
            </wp:positionV>
            <wp:extent cx="7136765" cy="248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6765" cy="248920"/>
                    </a:xfrm>
                    <a:prstGeom prst="rect">
                      <a:avLst/>
                    </a:prstGeom>
                    <a:noFill/>
                  </pic:spPr>
                </pic:pic>
              </a:graphicData>
            </a:graphic>
          </wp:anchor>
        </w:drawing>
      </w:r>
    </w:p>
    <w:p>
      <w:pPr>
        <w:jc w:val="both"/>
        <w:ind w:right="20"/>
        <w:spacing w:after="0" w:line="287" w:lineRule="auto"/>
        <w:rPr>
          <w:rFonts w:ascii="Arial" w:cs="Arial" w:eastAsia="Arial" w:hAnsi="Arial"/>
          <w:sz w:val="14"/>
          <w:szCs w:val="14"/>
          <w:color w:val="0000FF"/>
        </w:rPr>
      </w:pPr>
      <w:hyperlink r:id="rId81">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1">
        <w:r>
          <w:rPr>
            <w:rFonts w:ascii="Arial" w:cs="Arial" w:eastAsia="Arial" w:hAnsi="Arial"/>
            <w:sz w:val="14"/>
            <w:szCs w:val="14"/>
            <w:color w:val="0000FF"/>
          </w:rPr>
          <w:t>Incorporation of Enphase Energy, Inc.</w:t>
        </w:r>
      </w:hyperlink>
    </w:p>
    <w:p>
      <w:pPr>
        <w:spacing w:after="0" w:line="7" w:lineRule="exact"/>
        <w:rPr>
          <w:sz w:val="20"/>
          <w:szCs w:val="20"/>
          <w:color w:val="auto"/>
        </w:rPr>
      </w:pPr>
    </w:p>
    <w:p>
      <w:pPr>
        <w:jc w:val="both"/>
        <w:ind w:right="20"/>
        <w:spacing w:after="0" w:line="287" w:lineRule="auto"/>
        <w:rPr>
          <w:rFonts w:ascii="Arial" w:cs="Arial" w:eastAsia="Arial" w:hAnsi="Arial"/>
          <w:sz w:val="14"/>
          <w:szCs w:val="14"/>
          <w:color w:val="0000FF"/>
        </w:rPr>
      </w:pPr>
      <w:hyperlink r:id="rId82">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2">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-5715</wp:posOffset>
            </wp:positionV>
            <wp:extent cx="7136765" cy="24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6765" cy="248920"/>
                    </a:xfrm>
                    <a:prstGeom prst="rect">
                      <a:avLst/>
                    </a:prstGeom>
                    <a:noFill/>
                  </pic:spPr>
                </pic:pic>
              </a:graphicData>
            </a:graphic>
          </wp:anchor>
        </w:drawing>
      </w:r>
    </w:p>
    <w:p>
      <w:pPr>
        <w:jc w:val="both"/>
        <w:ind w:right="20"/>
        <w:spacing w:after="0" w:line="287" w:lineRule="auto"/>
        <w:rPr>
          <w:rFonts w:ascii="Arial" w:cs="Arial" w:eastAsia="Arial" w:hAnsi="Arial"/>
          <w:sz w:val="14"/>
          <w:szCs w:val="14"/>
          <w:color w:val="0000FF"/>
        </w:rPr>
      </w:pPr>
      <w:hyperlink r:id="rId83">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3">
        <w:r>
          <w:rPr>
            <w:rFonts w:ascii="Arial" w:cs="Arial" w:eastAsia="Arial" w:hAnsi="Arial"/>
            <w:sz w:val="14"/>
            <w:szCs w:val="14"/>
            <w:color w:val="0000FF"/>
          </w:rPr>
          <w:t>Incorporation of Enphase Energy, Inc.</w:t>
        </w:r>
      </w:hyperlink>
    </w:p>
    <w:p>
      <w:pPr>
        <w:spacing w:after="0" w:line="7" w:lineRule="exact"/>
        <w:rPr>
          <w:sz w:val="20"/>
          <w:szCs w:val="20"/>
          <w:color w:val="auto"/>
        </w:rPr>
      </w:pPr>
    </w:p>
    <w:p>
      <w:pPr>
        <w:spacing w:after="0"/>
        <w:rPr>
          <w:rFonts w:ascii="Arial" w:cs="Arial" w:eastAsia="Arial" w:hAnsi="Arial"/>
          <w:sz w:val="14"/>
          <w:szCs w:val="14"/>
          <w:color w:val="0000FF"/>
        </w:rPr>
      </w:pPr>
      <w:hyperlink r:id="rId84">
        <w:r>
          <w:rPr>
            <w:rFonts w:ascii="Arial" w:cs="Arial" w:eastAsia="Arial" w:hAnsi="Arial"/>
            <w:sz w:val="14"/>
            <w:szCs w:val="14"/>
            <w:color w:val="0000FF"/>
          </w:rPr>
          <w:t>Amended and Restated Bylaws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27940</wp:posOffset>
            </wp:positionV>
            <wp:extent cx="7136765" cy="140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0000FF"/>
        </w:rPr>
        <w:t>Certification of Chief Executive Officer pursuant to Rule 13a-14(a)/15d-14(a).</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0000FF"/>
        </w:rPr>
        <w:t>Certification of Chief Financial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27940</wp:posOffset>
            </wp:positionV>
            <wp:extent cx="7136765" cy="348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6765" cy="348615"/>
                    </a:xfrm>
                    <a:prstGeom prst="rect">
                      <a:avLst/>
                    </a:prstGeom>
                    <a:noFill/>
                  </pic:spPr>
                </pic:pic>
              </a:graphicData>
            </a:graphic>
          </wp:anchor>
        </w:drawing>
      </w:r>
    </w:p>
    <w:p>
      <w:pPr>
        <w:spacing w:after="0" w:line="4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0000FF"/>
        </w:rPr>
        <w:t>Certification of Chief Executive Officer and Chief Financial Officer pursuant to 18 U.S.C. Section 1350 as Adopted Pursuant to Section 906 of the Sarbanes-Oxley Act of 2002, as amended.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Document.</w:t>
      </w:r>
    </w:p>
    <w:p>
      <w:pPr>
        <w:spacing w:after="0" w:line="270"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Cover Page Interactive Data File (formatted as Inline XBRL and contained in Exhibits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0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 File No.</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Filing Date</w:t>
            </w:r>
          </w:p>
        </w:tc>
      </w:tr>
      <w:tr>
        <w:trPr>
          <w:trHeight w:val="66"/>
        </w:trPr>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4"/>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4/6/2012</w:t>
            </w:r>
          </w:p>
        </w:tc>
      </w:tr>
      <w:tr>
        <w:trPr>
          <w:trHeight w:val="301"/>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8/9/2017</w:t>
            </w:r>
          </w:p>
        </w:tc>
      </w:tr>
      <w:tr>
        <w:trPr>
          <w:trHeight w:val="392"/>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8/6/2018</w:t>
            </w:r>
          </w:p>
        </w:tc>
      </w:tr>
      <w:tr>
        <w:trPr>
          <w:trHeight w:val="392"/>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5/27/2020</w:t>
            </w:r>
          </w:p>
        </w:tc>
      </w:tr>
      <w:tr>
        <w:trPr>
          <w:trHeight w:val="392"/>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160" w:type="dxa"/>
            <w:vAlign w:val="bottom"/>
          </w:tcPr>
          <w:p>
            <w:pPr>
              <w:jc w:val="center"/>
              <w:spacing w:after="0"/>
              <w:rPr>
                <w:sz w:val="20"/>
                <w:szCs w:val="20"/>
                <w:color w:val="auto"/>
              </w:rPr>
            </w:pPr>
            <w:r>
              <w:rPr>
                <w:rFonts w:ascii="Arial" w:cs="Arial" w:eastAsia="Arial" w:hAnsi="Arial"/>
                <w:sz w:val="14"/>
                <w:szCs w:val="14"/>
                <w:color w:val="auto"/>
                <w:w w:val="98"/>
              </w:rPr>
              <w:t>333-256290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5/19/2021</w:t>
            </w:r>
          </w:p>
        </w:tc>
      </w:tr>
      <w:tr>
        <w:trPr>
          <w:trHeight w:val="314"/>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4/8/2022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Filed</w:t>
      </w:r>
    </w:p>
    <w:p>
      <w:pPr>
        <w:jc w:val="center"/>
        <w:ind w:right="180"/>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45" w:lineRule="exact"/>
        <w:rPr>
          <w:sz w:val="20"/>
          <w:szCs w:val="20"/>
          <w:color w:val="auto"/>
        </w:rPr>
      </w:pPr>
    </w:p>
    <w:p>
      <w:pPr>
        <w:sectPr>
          <w:pgSz w:w="11900" w:h="16838" w:orient="portrait"/>
          <w:cols w:equalWidth="0" w:num="4">
            <w:col w:w="780" w:space="320"/>
            <w:col w:w="4860" w:space="100"/>
            <w:col w:w="4120" w:space="280"/>
            <w:col w:w="780"/>
          </w:cols>
          <w:pgMar w:left="320" w:top="279" w:right="339" w:bottom="1440" w:gutter="0" w:footer="0" w:header="0"/>
          <w:type w:val="continuous"/>
        </w:sectPr>
      </w:pPr>
    </w:p>
    <w:p>
      <w:pPr>
        <w:spacing w:after="0" w:line="335" w:lineRule="exact"/>
        <w:rPr>
          <w:sz w:val="20"/>
          <w:szCs w:val="20"/>
          <w:color w:val="auto"/>
        </w:rPr>
      </w:pPr>
    </w:p>
    <w:p>
      <w:pPr>
        <w:jc w:val="both"/>
        <w:ind w:left="320" w:hanging="315"/>
        <w:spacing w:after="0" w:line="277" w:lineRule="auto"/>
        <w:tabs>
          <w:tab w:leader="none" w:pos="31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certifications attached as Exhibit 32.1 accompany this Quarterly Report on Form 10-Q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120"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Quarterly Report on Form 10-Q to be signed on its behalf by the undersigned, thereunto duly authorized.</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Dated: April 28, 2026</w:t>
      </w:r>
    </w:p>
    <w:p>
      <w:pPr>
        <w:spacing w:after="0" w:line="160"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Enphase Energy, Inc.</w:t>
      </w:r>
    </w:p>
    <w:p>
      <w:pPr>
        <w:spacing w:after="0" w:line="236" w:lineRule="exact"/>
        <w:rPr>
          <w:sz w:val="20"/>
          <w:szCs w:val="20"/>
          <w:color w:val="auto"/>
        </w:rPr>
      </w:pPr>
    </w:p>
    <w:p>
      <w:pPr>
        <w:ind w:left="6060"/>
        <w:spacing w:after="0"/>
        <w:tabs>
          <w:tab w:leader="none" w:pos="6540" w:val="left"/>
        </w:tabs>
        <w:rPr>
          <w:sz w:val="20"/>
          <w:szCs w:val="20"/>
          <w:color w:val="auto"/>
        </w:rPr>
      </w:pPr>
      <w:r>
        <w:rPr>
          <w:rFonts w:ascii="Arial" w:cs="Arial" w:eastAsia="Arial" w:hAnsi="Arial"/>
          <w:sz w:val="16"/>
          <w:szCs w:val="16"/>
          <w:color w:val="auto"/>
        </w:rPr>
        <w:t>By:</w:t>
        <w:tab/>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15240</wp:posOffset>
            </wp:positionV>
            <wp:extent cx="29711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1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Mandy Yang</w:t>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Executive Vice President and Chief Financial Officer</w:t>
      </w:r>
    </w:p>
    <w:p>
      <w:pPr>
        <w:ind w:left="6560"/>
        <w:spacing w:after="0" w:line="204" w:lineRule="auto"/>
        <w:rPr>
          <w:sz w:val="20"/>
          <w:szCs w:val="20"/>
          <w:color w:val="auto"/>
        </w:rPr>
      </w:pPr>
      <w:r>
        <w:rPr>
          <w:rFonts w:ascii="Arial" w:cs="Arial" w:eastAsia="Arial" w:hAnsi="Arial"/>
          <w:sz w:val="16"/>
          <w:szCs w:val="16"/>
          <w:color w:val="auto"/>
        </w:rPr>
        <w:t>(Principal Financial Officer)</w:t>
      </w:r>
    </w:p>
    <w:p>
      <w:pPr>
        <w:ind w:left="656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2026 Form 10-Q | 45</w:t>
      </w:r>
    </w:p>
    <w:p>
      <w:pPr>
        <w:sectPr>
          <w:pgSz w:w="11900" w:h="16838" w:orient="portrait"/>
          <w:cols w:equalWidth="0" w:num="1">
            <w:col w:w="11240"/>
          </w:cols>
          <w:pgMar w:left="320" w:top="27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Badrinarayanan Kothandaraman, certify that:</w:t>
      </w:r>
    </w:p>
    <w:p>
      <w:pPr>
        <w:spacing w:after="0" w:line="118" w:lineRule="exact"/>
        <w:rPr>
          <w:sz w:val="20"/>
          <w:szCs w:val="20"/>
          <w:color w:val="auto"/>
        </w:rPr>
      </w:pPr>
    </w:p>
    <w:p>
      <w:pPr>
        <w:ind w:left="300" w:hanging="295"/>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Form 10-Q of Enphase Energy, Inc.;</w:t>
      </w:r>
    </w:p>
    <w:p>
      <w:pPr>
        <w:spacing w:after="0" w:line="118" w:lineRule="exact"/>
        <w:rPr>
          <w:rFonts w:ascii="Arial" w:cs="Arial" w:eastAsia="Arial" w:hAnsi="Arial"/>
          <w:sz w:val="17"/>
          <w:szCs w:val="17"/>
          <w:color w:val="auto"/>
        </w:rPr>
      </w:pPr>
    </w:p>
    <w:p>
      <w:pPr>
        <w:ind w:left="320" w:right="140" w:hanging="315"/>
        <w:spacing w:after="0" w:line="277" w:lineRule="auto"/>
        <w:tabs>
          <w:tab w:leader="none" w:pos="3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100" w:hanging="315"/>
        <w:spacing w:after="0" w:line="298" w:lineRule="auto"/>
        <w:tabs>
          <w:tab w:leader="none" w:pos="3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100" w:hanging="315"/>
        <w:spacing w:after="0" w:line="277" w:lineRule="auto"/>
        <w:tabs>
          <w:tab w:leader="none" w:pos="3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jc w:val="both"/>
        <w:ind w:left="1100" w:right="180" w:hanging="311"/>
        <w:spacing w:after="0" w:line="277" w:lineRule="auto"/>
        <w:tabs>
          <w:tab w:leader="none" w:pos="10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60" w:hanging="311"/>
        <w:spacing w:after="0" w:line="277" w:lineRule="auto"/>
        <w:tabs>
          <w:tab w:leader="none" w:pos="10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100" w:hanging="311"/>
        <w:spacing w:after="0" w:line="277" w:lineRule="auto"/>
        <w:tabs>
          <w:tab w:leader="none" w:pos="10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jc w:val="both"/>
        <w:ind w:left="1100" w:right="320" w:hanging="311"/>
        <w:spacing w:after="0" w:line="277" w:lineRule="auto"/>
        <w:tabs>
          <w:tab w:leader="none" w:pos="10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20" w:hanging="315"/>
        <w:spacing w:after="0" w:line="298" w:lineRule="auto"/>
        <w:tabs>
          <w:tab w:leader="none" w:pos="3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100" w:right="160" w:hanging="311"/>
        <w:spacing w:after="0" w:line="298" w:lineRule="auto"/>
        <w:tabs>
          <w:tab w:leader="none" w:pos="10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100" w:right="380" w:hanging="311"/>
        <w:spacing w:after="0" w:line="298" w:lineRule="auto"/>
        <w:tabs>
          <w:tab w:leader="none" w:pos="10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2026</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0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Badrinarayanan Kothandaraman</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ind w:left="5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3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Mandy Yang, certify that:</w:t>
      </w:r>
    </w:p>
    <w:p>
      <w:pPr>
        <w:spacing w:after="0" w:line="118" w:lineRule="exact"/>
        <w:rPr>
          <w:sz w:val="20"/>
          <w:szCs w:val="20"/>
          <w:color w:val="auto"/>
        </w:rPr>
      </w:pPr>
    </w:p>
    <w:p>
      <w:pPr>
        <w:ind w:left="300" w:hanging="295"/>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Form 10-Q of Enphase Energy, Inc.;</w:t>
      </w:r>
    </w:p>
    <w:p>
      <w:pPr>
        <w:spacing w:after="0" w:line="118" w:lineRule="exact"/>
        <w:rPr>
          <w:rFonts w:ascii="Arial" w:cs="Arial" w:eastAsia="Arial" w:hAnsi="Arial"/>
          <w:sz w:val="17"/>
          <w:szCs w:val="17"/>
          <w:color w:val="auto"/>
        </w:rPr>
      </w:pPr>
    </w:p>
    <w:p>
      <w:pPr>
        <w:ind w:left="320" w:right="140" w:hanging="315"/>
        <w:spacing w:after="0" w:line="277" w:lineRule="auto"/>
        <w:tabs>
          <w:tab w:leader="none" w:pos="308"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100" w:hanging="315"/>
        <w:spacing w:after="0" w:line="298" w:lineRule="auto"/>
        <w:tabs>
          <w:tab w:leader="none" w:pos="308"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100" w:hanging="315"/>
        <w:spacing w:after="0" w:line="277" w:lineRule="auto"/>
        <w:tabs>
          <w:tab w:leader="none" w:pos="30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jc w:val="both"/>
        <w:ind w:left="1100" w:right="180" w:hanging="311"/>
        <w:spacing w:after="0" w:line="277" w:lineRule="auto"/>
        <w:tabs>
          <w:tab w:leader="none" w:pos="10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60" w:hanging="311"/>
        <w:spacing w:after="0" w:line="277" w:lineRule="auto"/>
        <w:tabs>
          <w:tab w:leader="none" w:pos="10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100" w:hanging="311"/>
        <w:spacing w:after="0" w:line="277" w:lineRule="auto"/>
        <w:tabs>
          <w:tab w:leader="none" w:pos="10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jc w:val="both"/>
        <w:ind w:left="1100" w:right="320" w:hanging="311"/>
        <w:spacing w:after="0" w:line="277" w:lineRule="auto"/>
        <w:tabs>
          <w:tab w:leader="none" w:pos="10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20" w:hanging="315"/>
        <w:spacing w:after="0" w:line="298" w:lineRule="auto"/>
        <w:tabs>
          <w:tab w:leader="none" w:pos="30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100" w:right="160" w:hanging="311"/>
        <w:spacing w:after="0" w:line="298" w:lineRule="auto"/>
        <w:tabs>
          <w:tab w:leader="none" w:pos="10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100" w:right="380" w:hanging="311"/>
        <w:spacing w:after="0" w:line="298" w:lineRule="auto"/>
        <w:tabs>
          <w:tab w:leader="none" w:pos="10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2026</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Mandy Yang</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Executive Vice President and Chief Financial Officer</w:t>
      </w:r>
    </w:p>
    <w:p>
      <w:pPr>
        <w:ind w:left="56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3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32.1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Executive Vice President and Chief Financial Officer of the Company, each hereby certifies that, to the best of his or her knowledge:</w:t>
      </w:r>
    </w:p>
    <w:p>
      <w:pPr>
        <w:spacing w:after="0" w:line="61" w:lineRule="exact"/>
        <w:rPr>
          <w:sz w:val="20"/>
          <w:szCs w:val="20"/>
          <w:color w:val="auto"/>
        </w:rPr>
      </w:pPr>
    </w:p>
    <w:p>
      <w:pPr>
        <w:ind w:right="420" w:firstLine="5"/>
        <w:spacing w:after="0" w:line="298" w:lineRule="auto"/>
        <w:tabs>
          <w:tab w:leader="none" w:pos="194"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Company’s </w:t>
      </w:r>
      <w:r>
        <w:rPr>
          <w:rFonts w:ascii="Arial" w:cs="Arial" w:eastAsia="Arial" w:hAnsi="Arial"/>
          <w:sz w:val="15"/>
          <w:szCs w:val="15"/>
          <w:color w:val="auto"/>
        </w:rPr>
        <w:t>Quarterly Report on Form 10-Q</w:t>
      </w:r>
      <w:r>
        <w:rPr>
          <w:rFonts w:ascii="Arial" w:cs="Arial" w:eastAsia="Arial" w:hAnsi="Arial"/>
          <w:sz w:val="17"/>
          <w:szCs w:val="17"/>
          <w:color w:val="auto"/>
        </w:rPr>
        <w:t xml:space="preserve"> for the year ended March 31, 2026, to which this Certification is attached as Exhibit 32.1 (the “Periodic Report”), fully complies with the requirements of Section 13(a) or Section 15(d) of the Exchange Act; and</w:t>
      </w:r>
    </w:p>
    <w:p>
      <w:pPr>
        <w:spacing w:after="0" w:line="37" w:lineRule="exact"/>
        <w:rPr>
          <w:rFonts w:ascii="Arial" w:cs="Arial" w:eastAsia="Arial" w:hAnsi="Arial"/>
          <w:sz w:val="17"/>
          <w:szCs w:val="17"/>
          <w:color w:val="auto"/>
        </w:rPr>
      </w:pPr>
    </w:p>
    <w:p>
      <w:pPr>
        <w:ind w:right="140" w:firstLine="5"/>
        <w:spacing w:after="0" w:line="298" w:lineRule="auto"/>
        <w:tabs>
          <w:tab w:leader="none" w:pos="19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Date: April 28, 2026</w:t>
            </w:r>
          </w:p>
        </w:tc>
        <w:tc>
          <w:tcPr>
            <w:tcW w:w="5560" w:type="dxa"/>
            <w:vAlign w:val="bottom"/>
          </w:tcPr>
          <w:p>
            <w:pPr>
              <w:ind w:left="20"/>
              <w:spacing w:after="0"/>
              <w:rPr>
                <w:sz w:val="20"/>
                <w:szCs w:val="20"/>
                <w:color w:val="auto"/>
              </w:rPr>
            </w:pPr>
            <w:r>
              <w:rPr>
                <w:rFonts w:ascii="Arial" w:cs="Arial" w:eastAsia="Arial" w:hAnsi="Arial"/>
                <w:sz w:val="17"/>
                <w:szCs w:val="17"/>
                <w:color w:val="auto"/>
              </w:rPr>
              <w:t>April 28, 2026</w:t>
            </w:r>
          </w:p>
        </w:tc>
      </w:tr>
      <w:tr>
        <w:trPr>
          <w:trHeight w:val="428"/>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/s/ BADRINARAYANAN KOTHANDARAMAN</w:t>
            </w:r>
          </w:p>
        </w:tc>
        <w:tc>
          <w:tcPr>
            <w:tcW w:w="5560" w:type="dxa"/>
            <w:vAlign w:val="bottom"/>
          </w:tcPr>
          <w:p>
            <w:pPr>
              <w:ind w:left="20"/>
              <w:spacing w:after="0"/>
              <w:rPr>
                <w:sz w:val="20"/>
                <w:szCs w:val="20"/>
                <w:color w:val="auto"/>
              </w:rPr>
            </w:pPr>
            <w:r>
              <w:rPr>
                <w:rFonts w:ascii="Arial" w:cs="Arial" w:eastAsia="Arial" w:hAnsi="Arial"/>
                <w:sz w:val="17"/>
                <w:szCs w:val="17"/>
                <w:color w:val="auto"/>
              </w:rPr>
              <w:t>/s/ MANDY YANG</w:t>
            </w:r>
          </w:p>
        </w:tc>
      </w:tr>
      <w:tr>
        <w:trPr>
          <w:trHeight w:val="211"/>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Badrinarayanan Kothandaraman</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Mandy Yang</w:t>
            </w:r>
          </w:p>
        </w:tc>
      </w:tr>
      <w:tr>
        <w:trPr>
          <w:trHeight w:val="174"/>
        </w:trPr>
        <w:tc>
          <w:tcPr>
            <w:tcW w:w="566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President and Chief Executive Officer</w:t>
            </w:r>
          </w:p>
        </w:tc>
        <w:tc>
          <w:tcPr>
            <w:tcW w:w="5560" w:type="dxa"/>
            <w:vAlign w:val="bottom"/>
          </w:tcPr>
          <w:p>
            <w:pPr>
              <w:ind w:left="20"/>
              <w:spacing w:after="0" w:line="174" w:lineRule="exact"/>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55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pacing w:after="0" w:line="200" w:lineRule="exact"/>
        <w:rPr>
          <w:sz w:val="20"/>
          <w:szCs w:val="20"/>
          <w:color w:val="auto"/>
        </w:rPr>
      </w:pPr>
    </w:p>
    <w:p>
      <w:pPr>
        <w:spacing w:after="0" w:line="2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of the Sarbanes-Oxley Act of 2002, has been provided to Enphase Energy, Inc. and will be retained by it and furnished to the Securities and Exchange Commission or its staff upon request.</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9"/>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0"/>
    </w:lvl>
  </w:abstractNum>
  <w:abstractNum w:abstractNumId="18">
    <w:nsid w:val="54E49EB4"/>
    <w:multiLevelType w:val="hybridMultilevel"/>
    <w:lvl w:ilvl="0">
      <w:lvlJc w:val="left"/>
      <w:lvlText w:val="%1."/>
      <w:numFmt w:val="decimal"/>
      <w:start w:val="12"/>
    </w:lvl>
  </w:abstractNum>
  <w:abstractNum w:abstractNumId="19">
    <w:nsid w:val="71F32454"/>
    <w:multiLevelType w:val="hybridMultilevel"/>
    <w:lvl w:ilvl="0">
      <w:lvlJc w:val="left"/>
      <w:lvlText w:val="%1."/>
      <w:numFmt w:val="decimal"/>
      <w:start w:val="13"/>
    </w:lvl>
  </w:abstractNum>
  <w:abstractNum w:abstractNumId="20">
    <w:nsid w:val="2CA88611"/>
    <w:multiLevelType w:val="hybridMultilevel"/>
    <w:lvl w:ilvl="0">
      <w:lvlJc w:val="left"/>
      <w:lvlText w:val="%1."/>
      <w:numFmt w:val="decimal"/>
      <w:start w:val="14"/>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5"/>
    </w:lvl>
  </w:abstractNum>
  <w:abstractNum w:abstractNumId="24">
    <w:nsid w:val="8138641"/>
    <w:multiLevelType w:val="hybridMultilevel"/>
    <w:lvl w:ilvl="0">
      <w:lvlJc w:val="left"/>
      <w:lvlText w:val="%1."/>
      <w:numFmt w:val="decimal"/>
      <w:start w:val="16"/>
    </w:lvl>
  </w:abstractNum>
  <w:abstractNum w:abstractNumId="25">
    <w:nsid w:val="1E7FF521"/>
    <w:multiLevelType w:val="hybridMultilevel"/>
    <w:lvl w:ilvl="0">
      <w:lvlJc w:val="left"/>
      <w:lvlText w:val="%1."/>
      <w:numFmt w:val="decimal"/>
      <w:start w:val="17"/>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8"/>
    </w:lvl>
  </w:abstractNum>
  <w:abstractNum w:abstractNumId="28">
    <w:nsid w:val="6CEAF087"/>
    <w:multiLevelType w:val="hybridMultilevel"/>
    <w:lvl w:ilvl="0">
      <w:lvlJc w:val="left"/>
      <w:lvlText w:val="%1."/>
      <w:numFmt w:val="decimal"/>
      <w:start w:val="19"/>
    </w:lvl>
  </w:abstractNum>
  <w:abstractNum w:abstractNumId="29">
    <w:nsid w:val="22221A70"/>
    <w:multiLevelType w:val="hybridMultilevel"/>
    <w:lvl w:ilvl="0">
      <w:lvlJc w:val="left"/>
      <w:lvlText w:val=" "/>
      <w:numFmt w:val="bullet"/>
      <w:start w:val="1"/>
    </w:lvl>
  </w:abstractNum>
  <w:abstractNum w:abstractNumId="30">
    <w:nsid w:val="4516DDE9"/>
    <w:multiLevelType w:val="hybridMultilevel"/>
    <w:lvl w:ilvl="0">
      <w:lvlJc w:val="left"/>
      <w:lvlText w:val="%1"/>
      <w:numFmt w:val="upperLetter"/>
      <w:start w:val="35"/>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79" Type="http://schemas.openxmlformats.org/officeDocument/2006/relationships/hyperlink" Target="https://www.sec.gov/Archives/edgar/data/1463101/000119312512153425/d330683dex31.htm" TargetMode="External"/><Relationship Id="rId80" Type="http://schemas.openxmlformats.org/officeDocument/2006/relationships/hyperlink" Target="https://www.sec.gov/Archives/edgar/data/1463101/000146310117000091/a2017q210-qexx31certificat.htm" TargetMode="External"/><Relationship Id="rId81" Type="http://schemas.openxmlformats.org/officeDocument/2006/relationships/hyperlink" Target="https://www.sec.gov/Archives/edgar/data/1463101/000146310118000075/a2018q210-qexx33.htm" TargetMode="External"/><Relationship Id="rId82" Type="http://schemas.openxmlformats.org/officeDocument/2006/relationships/hyperlink" Target="https://www.sec.gov/Archives/edgar/data/1463101/000146310120000075/a20208-kexx31.htm" TargetMode="External"/><Relationship Id="rId83" Type="http://schemas.openxmlformats.org/officeDocument/2006/relationships/hyperlink" Target="https://www.sec.gov/Archives/edgar/data/1463101/000146310121000078/ex-45certificateofamendment.htm" TargetMode="External"/><Relationship Id="rId84" Type="http://schemas.openxmlformats.org/officeDocument/2006/relationships/hyperlink" Target="https://www.sec.gov/Archives/edgar/data/1463101/000146310122000037/enphase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2026-04-28T16:43:55Z</dcterms:created>
  <dcterms:modified xsi:type="dcterms:W3CDTF">2026-04-28T16:43:55Z</dcterms:modified>
</cp:coreProperties>
</file>