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5.gif" ContentType="image/gif"/>
  <Override PartName="/word/media/image24.gif" ContentType="image/gif"/>
  <Override PartName="/word/media/image21.gif" ContentType="image/gif"/>
  <Override PartName="/word/media/image19.gif" ContentType="image/gif"/>
  <Override PartName="/word/media/image20.gif" ContentType="image/gif"/>
  <Override PartName="/word/media/image54.jpeg" ContentType="image/jpeg"/>
  <Override PartName="/word/media/image18.gif" ContentType="image/gif"/>
  <Override PartName="/word/media/image17.gif" ContentType="image/gif"/>
  <Override PartName="/word/media/image16.gif" ContentType="image/gif"/>
  <Override PartName="/word/media/image15.gif" ContentType="image/gif"/>
  <Override PartName="/word/media/image14.gif" ContentType="image/gif"/>
  <Override PartName="/word/media/image23.jpeg" ContentType="image/jpeg"/>
  <Override PartName="/word/media/image2.jpeg" ContentType="image/jpeg"/>
  <Override PartName="/word/media/image26.gif" ContentType="image/gif"/>
  <Override PartName="/word/media/image3.gif" ContentType="image/gif"/>
  <Override PartName="/word/media/image33.gif" ContentType="image/gif"/>
  <Override PartName="/word/media/image27.gif" ContentType="image/gif"/>
  <Override PartName="/word/media/image51.jpeg" ContentType="image/jpeg"/>
  <Override PartName="/word/media/image22.jpeg" ContentType="image/jpeg"/>
  <Override PartName="/word/media/image1.jpeg" ContentType="image/jpeg"/>
  <Override PartName="/word/media/image4.gif" ContentType="image/gif"/>
  <Override PartName="/word/media/image34.gif" ContentType="image/gif"/>
  <Override PartName="/word/media/image28.gif" ContentType="image/gif"/>
  <Override PartName="/word/media/image5.gif" ContentType="image/gif"/>
  <Override PartName="/word/media/image35.gif" ContentType="image/gif"/>
  <Override PartName="/word/media/image10.gif" ContentType="image/gif"/>
  <Override PartName="/word/media/image47.gif" ContentType="image/gif"/>
  <Override PartName="/word/media/image53.jpeg" ContentType="image/jpeg"/>
  <Override PartName="/word/media/image11.gif" ContentType="image/gif"/>
  <Override PartName="/word/media/image42.jpeg" ContentType="image/jpeg"/>
  <Override PartName="/word/media/image32.gif" ContentType="image/gif"/>
  <Override PartName="/word/media/image40.gif" ContentType="image/gif"/>
  <Override PartName="/word/media/image56.jpeg" ContentType="image/jpeg"/>
  <Override PartName="/word/media/image38.gif" ContentType="image/gif"/>
  <Override PartName="/word/media/image8.gif" ContentType="image/gif"/>
  <Override PartName="/word/media/image43.jpeg" ContentType="image/jpeg"/>
  <Override PartName="/word/media/image44.jpeg" ContentType="image/jpeg"/>
  <Override PartName="/word/media/image31.gif" ContentType="image/gif"/>
  <Override PartName="/word/media/image29.gif" ContentType="image/gif"/>
  <Override PartName="/word/media/image45.jpeg" ContentType="image/jpeg"/>
  <Override PartName="/word/media/image41.gif" ContentType="image/gif"/>
  <Override PartName="/word/media/image39.gif" ContentType="image/gif"/>
  <Override PartName="/word/media/image46.jpeg" ContentType="image/jpeg"/>
  <Override PartName="/word/media/image49.jpeg" ContentType="image/jpeg"/>
  <Override PartName="/word/media/image50.gif" ContentType="image/gif"/>
  <Override PartName="/word/media/image57.jpeg" ContentType="image/jpeg"/>
  <Override PartName="/word/media/image55.jpeg" ContentType="image/jpeg"/>
  <Override PartName="/word/media/image30.gif" ContentType="image/gif"/>
  <Override PartName="/word/media/image9.jpeg" ContentType="image/jpeg"/>
  <Override PartName="/word/media/image13.gif" ContentType="image/gif"/>
  <Override PartName="/word/media/image48.jpeg" ContentType="image/jpeg"/>
  <Override PartName="/word/media/image12.gif" ContentType="image/gif"/>
  <Override PartName="/word/media/image7.gif" ContentType="image/gif"/>
  <Override PartName="/word/media/image52.jpeg" ContentType="image/jpeg"/>
  <Override PartName="/word/media/image37.gif" ContentType="image/gif"/>
  <Override PartName="/word/media/image6.gif" ContentType="image/gif"/>
  <Override PartName="/word/media/image36.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2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 </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SCHEDULE 14A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Proxy Statement Pursuant to Section 14(a) of the Securities Exchange Act of 1934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(Amendment No. __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4077" w:type="dxa"/>
        <w:jc w:val="center"/>
        <w:tblInd w:w="0" w:type="dxa"/>
        <w:tblLayout w:type="fixed"/>
        <w:tblCellMar>
          <w:top w:w="28" w:type="dxa"/>
          <w:left w:w="28" w:type="dxa"/>
          <w:bottom w:w="28" w:type="dxa"/>
          <w:right w:w="28" w:type="dxa"/>
        </w:tblCellMar>
      </w:tblPr>
      <w:tblGrid>
        <w:gridCol w:w="1340"/>
        <w:gridCol w:w="1179"/>
        <w:gridCol w:w="1186"/>
        <w:gridCol w:w="109"/>
        <w:gridCol w:w="10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by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center"/>
        <w:rPr/>
      </w:pPr>
      <w:r>
        <w:rPr/>
      </w:r>
    </w:p>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Check the appropriate box:</w:t>
      </w:r>
    </w:p>
    <w:tbl>
      <w:tblPr>
        <w:tblW w:w="662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41"/>
        <w:gridCol w:w="1741"/>
        <w:gridCol w:w="2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§240.14a-12</w:t>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bookmarkStart w:id="0" w:name="i-1"/>
      <w:bookmarkEnd w:id="0"/>
    </w:p>
    <w:tbl>
      <w:tblPr>
        <w:tblW w:w="5259" w:type="dxa"/>
        <w:jc w:val="center"/>
        <w:tblInd w:w="0" w:type="dxa"/>
        <w:tblLayout w:type="fixed"/>
        <w:tblCellMar>
          <w:top w:w="28" w:type="dxa"/>
          <w:left w:w="28" w:type="dxa"/>
          <w:bottom w:w="28" w:type="dxa"/>
          <w:right w:w="28" w:type="dxa"/>
        </w:tblCellMar>
      </w:tblPr>
      <w:tblGrid>
        <w:gridCol w:w="124"/>
        <w:gridCol w:w="109"/>
        <w:gridCol w:w="109"/>
        <w:gridCol w:w="1514"/>
        <w:gridCol w:w="1514"/>
        <w:gridCol w:w="15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8"/>
              </w:rPr>
            </w:pPr>
            <w:r>
              <w:rPr>
                <w:rFonts w:ascii="Arial;sans-serif" w:hAnsi="Arial;sans-serif"/>
                <w:b/>
                <w:color w:val="000000"/>
                <w:sz w:val="28"/>
              </w:rPr>
              <w:t>Enphase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Person(s) Filing Proxy Statement, if other than the 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Payment of Filing Fee (Check the appropriate box):</w:t>
      </w:r>
    </w:p>
    <w:tbl>
      <w:tblPr>
        <w:tblW w:w="704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7"/>
        <w:gridCol w:w="677"/>
        <w:gridCol w:w="677"/>
        <w:gridCol w:w="677"/>
        <w:gridCol w:w="677"/>
        <w:gridCol w:w="677"/>
        <w:gridCol w:w="677"/>
        <w:gridCol w:w="677"/>
        <w:gridCol w:w="9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op w:val="single" w:sz="8" w:space="0" w:color="000000"/>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 fee required</w:t>
            </w:r>
          </w:p>
        </w:tc>
      </w:tr>
      <w:tr>
        <w:trPr/>
        <w:tc>
          <w:tcPr>
            <w:tcW w:w="342"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Fee paid previously with preliminary materials.</w:t>
            </w:r>
          </w:p>
        </w:tc>
      </w:tr>
      <w:tr>
        <w:trPr/>
        <w:tc>
          <w:tcPr>
            <w:tcW w:w="342"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Fee computed on table in exhibit required by Item 25(b) per Exchange Act Rules 14a-6(i)(1) and 0-11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20"/>
        <w:jc w:val="center"/>
        <w:rPr/>
      </w:pPr>
      <w:r>
        <w:rPr/>
      </w:r>
    </w:p>
    <w:p>
      <w:pPr>
        <w:pStyle w:val="TextBody"/>
        <w:bidi w:val="0"/>
        <w:spacing w:before="0" w:after="0"/>
        <w:jc w:val="center"/>
        <w:rPr/>
      </w:pPr>
      <w:r>
        <w:rPr/>
        <w:drawing>
          <wp:inline distT="0" distB="0" distL="0" distR="0">
            <wp:extent cx="7591425"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91425"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20"/>
        <w:jc w:val="center"/>
        <w:rPr/>
      </w:pPr>
      <w:r>
        <w:rPr/>
      </w:r>
    </w:p>
    <w:p>
      <w:pPr>
        <w:pStyle w:val="TextBody"/>
        <w:bidi w:val="0"/>
        <w:spacing w:lineRule="auto" w:line="288" w:before="0" w:after="420"/>
        <w:jc w:val="left"/>
        <w:rPr>
          <w:rFonts w:ascii="Avenir Next LT Pro;sans-serif" w:hAnsi="Avenir Next LT Pro;sans-serif"/>
          <w:b/>
          <w:color w:val="E86100"/>
          <w:sz w:val="24"/>
          <w:shd w:fill="FAF6EF" w:val="clear"/>
        </w:rPr>
      </w:pPr>
      <w:r>
        <w:rPr>
          <w:rFonts w:ascii="Avenir Next LT Pro;sans-serif" w:hAnsi="Avenir Next LT Pro;sans-serif"/>
          <w:b/>
          <w:color w:val="E86100"/>
          <w:sz w:val="24"/>
          <w:shd w:fill="FAF6EF" w:val="clear"/>
        </w:rPr>
        <w:t>Our Core Values</w:t>
      </w:r>
    </w:p>
    <w:p>
      <w:pPr>
        <w:pStyle w:val="TextBody"/>
        <w:bidi w:val="0"/>
        <w:spacing w:lineRule="auto" w:line="312" w:before="0" w:after="0"/>
        <w:jc w:val="left"/>
        <w:rPr>
          <w:rFonts w:ascii="Avenir Next LT Pro;sans-serif" w:hAnsi="Avenir Next LT Pro;sans-serif"/>
          <w:b w:val="false"/>
          <w:color w:val="000000"/>
          <w:sz w:val="48"/>
          <w:shd w:fill="FAF6EF" w:val="clear"/>
        </w:rPr>
      </w:pPr>
      <w:r>
        <w:rPr>
          <w:rFonts w:ascii="Avenir Next LT Pro;sans-serif" w:hAnsi="Avenir Next LT Pro;sans-serif"/>
          <w:b w:val="false"/>
          <w:color w:val="000000"/>
          <w:sz w:val="48"/>
          <w:shd w:fill="FAF6EF" w:val="clear"/>
        </w:rPr>
        <w:t>Our company values are reflected in the way we work together, our performance, and how we are rewarded.</w:t>
      </w:r>
    </w:p>
    <w:tbl>
      <w:tblPr>
        <w:tblW w:w="10205" w:type="dxa"/>
        <w:jc w:val="center"/>
        <w:tblInd w:w="0" w:type="dxa"/>
        <w:tblLayout w:type="fixed"/>
        <w:tblCellMar>
          <w:top w:w="28" w:type="dxa"/>
          <w:left w:w="28" w:type="dxa"/>
          <w:bottom w:w="28" w:type="dxa"/>
          <w:right w:w="28" w:type="dxa"/>
        </w:tblCellMar>
      </w:tblPr>
      <w:tblGrid>
        <w:gridCol w:w="246"/>
        <w:gridCol w:w="216"/>
        <w:gridCol w:w="216"/>
        <w:gridCol w:w="216"/>
        <w:gridCol w:w="216"/>
        <w:gridCol w:w="216"/>
        <w:gridCol w:w="259"/>
        <w:gridCol w:w="259"/>
        <w:gridCol w:w="271"/>
        <w:gridCol w:w="115"/>
        <w:gridCol w:w="115"/>
        <w:gridCol w:w="115"/>
        <w:gridCol w:w="228"/>
        <w:gridCol w:w="228"/>
        <w:gridCol w:w="228"/>
        <w:gridCol w:w="228"/>
        <w:gridCol w:w="228"/>
        <w:gridCol w:w="228"/>
        <w:gridCol w:w="228"/>
        <w:gridCol w:w="228"/>
        <w:gridCol w:w="228"/>
        <w:gridCol w:w="216"/>
        <w:gridCol w:w="216"/>
        <w:gridCol w:w="216"/>
        <w:gridCol w:w="216"/>
        <w:gridCol w:w="216"/>
        <w:gridCol w:w="216"/>
        <w:gridCol w:w="240"/>
        <w:gridCol w:w="240"/>
        <w:gridCol w:w="240"/>
        <w:gridCol w:w="240"/>
        <w:gridCol w:w="240"/>
        <w:gridCol w:w="240"/>
        <w:gridCol w:w="240"/>
        <w:gridCol w:w="240"/>
        <w:gridCol w:w="188"/>
        <w:gridCol w:w="121"/>
        <w:gridCol w:w="121"/>
        <w:gridCol w:w="121"/>
        <w:gridCol w:w="244"/>
        <w:gridCol w:w="244"/>
        <w:gridCol w:w="244"/>
        <w:gridCol w:w="184"/>
        <w:gridCol w:w="184"/>
        <w:gridCol w:w="184"/>
        <w:gridCol w:w="184"/>
        <w:gridCol w:w="184"/>
        <w:gridCol w:w="274"/>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4"/>
            <w:tcBorders/>
            <w:tcMar>
              <w:top w:w="0" w:type="dxa"/>
              <w:left w:w="0" w:type="dxa"/>
              <w:bottom w:w="0" w:type="dxa"/>
              <w:right w:w="0" w:type="dxa"/>
            </w:tcMar>
            <w:vAlign w:val="center"/>
          </w:tcPr>
          <w:p>
            <w:pPr>
              <w:pStyle w:val="TableContents"/>
              <w:bidi w:val="0"/>
              <w:spacing w:lineRule="auto" w:line="288" w:before="0" w:after="120"/>
              <w:jc w:val="center"/>
              <w:rPr>
                <w:rFonts w:ascii="Avenir Next LT Pro;sans-serif" w:hAnsi="Avenir Next LT Pro;sans-serif"/>
                <w:b/>
                <w:color w:val="E86100"/>
                <w:sz w:val="24"/>
              </w:rPr>
            </w:pPr>
            <w:r>
              <w:rPr>
                <w:rFonts w:ascii="Avenir Next LT Pro;sans-serif" w:hAnsi="Avenir Next LT Pro;sans-serif"/>
                <w:b/>
                <w:color w:val="E86100"/>
                <w:sz w:val="24"/>
              </w:rPr>
              <w:t>Customer first</w:t>
            </w:r>
          </w:p>
          <w:p>
            <w:pPr>
              <w:pStyle w:val="TableContents"/>
              <w:bidi w:val="0"/>
              <w:spacing w:lineRule="auto" w:line="288" w:before="0" w:after="12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We exist for our customers.</w:t>
            </w:r>
          </w:p>
          <w:p>
            <w:pPr>
              <w:pStyle w:val="TableContents"/>
              <w:bidi w:val="0"/>
              <w:spacing w:lineRule="auto" w:line="288"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We listen to our customers and measure our </w:t>
            </w:r>
          </w:p>
          <w:p>
            <w:pPr>
              <w:pStyle w:val="TableContents"/>
              <w:bidi w:val="0"/>
              <w:spacing w:lineRule="auto" w:line="288" w:before="0" w:after="12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success based on their feedback.</w:t>
            </w:r>
          </w:p>
          <w:p>
            <w:pPr>
              <w:pStyle w:val="TableContents"/>
              <w:bidi w:val="0"/>
              <w:spacing w:lineRule="auto" w:line="288" w:before="0" w:after="12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We take action to deliver the best customer experience.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4"/>
            <w:vMerge w:val="restart"/>
            <w:tcBorders/>
            <w:tcMar>
              <w:top w:w="0" w:type="dxa"/>
              <w:left w:w="0" w:type="dxa"/>
              <w:bottom w:w="0" w:type="dxa"/>
              <w:right w:w="0" w:type="dxa"/>
            </w:tcMar>
            <w:vAlign w:val="center"/>
          </w:tcPr>
          <w:p>
            <w:pPr>
              <w:pStyle w:val="TableContents"/>
              <w:bidi w:val="0"/>
              <w:spacing w:before="300" w:after="240"/>
              <w:jc w:val="center"/>
              <w:rPr/>
            </w:pPr>
            <w:r>
              <w:rPr/>
              <w:drawing>
                <wp:inline distT="0" distB="0" distL="0" distR="0">
                  <wp:extent cx="3200400" cy="29908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200400" cy="2990850"/>
                          </a:xfrm>
                          <a:prstGeom prst="rect">
                            <a:avLst/>
                          </a:prstGeom>
                        </pic:spPr>
                      </pic:pic>
                    </a:graphicData>
                  </a:graphic>
                </wp:inline>
              </w:drawing>
            </w:r>
            <w:bookmarkStart w:id="2" w:name="i-3"/>
            <w:bookmarkEnd w:id="2"/>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Quality</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We place safety and quality above everything else. </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measure everything that matters and drive continuous improvement.</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make the highest quality products.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4"/>
            <w:vMerge w:val="continue"/>
            <w:tcBorders/>
            <w:tcMar>
              <w:top w:w="0"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Integrity</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tell the truth at all times, without making excuses.</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do what is best for the company.</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take ownership of our behaviors and results.</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4"/>
            <w:vMerge w:val="continue"/>
            <w:tcBorders/>
            <w:tcMar>
              <w:top w:w="0"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4"/>
            <w:vMerge w:val="continue"/>
            <w:tcBorders/>
            <w:tcMar>
              <w:top w:w="0"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4"/>
            <w:vMerge w:val="continue"/>
            <w:tcBorders/>
            <w:tcMar>
              <w:top w:w="0" w:type="dxa"/>
              <w:left w:w="0" w:type="dxa"/>
              <w:bottom w:w="0" w:type="dxa"/>
              <w:right w:w="0" w:type="dxa"/>
            </w:tcMar>
            <w:vAlign w:val="center"/>
          </w:tcPr>
          <w:p>
            <w:pPr>
              <w:pStyle w:val="Normal"/>
              <w:bidi w:val="0"/>
              <w:jc w:val="left"/>
              <w:rPr/>
            </w:pPr>
            <w:r>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15"/>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Teamwork</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appreciate and respect different behavioral styles and perspectives.</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collaborate globally to achieve more together than we can on our own.</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actively work to break down silos.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15"/>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Innovation</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value innovation and recognize that it is the cornerstone of our existence.</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encourage appropriate risk-taking and challenge the status quo to find solutions.</w:t>
            </w:r>
          </w:p>
          <w:p>
            <w:pPr>
              <w:pStyle w:val="TableContents"/>
              <w:bidi w:val="0"/>
              <w:spacing w:lineRule="auto" w:line="288"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actively promote innovation through curiosity and continuous learning.</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11"/>
        <w:gridCol w:w="2381"/>
        <w:gridCol w:w="2385"/>
        <w:gridCol w:w="798"/>
        <w:gridCol w:w="798"/>
        <w:gridCol w:w="1132"/>
      </w:tblGrid>
      <w:tr>
        <w:trPr/>
        <w:tc>
          <w:tcPr>
            <w:tcW w:w="271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7477" w:type="dxa"/>
            <w:gridSpan w:val="3"/>
            <w:tcBorders/>
            <w:tcMar>
              <w:top w:w="0" w:type="dxa"/>
              <w:left w:w="0" w:type="dxa"/>
              <w:bottom w:w="0" w:type="dxa"/>
              <w:right w:w="0" w:type="dxa"/>
            </w:tcMar>
            <w:vAlign w:val="center"/>
          </w:tcPr>
          <w:p>
            <w:pPr>
              <w:pStyle w:val="TableContents"/>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Notice of Annual Meeting of Stockholders</w:t>
            </w:r>
          </w:p>
        </w:tc>
        <w:tc>
          <w:tcPr>
            <w:tcW w:w="2728"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647825" cy="2857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647825" cy="285750"/>
                          </a:xfrm>
                          <a:prstGeom prst="rect">
                            <a:avLst/>
                          </a:prstGeom>
                        </pic:spPr>
                      </pic:pic>
                    </a:graphicData>
                  </a:graphic>
                </wp:inline>
              </w:drawing>
            </w:r>
            <w:bookmarkStart w:id="3" w:name="i-4"/>
            <w:bookmarkEnd w:id="3"/>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35"/>
        <w:gridCol w:w="835"/>
        <w:gridCol w:w="838"/>
        <w:gridCol w:w="109"/>
        <w:gridCol w:w="109"/>
        <w:gridCol w:w="109"/>
        <w:gridCol w:w="109"/>
        <w:gridCol w:w="109"/>
        <w:gridCol w:w="109"/>
        <w:gridCol w:w="757"/>
        <w:gridCol w:w="757"/>
        <w:gridCol w:w="760"/>
        <w:gridCol w:w="109"/>
        <w:gridCol w:w="109"/>
        <w:gridCol w:w="109"/>
        <w:gridCol w:w="109"/>
        <w:gridCol w:w="109"/>
        <w:gridCol w:w="109"/>
        <w:gridCol w:w="1131"/>
        <w:gridCol w:w="1131"/>
        <w:gridCol w:w="1134"/>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shd w:fill="FAF6EF" w:val="clear"/>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When</w:t>
            </w:r>
          </w:p>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May 13, 2026, Wednesday, at 9:00 a.m. Pacific Time</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AF6EF" w:val="clear"/>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Where</w:t>
            </w:r>
          </w:p>
          <w:p>
            <w:pPr>
              <w:pStyle w:val="TableContents"/>
              <w:bidi w:val="0"/>
              <w:spacing w:lineRule="auto" w:line="336"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Enphase Energy, Inc.</w:t>
            </w:r>
          </w:p>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47281 Bayside Parkway, Fremont, CA 94538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FAF6EF" w:val="clear"/>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E86100"/>
                <w:sz w:val="24"/>
              </w:rPr>
            </w:pPr>
            <w:r>
              <w:rPr>
                <w:rFonts w:ascii="Avenir Next LT Pro;sans-serif" w:hAnsi="Avenir Next LT Pro;sans-serif"/>
                <w:b/>
                <w:color w:val="E86100"/>
                <w:sz w:val="24"/>
              </w:rPr>
              <w:t>Record date</w:t>
            </w:r>
          </w:p>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Stockholders as of March 19, 2026, are entitled to vote at the meeting</w:t>
            </w:r>
          </w:p>
        </w:tc>
        <w:tc>
          <w:tcPr>
            <w:tcW w:w="37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left"/>
        <w:rPr>
          <w:rFonts w:ascii="Avenir Next LT Pro;sans-serif" w:hAnsi="Avenir Next LT Pro;sans-serif"/>
          <w:b/>
          <w:color w:val="000000"/>
          <w:sz w:val="36"/>
        </w:rPr>
      </w:pPr>
      <w:r>
        <w:rPr>
          <w:rFonts w:ascii="Avenir Next LT Pro;sans-serif" w:hAnsi="Avenir Next LT Pro;sans-serif"/>
          <w:b/>
          <w:color w:val="000000"/>
          <w:sz w:val="36"/>
        </w:rPr>
        <w:t>Items of Business</w:t>
      </w:r>
    </w:p>
    <w:tbl>
      <w:tblPr>
        <w:tblW w:w="10205" w:type="dxa"/>
        <w:jc w:val="left"/>
        <w:tblInd w:w="0" w:type="dxa"/>
        <w:tblLayout w:type="fixed"/>
        <w:tblCellMar>
          <w:top w:w="28" w:type="dxa"/>
          <w:left w:w="28" w:type="dxa"/>
          <w:bottom w:w="28" w:type="dxa"/>
          <w:right w:w="28" w:type="dxa"/>
        </w:tblCellMar>
      </w:tblPr>
      <w:tblGrid>
        <w:gridCol w:w="1884"/>
        <w:gridCol w:w="1657"/>
        <w:gridCol w:w="1678"/>
        <w:gridCol w:w="109"/>
        <w:gridCol w:w="109"/>
        <w:gridCol w:w="109"/>
        <w:gridCol w:w="380"/>
        <w:gridCol w:w="380"/>
        <w:gridCol w:w="380"/>
        <w:gridCol w:w="467"/>
        <w:gridCol w:w="462"/>
        <w:gridCol w:w="468"/>
        <w:gridCol w:w="109"/>
        <w:gridCol w:w="109"/>
        <w:gridCol w:w="109"/>
        <w:gridCol w:w="524"/>
        <w:gridCol w:w="524"/>
        <w:gridCol w:w="747"/>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Board voting recommendation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Page reference (for more details)</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The 2026 Annual Meeting of Stockholders (the “Annual Meeting”) is being convened for the following purposes: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336" w:before="0" w:after="180"/>
              <w:ind w:left="0" w:right="0" w:hanging="3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1.To elect our three nominees for director named in the accompanying proxy statement to the Board of Directors, to hold office until the 2029 Annual Meeting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333375" cy="333375"/>
                          </a:xfrm>
                          <a:prstGeom prst="rect">
                            <a:avLst/>
                          </a:prstGeom>
                        </pic:spPr>
                      </pic:pic>
                    </a:graphicData>
                  </a:graphic>
                </wp:inline>
              </w:drawing>
            </w:r>
            <w:bookmarkStart w:id="4" w:name="i-5"/>
            <w:bookmarkEnd w:id="4"/>
          </w:p>
        </w:tc>
        <w:tc>
          <w:tcPr>
            <w:tcW w:w="1397"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color w:val="E86100"/>
                <w:sz w:val="18"/>
              </w:rPr>
            </w:pPr>
            <w:r>
              <w:rPr>
                <w:rFonts w:ascii="Avenir Next LT Pro;sans-serif" w:hAnsi="Avenir Next LT Pro;sans-serif"/>
                <w:b/>
                <w:color w:val="E86100"/>
                <w:sz w:val="18"/>
              </w:rPr>
              <w:t>FOR each 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336" w:before="0" w:after="180"/>
              <w:jc w:val="center"/>
              <w:rPr>
                <w:color w:val="000000"/>
              </w:rPr>
            </w:pPr>
            <w:r>
              <w:rPr>
                <w:color w:val="000000"/>
              </w:rPr>
              <w:t>  </w:t>
            </w:r>
            <w:r>
              <w:rPr>
                <w:rFonts w:ascii="Avenir Next LT Pro;sans-serif" w:hAnsi="Avenir Next LT Pro;sans-serif"/>
                <w:b/>
                <w:color w:val="000000"/>
                <w:sz w:val="18"/>
              </w:rPr>
              <w:t>Page 8</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336" w:before="0" w:after="180"/>
              <w:ind w:left="0" w:right="0" w:hanging="3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2.To approve, on advisory basis, the compensation of our named executive officers, as disclosed in this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bookmarkStart w:id="5" w:name="i-6"/>
            <w:bookmarkEnd w:id="5"/>
          </w:p>
        </w:tc>
        <w:tc>
          <w:tcPr>
            <w:tcW w:w="1397"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color w:val="E86100"/>
                <w:sz w:val="18"/>
              </w:rPr>
            </w:pPr>
            <w:r>
              <w:rPr>
                <w:rFonts w:ascii="Avenir Next LT Pro;sans-serif" w:hAnsi="Avenir Next LT Pro;sans-serif"/>
                <w:b/>
                <w:color w:val="E861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color w:val="000000"/>
                <w:sz w:val="18"/>
              </w:rPr>
            </w:pPr>
            <w:r>
              <w:rPr>
                <w:rFonts w:ascii="Avenir Next LT Pro;sans-serif" w:hAnsi="Avenir Next LT Pro;sans-serif"/>
                <w:b/>
                <w:color w:val="000000"/>
                <w:sz w:val="18"/>
              </w:rPr>
              <w:t>Page 58</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336" w:before="0" w:after="180"/>
              <w:ind w:left="0" w:right="0" w:hanging="3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3.To approve an amendment and restatement of the Enphase Energy, Inc. 2021 Equity Incentive Plan to increase the number of shares of common stock authorized for issuance thereunder by 2,000,000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333375" cy="333375"/>
                          </a:xfrm>
                          <a:prstGeom prst="rect">
                            <a:avLst/>
                          </a:prstGeom>
                        </pic:spPr>
                      </pic:pic>
                    </a:graphicData>
                  </a:graphic>
                </wp:inline>
              </w:drawing>
            </w:r>
            <w:bookmarkStart w:id="6" w:name="i-7"/>
            <w:bookmarkEnd w:id="6"/>
          </w:p>
        </w:tc>
        <w:tc>
          <w:tcPr>
            <w:tcW w:w="1397"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color w:val="E86100"/>
                <w:sz w:val="18"/>
              </w:rPr>
            </w:pPr>
            <w:r>
              <w:rPr>
                <w:rFonts w:ascii="Avenir Next LT Pro;sans-serif" w:hAnsi="Avenir Next LT Pro;sans-serif"/>
                <w:b/>
                <w:color w:val="E861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color w:val="000000"/>
                <w:sz w:val="18"/>
              </w:rPr>
            </w:pPr>
            <w:r>
              <w:rPr>
                <w:rFonts w:ascii="Avenir Next LT Pro;sans-serif" w:hAnsi="Avenir Next LT Pro;sans-serif"/>
                <w:b/>
                <w:color w:val="000000"/>
                <w:sz w:val="18"/>
              </w:rPr>
              <w:t>Page 59</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336" w:before="0" w:after="180"/>
              <w:ind w:left="0" w:right="0" w:hanging="3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4.To ratify the selection of Deloitte &amp; Touche LLP as our independent registered public accounting firm for the fiscal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333375" cy="333375"/>
                          </a:xfrm>
                          <a:prstGeom prst="rect">
                            <a:avLst/>
                          </a:prstGeom>
                        </pic:spPr>
                      </pic:pic>
                    </a:graphicData>
                  </a:graphic>
                </wp:inline>
              </w:drawing>
            </w:r>
            <w:bookmarkStart w:id="7" w:name="i-8"/>
            <w:bookmarkEnd w:id="7"/>
          </w:p>
        </w:tc>
        <w:tc>
          <w:tcPr>
            <w:tcW w:w="1397"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color w:val="E86100"/>
                <w:sz w:val="18"/>
              </w:rPr>
            </w:pPr>
            <w:r>
              <w:rPr>
                <w:rFonts w:ascii="Avenir Next LT Pro;sans-serif" w:hAnsi="Avenir Next LT Pro;sans-serif"/>
                <w:b/>
                <w:color w:val="E861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color w:val="000000"/>
                <w:sz w:val="18"/>
              </w:rPr>
            </w:pPr>
            <w:r>
              <w:rPr>
                <w:rFonts w:ascii="Avenir Next LT Pro;sans-serif" w:hAnsi="Avenir Next LT Pro;sans-serif"/>
                <w:b/>
                <w:color w:val="000000"/>
                <w:sz w:val="18"/>
              </w:rPr>
              <w:t>Page 71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Stockholders will also transact such other business as may properly come before the Annual Meeting to be held on May 13, 2026, or any adjournment or postponement thereof.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24"/>
        <w:gridCol w:w="1959"/>
        <w:gridCol w:w="1973"/>
        <w:gridCol w:w="109"/>
        <w:gridCol w:w="109"/>
        <w:gridCol w:w="109"/>
        <w:gridCol w:w="309"/>
        <w:gridCol w:w="263"/>
        <w:gridCol w:w="263"/>
        <w:gridCol w:w="1021"/>
        <w:gridCol w:w="765"/>
        <w:gridCol w:w="1101"/>
      </w:tblGrid>
      <w:tr>
        <w:trPr/>
        <w:tc>
          <w:tcPr>
            <w:tcW w:w="222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615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Attending the Annual Meeting</w:t>
            </w:r>
          </w:p>
        </w:tc>
      </w:tr>
      <w:tr>
        <w:trPr/>
        <w:tc>
          <w:tcPr>
            <w:tcW w:w="6156"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Your broker will not be able to vote your shares with respect to any of the matters presented at the meeting, other than the ratification of the selection of our independent registered public accounting firm, unless you give your broker specific voting instructions.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42900" cy="3429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342900" cy="342900"/>
                          </a:xfrm>
                          <a:prstGeom prst="rect">
                            <a:avLst/>
                          </a:prstGeom>
                        </pic:spPr>
                      </pic:pic>
                    </a:graphicData>
                  </a:graphic>
                </wp:inline>
              </w:drawing>
            </w:r>
            <w:bookmarkStart w:id="8" w:name="i-9"/>
            <w:bookmarkEnd w:id="8"/>
          </w:p>
        </w:tc>
        <w:tc>
          <w:tcPr>
            <w:tcW w:w="2887" w:type="dxa"/>
            <w:gridSpan w:val="3"/>
            <w:vMerge w:val="restart"/>
            <w:tcBorders/>
            <w:tcMar>
              <w:top w:w="0" w:type="dxa"/>
              <w:left w:w="0" w:type="dxa"/>
              <w:bottom w:w="0" w:type="dxa"/>
              <w:right w:w="0" w:type="dxa"/>
            </w:tcMar>
            <w:vAlign w:val="center"/>
          </w:tcPr>
          <w:p>
            <w:pPr>
              <w:pStyle w:val="TableContents"/>
              <w:bidi w:val="0"/>
              <w:spacing w:lineRule="auto" w:line="336"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Enphase Energy, Inc.</w:t>
            </w:r>
          </w:p>
          <w:p>
            <w:pPr>
              <w:pStyle w:val="TableContents"/>
              <w:bidi w:val="0"/>
              <w:spacing w:lineRule="auto" w:line="336"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47281 Bayside Parkway</w:t>
            </w:r>
          </w:p>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Fremont, CA 94538</w:t>
            </w:r>
          </w:p>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You do not need to attend the Annual Meeting to vote if you submit your proxy in advance of the meeting.</w:t>
            </w:r>
          </w:p>
        </w:tc>
      </w:tr>
      <w:tr>
        <w:trPr/>
        <w:tc>
          <w:tcPr>
            <w:tcW w:w="6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13"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you are a registered stockholder and prefer to vote your shares at the Annual Meeting, please bring the enclosed proxy card and proof of identification. Shares held beneficially in street name may be voted in person at the Annual Meeting only if you obtain a legal proxy issued in your name from the bank, broker or other nominee that holds your shares, giving you the right to vote the shares at the Annual Meeting. We encourage you to vote in advance by telephone, over the internet or by mail so that your vote will be counted if you later decide not to attend the meeting. If you are a registered stockholder who wishes to vote in person at the Annual Meeting and have previously submitted a proxy, you must deliver to the Corporate Secretary a written notice of termination of the proxy's authority before the vote. Attendance at the annual meeting will not itself revoke a previously granted proxy.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After the conclusion of the formal portion of the Annual Meeting there will be a brief recess. The CEO will then give a presentation beginning at approximately 9:30 am Pacific Time that can be accessed:</w:t>
      </w:r>
    </w:p>
    <w:p>
      <w:pPr>
        <w:pStyle w:val="TextBody"/>
        <w:bidi w:val="0"/>
        <w:spacing w:lineRule="auto" w:line="336" w:before="0" w:after="120"/>
        <w:ind w:left="0" w:right="0" w:hanging="180"/>
        <w:jc w:val="left"/>
        <w:rPr/>
      </w:pPr>
      <w:r>
        <w:rPr>
          <w:color w:val="000000"/>
        </w:rPr>
        <w:t>•</w:t>
      </w:r>
      <w:r>
        <w:rPr>
          <w:rFonts w:ascii="Avenir Next LT Pro;sans-serif" w:hAnsi="Avenir Next LT Pro;sans-serif"/>
          <w:b w:val="false"/>
          <w:color w:val="000000"/>
          <w:sz w:val="18"/>
        </w:rPr>
        <w:t xml:space="preserve">by internet at </w:t>
      </w:r>
      <w:r>
        <w:rPr>
          <w:rFonts w:ascii="Avenir Next LT Pro;sans-serif" w:hAnsi="Avenir Next LT Pro;sans-serif"/>
          <w:b w:val="false"/>
          <w:i/>
          <w:color w:val="000000"/>
          <w:sz w:val="18"/>
        </w:rPr>
        <w:t>https://link.enphase.com/ENPHMeeting2026</w:t>
      </w:r>
      <w:r>
        <w:rPr>
          <w:color w:val="000000"/>
        </w:rPr>
        <w:t xml:space="preserve"> </w:t>
      </w:r>
      <w:r>
        <w:rPr>
          <w:rFonts w:ascii="Avenir Next LT Pro;sans-serif" w:hAnsi="Avenir Next LT Pro;sans-serif"/>
          <w:b w:val="false"/>
          <w:color w:val="000000"/>
          <w:sz w:val="18"/>
        </w:rPr>
        <w:t>(please register in advance); or</w:t>
      </w:r>
    </w:p>
    <w:p>
      <w:pPr>
        <w:pStyle w:val="TextBody"/>
        <w:bidi w:val="0"/>
        <w:spacing w:lineRule="auto" w:line="268" w:before="0" w:after="180"/>
        <w:ind w:left="0" w:right="0" w:hanging="180"/>
        <w:jc w:val="left"/>
        <w:rPr/>
      </w:pPr>
      <w:r>
        <w:rPr>
          <w:color w:val="000000"/>
        </w:rPr>
        <w:t>•</w:t>
      </w:r>
      <w:r>
        <w:rPr>
          <w:rFonts w:ascii="Avenir Next LT Pro;sans-serif" w:hAnsi="Avenir Next LT Pro;sans-serif"/>
          <w:b w:val="false"/>
          <w:color w:val="000000"/>
          <w:sz w:val="18"/>
        </w:rPr>
        <w:t xml:space="preserve">by telephone at 1 (209) 425-4021 with meeting ID: 395 276 906#. For international numbers, please visit the following web address for local numbers at </w:t>
      </w:r>
      <w:r>
        <w:rPr>
          <w:rFonts w:ascii="Avenir Next LT Pro;sans-serif" w:hAnsi="Avenir Next LT Pro;sans-serif"/>
          <w:b w:val="false"/>
          <w:i/>
          <w:color w:val="000000"/>
          <w:sz w:val="18"/>
        </w:rPr>
        <w:t xml:space="preserve">https://link.enphase.com/IntlNumbersENPH </w:t>
      </w:r>
      <w:r>
        <w:rPr>
          <w:rFonts w:ascii="Avenir Next LT Pro;sans-serif" w:hAnsi="Avenir Next LT Pro;sans-serif"/>
          <w:b w:val="false"/>
          <w:color w:val="000000"/>
          <w:sz w:val="18"/>
        </w:rPr>
        <w:t>with the same meeting ID: 395 276 906#.</w:t>
      </w:r>
    </w:p>
    <w:p>
      <w:pPr>
        <w:pStyle w:val="TextBody"/>
        <w:bidi w:val="0"/>
        <w:spacing w:lineRule="auto" w:line="336" w:before="0" w:after="180"/>
        <w:jc w:val="both"/>
        <w:rPr/>
      </w:pPr>
      <w:r>
        <w:rPr>
          <w:rFonts w:ascii="Avenir Next LT Pro;sans-serif" w:hAnsi="Avenir Next LT Pro;sans-serif"/>
          <w:b/>
          <w:color w:val="000000"/>
          <w:sz w:val="18"/>
        </w:rPr>
        <w:t>YOUR VOTE IS VERY IMPORTANT</w:t>
      </w:r>
      <w:r>
        <w:rPr>
          <w:rFonts w:ascii="Avenir Next LT Pro;sans-serif" w:hAnsi="Avenir Next LT Pro;sans-serif"/>
          <w:b w:val="false"/>
          <w:color w:val="000000"/>
          <w:sz w:val="18"/>
        </w:rPr>
        <w:t xml:space="preserve">. Even if you plan to attend the Annual Meeting, please cast your vote as soon as possible. Make sure to have your proxy card or voting instruction form in hand. </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1"/>
        <w:gridCol w:w="751"/>
        <w:gridCol w:w="759"/>
        <w:gridCol w:w="109"/>
        <w:gridCol w:w="109"/>
        <w:gridCol w:w="109"/>
        <w:gridCol w:w="109"/>
        <w:gridCol w:w="109"/>
        <w:gridCol w:w="109"/>
        <w:gridCol w:w="811"/>
        <w:gridCol w:w="811"/>
        <w:gridCol w:w="820"/>
        <w:gridCol w:w="109"/>
        <w:gridCol w:w="109"/>
        <w:gridCol w:w="109"/>
        <w:gridCol w:w="109"/>
        <w:gridCol w:w="109"/>
        <w:gridCol w:w="109"/>
        <w:gridCol w:w="1154"/>
        <w:gridCol w:w="1154"/>
        <w:gridCol w:w="116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42900" cy="3429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342900" cy="342900"/>
                          </a:xfrm>
                          <a:prstGeom prst="rect">
                            <a:avLst/>
                          </a:prstGeom>
                        </pic:spPr>
                      </pic:pic>
                    </a:graphicData>
                  </a:graphic>
                </wp:inline>
              </w:drawing>
            </w:r>
            <w:bookmarkStart w:id="9" w:name="i-10"/>
            <w:bookmarkEnd w:id="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42900" cy="3429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342900" cy="342900"/>
                          </a:xfrm>
                          <a:prstGeom prst="rect">
                            <a:avLst/>
                          </a:prstGeom>
                        </pic:spPr>
                      </pic:pic>
                    </a:graphicData>
                  </a:graphic>
                </wp:inline>
              </w:drawing>
            </w:r>
            <w:bookmarkStart w:id="10" w:name="i-11"/>
            <w:bookmarkEnd w:id="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42900" cy="3429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342900" cy="342900"/>
                          </a:xfrm>
                          <a:prstGeom prst="rect">
                            <a:avLst/>
                          </a:prstGeom>
                        </pic:spPr>
                      </pic:pic>
                    </a:graphicData>
                  </a:graphic>
                </wp:inline>
              </w:drawing>
            </w:r>
            <w:bookmarkStart w:id="11" w:name="i-12"/>
            <w:bookmarkEnd w:id="11"/>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 xml:space="preserve">By internet go to </w:t>
            </w:r>
            <w:r>
              <w:rPr>
                <w:rFonts w:ascii="Avenir Next LT Pro;sans-serif" w:hAnsi="Avenir Next LT Pro;sans-serif"/>
                <w:b w:val="false"/>
                <w:i/>
                <w:color w:val="000000"/>
                <w:sz w:val="18"/>
              </w:rPr>
              <w:t>www.proxyvote.com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By toll-free telephone from the United States, U.S. territories and Canada: call 1-800-690-6903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By mail (if you received a paper copy of the proxy materials by mail): mark, sign, date and promptly mail the enclosed proxy card in the postage paid envelope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600"/>
        <w:jc w:val="both"/>
        <w:rPr/>
      </w:pPr>
      <w:r>
        <w:rPr>
          <w:rFonts w:ascii="Avenir Next LT Pro;sans-serif" w:hAnsi="Avenir Next LT Pro;sans-serif"/>
          <w:b w:val="false"/>
          <w:color w:val="000000"/>
          <w:sz w:val="18"/>
        </w:rPr>
        <w:t xml:space="preserve">Submitting your proxy now will not prevent you from voting your shares at the Annual Meeting as your proxy is revocable at your option prior to the voting close. Whether or not you participate in the Annual Meeting, it is important that your shares be part of the voting process. You may log on to </w:t>
      </w:r>
      <w:r>
        <w:rPr>
          <w:rFonts w:ascii="Avenir Next LT Pro;sans-serif" w:hAnsi="Avenir Next LT Pro;sans-serif"/>
          <w:b w:val="false"/>
          <w:i/>
          <w:color w:val="000000"/>
          <w:sz w:val="18"/>
        </w:rPr>
        <w:t>www.proxyvote.com</w:t>
      </w:r>
      <w:r>
        <w:rPr>
          <w:color w:val="000000"/>
        </w:rPr>
        <w:t xml:space="preserve"> </w:t>
      </w:r>
      <w:r>
        <w:rPr>
          <w:rFonts w:ascii="Avenir Next LT Pro;sans-serif" w:hAnsi="Avenir Next LT Pro;sans-serif"/>
          <w:b w:val="false"/>
          <w:color w:val="000000"/>
          <w:sz w:val="18"/>
        </w:rPr>
        <w:t xml:space="preserve">and enter your Control Number to vote your shares. </w:t>
      </w:r>
    </w:p>
    <w:tbl>
      <w:tblPr>
        <w:tblW w:w="10205" w:type="dxa"/>
        <w:jc w:val="left"/>
        <w:tblInd w:w="0" w:type="dxa"/>
        <w:tblLayout w:type="fixed"/>
        <w:tblCellMar>
          <w:top w:w="28" w:type="dxa"/>
          <w:left w:w="28" w:type="dxa"/>
          <w:bottom w:w="28" w:type="dxa"/>
          <w:right w:w="28" w:type="dxa"/>
        </w:tblCellMar>
      </w:tblPr>
      <w:tblGrid>
        <w:gridCol w:w="1182"/>
        <w:gridCol w:w="855"/>
        <w:gridCol w:w="537"/>
        <w:gridCol w:w="109"/>
        <w:gridCol w:w="109"/>
        <w:gridCol w:w="109"/>
        <w:gridCol w:w="2309"/>
        <w:gridCol w:w="2309"/>
        <w:gridCol w:w="2312"/>
        <w:gridCol w:w="109"/>
        <w:gridCol w:w="109"/>
        <w:gridCol w:w="156"/>
      </w:tblGrid>
      <w:tr>
        <w:trPr/>
        <w:tc>
          <w:tcPr>
            <w:tcW w:w="118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lineRule="auto" w:line="336" w:before="0" w:after="7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By Order of the Board of Directors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vMerge w:val="restart"/>
            <w:tcBorders/>
            <w:shd w:fill="FAF6EF" w:val="clear"/>
            <w:tcMar>
              <w:top w:w="0" w:type="dxa"/>
              <w:left w:w="0" w:type="dxa"/>
              <w:bottom w:w="0" w:type="dxa"/>
              <w:right w:w="0" w:type="dxa"/>
            </w:tcMar>
            <w:vAlign w:val="center"/>
          </w:tcPr>
          <w:p>
            <w:pPr>
              <w:pStyle w:val="TableContents"/>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Important Notice Regarding the Availability of Proxy Materials for the Annual Meeting of Stockholders to be held on May 13, 2026. </w:t>
            </w:r>
          </w:p>
          <w:p>
            <w:pPr>
              <w:pStyle w:val="TableContents"/>
              <w:bidi w:val="0"/>
              <w:spacing w:lineRule="auto" w:line="336" w:before="0" w:after="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Proxy Statement and our Annual Report on Form 10-K for the fiscal year ended December 31, 2025, as filed with the Securities and Exchange Commission on February 17, 2026 are available at </w:t>
            </w:r>
          </w:p>
          <w:p>
            <w:pPr>
              <w:pStyle w:val="TableContents"/>
              <w:bidi w:val="0"/>
              <w:spacing w:lineRule="auto" w:line="336" w:before="0" w:after="0"/>
              <w:jc w:val="left"/>
              <w:rPr>
                <w:rFonts w:ascii="Avenir Next LT Pro;sans-serif" w:hAnsi="Avenir Next LT Pro;sans-serif"/>
                <w:b w:val="false"/>
                <w:i/>
                <w:color w:val="000000"/>
                <w:sz w:val="18"/>
              </w:rPr>
            </w:pPr>
            <w:r>
              <w:rPr>
                <w:rFonts w:ascii="Avenir Next LT Pro;sans-serif" w:hAnsi="Avenir Next LT Pro;sans-serif"/>
                <w:b w:val="false"/>
                <w:i/>
                <w:color w:val="000000"/>
                <w:sz w:val="18"/>
              </w:rPr>
              <w:t>https://investor.enphase.com/shareholder-services/annual-meeting.</w:t>
            </w:r>
          </w:p>
        </w:tc>
        <w:tc>
          <w:tcPr>
            <w:tcW w:w="37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before="0" w:after="720"/>
              <w:jc w:val="both"/>
              <w:rPr/>
            </w:pPr>
            <w:r>
              <w:rPr/>
              <w:drawing>
                <wp:inline distT="0" distB="0" distL="0" distR="0">
                  <wp:extent cx="1333500" cy="56197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333500" cy="561975"/>
                          </a:xfrm>
                          <a:prstGeom prst="rect">
                            <a:avLst/>
                          </a:prstGeom>
                        </pic:spPr>
                      </pic:pic>
                    </a:graphicData>
                  </a:graphic>
                </wp:inline>
              </w:drawing>
            </w:r>
            <w:bookmarkStart w:id="12" w:name="i-13"/>
            <w:bookmarkEnd w:id="12"/>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37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lineRule="auto" w:line="336" w:before="0" w:after="0"/>
              <w:jc w:val="both"/>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p>
            <w:pPr>
              <w:pStyle w:val="TableContents"/>
              <w:bidi w:val="0"/>
              <w:spacing w:lineRule="auto" w:line="336" w:before="0" w:after="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President and Chief Executive Officer</w:t>
            </w:r>
          </w:p>
          <w:p>
            <w:pPr>
              <w:pStyle w:val="TableContents"/>
              <w:bidi w:val="0"/>
              <w:spacing w:lineRule="auto" w:line="336" w:before="0" w:after="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Fremont, California</w:t>
            </w:r>
          </w:p>
          <w:p>
            <w:pPr>
              <w:pStyle w:val="TableContents"/>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April 1, 2026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37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1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Table of Contents</w:t>
      </w:r>
    </w:p>
    <w:tbl>
      <w:tblPr>
        <w:tblW w:w="10111" w:type="dxa"/>
        <w:jc w:val="left"/>
        <w:tblInd w:w="0" w:type="dxa"/>
        <w:tblLayout w:type="fixed"/>
        <w:tblCellMar>
          <w:top w:w="28" w:type="dxa"/>
          <w:left w:w="28" w:type="dxa"/>
          <w:bottom w:w="28" w:type="dxa"/>
          <w:right w:w="28" w:type="dxa"/>
        </w:tblCellMar>
      </w:tblPr>
      <w:tblGrid>
        <w:gridCol w:w="3511"/>
        <w:gridCol w:w="3081"/>
        <w:gridCol w:w="3098"/>
        <w:gridCol w:w="123"/>
        <w:gridCol w:w="123"/>
        <w:gridCol w:w="175"/>
      </w:tblGrid>
      <w:tr>
        <w:trPr/>
        <w:tc>
          <w:tcPr>
            <w:tcW w:w="3511"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
              <w:r>
                <w:rPr>
                  <w:rStyle w:val="InternetLink"/>
                  <w:rFonts w:ascii="Avenir Next LT Pro;sans-serif" w:hAnsi="Avenir Next LT Pro;sans-serif"/>
                  <w:b/>
                  <w:strike w:val="false"/>
                  <w:dstrike w:val="false"/>
                  <w:color w:val="000000"/>
                  <w:sz w:val="20"/>
                  <w:u w:val="none"/>
                  <w:effect w:val="none"/>
                </w:rPr>
                <w:t>Enphase at a Glance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
              <w:r>
                <w:rPr>
                  <w:rStyle w:val="InternetLink"/>
                  <w:rFonts w:ascii="Avenir Next LT Pro;sans-serif" w:hAnsi="Avenir Next LT Pro;sans-serif"/>
                  <w:b/>
                  <w:strike w:val="false"/>
                  <w:dstrike w:val="false"/>
                  <w:color w:val="000000"/>
                  <w:sz w:val="20"/>
                  <w:u w:val="none"/>
                  <w:effect w:val="none"/>
                </w:rPr>
                <w:t>1</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31">
              <w:r>
                <w:rPr>
                  <w:rStyle w:val="InternetLink"/>
                  <w:rFonts w:ascii="Avenir Next LT Pro;sans-serif" w:hAnsi="Avenir Next LT Pro;sans-serif"/>
                  <w:b/>
                  <w:strike w:val="false"/>
                  <w:dstrike w:val="false"/>
                  <w:color w:val="000000"/>
                  <w:sz w:val="20"/>
                  <w:u w:val="none"/>
                  <w:effect w:val="none"/>
                </w:rPr>
                <w:t>Proxy Summary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31">
              <w:r>
                <w:rPr>
                  <w:rStyle w:val="InternetLink"/>
                  <w:rFonts w:ascii="Avenir Next LT Pro;sans-serif" w:hAnsi="Avenir Next LT Pro;sans-serif"/>
                  <w:b/>
                  <w:strike w:val="false"/>
                  <w:dstrike w:val="false"/>
                  <w:color w:val="000000"/>
                  <w:sz w:val="20"/>
                  <w:u w:val="none"/>
                  <w:effect w:val="none"/>
                </w:rPr>
                <w:t>2</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34">
              <w:r>
                <w:rPr>
                  <w:rStyle w:val="InternetLink"/>
                  <w:rFonts w:ascii="Avenir Next LT Pro;sans-serif" w:hAnsi="Avenir Next LT Pro;sans-serif"/>
                  <w:b w:val="false"/>
                  <w:strike w:val="false"/>
                  <w:dstrike w:val="false"/>
                  <w:color w:val="000000"/>
                  <w:sz w:val="18"/>
                  <w:u w:val="none"/>
                  <w:effect w:val="none"/>
                </w:rPr>
                <w:t>Board of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34">
              <w:r>
                <w:rPr>
                  <w:rStyle w:val="InternetLink"/>
                  <w:rFonts w:ascii="Avenir Next LT Pro;sans-serif" w:hAnsi="Avenir Next LT Pro;sans-serif"/>
                  <w:b w:val="false"/>
                  <w:strike w:val="false"/>
                  <w:dstrike w:val="false"/>
                  <w:color w:val="000000"/>
                  <w:sz w:val="18"/>
                  <w:u w:val="none"/>
                  <w:effect w:val="none"/>
                </w:rPr>
                <w:t>2</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18"/>
              </w:rPr>
              <w:t xml:space="preserve">Stockholder </w:t>
            </w:r>
            <w:hyperlink w:anchor="i19bd7c45acf044609c3ed3c5cf88b3cb_40">
              <w:r>
                <w:rPr>
                  <w:rStyle w:val="InternetLink"/>
                  <w:rFonts w:ascii="Avenir Next LT Pro;sans-serif" w:hAnsi="Avenir Next LT Pro;sans-serif"/>
                  <w:b w:val="false"/>
                  <w:strike w:val="false"/>
                  <w:dstrike w:val="false"/>
                  <w:color w:val="000000"/>
                  <w:sz w:val="18"/>
                  <w:u w:val="none"/>
                  <w:effect w:val="none"/>
                </w:rPr>
                <w:t>Outreach</w:t>
              </w:r>
            </w:hyperlink>
            <w:r>
              <w:rPr>
                <w:rFonts w:ascii="Avenir Next LT Pro;sans-serif" w:hAnsi="Avenir Next LT Pro;sans-serif"/>
                <w:b w:val="false"/>
                <w:color w:val="000000"/>
                <w:sz w:val="18"/>
              </w:rPr>
              <w:t xml:space="preserve"> and Engagement</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40">
              <w:r>
                <w:rPr>
                  <w:rStyle w:val="InternetLink"/>
                  <w:rFonts w:ascii="Avenir Next LT Pro;sans-serif" w:hAnsi="Avenir Next LT Pro;sans-serif"/>
                  <w:b w:val="false"/>
                  <w:strike w:val="false"/>
                  <w:dstrike w:val="false"/>
                  <w:color w:val="000000"/>
                  <w:sz w:val="18"/>
                  <w:u w:val="none"/>
                  <w:effect w:val="none"/>
                </w:rPr>
                <w:t>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49">
              <w:r>
                <w:rPr>
                  <w:rStyle w:val="InternetLink"/>
                  <w:rFonts w:ascii="Avenir Next LT Pro;sans-serif" w:hAnsi="Avenir Next LT Pro;sans-serif"/>
                  <w:b w:val="false"/>
                  <w:strike w:val="false"/>
                  <w:dstrike w:val="false"/>
                  <w:color w:val="000080"/>
                  <w:sz w:val="18"/>
                  <w:u w:val="single"/>
                  <w:effect w:val="none"/>
                </w:rPr>
                <w:t>Fiscal 202</w:t>
              </w:r>
            </w:hyperlink>
            <w:hyperlink w:anchor="i19bd7c45acf044609c3ed3c5cf88b3cb_49">
              <w:r>
                <w:rPr>
                  <w:rStyle w:val="InternetLink"/>
                  <w:rFonts w:ascii="Avenir Next LT Pro;sans-serif" w:hAnsi="Avenir Next LT Pro;sans-serif"/>
                  <w:b w:val="false"/>
                  <w:strike w:val="false"/>
                  <w:dstrike w:val="false"/>
                  <w:color w:val="000080"/>
                  <w:sz w:val="18"/>
                  <w:u w:val="single"/>
                  <w:effect w:val="none"/>
                </w:rPr>
                <w:t>5</w:t>
              </w:r>
            </w:hyperlink>
            <w:hyperlink w:anchor="i19bd7c45acf044609c3ed3c5cf88b3cb_49">
              <w:r>
                <w:rPr>
                  <w:rStyle w:val="InternetLink"/>
                  <w:rFonts w:ascii="Avenir Next LT Pro;sans-serif" w:hAnsi="Avenir Next LT Pro;sans-serif"/>
                  <w:b w:val="false"/>
                  <w:strike w:val="false"/>
                  <w:dstrike w:val="false"/>
                  <w:color w:val="000080"/>
                  <w:sz w:val="18"/>
                  <w:u w:val="single"/>
                  <w:effect w:val="none"/>
                </w:rPr>
                <w:t xml:space="preserve"> Compensation Highlights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46">
              <w:r>
                <w:rPr>
                  <w:rStyle w:val="InternetLink"/>
                  <w:rFonts w:ascii="Avenir Next LT Pro;sans-serif" w:hAnsi="Avenir Next LT Pro;sans-serif"/>
                  <w:b w:val="false"/>
                  <w:strike w:val="false"/>
                  <w:dstrike w:val="false"/>
                  <w:color w:val="000000"/>
                  <w:sz w:val="18"/>
                  <w:u w:val="none"/>
                  <w:effect w:val="none"/>
                </w:rPr>
                <w:t>5</w:t>
              </w:r>
            </w:hyperlink>
          </w:p>
        </w:tc>
      </w:tr>
      <w:tr>
        <w:trPr/>
        <w:tc>
          <w:tcPr>
            <w:tcW w:w="969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58">
              <w:r>
                <w:rPr>
                  <w:rStyle w:val="InternetLink"/>
                  <w:rFonts w:ascii="Avenir Next LT Pro;sans-serif" w:hAnsi="Avenir Next LT Pro;sans-serif"/>
                  <w:b w:val="false"/>
                  <w:strike w:val="false"/>
                  <w:dstrike w:val="false"/>
                  <w:color w:val="000000"/>
                  <w:sz w:val="18"/>
                  <w:u w:val="none"/>
                  <w:effect w:val="none"/>
                </w:rPr>
                <w:t>Voting Roadmap and Vote Recommendations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58">
              <w:r>
                <w:rPr>
                  <w:rStyle w:val="InternetLink"/>
                  <w:rFonts w:ascii="Avenir Next LT Pro;sans-serif" w:hAnsi="Avenir Next LT Pro;sans-serif"/>
                  <w:b w:val="false"/>
                  <w:strike w:val="false"/>
                  <w:dstrike w:val="false"/>
                  <w:color w:val="000000"/>
                  <w:sz w:val="18"/>
                  <w:u w:val="none"/>
                  <w:effect w:val="none"/>
                </w:rPr>
                <w:t>7</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73">
              <w:r>
                <w:rPr>
                  <w:rStyle w:val="InternetLink"/>
                  <w:rFonts w:ascii="Avenir Next LT Pro;sans-serif" w:hAnsi="Avenir Next LT Pro;sans-serif"/>
                  <w:b/>
                  <w:strike w:val="false"/>
                  <w:dstrike w:val="false"/>
                  <w:color w:val="000000"/>
                  <w:sz w:val="20"/>
                  <w:u w:val="none"/>
                  <w:effect w:val="none"/>
                </w:rPr>
                <w:t>Proposal 1: Election of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73">
              <w:r>
                <w:rPr>
                  <w:rStyle w:val="InternetLink"/>
                  <w:rFonts w:ascii="Avenir Next LT Pro;sans-serif" w:hAnsi="Avenir Next LT Pro;sans-serif"/>
                  <w:b/>
                  <w:strike w:val="false"/>
                  <w:dstrike w:val="false"/>
                  <w:color w:val="000000"/>
                  <w:sz w:val="20"/>
                  <w:u w:val="none"/>
                  <w:effect w:val="none"/>
                </w:rPr>
                <w:t>8</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76">
              <w:r>
                <w:rPr>
                  <w:rStyle w:val="InternetLink"/>
                  <w:rFonts w:ascii="Avenir Next LT Pro;sans-serif" w:hAnsi="Avenir Next LT Pro;sans-serif"/>
                  <w:b w:val="false"/>
                  <w:strike w:val="false"/>
                  <w:dstrike w:val="false"/>
                  <w:color w:val="000000"/>
                  <w:sz w:val="18"/>
                  <w:u w:val="none"/>
                  <w:effect w:val="none"/>
                </w:rPr>
                <w:t>Information Regarding Nominees and Continuing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76">
              <w:r>
                <w:rPr>
                  <w:rStyle w:val="InternetLink"/>
                  <w:rFonts w:ascii="Avenir Next LT Pro;sans-serif" w:hAnsi="Avenir Next LT Pro;sans-serif"/>
                  <w:b w:val="false"/>
                  <w:strike w:val="false"/>
                  <w:dstrike w:val="false"/>
                  <w:color w:val="000000"/>
                  <w:sz w:val="18"/>
                  <w:u w:val="none"/>
                  <w:effect w:val="none"/>
                </w:rPr>
                <w:t>9</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88">
              <w:r>
                <w:rPr>
                  <w:rStyle w:val="InternetLink"/>
                  <w:rFonts w:ascii="Avenir Next LT Pro;sans-serif" w:hAnsi="Avenir Next LT Pro;sans-serif"/>
                  <w:b/>
                  <w:strike w:val="false"/>
                  <w:dstrike w:val="false"/>
                  <w:color w:val="000000"/>
                  <w:sz w:val="20"/>
                  <w:u w:val="none"/>
                  <w:effect w:val="none"/>
                </w:rPr>
                <w:t>Information Regarding the Board of Directors and Corporate Governance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88">
              <w:r>
                <w:rPr>
                  <w:rStyle w:val="InternetLink"/>
                  <w:rFonts w:ascii="Avenir Next LT Pro;sans-serif" w:hAnsi="Avenir Next LT Pro;sans-serif"/>
                  <w:b/>
                  <w:strike w:val="false"/>
                  <w:dstrike w:val="false"/>
                  <w:color w:val="000000"/>
                  <w:sz w:val="20"/>
                  <w:u w:val="none"/>
                  <w:effect w:val="none"/>
                </w:rPr>
                <w:t>13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91">
              <w:r>
                <w:rPr>
                  <w:rStyle w:val="InternetLink"/>
                  <w:rFonts w:ascii="Avenir Next LT Pro;sans-serif" w:hAnsi="Avenir Next LT Pro;sans-serif"/>
                  <w:b w:val="false"/>
                  <w:strike w:val="false"/>
                  <w:dstrike w:val="false"/>
                  <w:color w:val="000000"/>
                  <w:sz w:val="18"/>
                  <w:u w:val="none"/>
                  <w:effect w:val="none"/>
                </w:rPr>
                <w:t>Identifying and Evaluating Nominees for Directors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91">
              <w:r>
                <w:rPr>
                  <w:rStyle w:val="InternetLink"/>
                  <w:rFonts w:ascii="Avenir Next LT Pro;sans-serif" w:hAnsi="Avenir Next LT Pro;sans-serif"/>
                  <w:b w:val="false"/>
                  <w:strike w:val="false"/>
                  <w:dstrike w:val="false"/>
                  <w:color w:val="000000"/>
                  <w:sz w:val="18"/>
                  <w:u w:val="none"/>
                  <w:effect w:val="none"/>
                </w:rPr>
                <w:t>13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94">
              <w:r>
                <w:rPr>
                  <w:rStyle w:val="InternetLink"/>
                  <w:rFonts w:ascii="Avenir Next LT Pro;sans-serif" w:hAnsi="Avenir Next LT Pro;sans-serif"/>
                  <w:b w:val="false"/>
                  <w:strike w:val="false"/>
                  <w:dstrike w:val="false"/>
                  <w:color w:val="000000"/>
                  <w:sz w:val="18"/>
                  <w:u w:val="none"/>
                  <w:effect w:val="none"/>
                </w:rPr>
                <w:t>Director Independence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94">
              <w:r>
                <w:rPr>
                  <w:rStyle w:val="InternetLink"/>
                  <w:rFonts w:ascii="Avenir Next LT Pro;sans-serif" w:hAnsi="Avenir Next LT Pro;sans-serif"/>
                  <w:b w:val="false"/>
                  <w:strike w:val="false"/>
                  <w:dstrike w:val="false"/>
                  <w:color w:val="000000"/>
                  <w:sz w:val="18"/>
                  <w:u w:val="none"/>
                  <w:effect w:val="none"/>
                </w:rPr>
                <w:t>13</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97">
              <w:r>
                <w:rPr>
                  <w:rStyle w:val="InternetLink"/>
                  <w:rFonts w:ascii="Avenir Next LT Pro;sans-serif" w:hAnsi="Avenir Next LT Pro;sans-serif"/>
                  <w:b w:val="false"/>
                  <w:strike w:val="false"/>
                  <w:dstrike w:val="false"/>
                  <w:color w:val="000080"/>
                  <w:sz w:val="18"/>
                  <w:u w:val="single"/>
                  <w:effect w:val="none"/>
                </w:rPr>
                <w:t xml:space="preserve">Board </w:t>
              </w:r>
            </w:hyperlink>
            <w:hyperlink w:anchor="i19bd7c45acf044609c3ed3c5cf88b3cb_97">
              <w:r>
                <w:rPr>
                  <w:rStyle w:val="InternetLink"/>
                  <w:rFonts w:ascii="Avenir Next LT Pro;sans-serif" w:hAnsi="Avenir Next LT Pro;sans-serif"/>
                  <w:b w:val="false"/>
                  <w:strike w:val="false"/>
                  <w:dstrike w:val="false"/>
                  <w:color w:val="000080"/>
                  <w:sz w:val="18"/>
                  <w:u w:val="single"/>
                  <w:effect w:val="none"/>
                </w:rPr>
                <w:t>Composition</w:t>
              </w:r>
            </w:hyperlink>
            <w:hyperlink w:anchor="i19bd7c45acf044609c3ed3c5cf88b3cb_97">
              <w:r>
                <w:rPr>
                  <w:rStyle w:val="InternetLink"/>
                  <w:rFonts w:ascii="Avenir Next LT Pro;sans-serif" w:hAnsi="Avenir Next LT Pro;sans-serif"/>
                  <w:b w:val="false"/>
                  <w:strike w:val="false"/>
                  <w:dstrike w:val="false"/>
                  <w:color w:val="000080"/>
                  <w:sz w:val="18"/>
                  <w:u w:val="single"/>
                  <w:effect w:val="none"/>
                </w:rPr>
                <w:t xml:space="preserve"> and Refreshment; Director Tenure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97">
              <w:r>
                <w:rPr>
                  <w:rStyle w:val="InternetLink"/>
                  <w:rFonts w:ascii="Avenir Next LT Pro;sans-serif" w:hAnsi="Avenir Next LT Pro;sans-serif"/>
                  <w:b w:val="false"/>
                  <w:strike w:val="false"/>
                  <w:dstrike w:val="false"/>
                  <w:color w:val="000000"/>
                  <w:sz w:val="18"/>
                  <w:u w:val="none"/>
                  <w:effect w:val="none"/>
                </w:rPr>
                <w:t>14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0">
              <w:r>
                <w:rPr>
                  <w:rStyle w:val="InternetLink"/>
                  <w:rFonts w:ascii="Avenir Next LT Pro;sans-serif" w:hAnsi="Avenir Next LT Pro;sans-serif"/>
                  <w:b w:val="false"/>
                  <w:strike w:val="false"/>
                  <w:dstrike w:val="false"/>
                  <w:color w:val="000000"/>
                  <w:sz w:val="18"/>
                  <w:u w:val="none"/>
                  <w:effect w:val="none"/>
                </w:rPr>
                <w:t>Board Leadership Structure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0">
              <w:r>
                <w:rPr>
                  <w:rStyle w:val="InternetLink"/>
                  <w:rFonts w:ascii="Avenir Next LT Pro;sans-serif" w:hAnsi="Avenir Next LT Pro;sans-serif"/>
                  <w:b w:val="false"/>
                  <w:strike w:val="false"/>
                  <w:dstrike w:val="false"/>
                  <w:color w:val="000000"/>
                  <w:sz w:val="18"/>
                  <w:u w:val="none"/>
                  <w:effect w:val="none"/>
                </w:rPr>
                <w:t>14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3">
              <w:r>
                <w:rPr>
                  <w:rStyle w:val="InternetLink"/>
                  <w:rFonts w:ascii="Avenir Next LT Pro;sans-serif" w:hAnsi="Avenir Next LT Pro;sans-serif"/>
                  <w:b w:val="false"/>
                  <w:strike w:val="false"/>
                  <w:dstrike w:val="false"/>
                  <w:color w:val="000000"/>
                  <w:sz w:val="18"/>
                  <w:u w:val="none"/>
                  <w:effect w:val="none"/>
                </w:rPr>
                <w:t>Role of the Board in Risk Oversight</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3">
              <w:r>
                <w:rPr>
                  <w:rStyle w:val="InternetLink"/>
                  <w:rFonts w:ascii="Avenir Next LT Pro;sans-serif" w:hAnsi="Avenir Next LT Pro;sans-serif"/>
                  <w:b w:val="false"/>
                  <w:strike w:val="false"/>
                  <w:dstrike w:val="false"/>
                  <w:color w:val="000000"/>
                  <w:sz w:val="18"/>
                  <w:u w:val="none"/>
                  <w:effect w:val="none"/>
                </w:rPr>
                <w:t>15</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6">
              <w:r>
                <w:rPr>
                  <w:rStyle w:val="InternetLink"/>
                  <w:rFonts w:ascii="Avenir Next LT Pro;sans-serif" w:hAnsi="Avenir Next LT Pro;sans-serif"/>
                  <w:b w:val="false"/>
                  <w:strike w:val="false"/>
                  <w:dstrike w:val="false"/>
                  <w:color w:val="000000"/>
                  <w:sz w:val="18"/>
                  <w:u w:val="none"/>
                  <w:effect w:val="none"/>
                </w:rPr>
                <w:t>Corporate Governance Guidelines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6">
              <w:r>
                <w:rPr>
                  <w:rStyle w:val="InternetLink"/>
                  <w:rFonts w:ascii="Avenir Next LT Pro;sans-serif" w:hAnsi="Avenir Next LT Pro;sans-serif"/>
                  <w:b w:val="false"/>
                  <w:strike w:val="false"/>
                  <w:dstrike w:val="false"/>
                  <w:color w:val="000000"/>
                  <w:sz w:val="18"/>
                  <w:u w:val="none"/>
                  <w:effect w:val="none"/>
                </w:rPr>
                <w:t>15</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9">
              <w:r>
                <w:rPr>
                  <w:rStyle w:val="InternetLink"/>
                  <w:rFonts w:ascii="Avenir Next LT Pro;sans-serif" w:hAnsi="Avenir Next LT Pro;sans-serif"/>
                  <w:b w:val="false"/>
                  <w:strike w:val="false"/>
                  <w:dstrike w:val="false"/>
                  <w:color w:val="000000"/>
                  <w:sz w:val="18"/>
                  <w:u w:val="none"/>
                  <w:effect w:val="none"/>
                </w:rPr>
                <w:t>Code of Conduct</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09">
              <w:r>
                <w:rPr>
                  <w:rStyle w:val="InternetLink"/>
                  <w:rFonts w:ascii="Avenir Next LT Pro;sans-serif" w:hAnsi="Avenir Next LT Pro;sans-serif"/>
                  <w:b w:val="false"/>
                  <w:strike w:val="false"/>
                  <w:dstrike w:val="false"/>
                  <w:color w:val="000000"/>
                  <w:sz w:val="18"/>
                  <w:u w:val="none"/>
                  <w:effect w:val="none"/>
                </w:rPr>
                <w:t>15</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12">
              <w:r>
                <w:rPr>
                  <w:rStyle w:val="InternetLink"/>
                  <w:rFonts w:ascii="Avenir Next LT Pro;sans-serif" w:hAnsi="Avenir Next LT Pro;sans-serif"/>
                  <w:b w:val="false"/>
                  <w:strike w:val="false"/>
                  <w:dstrike w:val="false"/>
                  <w:color w:val="000000"/>
                  <w:sz w:val="18"/>
                  <w:u w:val="none"/>
                  <w:effect w:val="none"/>
                </w:rPr>
                <w:t>Insider Trading Policy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12">
              <w:r>
                <w:rPr>
                  <w:rStyle w:val="InternetLink"/>
                  <w:rFonts w:ascii="Avenir Next LT Pro;sans-serif" w:hAnsi="Avenir Next LT Pro;sans-serif"/>
                  <w:b w:val="false"/>
                  <w:strike w:val="false"/>
                  <w:dstrike w:val="false"/>
                  <w:color w:val="000000"/>
                  <w:sz w:val="18"/>
                  <w:u w:val="none"/>
                  <w:effect w:val="none"/>
                </w:rPr>
                <w:t>16</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15">
              <w:r>
                <w:rPr>
                  <w:rStyle w:val="InternetLink"/>
                  <w:rFonts w:ascii="Avenir Next LT Pro;sans-serif" w:hAnsi="Avenir Next LT Pro;sans-serif"/>
                  <w:b w:val="false"/>
                  <w:strike w:val="false"/>
                  <w:dstrike w:val="false"/>
                  <w:color w:val="000000"/>
                  <w:sz w:val="18"/>
                  <w:u w:val="none"/>
                  <w:effect w:val="none"/>
                </w:rPr>
                <w:t>Sustainability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15">
              <w:r>
                <w:rPr>
                  <w:rStyle w:val="InternetLink"/>
                  <w:rFonts w:ascii="Avenir Next LT Pro;sans-serif" w:hAnsi="Avenir Next LT Pro;sans-serif"/>
                  <w:b w:val="false"/>
                  <w:strike w:val="false"/>
                  <w:dstrike w:val="false"/>
                  <w:color w:val="000000"/>
                  <w:sz w:val="18"/>
                  <w:u w:val="none"/>
                  <w:effect w:val="none"/>
                </w:rPr>
                <w:t>16</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18">
              <w:r>
                <w:rPr>
                  <w:rStyle w:val="InternetLink"/>
                  <w:rFonts w:ascii="Avenir Next LT Pro;sans-serif" w:hAnsi="Avenir Next LT Pro;sans-serif"/>
                  <w:b w:val="false"/>
                  <w:strike w:val="false"/>
                  <w:dstrike w:val="false"/>
                  <w:color w:val="000000"/>
                  <w:sz w:val="18"/>
                  <w:u w:val="none"/>
                  <w:effect w:val="none"/>
                </w:rPr>
                <w:t>Meetings of the Board and Committees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18">
              <w:r>
                <w:rPr>
                  <w:rStyle w:val="InternetLink"/>
                  <w:rFonts w:ascii="Avenir Next LT Pro;sans-serif" w:hAnsi="Avenir Next LT Pro;sans-serif"/>
                  <w:b w:val="false"/>
                  <w:strike w:val="false"/>
                  <w:dstrike w:val="false"/>
                  <w:color w:val="000000"/>
                  <w:sz w:val="18"/>
                  <w:u w:val="none"/>
                  <w:effect w:val="none"/>
                </w:rPr>
                <w:t>16</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21">
              <w:r>
                <w:rPr>
                  <w:rStyle w:val="InternetLink"/>
                  <w:rFonts w:ascii="Avenir Next LT Pro;sans-serif" w:hAnsi="Avenir Next LT Pro;sans-serif"/>
                  <w:b w:val="false"/>
                  <w:strike w:val="false"/>
                  <w:dstrike w:val="false"/>
                  <w:color w:val="000000"/>
                  <w:sz w:val="18"/>
                  <w:u w:val="none"/>
                  <w:effect w:val="none"/>
                </w:rPr>
                <w:t>Information Regarding Committees of the Board</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21">
              <w:r>
                <w:rPr>
                  <w:rStyle w:val="InternetLink"/>
                  <w:rFonts w:ascii="Avenir Next LT Pro;sans-serif" w:hAnsi="Avenir Next LT Pro;sans-serif"/>
                  <w:b w:val="false"/>
                  <w:strike w:val="false"/>
                  <w:dstrike w:val="false"/>
                  <w:color w:val="000000"/>
                  <w:sz w:val="18"/>
                  <w:u w:val="none"/>
                  <w:effect w:val="none"/>
                </w:rPr>
                <w:t>16</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24">
              <w:r>
                <w:rPr>
                  <w:rStyle w:val="InternetLink"/>
                  <w:rFonts w:ascii="Avenir Next LT Pro;sans-serif" w:hAnsi="Avenir Next LT Pro;sans-serif"/>
                  <w:b w:val="false"/>
                  <w:strike w:val="false"/>
                  <w:dstrike w:val="false"/>
                  <w:color w:val="000000"/>
                  <w:sz w:val="18"/>
                  <w:u w:val="none"/>
                  <w:effect w:val="none"/>
                </w:rPr>
                <w:t>Board and Committee Evaluations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24">
              <w:r>
                <w:rPr>
                  <w:rStyle w:val="InternetLink"/>
                  <w:rFonts w:ascii="Avenir Next LT Pro;sans-serif" w:hAnsi="Avenir Next LT Pro;sans-serif"/>
                  <w:b w:val="false"/>
                  <w:strike w:val="false"/>
                  <w:dstrike w:val="false"/>
                  <w:color w:val="000000"/>
                  <w:sz w:val="18"/>
                  <w:u w:val="none"/>
                  <w:effect w:val="none"/>
                </w:rPr>
                <w:t>19</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27">
              <w:r>
                <w:rPr>
                  <w:rStyle w:val="InternetLink"/>
                  <w:rFonts w:ascii="Avenir Next LT Pro;sans-serif" w:hAnsi="Avenir Next LT Pro;sans-serif"/>
                  <w:b w:val="false"/>
                  <w:strike w:val="false"/>
                  <w:dstrike w:val="false"/>
                  <w:color w:val="000000"/>
                  <w:sz w:val="18"/>
                  <w:u w:val="none"/>
                  <w:effect w:val="none"/>
                </w:rPr>
                <w:t>Communications with the Board</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27">
              <w:r>
                <w:rPr>
                  <w:rStyle w:val="InternetLink"/>
                  <w:rFonts w:ascii="Avenir Next LT Pro;sans-serif" w:hAnsi="Avenir Next LT Pro;sans-serif"/>
                  <w:b w:val="false"/>
                  <w:strike w:val="false"/>
                  <w:dstrike w:val="false"/>
                  <w:color w:val="000000"/>
                  <w:sz w:val="18"/>
                  <w:u w:val="none"/>
                  <w:effect w:val="none"/>
                </w:rPr>
                <w:t>19</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30">
              <w:r>
                <w:rPr>
                  <w:rStyle w:val="InternetLink"/>
                  <w:rFonts w:ascii="Avenir Next LT Pro;sans-serif" w:hAnsi="Avenir Next LT Pro;sans-serif"/>
                  <w:b/>
                  <w:strike w:val="false"/>
                  <w:dstrike w:val="false"/>
                  <w:color w:val="000000"/>
                  <w:sz w:val="20"/>
                  <w:u w:val="none"/>
                  <w:effect w:val="none"/>
                </w:rPr>
                <w:t>Director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30">
              <w:r>
                <w:rPr>
                  <w:rStyle w:val="InternetLink"/>
                  <w:rFonts w:ascii="Avenir Next LT Pro;sans-serif" w:hAnsi="Avenir Next LT Pro;sans-serif"/>
                  <w:b/>
                  <w:strike w:val="false"/>
                  <w:dstrike w:val="false"/>
                  <w:color w:val="000000"/>
                  <w:sz w:val="20"/>
                  <w:u w:val="none"/>
                  <w:effect w:val="none"/>
                </w:rPr>
                <w:t>20</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51">
              <w:r>
                <w:rPr>
                  <w:rStyle w:val="InternetLink"/>
                  <w:rFonts w:ascii="Avenir Next LT Pro;sans-serif" w:hAnsi="Avenir Next LT Pro;sans-serif"/>
                  <w:b/>
                  <w:strike w:val="false"/>
                  <w:dstrike w:val="false"/>
                  <w:color w:val="000000"/>
                  <w:sz w:val="20"/>
                  <w:u w:val="none"/>
                  <w:effect w:val="none"/>
                </w:rPr>
                <w:t>Management</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51">
              <w:r>
                <w:rPr>
                  <w:rStyle w:val="InternetLink"/>
                  <w:rFonts w:ascii="Avenir Next LT Pro;sans-serif" w:hAnsi="Avenir Next LT Pro;sans-serif"/>
                  <w:b/>
                  <w:strike w:val="false"/>
                  <w:dstrike w:val="false"/>
                  <w:color w:val="000000"/>
                  <w:sz w:val="20"/>
                  <w:u w:val="none"/>
                  <w:effect w:val="none"/>
                </w:rPr>
                <w:t>23</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57">
              <w:r>
                <w:rPr>
                  <w:rStyle w:val="InternetLink"/>
                  <w:rFonts w:ascii="Avenir Next LT Pro;sans-serif" w:hAnsi="Avenir Next LT Pro;sans-serif"/>
                  <w:b/>
                  <w:strike w:val="false"/>
                  <w:dstrike w:val="false"/>
                  <w:color w:val="000000"/>
                  <w:sz w:val="20"/>
                  <w:u w:val="none"/>
                  <w:effect w:val="none"/>
                </w:rPr>
                <w:t>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57">
              <w:r>
                <w:rPr>
                  <w:rStyle w:val="InternetLink"/>
                  <w:rFonts w:ascii="Avenir Next LT Pro;sans-serif" w:hAnsi="Avenir Next LT Pro;sans-serif"/>
                  <w:b/>
                  <w:strike w:val="false"/>
                  <w:dstrike w:val="false"/>
                  <w:color w:val="000000"/>
                  <w:sz w:val="20"/>
                  <w:u w:val="none"/>
                  <w:effect w:val="none"/>
                </w:rPr>
                <w:t>24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60">
              <w:r>
                <w:rPr>
                  <w:rStyle w:val="InternetLink"/>
                  <w:rFonts w:ascii="Avenir Next LT Pro;sans-serif" w:hAnsi="Avenir Next LT Pro;sans-serif"/>
                  <w:b w:val="false"/>
                  <w:strike w:val="false"/>
                  <w:dstrike w:val="false"/>
                  <w:color w:val="000000"/>
                  <w:sz w:val="18"/>
                  <w:u w:val="none"/>
                  <w:effect w:val="none"/>
                </w:rPr>
                <w:t>Compensation Discussion and Analysis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60">
              <w:r>
                <w:rPr>
                  <w:rStyle w:val="InternetLink"/>
                  <w:rFonts w:ascii="Avenir Next LT Pro;sans-serif" w:hAnsi="Avenir Next LT Pro;sans-serif"/>
                  <w:b w:val="false"/>
                  <w:strike w:val="false"/>
                  <w:dstrike w:val="false"/>
                  <w:color w:val="000000"/>
                  <w:sz w:val="18"/>
                  <w:u w:val="none"/>
                  <w:effect w:val="none"/>
                </w:rPr>
                <w:t>24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69">
              <w:r>
                <w:rPr>
                  <w:rStyle w:val="InternetLink"/>
                  <w:rFonts w:ascii="Avenir Next LT Pro;sans-serif" w:hAnsi="Avenir Next LT Pro;sans-serif"/>
                  <w:b w:val="false"/>
                  <w:strike w:val="false"/>
                  <w:dstrike w:val="false"/>
                  <w:color w:val="000000"/>
                  <w:sz w:val="18"/>
                  <w:u w:val="none"/>
                  <w:effect w:val="none"/>
                </w:rPr>
                <w:t>Compensation Committee Report</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69">
              <w:r>
                <w:rPr>
                  <w:rStyle w:val="InternetLink"/>
                  <w:rFonts w:ascii="Avenir Next LT Pro;sans-serif" w:hAnsi="Avenir Next LT Pro;sans-serif"/>
                  <w:b w:val="false"/>
                  <w:strike w:val="false"/>
                  <w:dstrike w:val="false"/>
                  <w:color w:val="000000"/>
                  <w:sz w:val="18"/>
                  <w:u w:val="none"/>
                  <w:effect w:val="none"/>
                </w:rPr>
                <w:t>45</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84">
              <w:r>
                <w:rPr>
                  <w:rStyle w:val="InternetLink"/>
                  <w:rFonts w:ascii="Avenir Next LT Pro;sans-serif" w:hAnsi="Avenir Next LT Pro;sans-serif"/>
                  <w:b w:val="false"/>
                  <w:strike w:val="false"/>
                  <w:dstrike w:val="false"/>
                  <w:color w:val="000000"/>
                  <w:sz w:val="18"/>
                  <w:u w:val="none"/>
                  <w:effect w:val="none"/>
                </w:rPr>
                <w:t>Executive Compensation Tables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84">
              <w:r>
                <w:rPr>
                  <w:rStyle w:val="InternetLink"/>
                  <w:rFonts w:ascii="Avenir Next LT Pro;sans-serif" w:hAnsi="Avenir Next LT Pro;sans-serif"/>
                  <w:b w:val="false"/>
                  <w:strike w:val="false"/>
                  <w:dstrike w:val="false"/>
                  <w:color w:val="000000"/>
                  <w:sz w:val="18"/>
                  <w:u w:val="none"/>
                  <w:effect w:val="none"/>
                </w:rPr>
                <w:t>46</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99">
              <w:r>
                <w:rPr>
                  <w:rStyle w:val="InternetLink"/>
                  <w:rFonts w:ascii="Avenir Next LT Pro;sans-serif" w:hAnsi="Avenir Next LT Pro;sans-serif"/>
                  <w:b w:val="false"/>
                  <w:strike w:val="false"/>
                  <w:dstrike w:val="false"/>
                  <w:color w:val="000000"/>
                  <w:sz w:val="18"/>
                  <w:u w:val="none"/>
                  <w:effect w:val="none"/>
                </w:rPr>
                <w:t>Employment Contracts and Termination of Employment and Change of Control Arrangements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199">
              <w:r>
                <w:rPr>
                  <w:rStyle w:val="InternetLink"/>
                  <w:rFonts w:ascii="Avenir Next LT Pro;sans-serif" w:hAnsi="Avenir Next LT Pro;sans-serif"/>
                  <w:b w:val="false"/>
                  <w:strike w:val="false"/>
                  <w:dstrike w:val="false"/>
                  <w:color w:val="000000"/>
                  <w:sz w:val="18"/>
                  <w:u w:val="none"/>
                  <w:effect w:val="none"/>
                </w:rPr>
                <w:t>50</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02">
              <w:r>
                <w:rPr>
                  <w:rStyle w:val="InternetLink"/>
                  <w:rFonts w:ascii="Avenir Next LT Pro;sans-serif" w:hAnsi="Avenir Next LT Pro;sans-serif"/>
                  <w:b w:val="false"/>
                  <w:strike w:val="false"/>
                  <w:dstrike w:val="false"/>
                  <w:color w:val="000000"/>
                  <w:sz w:val="18"/>
                  <w:u w:val="none"/>
                  <w:effect w:val="none"/>
                </w:rPr>
                <w:t>CEO Pay Ratio</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02">
              <w:r>
                <w:rPr>
                  <w:rStyle w:val="InternetLink"/>
                  <w:rFonts w:ascii="Avenir Next LT Pro;sans-serif" w:hAnsi="Avenir Next LT Pro;sans-serif"/>
                  <w:b w:val="false"/>
                  <w:strike w:val="false"/>
                  <w:dstrike w:val="false"/>
                  <w:color w:val="000000"/>
                  <w:sz w:val="18"/>
                  <w:u w:val="none"/>
                  <w:effect w:val="none"/>
                </w:rPr>
                <w:t>54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Policies and Practices Related to the Grant of Certain Equity Awards</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05">
              <w:r>
                <w:rPr>
                  <w:rStyle w:val="InternetLink"/>
                  <w:rFonts w:ascii="Avenir Next LT Pro;sans-serif" w:hAnsi="Avenir Next LT Pro;sans-serif"/>
                  <w:b w:val="false"/>
                  <w:strike w:val="false"/>
                  <w:dstrike w:val="false"/>
                  <w:color w:val="000000"/>
                  <w:sz w:val="18"/>
                  <w:u w:val="none"/>
                  <w:effect w:val="none"/>
                </w:rPr>
                <w:t>54</w:t>
              </w:r>
            </w:hyperlink>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08">
              <w:r>
                <w:rPr>
                  <w:rStyle w:val="InternetLink"/>
                  <w:rFonts w:ascii="Avenir Next LT Pro;sans-serif" w:hAnsi="Avenir Next LT Pro;sans-serif"/>
                  <w:b w:val="false"/>
                  <w:strike w:val="false"/>
                  <w:dstrike w:val="false"/>
                  <w:color w:val="000080"/>
                  <w:sz w:val="18"/>
                  <w:u w:val="single"/>
                  <w:effect w:val="none"/>
                </w:rPr>
                <w:t xml:space="preserve">Pay </w:t>
              </w:r>
            </w:hyperlink>
            <w:hyperlink w:anchor="i19bd7c45acf044609c3ed3c5cf88b3cb_208">
              <w:r>
                <w:rPr>
                  <w:rStyle w:val="InternetLink"/>
                  <w:rFonts w:ascii="Avenir Next LT Pro;sans-serif" w:hAnsi="Avenir Next LT Pro;sans-serif"/>
                  <w:b w:val="false"/>
                  <w:strike w:val="false"/>
                  <w:dstrike w:val="false"/>
                  <w:color w:val="000080"/>
                  <w:sz w:val="18"/>
                  <w:u w:val="single"/>
                  <w:effect w:val="none"/>
                </w:rPr>
                <w:t>V</w:t>
              </w:r>
            </w:hyperlink>
            <w:hyperlink w:anchor="i19bd7c45acf044609c3ed3c5cf88b3cb_208">
              <w:r>
                <w:rPr>
                  <w:rStyle w:val="InternetLink"/>
                  <w:rFonts w:ascii="Avenir Next LT Pro;sans-serif" w:hAnsi="Avenir Next LT Pro;sans-serif"/>
                  <w:b w:val="false"/>
                  <w:strike w:val="false"/>
                  <w:dstrike w:val="false"/>
                  <w:color w:val="000080"/>
                  <w:sz w:val="18"/>
                  <w:u w:val="single"/>
                  <w:effect w:val="none"/>
                </w:rPr>
                <w:t>ersus Performance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08">
              <w:r>
                <w:rPr>
                  <w:rStyle w:val="InternetLink"/>
                  <w:rFonts w:ascii="Avenir Next LT Pro;sans-serif" w:hAnsi="Avenir Next LT Pro;sans-serif"/>
                  <w:b w:val="false"/>
                  <w:strike w:val="false"/>
                  <w:dstrike w:val="false"/>
                  <w:color w:val="000000"/>
                  <w:sz w:val="18"/>
                  <w:u w:val="none"/>
                  <w:effect w:val="none"/>
                </w:rPr>
                <w:t>55</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14">
              <w:r>
                <w:rPr>
                  <w:rStyle w:val="InternetLink"/>
                  <w:rFonts w:ascii="Avenir Next LT Pro;sans-serif" w:hAnsi="Avenir Next LT Pro;sans-serif"/>
                  <w:b/>
                  <w:strike w:val="false"/>
                  <w:dstrike w:val="false"/>
                  <w:color w:val="000000"/>
                  <w:sz w:val="20"/>
                  <w:u w:val="none"/>
                  <w:effect w:val="none"/>
                </w:rPr>
                <w:t>Proposal 2: Advisory Vote to Approve 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14">
              <w:r>
                <w:rPr>
                  <w:rStyle w:val="InternetLink"/>
                  <w:rFonts w:ascii="Avenir Next LT Pro;sans-serif" w:hAnsi="Avenir Next LT Pro;sans-serif"/>
                  <w:b/>
                  <w:strike w:val="false"/>
                  <w:dstrike w:val="false"/>
                  <w:color w:val="000000"/>
                  <w:sz w:val="20"/>
                  <w:u w:val="none"/>
                  <w:effect w:val="none"/>
                </w:rPr>
                <w:t>58</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29">
              <w:r>
                <w:rPr>
                  <w:rStyle w:val="InternetLink"/>
                  <w:rFonts w:ascii="Avenir Next LT Pro;sans-serif" w:hAnsi="Avenir Next LT Pro;sans-serif"/>
                  <w:b/>
                  <w:strike w:val="false"/>
                  <w:dstrike w:val="false"/>
                  <w:color w:val="000080"/>
                  <w:sz w:val="20"/>
                  <w:u w:val="single"/>
                  <w:effect w:val="none"/>
                </w:rPr>
                <w:t xml:space="preserve">Proposal 3: Approval of Amendment </w:t>
              </w:r>
            </w:hyperlink>
            <w:hyperlink w:anchor="i19bd7c45acf044609c3ed3c5cf88b3cb_229">
              <w:r>
                <w:rPr>
                  <w:rStyle w:val="InternetLink"/>
                  <w:rFonts w:ascii="Avenir Next LT Pro;sans-serif" w:hAnsi="Avenir Next LT Pro;sans-serif"/>
                  <w:b/>
                  <w:strike w:val="false"/>
                  <w:dstrike w:val="false"/>
                  <w:color w:val="000080"/>
                  <w:sz w:val="20"/>
                  <w:u w:val="single"/>
                  <w:effect w:val="none"/>
                </w:rPr>
                <w:t>and Restatement of</w:t>
              </w:r>
            </w:hyperlink>
            <w:hyperlink w:anchor="i19bd7c45acf044609c3ed3c5cf88b3cb_229">
              <w:r>
                <w:rPr>
                  <w:rStyle w:val="InternetLink"/>
                  <w:rFonts w:ascii="Avenir Next LT Pro;sans-serif" w:hAnsi="Avenir Next LT Pro;sans-serif"/>
                  <w:b/>
                  <w:strike w:val="false"/>
                  <w:dstrike w:val="false"/>
                  <w:color w:val="000080"/>
                  <w:sz w:val="20"/>
                  <w:u w:val="single"/>
                  <w:effect w:val="none"/>
                </w:rPr>
                <w:t xml:space="preserve"> 2021 Equity Incentive Plan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29">
              <w:r>
                <w:rPr>
                  <w:rStyle w:val="InternetLink"/>
                  <w:rFonts w:ascii="Avenir Next LT Pro;sans-serif" w:hAnsi="Avenir Next LT Pro;sans-serif"/>
                  <w:b/>
                  <w:strike w:val="false"/>
                  <w:dstrike w:val="false"/>
                  <w:color w:val="000000"/>
                  <w:sz w:val="20"/>
                  <w:u w:val="none"/>
                  <w:effect w:val="none"/>
                </w:rPr>
                <w:t>59</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32">
              <w:r>
                <w:rPr>
                  <w:rStyle w:val="InternetLink"/>
                  <w:rFonts w:ascii="Avenir Next LT Pro;sans-serif" w:hAnsi="Avenir Next LT Pro;sans-serif"/>
                  <w:b/>
                  <w:strike w:val="false"/>
                  <w:dstrike w:val="false"/>
                  <w:color w:val="000000"/>
                  <w:sz w:val="20"/>
                  <w:u w:val="none"/>
                  <w:effect w:val="none"/>
                </w:rPr>
                <w:t>Proposal 4: Ratification of Selection of Independent Registered Public Accounting Firm</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32">
              <w:r>
                <w:rPr>
                  <w:rStyle w:val="InternetLink"/>
                  <w:rFonts w:ascii="Avenir Next LT Pro;sans-serif" w:hAnsi="Avenir Next LT Pro;sans-serif"/>
                  <w:b/>
                  <w:strike w:val="false"/>
                  <w:dstrike w:val="false"/>
                  <w:color w:val="000000"/>
                  <w:sz w:val="20"/>
                  <w:u w:val="none"/>
                  <w:effect w:val="none"/>
                </w:rPr>
                <w:t>71</w:t>
              </w:r>
            </w:hyperlink>
          </w:p>
        </w:tc>
      </w:tr>
      <w:tr>
        <w:trPr/>
        <w:tc>
          <w:tcPr>
            <w:tcW w:w="9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1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18"/>
        <w:gridCol w:w="3082"/>
        <w:gridCol w:w="3095"/>
        <w:gridCol w:w="148"/>
        <w:gridCol w:w="148"/>
        <w:gridCol w:w="214"/>
      </w:tblGrid>
      <w:tr>
        <w:trPr/>
        <w:tc>
          <w:tcPr>
            <w:tcW w:w="3518"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35">
              <w:r>
                <w:rPr>
                  <w:rStyle w:val="InternetLink"/>
                  <w:rFonts w:ascii="Avenir Next LT Pro;sans-serif" w:hAnsi="Avenir Next LT Pro;sans-serif"/>
                  <w:b/>
                  <w:strike w:val="false"/>
                  <w:dstrike w:val="false"/>
                  <w:color w:val="000000"/>
                  <w:sz w:val="20"/>
                  <w:u w:val="none"/>
                  <w:effect w:val="none"/>
                </w:rPr>
                <w:t>Report of the Audit Committee of the Board</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35">
              <w:r>
                <w:rPr>
                  <w:rStyle w:val="InternetLink"/>
                  <w:rFonts w:ascii="Avenir Next LT Pro;sans-serif" w:hAnsi="Avenir Next LT Pro;sans-serif"/>
                  <w:b/>
                  <w:strike w:val="false"/>
                  <w:dstrike w:val="false"/>
                  <w:color w:val="000000"/>
                  <w:sz w:val="20"/>
                  <w:u w:val="none"/>
                  <w:effect w:val="none"/>
                </w:rPr>
                <w:t>73</w:t>
              </w:r>
            </w:hyperlink>
          </w:p>
        </w:tc>
      </w:tr>
      <w:tr>
        <w:trPr/>
        <w:tc>
          <w:tcPr>
            <w:tcW w:w="9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38">
              <w:r>
                <w:rPr>
                  <w:rStyle w:val="InternetLink"/>
                  <w:rFonts w:ascii="Avenir Next LT Pro;sans-serif" w:hAnsi="Avenir Next LT Pro;sans-serif"/>
                  <w:b/>
                  <w:strike w:val="false"/>
                  <w:dstrike w:val="false"/>
                  <w:color w:val="000000"/>
                  <w:sz w:val="20"/>
                  <w:u w:val="none"/>
                  <w:effect w:val="none"/>
                </w:rPr>
                <w:t>Other Information</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38">
              <w:r>
                <w:rPr>
                  <w:rStyle w:val="InternetLink"/>
                  <w:rFonts w:ascii="Avenir Next LT Pro;sans-serif" w:hAnsi="Avenir Next LT Pro;sans-serif"/>
                  <w:b/>
                  <w:strike w:val="false"/>
                  <w:dstrike w:val="false"/>
                  <w:color w:val="000000"/>
                  <w:sz w:val="20"/>
                  <w:u w:val="none"/>
                  <w:effect w:val="none"/>
                </w:rPr>
                <w:t>74</w:t>
              </w:r>
            </w:hyperlink>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41">
              <w:r>
                <w:rPr>
                  <w:rStyle w:val="InternetLink"/>
                  <w:rFonts w:ascii="Avenir Next LT Pro;sans-serif" w:hAnsi="Avenir Next LT Pro;sans-serif"/>
                  <w:b w:val="false"/>
                  <w:strike w:val="false"/>
                  <w:dstrike w:val="false"/>
                  <w:color w:val="000000"/>
                  <w:sz w:val="18"/>
                  <w:u w:val="none"/>
                  <w:effect w:val="none"/>
                </w:rPr>
                <w:t>Security Ownership of Certain Beneficial Owners and Management</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41">
              <w:r>
                <w:rPr>
                  <w:rStyle w:val="InternetLink"/>
                  <w:rFonts w:ascii="Avenir Next LT Pro;sans-serif" w:hAnsi="Avenir Next LT Pro;sans-serif"/>
                  <w:b w:val="false"/>
                  <w:strike w:val="false"/>
                  <w:dstrike w:val="false"/>
                  <w:color w:val="000000"/>
                  <w:sz w:val="18"/>
                  <w:u w:val="none"/>
                  <w:effect w:val="none"/>
                </w:rPr>
                <w:t>74</w:t>
              </w:r>
            </w:hyperlink>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44">
              <w:r>
                <w:rPr>
                  <w:rStyle w:val="InternetLink"/>
                  <w:rFonts w:ascii="Avenir Next LT Pro;sans-serif" w:hAnsi="Avenir Next LT Pro;sans-serif"/>
                  <w:b w:val="false"/>
                  <w:strike w:val="false"/>
                  <w:dstrike w:val="false"/>
                  <w:color w:val="000000"/>
                  <w:sz w:val="18"/>
                  <w:u w:val="none"/>
                  <w:effect w:val="none"/>
                </w:rPr>
                <w:t>Equity Compensation Plan Information</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44">
              <w:r>
                <w:rPr>
                  <w:rStyle w:val="InternetLink"/>
                  <w:rFonts w:ascii="Avenir Next LT Pro;sans-serif" w:hAnsi="Avenir Next LT Pro;sans-serif"/>
                  <w:b w:val="false"/>
                  <w:strike w:val="false"/>
                  <w:dstrike w:val="false"/>
                  <w:color w:val="000000"/>
                  <w:sz w:val="18"/>
                  <w:u w:val="none"/>
                  <w:effect w:val="none"/>
                </w:rPr>
                <w:t>76</w:t>
              </w:r>
            </w:hyperlink>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47">
              <w:r>
                <w:rPr>
                  <w:rStyle w:val="InternetLink"/>
                  <w:rFonts w:ascii="Avenir Next LT Pro;sans-serif" w:hAnsi="Avenir Next LT Pro;sans-serif"/>
                  <w:b w:val="false"/>
                  <w:strike w:val="false"/>
                  <w:dstrike w:val="false"/>
                  <w:color w:val="000080"/>
                  <w:sz w:val="18"/>
                  <w:u w:val="single"/>
                  <w:effect w:val="none"/>
                </w:rPr>
                <w:t>Transaction</w:t>
              </w:r>
            </w:hyperlink>
            <w:hyperlink w:anchor="i19bd7c45acf044609c3ed3c5cf88b3cb_247">
              <w:r>
                <w:rPr>
                  <w:rStyle w:val="InternetLink"/>
                  <w:rFonts w:ascii="Avenir Next LT Pro;sans-serif" w:hAnsi="Avenir Next LT Pro;sans-serif"/>
                  <w:b w:val="false"/>
                  <w:strike w:val="false"/>
                  <w:dstrike w:val="false"/>
                  <w:color w:val="000080"/>
                  <w:sz w:val="18"/>
                  <w:u w:val="single"/>
                  <w:effect w:val="none"/>
                </w:rPr>
                <w:t>s</w:t>
              </w:r>
            </w:hyperlink>
            <w:hyperlink w:anchor="i19bd7c45acf044609c3ed3c5cf88b3cb_247">
              <w:r>
                <w:rPr>
                  <w:rStyle w:val="InternetLink"/>
                  <w:rFonts w:ascii="Avenir Next LT Pro;sans-serif" w:hAnsi="Avenir Next LT Pro;sans-serif"/>
                  <w:b w:val="false"/>
                  <w:strike w:val="false"/>
                  <w:dstrike w:val="false"/>
                  <w:color w:val="000080"/>
                  <w:sz w:val="18"/>
                  <w:u w:val="single"/>
                  <w:effect w:val="none"/>
                </w:rPr>
                <w:t xml:space="preserve"> with Related Persons</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47">
              <w:r>
                <w:rPr>
                  <w:rStyle w:val="InternetLink"/>
                  <w:rFonts w:ascii="Avenir Next LT Pro;sans-serif" w:hAnsi="Avenir Next LT Pro;sans-serif"/>
                  <w:b w:val="false"/>
                  <w:strike w:val="false"/>
                  <w:dstrike w:val="false"/>
                  <w:color w:val="000000"/>
                  <w:sz w:val="18"/>
                  <w:u w:val="none"/>
                  <w:effect w:val="none"/>
                </w:rPr>
                <w:t>77</w:t>
              </w:r>
            </w:hyperlink>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0">
              <w:r>
                <w:rPr>
                  <w:rStyle w:val="InternetLink"/>
                  <w:rFonts w:ascii="Avenir Next LT Pro;sans-serif" w:hAnsi="Avenir Next LT Pro;sans-serif"/>
                  <w:b w:val="false"/>
                  <w:strike w:val="false"/>
                  <w:dstrike w:val="false"/>
                  <w:color w:val="000000"/>
                  <w:sz w:val="18"/>
                  <w:u w:val="none"/>
                  <w:effect w:val="none"/>
                </w:rPr>
                <w:t>Delinquent Section 16(a) Reports</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0">
              <w:r>
                <w:rPr>
                  <w:rStyle w:val="InternetLink"/>
                  <w:rFonts w:ascii="Avenir Next LT Pro;sans-serif" w:hAnsi="Avenir Next LT Pro;sans-serif"/>
                  <w:b w:val="false"/>
                  <w:strike w:val="false"/>
                  <w:dstrike w:val="false"/>
                  <w:color w:val="000000"/>
                  <w:sz w:val="18"/>
                  <w:u w:val="none"/>
                  <w:effect w:val="none"/>
                </w:rPr>
                <w:t>77</w:t>
              </w:r>
            </w:hyperlink>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3">
              <w:r>
                <w:rPr>
                  <w:rStyle w:val="InternetLink"/>
                  <w:rFonts w:ascii="Avenir Next LT Pro;sans-serif" w:hAnsi="Avenir Next LT Pro;sans-serif"/>
                  <w:b w:val="false"/>
                  <w:strike w:val="false"/>
                  <w:dstrike w:val="false"/>
                  <w:color w:val="000000"/>
                  <w:sz w:val="18"/>
                  <w:u w:val="none"/>
                  <w:effect w:val="none"/>
                </w:rPr>
                <w:t>Householding of Proxy Materials</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3">
              <w:r>
                <w:rPr>
                  <w:rStyle w:val="InternetLink"/>
                  <w:rFonts w:ascii="Avenir Next LT Pro;sans-serif" w:hAnsi="Avenir Next LT Pro;sans-serif"/>
                  <w:b w:val="false"/>
                  <w:strike w:val="false"/>
                  <w:dstrike w:val="false"/>
                  <w:color w:val="000000"/>
                  <w:sz w:val="18"/>
                  <w:u w:val="none"/>
                  <w:effect w:val="none"/>
                </w:rPr>
                <w:t>77</w:t>
              </w:r>
            </w:hyperlink>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6">
              <w:r>
                <w:rPr>
                  <w:rStyle w:val="InternetLink"/>
                  <w:rFonts w:ascii="Avenir Next LT Pro;sans-serif" w:hAnsi="Avenir Next LT Pro;sans-serif"/>
                  <w:b w:val="false"/>
                  <w:strike w:val="false"/>
                  <w:dstrike w:val="false"/>
                  <w:color w:val="000000"/>
                  <w:sz w:val="18"/>
                  <w:u w:val="none"/>
                  <w:effect w:val="none"/>
                </w:rPr>
                <w:t>Other Matters</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56">
              <w:r>
                <w:rPr>
                  <w:rStyle w:val="InternetLink"/>
                  <w:rFonts w:ascii="Avenir Next LT Pro;sans-serif" w:hAnsi="Avenir Next LT Pro;sans-serif"/>
                  <w:b w:val="false"/>
                  <w:strike w:val="false"/>
                  <w:dstrike w:val="false"/>
                  <w:color w:val="000000"/>
                  <w:sz w:val="18"/>
                  <w:u w:val="none"/>
                  <w:effect w:val="none"/>
                </w:rPr>
                <w:t>78</w:t>
              </w:r>
            </w:hyperlink>
          </w:p>
        </w:tc>
      </w:tr>
      <w:tr>
        <w:trPr/>
        <w:tc>
          <w:tcPr>
            <w:tcW w:w="9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68">
              <w:r>
                <w:rPr>
                  <w:rStyle w:val="InternetLink"/>
                  <w:rFonts w:ascii="Avenir Next LT Pro;sans-serif" w:hAnsi="Avenir Next LT Pro;sans-serif"/>
                  <w:b/>
                  <w:strike w:val="false"/>
                  <w:dstrike w:val="false"/>
                  <w:color w:val="000000"/>
                  <w:sz w:val="20"/>
                  <w:u w:val="none"/>
                  <w:effect w:val="none"/>
                </w:rPr>
                <w:t>Questions and Answers about these Proxy Materials and Voting</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68">
              <w:r>
                <w:rPr>
                  <w:rStyle w:val="InternetLink"/>
                  <w:rFonts w:ascii="Avenir Next LT Pro;sans-serif" w:hAnsi="Avenir Next LT Pro;sans-serif"/>
                  <w:b/>
                  <w:strike w:val="false"/>
                  <w:dstrike w:val="false"/>
                  <w:color w:val="000000"/>
                  <w:sz w:val="20"/>
                  <w:u w:val="none"/>
                  <w:effect w:val="none"/>
                </w:rPr>
                <w:t>79</w:t>
              </w:r>
            </w:hyperlink>
          </w:p>
        </w:tc>
      </w:tr>
      <w:tr>
        <w:trPr/>
        <w:tc>
          <w:tcPr>
            <w:tcW w:w="9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77">
              <w:r>
                <w:rPr>
                  <w:rStyle w:val="InternetLink"/>
                  <w:rFonts w:ascii="Avenir Next LT Pro;sans-serif" w:hAnsi="Avenir Next LT Pro;sans-serif"/>
                  <w:b/>
                  <w:strike w:val="false"/>
                  <w:dstrike w:val="false"/>
                  <w:color w:val="000000"/>
                  <w:sz w:val="20"/>
                  <w:u w:val="none"/>
                  <w:effect w:val="none"/>
                </w:rPr>
                <w:t>Appendix A-Reconciliation of GAAP Financial Measures to Non-GAAP Financial Measures</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77">
              <w:r>
                <w:rPr>
                  <w:rStyle w:val="InternetLink"/>
                  <w:rFonts w:ascii="Avenir Next LT Pro;sans-serif" w:hAnsi="Avenir Next LT Pro;sans-serif"/>
                  <w:b/>
                  <w:strike w:val="false"/>
                  <w:dstrike w:val="false"/>
                  <w:color w:val="000080"/>
                  <w:sz w:val="20"/>
                  <w:u w:val="single"/>
                  <w:effect w:val="none"/>
                </w:rPr>
                <w:t>A-</w:t>
              </w:r>
            </w:hyperlink>
            <w:hyperlink w:anchor="i19bd7c45acf044609c3ed3c5cf88b3cb_277">
              <w:r>
                <w:rPr>
                  <w:rStyle w:val="InternetLink"/>
                  <w:rFonts w:ascii="Avenir Next LT Pro;sans-serif" w:hAnsi="Avenir Next LT Pro;sans-serif"/>
                  <w:b/>
                  <w:strike w:val="false"/>
                  <w:dstrike w:val="false"/>
                  <w:color w:val="000080"/>
                  <w:sz w:val="20"/>
                  <w:u w:val="single"/>
                  <w:effect w:val="none"/>
                </w:rPr>
                <w:t>1</w:t>
              </w:r>
            </w:hyperlink>
          </w:p>
        </w:tc>
      </w:tr>
      <w:tr>
        <w:trPr/>
        <w:tc>
          <w:tcPr>
            <w:tcW w:w="9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80">
              <w:r>
                <w:rPr>
                  <w:rStyle w:val="InternetLink"/>
                  <w:rFonts w:ascii="Avenir Next LT Pro;sans-serif" w:hAnsi="Avenir Next LT Pro;sans-serif"/>
                  <w:b/>
                  <w:strike w:val="false"/>
                  <w:dstrike w:val="false"/>
                  <w:color w:val="000000"/>
                  <w:sz w:val="20"/>
                  <w:u w:val="none"/>
                  <w:effect w:val="none"/>
                </w:rPr>
                <w:t>Appendix B-Enphase Energy, Inc. Amended and Restated 2021 Equity Incentive Plan</w:t>
              </w:r>
            </w:hyperlink>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bd7c45acf044609c3ed3c5cf88b3cb_280">
              <w:r>
                <w:rPr>
                  <w:rStyle w:val="InternetLink"/>
                  <w:rFonts w:ascii="Avenir Next LT Pro;sans-serif" w:hAnsi="Avenir Next LT Pro;sans-serif"/>
                  <w:b/>
                  <w:strike w:val="false"/>
                  <w:dstrike w:val="false"/>
                  <w:color w:val="000080"/>
                  <w:sz w:val="20"/>
                  <w:u w:val="single"/>
                  <w:effect w:val="none"/>
                </w:rPr>
                <w:t>B-</w:t>
              </w:r>
            </w:hyperlink>
            <w:hyperlink w:anchor="i19bd7c45acf044609c3ed3c5cf88b3cb_280">
              <w:r>
                <w:rPr>
                  <w:rStyle w:val="InternetLink"/>
                  <w:rFonts w:ascii="Avenir Next LT Pro;sans-serif" w:hAnsi="Avenir Next LT Pro;sans-serif"/>
                  <w:b/>
                  <w:strike w:val="false"/>
                  <w:dstrike w:val="false"/>
                  <w:color w:val="000080"/>
                  <w:sz w:val="20"/>
                  <w:u w:val="single"/>
                  <w:effect w:val="none"/>
                </w:rPr>
                <w:t>1</w:t>
              </w:r>
            </w:hyperlink>
          </w:p>
        </w:tc>
      </w:tr>
      <w:tr>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2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shd w:fill="FAF6EF" w:val="clear"/>
        </w:rPr>
      </w:pPr>
      <w:r>
        <w:rPr>
          <w:rFonts w:ascii="Avenir Next LT Pro;sans-serif" w:hAnsi="Avenir Next LT Pro;sans-serif"/>
          <w:b/>
          <w:color w:val="000000"/>
          <w:sz w:val="48"/>
          <w:shd w:fill="FAF6EF" w:val="clear"/>
        </w:rPr>
        <w:t>Enphase at a Glance</w:t>
      </w:r>
    </w:p>
    <w:p>
      <w:pPr>
        <w:pStyle w:val="TextBody"/>
        <w:bidi w:val="0"/>
        <w:spacing w:lineRule="auto" w:line="336" w:before="0" w:after="180"/>
        <w:jc w:val="both"/>
        <w:rPr>
          <w:rFonts w:ascii="Avenir Next LT Pro;sans-serif" w:hAnsi="Avenir Next LT Pro;sans-serif"/>
          <w:b w:val="false"/>
          <w:color w:val="000000"/>
          <w:sz w:val="18"/>
          <w:shd w:fill="FAF6EF" w:val="clear"/>
        </w:rPr>
      </w:pPr>
      <w:r>
        <w:rPr>
          <w:rFonts w:ascii="Avenir Next LT Pro;sans-serif" w:hAnsi="Avenir Next LT Pro;sans-serif"/>
          <w:b w:val="false"/>
          <w:color w:val="000000"/>
          <w:sz w:val="18"/>
          <w:shd w:fill="FAF6EF" w:val="clear"/>
        </w:rPr>
        <w:t>We build best-in-class home energy systems and deliver them to homeowners through our installer and distribution partners, enabled by a comprehensive digital platform. In 2025, we continued to innovate, focus on installers and homeowners, and maintained a solid balance sheet.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38"/>
        <w:gridCol w:w="138"/>
        <w:gridCol w:w="140"/>
        <w:gridCol w:w="711"/>
        <w:gridCol w:w="711"/>
        <w:gridCol w:w="713"/>
        <w:gridCol w:w="109"/>
        <w:gridCol w:w="109"/>
        <w:gridCol w:w="109"/>
        <w:gridCol w:w="138"/>
        <w:gridCol w:w="138"/>
        <w:gridCol w:w="140"/>
        <w:gridCol w:w="983"/>
        <w:gridCol w:w="971"/>
        <w:gridCol w:w="972"/>
        <w:gridCol w:w="109"/>
        <w:gridCol w:w="109"/>
        <w:gridCol w:w="109"/>
        <w:gridCol w:w="138"/>
        <w:gridCol w:w="138"/>
        <w:gridCol w:w="140"/>
        <w:gridCol w:w="920"/>
        <w:gridCol w:w="801"/>
        <w:gridCol w:w="80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209550" cy="209550"/>
                          </a:xfrm>
                          <a:prstGeom prst="rect">
                            <a:avLst/>
                          </a:prstGeom>
                        </pic:spPr>
                      </pic:pic>
                    </a:graphicData>
                  </a:graphic>
                </wp:inline>
              </w:drawing>
            </w:r>
            <w:bookmarkStart w:id="13" w:name="i-14"/>
            <w:bookmarkEnd w:id="13"/>
          </w:p>
        </w:tc>
        <w:tc>
          <w:tcPr>
            <w:tcW w:w="2135"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Founded in 2006, with 2,872 employees</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209550" cy="209550"/>
                          </a:xfrm>
                          <a:prstGeom prst="rect">
                            <a:avLst/>
                          </a:prstGeom>
                        </pic:spPr>
                      </pic:pic>
                    </a:graphicData>
                  </a:graphic>
                </wp:inline>
              </w:drawing>
            </w:r>
            <w:bookmarkStart w:id="14" w:name="i-15"/>
            <w:bookmarkEnd w:id="14"/>
          </w:p>
        </w:tc>
        <w:tc>
          <w:tcPr>
            <w:tcW w:w="2926"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Headquartered in Fremont, California with offices globally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209550" cy="209550"/>
                          </a:xfrm>
                          <a:prstGeom prst="rect">
                            <a:avLst/>
                          </a:prstGeom>
                        </pic:spPr>
                      </pic:pic>
                    </a:graphicData>
                  </a:graphic>
                </wp:inline>
              </w:drawing>
            </w:r>
            <w:bookmarkStart w:id="15" w:name="i-16"/>
            <w:bookmarkEnd w:id="15"/>
          </w:p>
        </w:tc>
        <w:tc>
          <w:tcPr>
            <w:tcW w:w="2524"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Our customers are distributors, installers and homeowners</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209550" cy="209550"/>
                          </a:xfrm>
                          <a:prstGeom prst="rect">
                            <a:avLst/>
                          </a:prstGeom>
                        </pic:spPr>
                      </pic:pic>
                    </a:graphicData>
                  </a:graphic>
                </wp:inline>
              </w:drawing>
            </w:r>
            <w:bookmarkStart w:id="16" w:name="i-17"/>
            <w:bookmarkEnd w:id="16"/>
          </w:p>
        </w:tc>
        <w:tc>
          <w:tcPr>
            <w:tcW w:w="2135"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More than 1,900 installers in the Enphase Installer Network</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209550" cy="209550"/>
                          </a:xfrm>
                          <a:prstGeom prst="rect">
                            <a:avLst/>
                          </a:prstGeom>
                        </pic:spPr>
                      </pic:pic>
                    </a:graphicData>
                  </a:graphic>
                </wp:inline>
              </w:drawing>
            </w:r>
            <w:bookmarkStart w:id="17" w:name="i-18"/>
            <w:bookmarkEnd w:id="17"/>
          </w:p>
        </w:tc>
        <w:tc>
          <w:tcPr>
            <w:tcW w:w="2926"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More than 86 million microinverters</w:t>
            </w: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shipped since inception, representing approx. 30.9 GW</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209550" cy="209550"/>
                          </a:xfrm>
                          <a:prstGeom prst="rect">
                            <a:avLst/>
                          </a:prstGeom>
                        </pic:spPr>
                      </pic:pic>
                    </a:graphicData>
                  </a:graphic>
                </wp:inline>
              </w:drawing>
            </w:r>
            <w:bookmarkStart w:id="18" w:name="i-19"/>
            <w:bookmarkEnd w:id="18"/>
          </w:p>
        </w:tc>
        <w:tc>
          <w:tcPr>
            <w:tcW w:w="2524"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More than 5.1 million cumulative systems installed in over 160 countries</w:t>
            </w:r>
            <w:r>
              <w:rPr>
                <w:rFonts w:ascii="Avenir Next LT Pro;sans-serif" w:hAnsi="Avenir Next LT Pro;sans-serif"/>
                <w:b w:val="false"/>
                <w:color w:val="000000"/>
                <w:sz w:val="12"/>
              </w:rPr>
              <w:t>1,2</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209550" cy="209550"/>
                          </a:xfrm>
                          <a:prstGeom prst="rect">
                            <a:avLst/>
                          </a:prstGeom>
                        </pic:spPr>
                      </pic:pic>
                    </a:graphicData>
                  </a:graphic>
                </wp:inline>
              </w:drawing>
            </w:r>
            <w:bookmarkStart w:id="19" w:name="i-20"/>
            <w:bookmarkEnd w:id="19"/>
          </w:p>
        </w:tc>
        <w:tc>
          <w:tcPr>
            <w:tcW w:w="2135"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More than 22,000 installers worldwide certified on IQ® Batteries</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209550" cy="209550"/>
                          </a:xfrm>
                          <a:prstGeom prst="rect">
                            <a:avLst/>
                          </a:prstGeom>
                        </pic:spPr>
                      </pic:pic>
                    </a:graphicData>
                  </a:graphic>
                </wp:inline>
              </w:drawing>
            </w:r>
            <w:bookmarkStart w:id="20" w:name="i-21"/>
            <w:bookmarkEnd w:id="20"/>
          </w:p>
        </w:tc>
        <w:tc>
          <w:tcPr>
            <w:tcW w:w="2926"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2.39 GWh of energy storage systems shipped</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209550" cy="209550"/>
                          </a:xfrm>
                          <a:prstGeom prst="rect">
                            <a:avLst/>
                          </a:prstGeom>
                        </pic:spPr>
                      </pic:pic>
                    </a:graphicData>
                  </a:graphic>
                </wp:inline>
              </w:drawing>
            </w:r>
            <w:bookmarkStart w:id="21" w:name="i-22"/>
            <w:bookmarkEnd w:id="21"/>
          </w:p>
        </w:tc>
        <w:tc>
          <w:tcPr>
            <w:tcW w:w="2524"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left"/>
              <w:rPr/>
            </w:pPr>
            <w:r>
              <w:rPr>
                <w:rFonts w:ascii="Avenir Next LT Pro;sans-serif" w:hAnsi="Avenir Next LT Pro;sans-serif"/>
                <w:b w:val="false"/>
                <w:color w:val="000000"/>
                <w:sz w:val="18"/>
              </w:rPr>
              <w:t>Approximately 400 patents globally</w:t>
            </w:r>
            <w:r>
              <w:rPr>
                <w:rFonts w:ascii="Avenir Next LT Pro;sans-serif" w:hAnsi="Avenir Next LT Pro;sans-serif"/>
                <w:b w:val="false"/>
                <w:color w:val="000000"/>
                <w:sz w:val="12"/>
              </w:rPr>
              <w:t>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209550" cy="209550"/>
                          </a:xfrm>
                          <a:prstGeom prst="rect">
                            <a:avLst/>
                          </a:prstGeom>
                        </pic:spPr>
                      </pic:pic>
                    </a:graphicData>
                  </a:graphic>
                </wp:inline>
              </w:drawing>
            </w:r>
            <w:bookmarkStart w:id="22" w:name="i-23"/>
            <w:bookmarkEnd w:id="22"/>
          </w:p>
        </w:tc>
        <w:tc>
          <w:tcPr>
            <w:tcW w:w="2135"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2025 net revenues were $1.5 billion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209550" cy="209550"/>
                          </a:xfrm>
                          <a:prstGeom prst="rect">
                            <a:avLst/>
                          </a:prstGeom>
                        </pic:spPr>
                      </pic:pic>
                    </a:graphicData>
                  </a:graphic>
                </wp:inline>
              </w:drawing>
            </w:r>
            <w:bookmarkStart w:id="23" w:name="i-24"/>
            <w:bookmarkEnd w:id="23"/>
          </w:p>
        </w:tc>
        <w:tc>
          <w:tcPr>
            <w:tcW w:w="2926"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2025 GAAP gross margin </w:t>
            </w:r>
          </w:p>
          <w:p>
            <w:pPr>
              <w:pStyle w:val="TableContents"/>
              <w:bidi w:val="0"/>
              <w:spacing w:lineRule="auto" w:line="336" w:before="0" w:after="180"/>
              <w:jc w:val="left"/>
              <w:rPr/>
            </w:pPr>
            <w:r>
              <w:rPr>
                <w:rFonts w:ascii="Avenir Next LT Pro;sans-serif" w:hAnsi="Avenir Next LT Pro;sans-serif"/>
                <w:b w:val="false"/>
                <w:color w:val="000000"/>
                <w:sz w:val="18"/>
              </w:rPr>
              <w:t>was 46.6%; 2025 Non-GAAP gross margin was 48.2%</w:t>
            </w:r>
            <w:r>
              <w:rPr>
                <w:rFonts w:ascii="Avenir Next LT Pro;sans-serif" w:hAnsi="Avenir Next LT Pro;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09550" cy="209550"/>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209550" cy="209550"/>
                          </a:xfrm>
                          <a:prstGeom prst="rect">
                            <a:avLst/>
                          </a:prstGeom>
                        </pic:spPr>
                      </pic:pic>
                    </a:graphicData>
                  </a:graphic>
                </wp:inline>
              </w:drawing>
            </w:r>
            <w:bookmarkStart w:id="24" w:name="i-25"/>
            <w:bookmarkEnd w:id="24"/>
          </w:p>
        </w:tc>
        <w:tc>
          <w:tcPr>
            <w:tcW w:w="2524" w:type="dxa"/>
            <w:gridSpan w:val="3"/>
            <w:vMerge w:val="restart"/>
            <w:tcBorders/>
            <w:shd w:fill="FFFFFF" w:val="clear"/>
            <w:tcMar>
              <w:top w:w="0" w:type="dxa"/>
              <w:left w:w="0" w:type="dxa"/>
              <w:bottom w:w="0" w:type="dxa"/>
              <w:right w:w="0" w:type="dxa"/>
            </w:tcMar>
            <w:vAlign w:val="center"/>
          </w:tcPr>
          <w:p>
            <w:pPr>
              <w:pStyle w:val="TableContents"/>
              <w:bidi w:val="0"/>
              <w:spacing w:lineRule="auto" w:line="336"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2025 GAAP net income </w:t>
            </w:r>
          </w:p>
          <w:p>
            <w:pPr>
              <w:pStyle w:val="TableContents"/>
              <w:bidi w:val="0"/>
              <w:spacing w:lineRule="auto" w:line="336" w:before="0" w:after="180"/>
              <w:jc w:val="left"/>
              <w:rPr/>
            </w:pPr>
            <w:r>
              <w:rPr>
                <w:rFonts w:ascii="Avenir Next LT Pro;sans-serif" w:hAnsi="Avenir Next LT Pro;sans-serif"/>
                <w:b w:val="false"/>
                <w:color w:val="000000"/>
                <w:sz w:val="18"/>
              </w:rPr>
              <w:t>was $172.1 million; 2025 Non-GAAP net income was $389.8 million</w:t>
            </w:r>
            <w:r>
              <w:rPr>
                <w:rFonts w:ascii="Avenir Next LT Pro;sans-serif" w:hAnsi="Avenir Next LT Pro;sans-serif"/>
                <w:b w:val="false"/>
                <w:color w:val="000000"/>
                <w:sz w:val="12"/>
              </w:rPr>
              <w:t>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shd w:fill="FAF6EF" w:val="clear"/>
        </w:rPr>
      </w:pPr>
      <w:r>
        <w:rPr>
          <w:shd w:fill="FAF6EF" w:val="clear"/>
        </w:rPr>
        <w:drawing>
          <wp:inline distT="0" distB="0" distL="0" distR="0">
            <wp:extent cx="3286125" cy="2924175"/>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3286125" cy="2924175"/>
                    </a:xfrm>
                    <a:prstGeom prst="rect">
                      <a:avLst/>
                    </a:prstGeom>
                  </pic:spPr>
                </pic:pic>
              </a:graphicData>
            </a:graphic>
          </wp:inline>
        </w:drawing>
      </w:r>
      <w:bookmarkStart w:id="25" w:name="i-26"/>
      <w:bookmarkEnd w:id="25"/>
      <w:r>
        <w:rPr>
          <w:shd w:fill="FAF6EF" w:val="clear"/>
        </w:rPr>
        <w:drawing>
          <wp:inline distT="0" distB="0" distL="0" distR="0">
            <wp:extent cx="3286125" cy="2924175"/>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28"/>
                    <a:stretch>
                      <a:fillRect/>
                    </a:stretch>
                  </pic:blipFill>
                  <pic:spPr bwMode="auto">
                    <a:xfrm>
                      <a:off x="0" y="0"/>
                      <a:ext cx="3286125" cy="2924175"/>
                    </a:xfrm>
                    <a:prstGeom prst="rect">
                      <a:avLst/>
                    </a:prstGeom>
                  </pic:spPr>
                </pic:pic>
              </a:graphicData>
            </a:graphic>
          </wp:inline>
        </w:drawing>
      </w:r>
      <w:bookmarkStart w:id="26" w:name="i-27"/>
      <w:bookmarkEnd w:id="26"/>
      <w:r>
        <w:rPr>
          <w:color w:val="FF0090"/>
          <w:shd w:fill="FAF6EF" w:val="clear"/>
        </w:rPr>
        <w:t xml:space="preserve"> </w:t>
      </w:r>
    </w:p>
    <w:p>
      <w:pPr>
        <w:pStyle w:val="TextBody"/>
        <w:bidi w:val="0"/>
        <w:spacing w:lineRule="auto" w:line="288" w:before="0" w:after="60"/>
        <w:ind w:left="0" w:right="0" w:hanging="270"/>
        <w:jc w:val="both"/>
        <w:rPr>
          <w:shd w:fill="FAF6EF" w:val="clear"/>
        </w:rPr>
      </w:pPr>
      <w:r>
        <w:rPr>
          <w:rFonts w:ascii="Avenir Next LT Pro;sans-serif" w:hAnsi="Avenir Next LT Pro;sans-serif"/>
          <w:b w:val="false"/>
          <w:color w:val="7D7D7D"/>
          <w:sz w:val="10"/>
          <w:shd w:fill="FAF6EF" w:val="clear"/>
        </w:rPr>
        <w:t>1</w:t>
      </w:r>
      <w:r>
        <w:rPr>
          <w:color w:val="7D7D7D"/>
          <w:shd w:fill="FAF6EF" w:val="clear"/>
        </w:rPr>
        <w:t>    </w:t>
      </w:r>
      <w:r>
        <w:rPr>
          <w:rFonts w:ascii="Avenir Next LT Pro;sans-serif" w:hAnsi="Avenir Next LT Pro;sans-serif"/>
          <w:b w:val="false"/>
          <w:color w:val="7D7D7D"/>
          <w:sz w:val="16"/>
          <w:shd w:fill="FAF6EF" w:val="clear"/>
        </w:rPr>
        <w:t>As of December 31, 2025</w:t>
      </w:r>
    </w:p>
    <w:p>
      <w:pPr>
        <w:pStyle w:val="TextBody"/>
        <w:bidi w:val="0"/>
        <w:spacing w:lineRule="auto" w:line="288" w:before="0" w:after="60"/>
        <w:ind w:left="0" w:right="0" w:hanging="270"/>
        <w:jc w:val="both"/>
        <w:rPr>
          <w:shd w:fill="FAF6EF" w:val="clear"/>
        </w:rPr>
      </w:pPr>
      <w:r>
        <w:rPr>
          <w:rFonts w:ascii="Avenir Next LT Pro;sans-serif" w:hAnsi="Avenir Next LT Pro;sans-serif"/>
          <w:b w:val="false"/>
          <w:color w:val="7D7D7D"/>
          <w:sz w:val="10"/>
          <w:shd w:fill="FAF6EF" w:val="clear"/>
        </w:rPr>
        <w:t>2</w:t>
      </w:r>
      <w:r>
        <w:rPr>
          <w:color w:val="7D7D7D"/>
          <w:shd w:fill="FAF6EF" w:val="clear"/>
        </w:rPr>
        <w:t>    </w:t>
      </w:r>
      <w:r>
        <w:rPr>
          <w:rFonts w:ascii="Avenir Next LT Pro;sans-serif" w:hAnsi="Avenir Next LT Pro;sans-serif"/>
          <w:b w:val="false"/>
          <w:color w:val="7D7D7D"/>
          <w:sz w:val="16"/>
          <w:shd w:fill="FAF6EF" w:val="clear"/>
        </w:rPr>
        <w:t>Includes Enphase residential and commercial managed systems as of December 31, 2025, grossed up for non-managed systems based on cumulative sales records</w:t>
      </w:r>
    </w:p>
    <w:p>
      <w:pPr>
        <w:pStyle w:val="TextBody"/>
        <w:bidi w:val="0"/>
        <w:spacing w:lineRule="auto" w:line="288" w:before="0" w:after="60"/>
        <w:ind w:left="0" w:right="0" w:hanging="270"/>
        <w:jc w:val="both"/>
        <w:rPr>
          <w:shd w:fill="FAF6EF" w:val="clear"/>
        </w:rPr>
      </w:pPr>
      <w:r>
        <w:rPr>
          <w:rFonts w:ascii="Avenir Next LT Pro;sans-serif" w:hAnsi="Avenir Next LT Pro;sans-serif"/>
          <w:b w:val="false"/>
          <w:color w:val="7D7D7D"/>
          <w:sz w:val="10"/>
          <w:shd w:fill="FAF6EF" w:val="clear"/>
        </w:rPr>
        <w:t>3</w:t>
      </w:r>
      <w:r>
        <w:rPr>
          <w:color w:val="7D7D7D"/>
          <w:shd w:fill="FAF6EF" w:val="clear"/>
        </w:rPr>
        <w:t>    </w:t>
      </w:r>
      <w:r>
        <w:rPr>
          <w:rFonts w:ascii="Avenir Next LT Pro;sans-serif" w:hAnsi="Avenir Next LT Pro;sans-serif"/>
          <w:b w:val="false"/>
          <w:color w:val="7D7D7D"/>
          <w:sz w:val="16"/>
          <w:shd w:fill="FAF6EF" w:val="clear"/>
        </w:rPr>
        <w:t>Please reference Appendix A for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3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Proxy Summary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summary highlights information that is contained elsewhere in this proxy statement. It does not include all information necessary to make a voting decision, and you should read this proxy statement in its entirety before casting your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Board of Directors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Board of Directors (the “Board”) has nominated three directors to serve for three-year terms until 2029. The nominees and members have a broad and diverse set of skills, perspectives and experiences that are integral to our success. We believe in a classified board structure to promote boardroom continuity and institutional knowledge, as well as helping to drive execution of long-term strategy.</w:t>
      </w:r>
    </w:p>
    <w:tbl>
      <w:tblPr>
        <w:tblW w:w="10205" w:type="dxa"/>
        <w:jc w:val="left"/>
        <w:tblInd w:w="0" w:type="dxa"/>
        <w:tblLayout w:type="fixed"/>
        <w:tblCellMar>
          <w:top w:w="28" w:type="dxa"/>
          <w:left w:w="28" w:type="dxa"/>
          <w:bottom w:w="28" w:type="dxa"/>
          <w:right w:w="28" w:type="dxa"/>
        </w:tblCellMar>
      </w:tblPr>
      <w:tblGrid>
        <w:gridCol w:w="307"/>
        <w:gridCol w:w="270"/>
        <w:gridCol w:w="274"/>
        <w:gridCol w:w="1470"/>
        <w:gridCol w:w="912"/>
        <w:gridCol w:w="915"/>
        <w:gridCol w:w="155"/>
        <w:gridCol w:w="155"/>
        <w:gridCol w:w="156"/>
        <w:gridCol w:w="341"/>
        <w:gridCol w:w="341"/>
        <w:gridCol w:w="342"/>
        <w:gridCol w:w="421"/>
        <w:gridCol w:w="421"/>
        <w:gridCol w:w="422"/>
        <w:gridCol w:w="584"/>
        <w:gridCol w:w="584"/>
        <w:gridCol w:w="585"/>
        <w:gridCol w:w="451"/>
        <w:gridCol w:w="451"/>
        <w:gridCol w:w="648"/>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w:t>
            </w:r>
          </w:p>
        </w:tc>
        <w:tc>
          <w:tcPr>
            <w:tcW w:w="329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Age</w:t>
            </w:r>
          </w:p>
        </w:tc>
        <w:tc>
          <w:tcPr>
            <w:tcW w:w="102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Director Since</w:t>
            </w:r>
          </w:p>
        </w:tc>
        <w:tc>
          <w:tcPr>
            <w:tcW w:w="126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Audit Committee</w:t>
            </w:r>
          </w:p>
        </w:tc>
        <w:tc>
          <w:tcPr>
            <w:tcW w:w="1753"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Compensation Committee</w:t>
            </w:r>
          </w:p>
        </w:tc>
        <w:tc>
          <w:tcPr>
            <w:tcW w:w="155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Nominating Committee</w:t>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9354" w:type="dxa"/>
            <w:gridSpan w:val="18"/>
            <w:tcBorders/>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9354" w:type="dxa"/>
            <w:gridSpan w:val="18"/>
            <w:tcBorders/>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9354" w:type="dxa"/>
            <w:gridSpan w:val="18"/>
            <w:tcBorders/>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9354" w:type="dxa"/>
            <w:gridSpan w:val="18"/>
            <w:tcBorders/>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9354" w:type="dxa"/>
            <w:gridSpan w:val="18"/>
            <w:tcBorders/>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851"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439E58"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Class II Nominees for Election (Until 2029 Annual Meeting of Stockholders)</w:t>
            </w:r>
          </w:p>
        </w:tc>
      </w:tr>
      <w:tr>
        <w:trPr/>
        <w:tc>
          <w:tcPr>
            <w:tcW w:w="851"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466725" cy="6096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466725" cy="609600"/>
                          </a:xfrm>
                          <a:prstGeom prst="rect">
                            <a:avLst/>
                          </a:prstGeom>
                        </pic:spPr>
                      </pic:pic>
                    </a:graphicData>
                  </a:graphic>
                </wp:inline>
              </w:drawing>
            </w:r>
            <w:bookmarkStart w:id="27" w:name="i-28"/>
            <w:bookmarkEnd w:id="27"/>
          </w:p>
        </w:tc>
        <w:tc>
          <w:tcPr>
            <w:tcW w:w="329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Jamie Haenggi</w:t>
            </w:r>
          </w:p>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Founder/Principal, Goodwin+Beckham;</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Former President and COO, ADT Solar</w:t>
            </w:r>
          </w:p>
          <w:p>
            <w:pPr>
              <w:pStyle w:val="TableContents"/>
              <w:bidi w:val="0"/>
              <w:spacing w:lineRule="auto" w:line="288" w:before="0" w:after="60"/>
              <w:jc w:val="left"/>
              <w:rPr>
                <w:color w:val="000000"/>
                <w:shd w:fill="FFD02C" w:val="clear"/>
              </w:rPr>
            </w:pPr>
            <w:r>
              <w:rPr>
                <w:color w:val="000000"/>
                <w:shd w:fill="FFD02C" w:val="clear"/>
              </w:rPr>
              <w:t> </w:t>
            </w:r>
            <w:r>
              <w:rPr>
                <w:rFonts w:ascii="Avenir Next LT Pro;sans-serif" w:hAnsi="Avenir Next LT Pro;sans-serif"/>
                <w:b/>
                <w:color w:val="000000"/>
                <w:sz w:val="18"/>
                <w:shd w:fill="FFD02C" w:val="clear"/>
              </w:rPr>
              <w:t xml:space="preserve">IND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56</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2020</w:t>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E86100"/>
                <w:sz w:val="28"/>
              </w:rPr>
            </w:pPr>
            <w:r>
              <w:rPr>
                <w:rFonts w:ascii="Wingdings;sans-serif" w:hAnsi="Wingdings;sans-serif"/>
                <w:b w:val="false"/>
                <w:color w:val="E86100"/>
                <w:sz w:val="28"/>
              </w:rPr>
              <w:t>l</w:t>
            </w:r>
          </w:p>
        </w:tc>
      </w:tr>
      <w:tr>
        <w:trPr/>
        <w:tc>
          <w:tcPr>
            <w:tcW w:w="851" w:type="dxa"/>
            <w:gridSpan w:val="3"/>
            <w:tcBorders/>
            <w:shd w:fill="FAF6EF" w:val="clear"/>
            <w:tcMar>
              <w:top w:w="0" w:type="dxa"/>
              <w:left w:w="0" w:type="dxa"/>
              <w:bottom w:w="0" w:type="dxa"/>
              <w:right w:w="0" w:type="dxa"/>
            </w:tcMar>
            <w:vAlign w:val="center"/>
          </w:tcPr>
          <w:p>
            <w:pPr>
              <w:pStyle w:val="TableContents"/>
              <w:bidi w:val="0"/>
              <w:spacing w:before="0" w:after="60"/>
              <w:jc w:val="left"/>
              <w:rPr/>
            </w:pPr>
            <w:r>
              <w:rPr/>
              <w:drawing>
                <wp:inline distT="0" distB="0" distL="0" distR="0">
                  <wp:extent cx="466725" cy="6096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466725" cy="609600"/>
                          </a:xfrm>
                          <a:prstGeom prst="rect">
                            <a:avLst/>
                          </a:prstGeom>
                        </pic:spPr>
                      </pic:pic>
                    </a:graphicData>
                  </a:graphic>
                </wp:inline>
              </w:drawing>
            </w:r>
            <w:bookmarkStart w:id="28" w:name="i-29"/>
            <w:bookmarkEnd w:id="28"/>
          </w:p>
        </w:tc>
        <w:tc>
          <w:tcPr>
            <w:tcW w:w="3297"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Benjamin Kortlang</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Partner, G2VP, LLC; former Partner, Kleiner Perkins Caufield &amp; Byers</w:t>
            </w:r>
          </w:p>
          <w:p>
            <w:pPr>
              <w:pStyle w:val="TableContents"/>
              <w:bidi w:val="0"/>
              <w:spacing w:lineRule="auto" w:line="288" w:before="0" w:after="60"/>
              <w:jc w:val="left"/>
              <w:rPr>
                <w:color w:val="000000"/>
                <w:shd w:fill="FFD02C" w:val="clear"/>
              </w:rPr>
            </w:pPr>
            <w:r>
              <w:rPr>
                <w:color w:val="000000"/>
                <w:shd w:fill="FFD02C" w:val="clear"/>
              </w:rPr>
              <w:t> </w:t>
            </w:r>
            <w:r>
              <w:rPr>
                <w:rFonts w:ascii="Avenir Next LT Pro;sans-serif" w:hAnsi="Avenir Next LT Pro;sans-serif"/>
                <w:b/>
                <w:color w:val="000000"/>
                <w:sz w:val="18"/>
                <w:shd w:fill="FFD02C" w:val="clear"/>
              </w:rPr>
              <w:t xml:space="preserve">IND </w:t>
            </w:r>
          </w:p>
        </w:tc>
        <w:tc>
          <w:tcPr>
            <w:tcW w:w="46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51</w:t>
            </w:r>
          </w:p>
        </w:tc>
        <w:tc>
          <w:tcPr>
            <w:tcW w:w="102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2010</w:t>
            </w:r>
          </w:p>
        </w:tc>
        <w:tc>
          <w:tcPr>
            <w:tcW w:w="1264" w:type="dxa"/>
            <w:gridSpan w:val="3"/>
            <w:tcBorders/>
            <w:shd w:fill="FAF6E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E86100"/>
                <w:sz w:val="28"/>
              </w:rPr>
            </w:pPr>
            <w:r>
              <w:rPr>
                <w:rFonts w:ascii="Wingdings;sans-serif" w:hAnsi="Wingdings;sans-serif"/>
                <w:b w:val="false"/>
                <w:color w:val="E86100"/>
                <w:sz w:val="28"/>
              </w:rPr>
              <w:t>l</w:t>
            </w:r>
          </w:p>
        </w:tc>
        <w:tc>
          <w:tcPr>
            <w:tcW w:w="175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AF6E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3B999E"/>
                <w:sz w:val="28"/>
              </w:rPr>
            </w:pPr>
            <w:r>
              <w:rPr>
                <w:rFonts w:ascii="Wingdings;sans-serif" w:hAnsi="Wingdings;sans-serif"/>
                <w:b w:val="false"/>
                <w:color w:val="3B999E"/>
                <w:sz w:val="28"/>
              </w:rPr>
              <w:t>l</w:t>
            </w:r>
          </w:p>
        </w:tc>
      </w:tr>
      <w:tr>
        <w:trPr/>
        <w:tc>
          <w:tcPr>
            <w:tcW w:w="851"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466725" cy="6096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466725" cy="609600"/>
                          </a:xfrm>
                          <a:prstGeom prst="rect">
                            <a:avLst/>
                          </a:prstGeom>
                        </pic:spPr>
                      </pic:pic>
                    </a:graphicData>
                  </a:graphic>
                </wp:inline>
              </w:drawing>
            </w:r>
            <w:bookmarkStart w:id="29" w:name="i-30"/>
            <w:bookmarkEnd w:id="29"/>
          </w:p>
        </w:tc>
        <w:tc>
          <w:tcPr>
            <w:tcW w:w="329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Richard Mora</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Former CEO, Landis+Gyr</w:t>
            </w:r>
          </w:p>
          <w:p>
            <w:pPr>
              <w:pStyle w:val="TableContents"/>
              <w:bidi w:val="0"/>
              <w:spacing w:lineRule="auto" w:line="288" w:before="0" w:after="60"/>
              <w:jc w:val="left"/>
              <w:rPr>
                <w:color w:val="000000"/>
                <w:shd w:fill="FFD02C" w:val="clear"/>
              </w:rPr>
            </w:pPr>
            <w:r>
              <w:rPr>
                <w:color w:val="000000"/>
                <w:shd w:fill="FFD02C" w:val="clear"/>
              </w:rPr>
              <w:t> </w:t>
            </w:r>
            <w:r>
              <w:rPr>
                <w:rFonts w:ascii="Avenir Next LT Pro;sans-serif" w:hAnsi="Avenir Next LT Pro;sans-serif"/>
                <w:b/>
                <w:color w:val="000000"/>
                <w:sz w:val="18"/>
                <w:shd w:fill="FFD02C" w:val="clear"/>
              </w:rPr>
              <w:t xml:space="preserve">IND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61</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2014</w:t>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E86100"/>
                <w:sz w:val="28"/>
              </w:rPr>
            </w:pPr>
            <w:r>
              <w:rPr>
                <w:rFonts w:ascii="Wingdings;sans-serif" w:hAnsi="Wingdings;sans-serif"/>
                <w:b w:val="false"/>
                <w:color w:val="E86100"/>
                <w:sz w:val="28"/>
              </w:rPr>
              <w:t>l</w:t>
            </w:r>
          </w:p>
        </w:tc>
        <w:tc>
          <w:tcPr>
            <w:tcW w:w="17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E86100"/>
                <w:sz w:val="28"/>
              </w:rPr>
            </w:pPr>
            <w:r>
              <w:rPr>
                <w:rFonts w:ascii="Wingdings;sans-serif" w:hAnsi="Wingdings;sans-serif"/>
                <w:b w:val="false"/>
                <w:color w:val="E86100"/>
                <w:sz w:val="28"/>
              </w:rPr>
              <w:t>l</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45270"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Continuing Class III Directors (Until 2027 Annual Meeting of Stockholders)</w:t>
            </w:r>
          </w:p>
        </w:tc>
      </w:tr>
      <w:tr>
        <w:trPr/>
        <w:tc>
          <w:tcPr>
            <w:tcW w:w="8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66725" cy="6096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466725" cy="609600"/>
                          </a:xfrm>
                          <a:prstGeom prst="rect">
                            <a:avLst/>
                          </a:prstGeom>
                        </pic:spPr>
                      </pic:pic>
                    </a:graphicData>
                  </a:graphic>
                </wp:inline>
              </w:drawing>
            </w:r>
            <w:bookmarkStart w:id="30" w:name="i-31"/>
            <w:bookmarkEnd w:id="30"/>
          </w:p>
        </w:tc>
        <w:tc>
          <w:tcPr>
            <w:tcW w:w="329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President and CEO, Enphase Energy, Inc.</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54</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2017</w:t>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AF6EF" w:val="clear"/>
            <w:tcMar>
              <w:top w:w="0" w:type="dxa"/>
              <w:left w:w="0" w:type="dxa"/>
              <w:bottom w:w="0" w:type="dxa"/>
              <w:right w:w="0" w:type="dxa"/>
            </w:tcMar>
            <w:vAlign w:val="center"/>
          </w:tcPr>
          <w:p>
            <w:pPr>
              <w:pStyle w:val="TableContents"/>
              <w:bidi w:val="0"/>
              <w:spacing w:before="0" w:after="60"/>
              <w:jc w:val="left"/>
              <w:rPr/>
            </w:pPr>
            <w:r>
              <w:rPr/>
              <w:drawing>
                <wp:inline distT="0" distB="0" distL="0" distR="0">
                  <wp:extent cx="476250" cy="6096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476250" cy="609600"/>
                          </a:xfrm>
                          <a:prstGeom prst="rect">
                            <a:avLst/>
                          </a:prstGeom>
                        </pic:spPr>
                      </pic:pic>
                    </a:graphicData>
                  </a:graphic>
                </wp:inline>
              </w:drawing>
            </w:r>
            <w:bookmarkStart w:id="31" w:name="i-32"/>
            <w:bookmarkEnd w:id="31"/>
          </w:p>
        </w:tc>
        <w:tc>
          <w:tcPr>
            <w:tcW w:w="3297"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Joseph Malchow</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Founding Partner, HNVR Technology Investment Management</w:t>
            </w:r>
          </w:p>
          <w:p>
            <w:pPr>
              <w:pStyle w:val="TableContents"/>
              <w:bidi w:val="0"/>
              <w:spacing w:lineRule="auto" w:line="288" w:before="0" w:after="60"/>
              <w:jc w:val="left"/>
              <w:rPr>
                <w:color w:val="000000"/>
                <w:shd w:fill="FFD02C" w:val="clear"/>
              </w:rPr>
            </w:pPr>
            <w:r>
              <w:rPr>
                <w:color w:val="000000"/>
                <w:shd w:fill="FFD02C" w:val="clear"/>
              </w:rPr>
              <w:t> </w:t>
            </w:r>
            <w:r>
              <w:rPr>
                <w:rFonts w:ascii="Avenir Next LT Pro;sans-serif" w:hAnsi="Avenir Next LT Pro;sans-serif"/>
                <w:b/>
                <w:color w:val="000000"/>
                <w:sz w:val="18"/>
                <w:shd w:fill="FFD02C" w:val="clear"/>
              </w:rPr>
              <w:t xml:space="preserve">IND </w:t>
            </w:r>
          </w:p>
        </w:tc>
        <w:tc>
          <w:tcPr>
            <w:tcW w:w="46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w:t>
            </w:r>
          </w:p>
        </w:tc>
        <w:tc>
          <w:tcPr>
            <w:tcW w:w="102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2020</w:t>
            </w:r>
          </w:p>
        </w:tc>
        <w:tc>
          <w:tcPr>
            <w:tcW w:w="126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AF6E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E86100"/>
                <w:sz w:val="28"/>
              </w:rPr>
            </w:pPr>
            <w:r>
              <w:rPr>
                <w:rFonts w:ascii="Wingdings;sans-serif" w:hAnsi="Wingdings;sans-serif"/>
                <w:b w:val="false"/>
                <w:color w:val="E86100"/>
                <w:sz w:val="28"/>
              </w:rPr>
              <w:t>l</w:t>
            </w:r>
          </w:p>
        </w:tc>
      </w:tr>
      <w:tr>
        <w:trPr/>
        <w:tc>
          <w:tcPr>
            <w:tcW w:w="10205" w:type="dxa"/>
            <w:gridSpan w:val="21"/>
            <w:tcBorders/>
            <w:shd w:fill="2C436F"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Continuing Class I Directors (Until 2028 Annual Meeting of Stockholders)</w:t>
            </w:r>
          </w:p>
        </w:tc>
      </w:tr>
      <w:tr>
        <w:trPr/>
        <w:tc>
          <w:tcPr>
            <w:tcW w:w="851"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476250" cy="6096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476250" cy="609600"/>
                          </a:xfrm>
                          <a:prstGeom prst="rect">
                            <a:avLst/>
                          </a:prstGeom>
                        </pic:spPr>
                      </pic:pic>
                    </a:graphicData>
                  </a:graphic>
                </wp:inline>
              </w:drawing>
            </w:r>
            <w:bookmarkStart w:id="32" w:name="i-33"/>
            <w:bookmarkEnd w:id="32"/>
          </w:p>
        </w:tc>
        <w:tc>
          <w:tcPr>
            <w:tcW w:w="329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Steven J. Gomo</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Former CFO, NetApp, Inc.</w:t>
            </w:r>
          </w:p>
          <w:p>
            <w:pPr>
              <w:pStyle w:val="TableContents"/>
              <w:bidi w:val="0"/>
              <w:spacing w:lineRule="auto" w:line="288" w:before="0" w:after="60"/>
              <w:jc w:val="left"/>
              <w:rPr>
                <w:color w:val="000000"/>
                <w:shd w:fill="FFD02C" w:val="clear"/>
              </w:rPr>
            </w:pPr>
            <w:r>
              <w:rPr>
                <w:color w:val="000000"/>
                <w:shd w:fill="FFD02C" w:val="clear"/>
              </w:rPr>
              <w:t> </w:t>
            </w:r>
            <w:r>
              <w:rPr>
                <w:rFonts w:ascii="Avenir Next LT Pro;sans-serif" w:hAnsi="Avenir Next LT Pro;sans-serif"/>
                <w:b/>
                <w:color w:val="000000"/>
                <w:sz w:val="18"/>
                <w:shd w:fill="FFD02C" w:val="clear"/>
              </w:rPr>
              <w:t xml:space="preserve">IND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74</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2011</w:t>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3B999E"/>
                <w:sz w:val="28"/>
              </w:rPr>
            </w:pPr>
            <w:r>
              <w:rPr>
                <w:rFonts w:ascii="Wingdings;sans-serif" w:hAnsi="Wingdings;sans-serif"/>
                <w:b w:val="false"/>
                <w:color w:val="3B999E"/>
                <w:sz w:val="28"/>
              </w:rPr>
              <w:t>l</w:t>
            </w:r>
          </w:p>
        </w:tc>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shd w:fill="FAF6EF" w:val="clear"/>
            <w:tcMar>
              <w:top w:w="0" w:type="dxa"/>
              <w:left w:w="0" w:type="dxa"/>
              <w:bottom w:w="0" w:type="dxa"/>
              <w:right w:w="0" w:type="dxa"/>
            </w:tcMar>
            <w:vAlign w:val="center"/>
          </w:tcPr>
          <w:p>
            <w:pPr>
              <w:pStyle w:val="TableContents"/>
              <w:bidi w:val="0"/>
              <w:spacing w:before="0" w:after="60"/>
              <w:jc w:val="left"/>
              <w:rPr/>
            </w:pPr>
            <w:r>
              <w:rPr/>
              <w:drawing>
                <wp:inline distT="0" distB="0" distL="0" distR="0">
                  <wp:extent cx="476250" cy="6096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476250" cy="609600"/>
                          </a:xfrm>
                          <a:prstGeom prst="rect">
                            <a:avLst/>
                          </a:prstGeom>
                        </pic:spPr>
                      </pic:pic>
                    </a:graphicData>
                  </a:graphic>
                </wp:inline>
              </w:drawing>
            </w:r>
            <w:bookmarkStart w:id="33" w:name="i-34"/>
            <w:bookmarkEnd w:id="33"/>
          </w:p>
        </w:tc>
        <w:tc>
          <w:tcPr>
            <w:tcW w:w="3297"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Thurman John Rodgers</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CEO of Complete Solaria; Founder and former CEO, Cypress Semiconductor</w:t>
            </w:r>
          </w:p>
          <w:p>
            <w:pPr>
              <w:pStyle w:val="TableContents"/>
              <w:bidi w:val="0"/>
              <w:spacing w:lineRule="auto" w:line="288" w:before="0" w:after="60"/>
              <w:jc w:val="left"/>
              <w:rPr>
                <w:color w:val="000000"/>
                <w:shd w:fill="FFD02C" w:val="clear"/>
              </w:rPr>
            </w:pPr>
            <w:r>
              <w:rPr>
                <w:color w:val="000000"/>
                <w:shd w:fill="FFD02C" w:val="clear"/>
              </w:rPr>
              <w:t> </w:t>
            </w:r>
            <w:r>
              <w:rPr>
                <w:rFonts w:ascii="Avenir Next LT Pro;sans-serif" w:hAnsi="Avenir Next LT Pro;sans-serif"/>
                <w:b/>
                <w:color w:val="000000"/>
                <w:sz w:val="18"/>
                <w:shd w:fill="FFD02C" w:val="clear"/>
              </w:rPr>
              <w:t xml:space="preserve">IND </w:t>
            </w:r>
          </w:p>
        </w:tc>
        <w:tc>
          <w:tcPr>
            <w:tcW w:w="46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78</w:t>
            </w:r>
          </w:p>
        </w:tc>
        <w:tc>
          <w:tcPr>
            <w:tcW w:w="102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2017</w:t>
            </w:r>
          </w:p>
        </w:tc>
        <w:tc>
          <w:tcPr>
            <w:tcW w:w="126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AF6E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3B999E"/>
                <w:sz w:val="28"/>
              </w:rPr>
            </w:pPr>
            <w:r>
              <w:rPr>
                <w:rFonts w:ascii="Wingdings;sans-serif" w:hAnsi="Wingdings;sans-serif"/>
                <w:b w:val="false"/>
                <w:color w:val="3B999E"/>
                <w:sz w:val="28"/>
              </w:rPr>
              <w:t>l</w:t>
            </w:r>
          </w:p>
        </w:tc>
        <w:tc>
          <w:tcPr>
            <w:tcW w:w="1550" w:type="dxa"/>
            <w:gridSpan w:val="3"/>
            <w:tcBorders/>
            <w:shd w:fill="FAF6E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E86100"/>
                <w:sz w:val="28"/>
              </w:rPr>
            </w:pPr>
            <w:r>
              <w:rPr>
                <w:rFonts w:ascii="Wingdings;sans-serif" w:hAnsi="Wingdings;sans-serif"/>
                <w:b w:val="false"/>
                <w:color w:val="E86100"/>
                <w:sz w:val="28"/>
              </w:rPr>
              <w:t>l</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12"/>
            <w:tcBorders/>
            <w:tcMar>
              <w:top w:w="0" w:type="dxa"/>
              <w:left w:w="0" w:type="dxa"/>
              <w:bottom w:w="0" w:type="dxa"/>
              <w:right w:w="0" w:type="dxa"/>
            </w:tcMar>
            <w:vAlign w:val="center"/>
          </w:tcPr>
          <w:p>
            <w:pPr>
              <w:pStyle w:val="TableContents"/>
              <w:bidi w:val="0"/>
              <w:spacing w:lineRule="auto" w:line="288" w:before="0" w:after="60"/>
              <w:jc w:val="left"/>
              <w:rPr/>
            </w:pPr>
            <w:r>
              <w:rPr>
                <w:rFonts w:ascii="Wingdings;sans-serif" w:hAnsi="Wingdings;sans-serif"/>
                <w:b w:val="false"/>
                <w:color w:val="E86100"/>
                <w:sz w:val="24"/>
              </w:rPr>
              <w:t>l</w:t>
            </w:r>
            <w:r>
              <w:rPr>
                <w:color w:val="000000"/>
              </w:rPr>
              <w:t xml:space="preserve"> </w:t>
            </w:r>
            <w:r>
              <w:rPr>
                <w:rFonts w:ascii="Avenir Next LT Pro;sans-serif" w:hAnsi="Avenir Next LT Pro;sans-serif"/>
                <w:b w:val="false"/>
                <w:color w:val="000000"/>
                <w:sz w:val="18"/>
              </w:rPr>
              <w:t xml:space="preserve">Member </w:t>
            </w:r>
            <w:r>
              <w:rPr>
                <w:rFonts w:ascii="Wingdings;sans-serif" w:hAnsi="Wingdings;sans-serif"/>
                <w:b w:val="false"/>
                <w:color w:val="3B999E"/>
                <w:sz w:val="24"/>
              </w:rPr>
              <w:t>l</w:t>
            </w:r>
            <w:r>
              <w:rPr>
                <w:color w:val="000000"/>
              </w:rPr>
              <w:t xml:space="preserve"> </w:t>
            </w:r>
            <w:r>
              <w:rPr>
                <w:rFonts w:ascii="Avenir Next LT Pro;sans-serif" w:hAnsi="Avenir Next LT Pro;sans-serif"/>
                <w:b w:val="false"/>
                <w:color w:val="000000"/>
                <w:sz w:val="18"/>
              </w:rPr>
              <w:t xml:space="preserve">Chair </w:t>
            </w:r>
            <w:r>
              <w:rPr>
                <w:rFonts w:ascii="Avenir Next LT Pro;sans-serif" w:hAnsi="Avenir Next LT Pro;sans-serif"/>
                <w:b/>
                <w:color w:val="000000"/>
                <w:sz w:val="14"/>
                <w:shd w:fill="FFD02C" w:val="clear"/>
              </w:rPr>
              <w:t xml:space="preserve">IND </w:t>
            </w:r>
            <w:r>
              <w:rPr>
                <w:rFonts w:ascii="Avenir Next LT Pro;sans-serif" w:hAnsi="Avenir Next LT Pro;sans-serif"/>
                <w:b w:val="false"/>
                <w:color w:val="000000"/>
                <w:sz w:val="18"/>
              </w:rPr>
              <w:t>Independent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4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Experience/Skills/Qualifications</w:t>
      </w:r>
    </w:p>
    <w:tbl>
      <w:tblPr>
        <w:tblW w:w="3997" w:type="dxa"/>
        <w:jc w:val="center"/>
        <w:tblInd w:w="0" w:type="dxa"/>
        <w:tblLayout w:type="fixed"/>
        <w:tblCellMar>
          <w:top w:w="28" w:type="dxa"/>
          <w:left w:w="28" w:type="dxa"/>
          <w:bottom w:w="28" w:type="dxa"/>
          <w:right w:w="28" w:type="dxa"/>
        </w:tblCellMar>
      </w:tblPr>
      <w:tblGrid>
        <w:gridCol w:w="188"/>
        <w:gridCol w:w="164"/>
        <w:gridCol w:w="169"/>
        <w:gridCol w:w="109"/>
        <w:gridCol w:w="109"/>
        <w:gridCol w:w="109"/>
        <w:gridCol w:w="921"/>
        <w:gridCol w:w="921"/>
        <w:gridCol w:w="1307"/>
      </w:tblGrid>
      <w:tr>
        <w:trPr/>
        <w:tc>
          <w:tcPr>
            <w:tcW w:w="1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09550" cy="257175"/>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36"/>
                          <a:stretch>
                            <a:fillRect/>
                          </a:stretch>
                        </pic:blipFill>
                        <pic:spPr bwMode="auto">
                          <a:xfrm>
                            <a:off x="0" y="0"/>
                            <a:ext cx="209550" cy="257175"/>
                          </a:xfrm>
                          <a:prstGeom prst="rect">
                            <a:avLst/>
                          </a:prstGeom>
                        </pic:spPr>
                      </pic:pic>
                    </a:graphicData>
                  </a:graphic>
                </wp:inline>
              </w:drawing>
            </w:r>
            <w:bookmarkStart w:id="34" w:name="i-35"/>
            <w:bookmarkEnd w:id="3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Senior Leadership</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57175" cy="200025"/>
                  <wp:effectExtent l="0" t="0" r="0" b="0"/>
                  <wp:docPr id="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6" descr=""/>
                          <pic:cNvPicPr>
                            <a:picLocks noChangeAspect="1" noChangeArrowheads="1"/>
                          </pic:cNvPicPr>
                        </pic:nvPicPr>
                        <pic:blipFill>
                          <a:blip r:embed="rId37"/>
                          <a:stretch>
                            <a:fillRect/>
                          </a:stretch>
                        </pic:blipFill>
                        <pic:spPr bwMode="auto">
                          <a:xfrm>
                            <a:off x="0" y="0"/>
                            <a:ext cx="257175" cy="200025"/>
                          </a:xfrm>
                          <a:prstGeom prst="rect">
                            <a:avLst/>
                          </a:prstGeom>
                        </pic:spPr>
                      </pic:pic>
                    </a:graphicData>
                  </a:graphic>
                </wp:inline>
              </w:drawing>
            </w:r>
            <w:bookmarkStart w:id="35" w:name="i-36"/>
            <w:bookmarkEnd w:id="3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Financial</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66700" cy="257175"/>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38"/>
                          <a:stretch>
                            <a:fillRect/>
                          </a:stretch>
                        </pic:blipFill>
                        <pic:spPr bwMode="auto">
                          <a:xfrm>
                            <a:off x="0" y="0"/>
                            <a:ext cx="266700" cy="257175"/>
                          </a:xfrm>
                          <a:prstGeom prst="rect">
                            <a:avLst/>
                          </a:prstGeom>
                        </pic:spPr>
                      </pic:pic>
                    </a:graphicData>
                  </a:graphic>
                </wp:inline>
              </w:drawing>
            </w:r>
            <w:bookmarkStart w:id="36" w:name="i-37"/>
            <w:bookmarkEnd w:id="3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Risk Management</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28600" cy="209550"/>
                  <wp:effectExtent l="0" t="0" r="0" b="0"/>
                  <wp:docPr id="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8" descr=""/>
                          <pic:cNvPicPr>
                            <a:picLocks noChangeAspect="1" noChangeArrowheads="1"/>
                          </pic:cNvPicPr>
                        </pic:nvPicPr>
                        <pic:blipFill>
                          <a:blip r:embed="rId39"/>
                          <a:stretch>
                            <a:fillRect/>
                          </a:stretch>
                        </pic:blipFill>
                        <pic:spPr bwMode="auto">
                          <a:xfrm>
                            <a:off x="0" y="0"/>
                            <a:ext cx="228600" cy="209550"/>
                          </a:xfrm>
                          <a:prstGeom prst="rect">
                            <a:avLst/>
                          </a:prstGeom>
                        </pic:spPr>
                      </pic:pic>
                    </a:graphicData>
                  </a:graphic>
                </wp:inline>
              </w:drawing>
            </w:r>
            <w:bookmarkStart w:id="37" w:name="i-38"/>
            <w:bookmarkEnd w:id="3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Corporate Governance</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66700" cy="200025"/>
                  <wp:effectExtent l="0" t="0" r="0" b="0"/>
                  <wp:docPr id="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 descr=""/>
                          <pic:cNvPicPr>
                            <a:picLocks noChangeAspect="1" noChangeArrowheads="1"/>
                          </pic:cNvPicPr>
                        </pic:nvPicPr>
                        <pic:blipFill>
                          <a:blip r:embed="rId40"/>
                          <a:stretch>
                            <a:fillRect/>
                          </a:stretch>
                        </pic:blipFill>
                        <pic:spPr bwMode="auto">
                          <a:xfrm>
                            <a:off x="0" y="0"/>
                            <a:ext cx="266700" cy="200025"/>
                          </a:xfrm>
                          <a:prstGeom prst="rect">
                            <a:avLst/>
                          </a:prstGeom>
                        </pic:spPr>
                      </pic:pic>
                    </a:graphicData>
                  </a:graphic>
                </wp:inline>
              </w:drawing>
            </w:r>
            <w:bookmarkStart w:id="38" w:name="i-39"/>
            <w:bookmarkEnd w:id="3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Privacy &amp; Security</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28600" cy="228600"/>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1"/>
                          <a:stretch>
                            <a:fillRect/>
                          </a:stretch>
                        </pic:blipFill>
                        <pic:spPr bwMode="auto">
                          <a:xfrm>
                            <a:off x="0" y="0"/>
                            <a:ext cx="228600" cy="228600"/>
                          </a:xfrm>
                          <a:prstGeom prst="rect">
                            <a:avLst/>
                          </a:prstGeom>
                        </pic:spPr>
                      </pic:pic>
                    </a:graphicData>
                  </a:graphic>
                </wp:inline>
              </w:drawing>
            </w:r>
            <w:bookmarkStart w:id="39" w:name="i-40"/>
            <w:bookmarkEnd w:id="3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Sales &amp; Marketing</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47650" cy="200025"/>
                  <wp:effectExtent l="0" t="0" r="0" b="0"/>
                  <wp:docPr id="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1" descr=""/>
                          <pic:cNvPicPr>
                            <a:picLocks noChangeAspect="1" noChangeArrowheads="1"/>
                          </pic:cNvPicPr>
                        </pic:nvPicPr>
                        <pic:blipFill>
                          <a:blip r:embed="rId42"/>
                          <a:stretch>
                            <a:fillRect/>
                          </a:stretch>
                        </pic:blipFill>
                        <pic:spPr bwMode="auto">
                          <a:xfrm>
                            <a:off x="0" y="0"/>
                            <a:ext cx="247650" cy="200025"/>
                          </a:xfrm>
                          <a:prstGeom prst="rect">
                            <a:avLst/>
                          </a:prstGeom>
                        </pic:spPr>
                      </pic:pic>
                    </a:graphicData>
                  </a:graphic>
                </wp:inline>
              </w:drawing>
            </w:r>
            <w:bookmarkStart w:id="40" w:name="i-41"/>
            <w:bookmarkEnd w:id="4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Global Business &amp; Operations</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28600" cy="228600"/>
                  <wp:effectExtent l="0" t="0" r="0" b="0"/>
                  <wp:docPr id="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2" descr=""/>
                          <pic:cNvPicPr>
                            <a:picLocks noChangeAspect="1" noChangeArrowheads="1"/>
                          </pic:cNvPicPr>
                        </pic:nvPicPr>
                        <pic:blipFill>
                          <a:blip r:embed="rId43"/>
                          <a:stretch>
                            <a:fillRect/>
                          </a:stretch>
                        </pic:blipFill>
                        <pic:spPr bwMode="auto">
                          <a:xfrm>
                            <a:off x="0" y="0"/>
                            <a:ext cx="228600" cy="228600"/>
                          </a:xfrm>
                          <a:prstGeom prst="rect">
                            <a:avLst/>
                          </a:prstGeom>
                        </pic:spPr>
                      </pic:pic>
                    </a:graphicData>
                  </a:graphic>
                </wp:inline>
              </w:drawing>
            </w:r>
            <w:bookmarkStart w:id="41" w:name="i-42"/>
            <w:bookmarkEnd w:id="4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People &amp; Culture</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66700" cy="200025"/>
                  <wp:effectExtent l="0" t="0" r="0" b="0"/>
                  <wp:docPr id="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3" descr=""/>
                          <pic:cNvPicPr>
                            <a:picLocks noChangeAspect="1" noChangeArrowheads="1"/>
                          </pic:cNvPicPr>
                        </pic:nvPicPr>
                        <pic:blipFill>
                          <a:blip r:embed="rId44"/>
                          <a:stretch>
                            <a:fillRect/>
                          </a:stretch>
                        </pic:blipFill>
                        <pic:spPr bwMode="auto">
                          <a:xfrm>
                            <a:off x="0" y="0"/>
                            <a:ext cx="266700" cy="200025"/>
                          </a:xfrm>
                          <a:prstGeom prst="rect">
                            <a:avLst/>
                          </a:prstGeom>
                        </pic:spPr>
                      </pic:pic>
                    </a:graphicData>
                  </a:graphic>
                </wp:inline>
              </w:drawing>
            </w:r>
            <w:bookmarkStart w:id="42" w:name="i-43"/>
            <w:bookmarkEnd w:id="4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Innovation &amp; Technology</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09550" cy="228600"/>
                  <wp:effectExtent l="0" t="0" r="0" b="0"/>
                  <wp:docPr id="5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4" descr=""/>
                          <pic:cNvPicPr>
                            <a:picLocks noChangeAspect="1" noChangeArrowheads="1"/>
                          </pic:cNvPicPr>
                        </pic:nvPicPr>
                        <pic:blipFill>
                          <a:blip r:embed="rId45"/>
                          <a:stretch>
                            <a:fillRect/>
                          </a:stretch>
                        </pic:blipFill>
                        <pic:spPr bwMode="auto">
                          <a:xfrm>
                            <a:off x="0" y="0"/>
                            <a:ext cx="209550" cy="228600"/>
                          </a:xfrm>
                          <a:prstGeom prst="rect">
                            <a:avLst/>
                          </a:prstGeom>
                        </pic:spPr>
                      </pic:pic>
                    </a:graphicData>
                  </a:graphic>
                </wp:inline>
              </w:drawing>
            </w:r>
            <w:bookmarkStart w:id="43" w:name="i-44"/>
            <w:bookmarkEnd w:id="4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Public Policy &amp; Government</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60"/>
              <w:jc w:val="center"/>
              <w:rPr/>
            </w:pPr>
            <w:r>
              <w:rPr/>
              <w:drawing>
                <wp:inline distT="0" distB="0" distL="0" distR="0">
                  <wp:extent cx="257175" cy="247650"/>
                  <wp:effectExtent l="0" t="0" r="0" b="0"/>
                  <wp:docPr id="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5" descr=""/>
                          <pic:cNvPicPr>
                            <a:picLocks noChangeAspect="1" noChangeArrowheads="1"/>
                          </pic:cNvPicPr>
                        </pic:nvPicPr>
                        <pic:blipFill>
                          <a:blip r:embed="rId46"/>
                          <a:stretch>
                            <a:fillRect/>
                          </a:stretch>
                        </pic:blipFill>
                        <pic:spPr bwMode="auto">
                          <a:xfrm>
                            <a:off x="0" y="0"/>
                            <a:ext cx="257175" cy="247650"/>
                          </a:xfrm>
                          <a:prstGeom prst="rect">
                            <a:avLst/>
                          </a:prstGeom>
                        </pic:spPr>
                      </pic:pic>
                    </a:graphicData>
                  </a:graphic>
                </wp:inline>
              </w:drawing>
            </w:r>
            <w:bookmarkStart w:id="44" w:name="i-45"/>
            <w:bookmarkEnd w:id="4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Environmental &amp; Climate</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drawing>
          <wp:inline distT="0" distB="0" distL="0" distR="0">
            <wp:extent cx="4200525" cy="4295775"/>
            <wp:effectExtent l="0" t="0" r="0" b="0"/>
            <wp:docPr id="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6" descr=""/>
                    <pic:cNvPicPr>
                      <a:picLocks noChangeAspect="1" noChangeArrowheads="1"/>
                    </pic:cNvPicPr>
                  </pic:nvPicPr>
                  <pic:blipFill>
                    <a:blip r:embed="rId47"/>
                    <a:stretch>
                      <a:fillRect/>
                    </a:stretch>
                  </pic:blipFill>
                  <pic:spPr bwMode="auto">
                    <a:xfrm>
                      <a:off x="0" y="0"/>
                      <a:ext cx="4200525" cy="4295775"/>
                    </a:xfrm>
                    <a:prstGeom prst="rect">
                      <a:avLst/>
                    </a:prstGeom>
                  </pic:spPr>
                </pic:pic>
              </a:graphicData>
            </a:graphic>
          </wp:inline>
        </w:drawing>
      </w:r>
      <w:bookmarkStart w:id="45" w:name="i-46"/>
      <w:bookmarkEnd w:id="45"/>
    </w:p>
    <w:p>
      <w:pPr>
        <w:pStyle w:val="TextBody"/>
        <w:bidi w:val="0"/>
        <w:spacing w:lineRule="auto" w:line="288" w:before="960" w:after="120"/>
        <w:jc w:val="left"/>
        <w:rPr>
          <w:rFonts w:ascii="Avenir Next LT Pro;sans-serif" w:hAnsi="Avenir Next LT Pro;sans-serif"/>
          <w:b/>
          <w:color w:val="000000"/>
          <w:sz w:val="24"/>
        </w:rPr>
      </w:pPr>
      <w:r>
        <w:rPr>
          <w:rFonts w:ascii="Avenir Next LT Pro;sans-serif" w:hAnsi="Avenir Next LT Pro;sans-serif"/>
          <w:b/>
          <w:color w:val="000000"/>
          <w:sz w:val="24"/>
        </w:rPr>
        <w:t>Board of Directors Snapshot</w:t>
      </w:r>
    </w:p>
    <w:p>
      <w:pPr>
        <w:pStyle w:val="TextBody"/>
        <w:bidi w:val="0"/>
        <w:spacing w:before="0" w:after="0"/>
        <w:jc w:val="center"/>
        <w:rPr/>
      </w:pPr>
      <w:r>
        <w:rPr/>
        <w:drawing>
          <wp:inline distT="0" distB="0" distL="0" distR="0">
            <wp:extent cx="1638300" cy="2286000"/>
            <wp:effectExtent l="0" t="0" r="0" b="0"/>
            <wp:docPr id="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 descr=""/>
                    <pic:cNvPicPr>
                      <a:picLocks noChangeAspect="1" noChangeArrowheads="1"/>
                    </pic:cNvPicPr>
                  </pic:nvPicPr>
                  <pic:blipFill>
                    <a:blip r:embed="rId48"/>
                    <a:stretch>
                      <a:fillRect/>
                    </a:stretch>
                  </pic:blipFill>
                  <pic:spPr bwMode="auto">
                    <a:xfrm>
                      <a:off x="0" y="0"/>
                      <a:ext cx="1638300" cy="2286000"/>
                    </a:xfrm>
                    <a:prstGeom prst="rect">
                      <a:avLst/>
                    </a:prstGeom>
                  </pic:spPr>
                </pic:pic>
              </a:graphicData>
            </a:graphic>
          </wp:inline>
        </w:drawing>
      </w:r>
      <w:bookmarkStart w:id="46" w:name="i-47"/>
      <w:bookmarkEnd w:id="46"/>
      <w:r>
        <w:rPr/>
        <w:drawing>
          <wp:inline distT="0" distB="0" distL="0" distR="0">
            <wp:extent cx="1638300" cy="2286000"/>
            <wp:effectExtent l="0" t="0" r="0" b="0"/>
            <wp:docPr id="5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8" descr=""/>
                    <pic:cNvPicPr>
                      <a:picLocks noChangeAspect="1" noChangeArrowheads="1"/>
                    </pic:cNvPicPr>
                  </pic:nvPicPr>
                  <pic:blipFill>
                    <a:blip r:embed="rId49"/>
                    <a:stretch>
                      <a:fillRect/>
                    </a:stretch>
                  </pic:blipFill>
                  <pic:spPr bwMode="auto">
                    <a:xfrm>
                      <a:off x="0" y="0"/>
                      <a:ext cx="1638300" cy="2286000"/>
                    </a:xfrm>
                    <a:prstGeom prst="rect">
                      <a:avLst/>
                    </a:prstGeom>
                  </pic:spPr>
                </pic:pic>
              </a:graphicData>
            </a:graphic>
          </wp:inline>
        </w:drawing>
      </w:r>
      <w:bookmarkStart w:id="47" w:name="i-48"/>
      <w:bookmarkEnd w:id="47"/>
      <w:r>
        <w:rPr/>
        <w:drawing>
          <wp:inline distT="0" distB="0" distL="0" distR="0">
            <wp:extent cx="1638300" cy="2286000"/>
            <wp:effectExtent l="0" t="0" r="0" b="0"/>
            <wp:docPr id="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9" descr=""/>
                    <pic:cNvPicPr>
                      <a:picLocks noChangeAspect="1" noChangeArrowheads="1"/>
                    </pic:cNvPicPr>
                  </pic:nvPicPr>
                  <pic:blipFill>
                    <a:blip r:embed="rId50"/>
                    <a:stretch>
                      <a:fillRect/>
                    </a:stretch>
                  </pic:blipFill>
                  <pic:spPr bwMode="auto">
                    <a:xfrm>
                      <a:off x="0" y="0"/>
                      <a:ext cx="1638300" cy="2286000"/>
                    </a:xfrm>
                    <a:prstGeom prst="rect">
                      <a:avLst/>
                    </a:prstGeom>
                  </pic:spPr>
                </pic:pic>
              </a:graphicData>
            </a:graphic>
          </wp:inline>
        </w:drawing>
      </w:r>
      <w:bookmarkStart w:id="48" w:name="i-49"/>
      <w:bookmarkEnd w:id="48"/>
      <w:r>
        <w:rPr/>
        <w:drawing>
          <wp:inline distT="0" distB="0" distL="0" distR="0">
            <wp:extent cx="1638300" cy="2286000"/>
            <wp:effectExtent l="0" t="0" r="0" b="0"/>
            <wp:docPr id="5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0" descr=""/>
                    <pic:cNvPicPr>
                      <a:picLocks noChangeAspect="1" noChangeArrowheads="1"/>
                    </pic:cNvPicPr>
                  </pic:nvPicPr>
                  <pic:blipFill>
                    <a:blip r:embed="rId51"/>
                    <a:stretch>
                      <a:fillRect/>
                    </a:stretch>
                  </pic:blipFill>
                  <pic:spPr bwMode="auto">
                    <a:xfrm>
                      <a:off x="0" y="0"/>
                      <a:ext cx="1638300" cy="2286000"/>
                    </a:xfrm>
                    <a:prstGeom prst="rect">
                      <a:avLst/>
                    </a:prstGeom>
                  </pic:spPr>
                </pic:pic>
              </a:graphicData>
            </a:graphic>
          </wp:inline>
        </w:drawing>
      </w:r>
      <w:bookmarkStart w:id="49" w:name="i-50"/>
      <w:bookmarkEnd w:id="4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6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Stockholder Outreach and Engagement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Since 2022, we have proactively engaged year-round with our top stockholders to solicit feedback and better understand their priorities and perspectives on our corporate governance, executive compensation program, disclosure practices, environmental and social impact programs, and other topics. Investor feedback is shared with the appropriate Committee(s) and the Board as depicted below.</w:t>
      </w:r>
    </w:p>
    <w:tbl>
      <w:tblPr>
        <w:tblW w:w="9227" w:type="dxa"/>
        <w:jc w:val="left"/>
        <w:tblInd w:w="0" w:type="dxa"/>
        <w:tblLayout w:type="fixed"/>
        <w:tblCellMar>
          <w:top w:w="28" w:type="dxa"/>
          <w:left w:w="28" w:type="dxa"/>
          <w:bottom w:w="28" w:type="dxa"/>
          <w:right w:w="28" w:type="dxa"/>
        </w:tblCellMar>
      </w:tblPr>
      <w:tblGrid>
        <w:gridCol w:w="124"/>
        <w:gridCol w:w="109"/>
        <w:gridCol w:w="109"/>
        <w:gridCol w:w="889"/>
        <w:gridCol w:w="889"/>
        <w:gridCol w:w="891"/>
        <w:gridCol w:w="109"/>
        <w:gridCol w:w="109"/>
        <w:gridCol w:w="109"/>
        <w:gridCol w:w="109"/>
        <w:gridCol w:w="109"/>
        <w:gridCol w:w="109"/>
        <w:gridCol w:w="1729"/>
        <w:gridCol w:w="1729"/>
        <w:gridCol w:w="17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BF6EF" w:val="clear"/>
            <w:tcMar>
              <w:top w:w="0" w:type="dxa"/>
              <w:left w:w="0" w:type="dxa"/>
              <w:bottom w:w="0" w:type="dxa"/>
              <w:right w:w="0" w:type="dxa"/>
            </w:tcMar>
            <w:vAlign w:val="center"/>
          </w:tcPr>
          <w:p>
            <w:pPr>
              <w:pStyle w:val="TableContents"/>
              <w:bidi w:val="0"/>
              <w:spacing w:lineRule="auto" w:line="312" w:before="0" w:after="300"/>
              <w:jc w:val="left"/>
              <w:rPr>
                <w:rFonts w:ascii="Avenir Next LT Pro;sans-serif" w:hAnsi="Avenir Next LT Pro;sans-serif"/>
                <w:b/>
                <w:color w:val="000000"/>
                <w:sz w:val="28"/>
              </w:rPr>
            </w:pPr>
            <w:r>
              <w:rPr>
                <w:rFonts w:ascii="Avenir Next LT Pro;sans-serif" w:hAnsi="Avenir Next LT Pro;sans-serif"/>
                <w:b/>
                <w:color w:val="000000"/>
                <w:sz w:val="28"/>
              </w:rPr>
              <w:t>Engagement</w:t>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BF6EF" w:val="clear"/>
            <w:tcMar>
              <w:top w:w="0" w:type="dxa"/>
              <w:left w:w="0" w:type="dxa"/>
              <w:bottom w:w="0" w:type="dxa"/>
              <w:right w:w="0" w:type="dxa"/>
            </w:tcMar>
            <w:vAlign w:val="center"/>
          </w:tcPr>
          <w:p>
            <w:pPr>
              <w:pStyle w:val="TableContents"/>
              <w:bidi w:val="0"/>
              <w:spacing w:lineRule="auto" w:line="288" w:before="300" w:after="60"/>
              <w:jc w:val="left"/>
              <w:rPr>
                <w:rFonts w:ascii="Avenir Next LT Pro;sans-serif" w:hAnsi="Avenir Next LT Pro;sans-serif"/>
                <w:b/>
                <w:color w:val="000000"/>
                <w:sz w:val="36"/>
              </w:rPr>
            </w:pPr>
            <w:r>
              <w:rPr>
                <w:rFonts w:ascii="Avenir Next LT Pro;sans-serif" w:hAnsi="Avenir Next LT Pro;sans-serif"/>
                <w:b/>
                <w:color w:val="000000"/>
                <w:sz w:val="36"/>
              </w:rPr>
              <w:t xml:space="preserve">~64.2% </w:t>
            </w:r>
          </w:p>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of our outstanding shares </w:t>
            </w:r>
          </w:p>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(32 stockholders) contacted</w:t>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000000"/>
            </w:tcBorders>
            <w:shd w:fill="FB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BF6EF" w:val="clear"/>
            <w:tcMar>
              <w:top w:w="0" w:type="dxa"/>
              <w:left w:w="0" w:type="dxa"/>
              <w:bottom w:w="0" w:type="dxa"/>
              <w:right w:w="0" w:type="dxa"/>
            </w:tcMar>
            <w:vAlign w:val="center"/>
          </w:tcPr>
          <w:p>
            <w:pPr>
              <w:pStyle w:val="TableContents"/>
              <w:bidi w:val="0"/>
              <w:spacing w:lineRule="auto" w:line="288" w:before="300" w:after="60"/>
              <w:jc w:val="left"/>
              <w:rPr>
                <w:rFonts w:ascii="Avenir Next LT Pro;sans-serif" w:hAnsi="Avenir Next LT Pro;sans-serif"/>
                <w:b/>
                <w:color w:val="000000"/>
                <w:sz w:val="36"/>
              </w:rPr>
            </w:pPr>
            <w:r>
              <w:rPr>
                <w:rFonts w:ascii="Avenir Next LT Pro;sans-serif" w:hAnsi="Avenir Next LT Pro;sans-serif"/>
                <w:b/>
                <w:color w:val="000000"/>
                <w:sz w:val="36"/>
              </w:rPr>
              <w:t xml:space="preserve">~35.4% </w:t>
            </w:r>
          </w:p>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of outstanding shares responded (10 stockholders) </w:t>
            </w:r>
          </w:p>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5.3% took meetings; 30.1% declined citing no concerns</w:t>
            </w:r>
          </w:p>
        </w:tc>
        <w:tc>
          <w:tcPr>
            <w:tcW w:w="37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55" w:type="dxa"/>
        <w:jc w:val="center"/>
        <w:tblInd w:w="0" w:type="dxa"/>
        <w:tblLayout w:type="fixed"/>
        <w:tblCellMar>
          <w:top w:w="28" w:type="dxa"/>
          <w:left w:w="28" w:type="dxa"/>
          <w:bottom w:w="28" w:type="dxa"/>
          <w:right w:w="28" w:type="dxa"/>
        </w:tblCellMar>
      </w:tblPr>
      <w:tblGrid>
        <w:gridCol w:w="1425"/>
        <w:gridCol w:w="1253"/>
        <w:gridCol w:w="1777"/>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300"/>
              <w:jc w:val="center"/>
              <w:rPr>
                <w:rFonts w:ascii="Avenir Next LT Pro;sans-serif" w:hAnsi="Avenir Next LT Pro;sans-serif"/>
                <w:b/>
                <w:color w:val="2C436F"/>
                <w:sz w:val="24"/>
              </w:rPr>
            </w:pPr>
            <w:r>
              <w:rPr>
                <w:rFonts w:ascii="Avenir Next LT Pro;sans-serif" w:hAnsi="Avenir Next LT Pro;sans-serif"/>
                <w:b/>
                <w:color w:val="2C436F"/>
                <w:sz w:val="24"/>
              </w:rPr>
              <w:t>Winter / Spring</w:t>
            </w:r>
          </w:p>
        </w:tc>
      </w:tr>
      <w:tr>
        <w:trPr/>
        <w:tc>
          <w:tcPr>
            <w:tcW w:w="4455" w:type="dxa"/>
            <w:gridSpan w:val="3"/>
            <w:tcBorders/>
            <w:tcMar>
              <w:top w:w="0" w:type="dxa"/>
              <w:left w:w="0" w:type="dxa"/>
              <w:bottom w:w="0" w:type="dxa"/>
              <w:right w:w="0" w:type="dxa"/>
            </w:tcMar>
            <w:vAlign w:val="center"/>
          </w:tcPr>
          <w:p>
            <w:pPr>
              <w:pStyle w:val="TableContents"/>
              <w:bidi w:val="0"/>
              <w:spacing w:lineRule="auto" w:line="336" w:before="0" w:after="20"/>
              <w:ind w:left="0" w:right="0" w:hanging="180"/>
              <w:jc w:val="left"/>
              <w:rPr/>
            </w:pPr>
            <w:r>
              <w:rPr>
                <w:color w:val="000000"/>
              </w:rPr>
              <w:t>•</w:t>
            </w:r>
            <w:r>
              <w:rPr>
                <w:rFonts w:ascii="Avenir Next LT Pro;sans-serif" w:hAnsi="Avenir Next LT Pro;sans-serif"/>
                <w:b w:val="false"/>
                <w:color w:val="000000"/>
                <w:sz w:val="18"/>
              </w:rPr>
              <w:t>Annual Report and proxy statement published</w:t>
            </w:r>
          </w:p>
          <w:p>
            <w:pPr>
              <w:pStyle w:val="TableContents"/>
              <w:bidi w:val="0"/>
              <w:spacing w:lineRule="auto" w:line="336" w:before="0" w:after="20"/>
              <w:ind w:left="0" w:right="0" w:hanging="180"/>
              <w:jc w:val="left"/>
              <w:rPr/>
            </w:pPr>
            <w:r>
              <w:rPr>
                <w:color w:val="000000"/>
              </w:rPr>
              <w:t>•</w:t>
            </w:r>
            <w:r>
              <w:rPr>
                <w:rFonts w:ascii="Avenir Next LT Pro;sans-serif" w:hAnsi="Avenir Next LT Pro;sans-serif"/>
                <w:b w:val="false"/>
                <w:color w:val="000000"/>
                <w:sz w:val="18"/>
              </w:rPr>
              <w:t>Sustainability Report published</w:t>
            </w:r>
          </w:p>
          <w:p>
            <w:pPr>
              <w:pStyle w:val="TableContents"/>
              <w:bidi w:val="0"/>
              <w:spacing w:lineRule="auto" w:line="336" w:before="0" w:after="20"/>
              <w:ind w:left="0" w:right="0" w:hanging="180"/>
              <w:jc w:val="left"/>
              <w:rPr/>
            </w:pPr>
            <w:r>
              <w:rPr>
                <w:color w:val="000000"/>
              </w:rPr>
              <w:t>•</w:t>
            </w:r>
            <w:r>
              <w:rPr>
                <w:rFonts w:ascii="Avenir Next LT Pro;sans-serif" w:hAnsi="Avenir Next LT Pro;sans-serif"/>
                <w:b w:val="false"/>
                <w:color w:val="000000"/>
                <w:sz w:val="18"/>
              </w:rPr>
              <w:t>Continued outreach with top investors</w:t>
            </w:r>
          </w:p>
          <w:p>
            <w:pPr>
              <w:pStyle w:val="TableContents"/>
              <w:bidi w:val="0"/>
              <w:spacing w:lineRule="auto" w:line="336" w:before="0" w:after="20"/>
              <w:ind w:left="0" w:right="0" w:hanging="180"/>
              <w:jc w:val="left"/>
              <w:rPr/>
            </w:pPr>
            <w:r>
              <w:rPr>
                <w:color w:val="000000"/>
              </w:rPr>
              <w:t>•</w:t>
            </w:r>
            <w:r>
              <w:rPr>
                <w:rFonts w:ascii="Avenir Next LT Pro;sans-serif" w:hAnsi="Avenir Next LT Pro;sans-serif"/>
                <w:b w:val="false"/>
                <w:color w:val="000000"/>
                <w:sz w:val="18"/>
              </w:rPr>
              <w:t>Annual meeting of stockholders conducted</w:t>
            </w:r>
          </w:p>
        </w:tc>
      </w:tr>
    </w:tbl>
    <w:tbl>
      <w:tblPr>
        <w:tblW w:w="10205" w:type="dxa"/>
        <w:jc w:val="center"/>
        <w:tblInd w:w="0" w:type="dxa"/>
        <w:tblLayout w:type="fixed"/>
        <w:tblCellMar>
          <w:top w:w="28" w:type="dxa"/>
          <w:left w:w="28" w:type="dxa"/>
          <w:bottom w:w="28" w:type="dxa"/>
          <w:right w:w="28" w:type="dxa"/>
        </w:tblCellMar>
      </w:tblPr>
      <w:tblGrid>
        <w:gridCol w:w="1000"/>
        <w:gridCol w:w="879"/>
        <w:gridCol w:w="896"/>
        <w:gridCol w:w="109"/>
        <w:gridCol w:w="109"/>
        <w:gridCol w:w="109"/>
        <w:gridCol w:w="1228"/>
        <w:gridCol w:w="1228"/>
        <w:gridCol w:w="1230"/>
        <w:gridCol w:w="109"/>
        <w:gridCol w:w="109"/>
        <w:gridCol w:w="109"/>
        <w:gridCol w:w="904"/>
        <w:gridCol w:w="904"/>
        <w:gridCol w:w="1282"/>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227647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2286000" cy="2276475"/>
                          </a:xfrm>
                          <a:prstGeom prst="rect">
                            <a:avLst/>
                          </a:prstGeom>
                        </pic:spPr>
                      </pic:pic>
                    </a:graphicData>
                  </a:graphic>
                </wp:inline>
              </w:drawing>
            </w:r>
            <w:bookmarkStart w:id="50" w:name="i-51"/>
            <w:bookmarkEnd w:id="5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312" w:before="0" w:after="300"/>
              <w:jc w:val="left"/>
              <w:rPr>
                <w:rFonts w:ascii="Avenir Next LT Pro;sans-serif" w:hAnsi="Avenir Next LT Pro;sans-serif"/>
                <w:b/>
                <w:color w:val="439E58"/>
                <w:sz w:val="24"/>
              </w:rPr>
            </w:pPr>
            <w:r>
              <w:rPr>
                <w:rFonts w:ascii="Avenir Next LT Pro;sans-serif" w:hAnsi="Avenir Next LT Pro;sans-serif"/>
                <w:b/>
                <w:color w:val="439E58"/>
                <w:sz w:val="24"/>
              </w:rPr>
              <w:t>Fall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color w:val="F9AB1B"/>
                <w:sz w:val="24"/>
              </w:rPr>
            </w:pPr>
            <w:r>
              <w:rPr>
                <w:rFonts w:ascii="Avenir Next LT Pro;sans-serif" w:hAnsi="Avenir Next LT Pro;sans-serif"/>
                <w:b/>
                <w:color w:val="F9AB1B"/>
                <w:sz w:val="24"/>
              </w:rPr>
              <w:t>Summer</w:t>
            </w:r>
          </w:p>
        </w:tc>
      </w:tr>
      <w:tr>
        <w:trPr/>
        <w:tc>
          <w:tcPr>
            <w:tcW w:w="2775" w:type="dxa"/>
            <w:gridSpan w:val="3"/>
            <w:tcBorders/>
            <w:tcMar>
              <w:top w:w="0" w:type="dxa"/>
              <w:left w:w="0" w:type="dxa"/>
              <w:bottom w:w="0" w:type="dxa"/>
              <w:right w:w="0" w:type="dxa"/>
            </w:tcMar>
            <w:vAlign w:val="center"/>
          </w:tcPr>
          <w:p>
            <w:pPr>
              <w:pStyle w:val="TableContents"/>
              <w:bidi w:val="0"/>
              <w:spacing w:lineRule="auto" w:line="336" w:before="0" w:after="0"/>
              <w:ind w:left="0" w:right="0" w:hanging="270"/>
              <w:jc w:val="left"/>
              <w:rPr>
                <w:color w:val="000000"/>
              </w:rPr>
            </w:pPr>
            <w:r>
              <w:rPr>
                <w:color w:val="000000"/>
              </w:rPr>
              <w:t xml:space="preserve">• </w:t>
            </w:r>
            <w:r>
              <w:rPr>
                <w:rFonts w:ascii="Avenir Next LT Pro;sans-serif" w:hAnsi="Avenir Next LT Pro;sans-serif"/>
                <w:b w:val="false"/>
                <w:color w:val="000000"/>
                <w:sz w:val="18"/>
              </w:rPr>
              <w:t>Commence active outreach with top stockholders regarding priorities and voting matters</w:t>
            </w:r>
          </w:p>
          <w:p>
            <w:pPr>
              <w:pStyle w:val="TableContents"/>
              <w:bidi w:val="0"/>
              <w:spacing w:lineRule="auto" w:line="336" w:before="0" w:after="60"/>
              <w:ind w:left="0" w:right="0" w:hanging="270"/>
              <w:jc w:val="left"/>
              <w:rPr>
                <w:color w:val="000000"/>
              </w:rPr>
            </w:pPr>
            <w:r>
              <w:rPr>
                <w:color w:val="000000"/>
              </w:rPr>
              <w:t xml:space="preserve">• </w:t>
            </w:r>
            <w:r>
              <w:rPr>
                <w:rFonts w:ascii="Avenir Next LT Pro;sans-serif" w:hAnsi="Avenir Next LT Pro;sans-serif"/>
                <w:b w:val="false"/>
                <w:color w:val="000000"/>
                <w:sz w:val="18"/>
              </w:rPr>
              <w:t>Share stockholder feedback with committee(s) and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336" w:before="0" w:after="0"/>
              <w:ind w:left="0" w:right="0" w:hanging="270"/>
              <w:jc w:val="left"/>
              <w:rPr>
                <w:color w:val="000000"/>
              </w:rPr>
            </w:pPr>
            <w:r>
              <w:rPr>
                <w:color w:val="000000"/>
              </w:rPr>
              <w:t xml:space="preserve">• </w:t>
            </w:r>
            <w:r>
              <w:rPr>
                <w:rFonts w:ascii="Avenir Next LT Pro;sans-serif" w:hAnsi="Avenir Next LT Pro;sans-serif"/>
                <w:b w:val="false"/>
                <w:color w:val="000000"/>
                <w:sz w:val="18"/>
              </w:rPr>
              <w:t>Review and share voting results and investor feedback with our Committee(s) and the Board</w:t>
            </w:r>
          </w:p>
          <w:p>
            <w:pPr>
              <w:pStyle w:val="TableContents"/>
              <w:bidi w:val="0"/>
              <w:spacing w:lineRule="auto" w:line="336" w:before="0" w:after="60"/>
              <w:ind w:left="0" w:right="0" w:hanging="270"/>
              <w:jc w:val="left"/>
              <w:rPr>
                <w:color w:val="000000"/>
              </w:rPr>
            </w:pPr>
            <w:r>
              <w:rPr>
                <w:color w:val="000000"/>
              </w:rPr>
              <w:t xml:space="preserve">• </w:t>
            </w:r>
            <w:r>
              <w:rPr>
                <w:rFonts w:ascii="Avenir Next LT Pro;sans-serif" w:hAnsi="Avenir Next LT Pro;sans-serif"/>
                <w:b w:val="false"/>
                <w:color w:val="000000"/>
                <w:sz w:val="18"/>
              </w:rPr>
              <w:t>Evaluate proxy season trends, corporate governance, and regulatory best practices</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 key component of our 2025/26 outreach was to discuss corporate governance matters, risk management oversight, sustainability initiatives and other matters of particular import to our stockholders. We also received written feedback from stockholders outside of our top 32 stockholders related to their no votes cast for the reelection of directors at last year’s annual meeting in light of Mr. Rodgers receiving less than 50% of the votes cast. We reiterated the importance of Mr. Rodgers to Enphase and the critical role he plays, and noted that Mr. Rodgers remains committed to the success of our company.</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BF6EF" w:val="clear"/>
            <w:tcMar>
              <w:top w:w="0" w:type="dxa"/>
              <w:left w:w="0" w:type="dxa"/>
              <w:bottom w:w="0" w:type="dxa"/>
              <w:right w:w="0" w:type="dxa"/>
            </w:tcMar>
            <w:vAlign w:val="center"/>
          </w:tcPr>
          <w:p>
            <w:pPr>
              <w:pStyle w:val="TableContents"/>
              <w:bidi w:val="0"/>
              <w:spacing w:lineRule="auto" w:line="312" w:before="0" w:after="180"/>
              <w:jc w:val="left"/>
              <w:rPr>
                <w:rFonts w:ascii="Avenir Next LT Pro;sans-serif" w:hAnsi="Avenir Next LT Pro;sans-serif"/>
                <w:b/>
                <w:color w:val="000000"/>
                <w:sz w:val="28"/>
              </w:rPr>
            </w:pPr>
            <w:r>
              <w:rPr>
                <w:rFonts w:ascii="Avenir Next LT Pro;sans-serif" w:hAnsi="Avenir Next LT Pro;sans-serif"/>
                <w:b/>
                <w:color w:val="000000"/>
                <w:sz w:val="28"/>
              </w:rPr>
              <w:t>Participants</w:t>
            </w:r>
          </w:p>
          <w:p>
            <w:pPr>
              <w:pStyle w:val="TableContents"/>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 Board member (when requested), together with our General Counsel and Corporate Secretary, our head of investor relations, and other members of the legal team, participated in our outreach efforts in the Fall and Winter of 2025/26. All feedback was shared and discussed with the Compensation Committee of the Board (the “Compensation Committee”), the Nominating and Corporate Governance Committee of the Board (the “Nominating and Corporate Governance Committee”) and the full Board.</w:t>
            </w:r>
          </w:p>
          <w:p>
            <w:pPr>
              <w:pStyle w:val="TableContents"/>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Additionally, our Chief Executive Officer (“CEO”), Chief Financial Officer (“CFO”) and head of investor relations engaged in meaningful dialogue with our stockholders through our quarterly earnings calls and investor-related outreach events throughout the entire year.</w:t>
            </w:r>
          </w:p>
        </w:tc>
        <w:tc>
          <w:tcPr>
            <w:tcW w:w="373"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6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Fiscal 2025 Compensation Highlights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2025, we continued to execute on our redesigned executive compensation programs, meeting the commitments we made to our stockholders in our 2024 and 2025 proxy statements. Our executive compensation program reflected recognized best practices that were supported by market practices and principles that aligned the compensation of our named executive officers ("NEOs") with the long-term interests of our stockholders.</w:t>
      </w:r>
    </w:p>
    <w:p>
      <w:pPr>
        <w:pStyle w:val="TextBody"/>
        <w:bidi w:val="0"/>
        <w:spacing w:lineRule="auto" w:line="336" w:before="0" w:after="120"/>
        <w:ind w:left="0" w:right="0" w:hanging="180"/>
        <w:jc w:val="both"/>
        <w:rPr/>
      </w:pPr>
      <w:r>
        <w:rPr>
          <w:color w:val="000000"/>
        </w:rPr>
        <w:t>•</w:t>
      </w:r>
      <w:r>
        <w:rPr>
          <w:rFonts w:ascii="Avenir Next LT Pro;sans-serif" w:hAnsi="Avenir Next LT Pro;sans-serif"/>
          <w:b w:val="false"/>
          <w:color w:val="000000"/>
          <w:sz w:val="18"/>
        </w:rPr>
        <w:t>67% of the overall value of stock awards for our NEOs were tied to the achievement of performance metrics</w:t>
      </w:r>
    </w:p>
    <w:p>
      <w:pPr>
        <w:pStyle w:val="TextBody"/>
        <w:bidi w:val="0"/>
        <w:spacing w:lineRule="auto" w:line="336" w:before="0" w:after="120"/>
        <w:ind w:left="0" w:right="0" w:hanging="270"/>
        <w:jc w:val="both"/>
        <w:rPr/>
      </w:pPr>
      <w:r>
        <w:rPr>
          <w:color w:val="000000"/>
        </w:rPr>
        <w:t>•</w:t>
      </w:r>
      <w:r>
        <w:rPr>
          <w:rFonts w:ascii="Avenir Next LT Pro;sans-serif" w:hAnsi="Avenir Next LT Pro;sans-serif"/>
          <w:b w:val="false"/>
          <w:color w:val="000000"/>
          <w:sz w:val="18"/>
        </w:rPr>
        <w:t>34% were based on performance-based restricted stock unit (“PSU”) awards that could be earned based on our three-year relative total shareholder return (“TSR”); and</w:t>
      </w:r>
    </w:p>
    <w:p>
      <w:pPr>
        <w:pStyle w:val="TextBody"/>
        <w:bidi w:val="0"/>
        <w:spacing w:lineRule="auto" w:line="336" w:before="0" w:after="180"/>
        <w:ind w:left="0" w:right="0" w:hanging="270"/>
        <w:jc w:val="both"/>
        <w:rPr/>
      </w:pPr>
      <w:r>
        <w:rPr>
          <w:color w:val="000000"/>
        </w:rPr>
        <w:t>•</w:t>
      </w:r>
      <w:r>
        <w:rPr>
          <w:rFonts w:ascii="Avenir Next LT Pro;sans-serif" w:hAnsi="Avenir Next LT Pro;sans-serif"/>
          <w:b w:val="false"/>
          <w:color w:val="000000"/>
          <w:sz w:val="18"/>
        </w:rPr>
        <w:t>33% were based on PSU awards that could be earned based on achievement of certain critical one-year financial and operational performance goals (i.e., our CEO Goals, as defined and further described in our Compensation Discussion and Analysis (“CD&amp;A”) below)</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Base salary and target cash incentive opportunities for both our CEO and our CFO, our only other NEO in 2025, have remained flat since 2023</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Under our cash bonus program (the “2025 Bonus Program”), our CEO received aggregate payouts equal to 68% of his target annual payout, and our CFO received an aggregate payout of 74% of her target annual payout, which were dependent on meeting rigorous corporate objectives</w:t>
      </w:r>
    </w:p>
    <w:p>
      <w:pPr>
        <w:pStyle w:val="TextBody"/>
        <w:bidi w:val="0"/>
        <w:spacing w:lineRule="auto" w:line="336" w:before="0" w:after="240"/>
        <w:ind w:left="0" w:right="0" w:hanging="180"/>
        <w:jc w:val="both"/>
        <w:rPr/>
      </w:pPr>
      <w:r>
        <w:rPr>
          <w:color w:val="000000"/>
        </w:rPr>
        <w:t>•</w:t>
      </w:r>
      <w:r>
        <w:rPr>
          <w:rFonts w:ascii="Avenir Next LT Pro;sans-serif" w:hAnsi="Avenir Next LT Pro;sans-serif"/>
          <w:b w:val="false"/>
          <w:color w:val="000000"/>
          <w:sz w:val="18"/>
        </w:rPr>
        <w:t>68% of our CEO’s total target compensation and 67% of our CFO’s total target compensation was at risk</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Pay-for-Performance Alignment</w:t>
      </w:r>
    </w:p>
    <w:p>
      <w:pPr>
        <w:pStyle w:val="TextBody"/>
        <w:bidi w:val="0"/>
        <w:spacing w:lineRule="auto" w:line="288" w:before="0" w:after="180"/>
        <w:jc w:val="center"/>
        <w:rPr/>
      </w:pPr>
      <w:r>
        <w:rPr/>
        <w:drawing>
          <wp:inline distT="0" distB="0" distL="0" distR="0">
            <wp:extent cx="3295650" cy="255270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3295650" cy="2552700"/>
                    </a:xfrm>
                    <a:prstGeom prst="rect">
                      <a:avLst/>
                    </a:prstGeom>
                  </pic:spPr>
                </pic:pic>
              </a:graphicData>
            </a:graphic>
          </wp:inline>
        </w:drawing>
      </w:r>
      <w:bookmarkStart w:id="51" w:name="i-52"/>
      <w:bookmarkEnd w:id="51"/>
      <w:r>
        <w:rPr/>
        <w:drawing>
          <wp:inline distT="0" distB="0" distL="0" distR="0">
            <wp:extent cx="3295650" cy="2552700"/>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3295650" cy="2552700"/>
                    </a:xfrm>
                    <a:prstGeom prst="rect">
                      <a:avLst/>
                    </a:prstGeom>
                  </pic:spPr>
                </pic:pic>
              </a:graphicData>
            </a:graphic>
          </wp:inline>
        </w:drawing>
      </w:r>
      <w:bookmarkStart w:id="52" w:name="i-53"/>
      <w:bookmarkEnd w:id="52"/>
      <w:r>
        <w:rPr>
          <w:color w:val="FF0090"/>
        </w:rPr>
        <w:t xml:space="preserve"> </w:t>
      </w:r>
    </w:p>
    <w:tbl>
      <w:tblPr>
        <w:tblW w:w="4941" w:type="dxa"/>
        <w:jc w:val="center"/>
        <w:tblInd w:w="0" w:type="dxa"/>
        <w:tblLayout w:type="fixed"/>
        <w:tblCellMar>
          <w:top w:w="28" w:type="dxa"/>
          <w:left w:w="28" w:type="dxa"/>
          <w:bottom w:w="28" w:type="dxa"/>
          <w:right w:w="28" w:type="dxa"/>
        </w:tblCellMar>
      </w:tblPr>
      <w:tblGrid>
        <w:gridCol w:w="124"/>
        <w:gridCol w:w="109"/>
        <w:gridCol w:w="109"/>
        <w:gridCol w:w="109"/>
        <w:gridCol w:w="1299"/>
        <w:gridCol w:w="1299"/>
        <w:gridCol w:w="1302"/>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AF6EF" w:val="clear"/>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3B999E"/>
                <w:sz w:val="20"/>
              </w:rPr>
              <w:t>n</w:t>
            </w:r>
            <w:r>
              <w:rPr>
                <w:color w:val="000000"/>
              </w:rPr>
              <w:t xml:space="preserve"> </w:t>
            </w:r>
            <w:r>
              <w:rPr>
                <w:rFonts w:ascii="Avenir Next LT Pro;sans-serif" w:hAnsi="Avenir Next LT Pro;sans-serif"/>
                <w:b/>
                <w:color w:val="000000"/>
                <w:sz w:val="18"/>
              </w:rPr>
              <w:t>Base Salary</w:t>
            </w:r>
          </w:p>
          <w:p>
            <w:pPr>
              <w:pStyle w:val="TableContents"/>
              <w:bidi w:val="0"/>
              <w:spacing w:lineRule="auto" w:line="240" w:before="0" w:after="0"/>
              <w:jc w:val="left"/>
              <w:rPr/>
            </w:pPr>
            <w:r>
              <w:rPr>
                <w:rFonts w:ascii="Wingdings;sans-serif" w:hAnsi="Wingdings;sans-serif"/>
                <w:b w:val="false"/>
                <w:color w:val="2C436F"/>
                <w:sz w:val="20"/>
              </w:rPr>
              <w:t>n</w:t>
            </w:r>
            <w:r>
              <w:rPr>
                <w:color w:val="000000"/>
              </w:rPr>
              <w:t xml:space="preserve"> </w:t>
            </w:r>
            <w:r>
              <w:rPr>
                <w:rFonts w:ascii="Avenir Next LT Pro;sans-serif" w:hAnsi="Avenir Next LT Pro;sans-serif"/>
                <w:b/>
                <w:color w:val="000000"/>
                <w:sz w:val="18"/>
              </w:rPr>
              <w:t>Time-Based RSUs</w:t>
            </w:r>
          </w:p>
          <w:p>
            <w:pPr>
              <w:pStyle w:val="TableContents"/>
              <w:bidi w:val="0"/>
              <w:spacing w:lineRule="auto" w:line="240" w:before="0" w:after="0"/>
              <w:jc w:val="left"/>
              <w:rPr/>
            </w:pPr>
            <w:r>
              <w:rPr>
                <w:rFonts w:ascii="Wingdings;sans-serif" w:hAnsi="Wingdings;sans-serif"/>
                <w:b w:val="false"/>
                <w:color w:val="FFD02C"/>
                <w:sz w:val="20"/>
              </w:rPr>
              <w:t>n</w:t>
            </w:r>
            <w:r>
              <w:rPr>
                <w:color w:val="000000"/>
              </w:rPr>
              <w:t xml:space="preserve"> </w:t>
            </w:r>
            <w:r>
              <w:rPr>
                <w:rFonts w:ascii="Avenir Next LT Pro;sans-serif" w:hAnsi="Avenir Next LT Pro;sans-serif"/>
                <w:b/>
                <w:color w:val="000000"/>
                <w:sz w:val="18"/>
              </w:rPr>
              <w:t>PSUs</w:t>
            </w:r>
          </w:p>
          <w:p>
            <w:pPr>
              <w:pStyle w:val="TableContents"/>
              <w:bidi w:val="0"/>
              <w:spacing w:lineRule="auto" w:line="240" w:before="0" w:after="0"/>
              <w:jc w:val="left"/>
              <w:rPr/>
            </w:pPr>
            <w:r>
              <w:rPr>
                <w:rFonts w:ascii="Wingdings;sans-serif" w:hAnsi="Wingdings;sans-serif"/>
                <w:b w:val="false"/>
                <w:color w:val="F45270"/>
                <w:sz w:val="20"/>
              </w:rPr>
              <w:t>n</w:t>
            </w:r>
            <w:r>
              <w:rPr>
                <w:color w:val="000000"/>
              </w:rPr>
              <w:t xml:space="preserve"> </w:t>
            </w:r>
            <w:r>
              <w:rPr>
                <w:rFonts w:ascii="Avenir Next LT Pro;sans-serif" w:hAnsi="Avenir Next LT Pro;sans-serif"/>
                <w:b/>
                <w:color w:val="000000"/>
                <w:sz w:val="18"/>
              </w:rPr>
              <w:t>Quarterly Performance Cash Bonus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charts above reflect 2025 annual base salaries, 2025 quarterly performance cash bonuses (at risk), time-based restricted stock units (“RSUs”) and PSUs (at risk), as reported in the Summary Compensation Table below. The charts do not include “All Other Compensation,” as reported in the Summary Compensation Table, because such amounts were less than 1% for each NEO’s aggregate compensation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6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Strong Governance Standards and Best Practices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of the Board is fully engaged to respond to the dynamic business environment in which we operate. As discussed in the CD&amp;A section of this proxy statement, the Compensation Committee acts to:</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Adapt our compensation program to match the needs of our business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Attract, motivate and retain top talent in a dynamic and challenging business environment</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Foster long-term stockholder value creation and pay-for-performance alignment by creating meaningful equity incentives linked to rigorous financial, strategic and operational objectives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Evaluate the performance of our NEOs against specific, measurable, achievable, relevant and time-based goals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Mitigate compensation-related risks to the organization</w:t>
      </w:r>
    </w:p>
    <w:p>
      <w:pPr>
        <w:pStyle w:val="TextBody"/>
        <w:bidi w:val="0"/>
        <w:spacing w:lineRule="auto" w:line="336" w:before="0" w:after="300"/>
        <w:ind w:left="0" w:right="0" w:hanging="180"/>
        <w:jc w:val="left"/>
        <w:rPr/>
      </w:pPr>
      <w:r>
        <w:rPr>
          <w:color w:val="000000"/>
        </w:rPr>
        <w:t>•</w:t>
      </w:r>
      <w:r>
        <w:rPr>
          <w:rFonts w:ascii="Avenir Next LT Pro;sans-serif" w:hAnsi="Avenir Next LT Pro;sans-serif"/>
          <w:b w:val="false"/>
          <w:color w:val="000000"/>
          <w:sz w:val="18"/>
        </w:rPr>
        <w:t>Conduct an annual say-on-pay advisory vote and continue to engage with stockholders on executive compensation</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Effective Program Design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As further discussed in the CD&amp;A section of this proxy statement, the Compensation Committee has established the following guiding principles, policies and practices when structuring the compensation paid to our NEOs: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Competitive total rewards package benchmarked against comparable peers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Vast majority of executive pay based on performance, primarily in the form of stock-based compensation</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Three-year TSR metric as part of the long-term incentive program</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Multi-year vesting of stock awards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Stock ownership guidelines, including rigorous share ownership requirements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 xml:space="preserve">SEC compliant clawback policy </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No fixed term or evergreen employment agreements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Sustainability goal in our short-term and long-term incentive plans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Double-trigger equity acceleration upon a change-in-control</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No hedging, short sales or derivative transactions for NEOs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No executive perquisites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No executive pension plans or supplemental executive retirement plans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No tax gross-ups upon a change-in-control or on perquisites or benefits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a detailed discussion of our executive compensation program, and the 2025 compensation of our NEOs, see the section of this proxy statement entitled “Compensation Discussion and Analysis” beginning on page 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6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Voting Roadmap and Vote Recommendations</w:t>
      </w:r>
    </w:p>
    <w:p>
      <w:pPr>
        <w:pStyle w:val="TextBody"/>
        <w:bidi w:val="0"/>
        <w:spacing w:lineRule="auto" w:line="336" w:before="0" w:after="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section highlights selected information about the items to be voted on at the Annual Meeting. It does not contain all the information that you should consider in deciding how to vote. You should read the entirety of this proxy statement carefully before voting.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728"/>
        <w:gridCol w:w="728"/>
        <w:gridCol w:w="730"/>
        <w:gridCol w:w="109"/>
        <w:gridCol w:w="109"/>
        <w:gridCol w:w="109"/>
        <w:gridCol w:w="109"/>
        <w:gridCol w:w="109"/>
        <w:gridCol w:w="109"/>
        <w:gridCol w:w="651"/>
        <w:gridCol w:w="637"/>
        <w:gridCol w:w="601"/>
        <w:gridCol w:w="475"/>
        <w:gridCol w:w="475"/>
        <w:gridCol w:w="456"/>
        <w:gridCol w:w="475"/>
        <w:gridCol w:w="447"/>
        <w:gridCol w:w="431"/>
        <w:gridCol w:w="664"/>
        <w:gridCol w:w="664"/>
        <w:gridCol w:w="66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439E58"/>
                <w:sz w:val="36"/>
              </w:rPr>
            </w:pPr>
            <w:r>
              <w:rPr>
                <w:rFonts w:ascii="Avenir Next LT Pro;sans-serif" w:hAnsi="Avenir Next LT Pro;sans-serif"/>
                <w:b/>
                <w:color w:val="439E58"/>
                <w:sz w:val="36"/>
              </w:rPr>
              <w:t>Proposal 1</w:t>
            </w:r>
          </w:p>
          <w:p>
            <w:pPr>
              <w:pStyle w:val="TableContents"/>
              <w:bidi w:val="0"/>
              <w:spacing w:lineRule="auto" w:line="336" w:before="0" w:after="180"/>
              <w:jc w:val="both"/>
              <w:rPr/>
            </w:pPr>
            <w:r>
              <w:rPr>
                <w:rFonts w:ascii="Avenir Next LT Pro;sans-serif" w:hAnsi="Avenir Next LT Pro;sans-serif"/>
                <w:b w:val="false"/>
                <w:color w:val="000000"/>
                <w:sz w:val="18"/>
              </w:rPr>
              <w:t xml:space="preserve">See page </w:t>
            </w:r>
            <w:hyperlink w:anchor="i19bd7c45acf044609c3ed3c5cf88b3cb_73">
              <w:r>
                <w:rPr>
                  <w:rStyle w:val="InternetLink"/>
                  <w:rFonts w:ascii="Avenir Next LT Pro;sans-serif" w:hAnsi="Avenir Next LT Pro;sans-serif"/>
                  <w:b w:val="false"/>
                  <w:strike w:val="false"/>
                  <w:dstrike w:val="false"/>
                  <w:color w:val="000000"/>
                  <w:sz w:val="18"/>
                  <w:u w:val="none"/>
                  <w:effect w:val="none"/>
                </w:rPr>
                <w:t>8</w:t>
              </w:r>
            </w:hyperlink>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439E58"/>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12"/>
            <w:tcBorders/>
            <w:shd w:fill="FAF6EF" w:val="clear"/>
            <w:tcMar>
              <w:top w:w="0" w:type="dxa"/>
              <w:left w:w="0" w:type="dxa"/>
              <w:bottom w:w="0" w:type="dxa"/>
              <w:right w:w="0" w:type="dxa"/>
            </w:tcMar>
            <w:vAlign w:val="center"/>
          </w:tcPr>
          <w:p>
            <w:pPr>
              <w:pStyle w:val="TableContents"/>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Elect three Class II Director Nominees</w:t>
            </w:r>
          </w:p>
          <w:p>
            <w:pPr>
              <w:pStyle w:val="TableContents"/>
              <w:bidi w:val="0"/>
              <w:spacing w:lineRule="auto" w:line="288" w:before="0" w:after="120"/>
              <w:jc w:val="left"/>
              <w:rPr/>
            </w:pPr>
            <w:r>
              <w:rPr>
                <w:rFonts w:ascii="Avenir Next LT Pro;sans-serif" w:hAnsi="Avenir Next LT Pro;sans-serif"/>
                <w:b/>
                <w:i/>
                <w:color w:val="000000"/>
                <w:sz w:val="20"/>
              </w:rPr>
              <w:t xml:space="preserve">The Board recommends a vote </w:t>
            </w:r>
            <w:r>
              <w:rPr>
                <w:rFonts w:ascii="Avenir Next LT Pro;sans-serif" w:hAnsi="Avenir Next LT Pro;sans-serif"/>
                <w:b/>
                <w:color w:val="E86100"/>
                <w:sz w:val="24"/>
              </w:rPr>
              <w:t>FOR</w:t>
            </w:r>
            <w:r>
              <w:rPr>
                <w:color w:val="000000"/>
              </w:rPr>
              <w:t xml:space="preserve"> </w:t>
            </w:r>
            <w:r>
              <w:rPr>
                <w:rFonts w:ascii="Avenir Next LT Pro;sans-serif" w:hAnsi="Avenir Next LT Pro;sans-serif"/>
                <w:b/>
                <w:i/>
                <w:color w:val="000000"/>
                <w:sz w:val="20"/>
              </w:rPr>
              <w:t>each nominee</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439E58"/>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439E58"/>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w:t>
            </w:r>
          </w:p>
        </w:tc>
        <w:tc>
          <w:tcPr>
            <w:tcW w:w="140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Independent</w:t>
            </w:r>
          </w:p>
        </w:tc>
        <w:tc>
          <w:tcPr>
            <w:tcW w:w="1353"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Director Since</w:t>
            </w:r>
          </w:p>
        </w:tc>
        <w:tc>
          <w:tcPr>
            <w:tcW w:w="1997"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Committees</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439E58"/>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Jamie Haenggi</w:t>
            </w:r>
          </w:p>
        </w:tc>
        <w:tc>
          <w:tcPr>
            <w:tcW w:w="1406"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Y</w:t>
            </w:r>
          </w:p>
        </w:tc>
        <w:tc>
          <w:tcPr>
            <w:tcW w:w="1353"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2020</w:t>
            </w:r>
          </w:p>
        </w:tc>
        <w:tc>
          <w:tcPr>
            <w:tcW w:w="1997"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Nom Gov</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439E58"/>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Benjamin Kortlang</w:t>
            </w:r>
          </w:p>
        </w:tc>
        <w:tc>
          <w:tcPr>
            <w:tcW w:w="1406"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Y</w:t>
            </w:r>
          </w:p>
        </w:tc>
        <w:tc>
          <w:tcPr>
            <w:tcW w:w="1353"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2010</w:t>
            </w:r>
          </w:p>
        </w:tc>
        <w:tc>
          <w:tcPr>
            <w:tcW w:w="1997"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Audit / Nom Gov Chair</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Richard Mora</w:t>
            </w:r>
          </w:p>
        </w:tc>
        <w:tc>
          <w:tcPr>
            <w:tcW w:w="1406"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Y</w:t>
            </w:r>
          </w:p>
        </w:tc>
        <w:tc>
          <w:tcPr>
            <w:tcW w:w="1353"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2014</w:t>
            </w:r>
          </w:p>
        </w:tc>
        <w:tc>
          <w:tcPr>
            <w:tcW w:w="1997" w:type="dxa"/>
            <w:gridSpan w:val="3"/>
            <w:tcBorders>
              <w:left w:val="single" w:sz="4" w:space="0" w:color="3C3C3C"/>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Audit / Comp</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73"/>
        <w:gridCol w:w="673"/>
        <w:gridCol w:w="675"/>
        <w:gridCol w:w="109"/>
        <w:gridCol w:w="109"/>
        <w:gridCol w:w="109"/>
        <w:gridCol w:w="109"/>
        <w:gridCol w:w="109"/>
        <w:gridCol w:w="109"/>
        <w:gridCol w:w="2270"/>
        <w:gridCol w:w="2270"/>
        <w:gridCol w:w="227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F45270"/>
                <w:sz w:val="36"/>
              </w:rPr>
            </w:pPr>
            <w:r>
              <w:rPr>
                <w:rFonts w:ascii="Avenir Next LT Pro;sans-serif" w:hAnsi="Avenir Next LT Pro;sans-serif"/>
                <w:b/>
                <w:color w:val="F45270"/>
                <w:sz w:val="36"/>
              </w:rPr>
              <w:t>Proposal 2</w:t>
            </w:r>
          </w:p>
          <w:p>
            <w:pPr>
              <w:pStyle w:val="TableContents"/>
              <w:bidi w:val="0"/>
              <w:spacing w:lineRule="auto" w:line="336" w:before="0" w:after="180"/>
              <w:jc w:val="both"/>
              <w:rPr/>
            </w:pPr>
            <w:r>
              <w:rPr>
                <w:rFonts w:ascii="Avenir Next LT Pro;sans-serif" w:hAnsi="Avenir Next LT Pro;sans-serif"/>
                <w:b w:val="false"/>
                <w:color w:val="000000"/>
                <w:sz w:val="18"/>
              </w:rPr>
              <w:t xml:space="preserve">See page </w:t>
            </w:r>
            <w:hyperlink w:anchor="i19bd7c45acf044609c3ed3c5cf88b3cb_214">
              <w:r>
                <w:rPr>
                  <w:rStyle w:val="InternetLink"/>
                  <w:rFonts w:ascii="Avenir Next LT Pro;sans-serif" w:hAnsi="Avenir Next LT Pro;sans-serif"/>
                  <w:b w:val="false"/>
                  <w:strike w:val="false"/>
                  <w:dstrike w:val="false"/>
                  <w:color w:val="000000"/>
                  <w:sz w:val="18"/>
                  <w:u w:val="none"/>
                  <w:effect w:val="none"/>
                </w:rPr>
                <w:t>58</w:t>
              </w:r>
            </w:hyperlink>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45270"/>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shd w:fill="FAF6EF" w:val="clear"/>
            <w:tcMar>
              <w:top w:w="0" w:type="dxa"/>
              <w:left w:w="0" w:type="dxa"/>
              <w:bottom w:w="0" w:type="dxa"/>
              <w:right w:w="0" w:type="dxa"/>
            </w:tcMar>
            <w:vAlign w:val="center"/>
          </w:tcPr>
          <w:p>
            <w:pPr>
              <w:pStyle w:val="TableContents"/>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Say-on-Pay: Advisory vote on Named Executive Officer Compensation</w:t>
            </w:r>
          </w:p>
          <w:p>
            <w:pPr>
              <w:pStyle w:val="TableContents"/>
              <w:bidi w:val="0"/>
              <w:spacing w:lineRule="auto" w:line="288" w:before="0" w:after="120"/>
              <w:jc w:val="left"/>
              <w:rPr/>
            </w:pPr>
            <w:r>
              <w:rPr>
                <w:rFonts w:ascii="Avenir Next LT Pro;sans-serif" w:hAnsi="Avenir Next LT Pro;sans-serif"/>
                <w:b/>
                <w:i/>
                <w:color w:val="000000"/>
                <w:sz w:val="20"/>
              </w:rPr>
              <w:t xml:space="preserve">The Board recommends a vote </w:t>
            </w:r>
            <w:r>
              <w:rPr>
                <w:rFonts w:ascii="Avenir Next LT Pro;sans-serif" w:hAnsi="Avenir Next LT Pro;sans-serif"/>
                <w:b/>
                <w:color w:val="E86100"/>
                <w:sz w:val="24"/>
              </w:rPr>
              <w:t>FOR</w:t>
            </w:r>
            <w:r>
              <w:rPr>
                <w:color w:val="000000"/>
              </w:rPr>
              <w:t xml:space="preserve"> </w:t>
            </w:r>
            <w:r>
              <w:rPr>
                <w:rFonts w:ascii="Avenir Next LT Pro;sans-serif" w:hAnsi="Avenir Next LT Pro;sans-serif"/>
                <w:b/>
                <w:i/>
                <w:color w:val="000000"/>
                <w:sz w:val="20"/>
              </w:rPr>
              <w:t>Proposal 2</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We employ core compensation principles and practices to promote pay for performance and alignment of executive and stockholder interests</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Our overall 2025 executive compensation was reasonable and appropriate in light of our business and financial performance</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Strong pay for performance design</w:t>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43"/>
        <w:gridCol w:w="643"/>
        <w:gridCol w:w="644"/>
        <w:gridCol w:w="109"/>
        <w:gridCol w:w="109"/>
        <w:gridCol w:w="109"/>
        <w:gridCol w:w="109"/>
        <w:gridCol w:w="109"/>
        <w:gridCol w:w="109"/>
        <w:gridCol w:w="2300"/>
        <w:gridCol w:w="2300"/>
        <w:gridCol w:w="2304"/>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AF6EF" w:val="clear"/>
            <w:tcMar>
              <w:top w:w="0" w:type="dxa"/>
              <w:left w:w="0" w:type="dxa"/>
              <w:bottom w:w="0" w:type="dxa"/>
              <w:right w:w="0" w:type="dxa"/>
            </w:tcMar>
            <w:vAlign w:val="center"/>
          </w:tcPr>
          <w:p>
            <w:pPr>
              <w:pStyle w:val="TableContents"/>
              <w:bidi w:val="0"/>
              <w:spacing w:lineRule="auto" w:line="312" w:before="0" w:after="60"/>
              <w:jc w:val="left"/>
              <w:rPr>
                <w:rFonts w:ascii="Avenir Next LT Pro;sans-serif" w:hAnsi="Avenir Next LT Pro;sans-serif"/>
                <w:b/>
                <w:color w:val="2C436F"/>
                <w:sz w:val="36"/>
              </w:rPr>
            </w:pPr>
            <w:r>
              <w:rPr>
                <w:rFonts w:ascii="Avenir Next LT Pro;sans-serif" w:hAnsi="Avenir Next LT Pro;sans-serif"/>
                <w:b/>
                <w:color w:val="2C436F"/>
                <w:sz w:val="36"/>
              </w:rPr>
              <w:t>Proposal 3</w:t>
            </w:r>
          </w:p>
          <w:p>
            <w:pPr>
              <w:pStyle w:val="TableContents"/>
              <w:bidi w:val="0"/>
              <w:spacing w:lineRule="auto" w:line="336" w:before="0" w:after="180"/>
              <w:jc w:val="both"/>
              <w:rPr/>
            </w:pPr>
            <w:r>
              <w:rPr>
                <w:rFonts w:ascii="Avenir Next LT Pro;sans-serif" w:hAnsi="Avenir Next LT Pro;sans-serif"/>
                <w:b w:val="false"/>
                <w:color w:val="000000"/>
                <w:sz w:val="18"/>
              </w:rPr>
              <w:t xml:space="preserve">See page </w:t>
            </w:r>
            <w:hyperlink w:anchor="i19bd7c45acf044609c3ed3c5cf88b3cb_229">
              <w:r>
                <w:rPr>
                  <w:rStyle w:val="InternetLink"/>
                  <w:rFonts w:ascii="Avenir Next LT Pro;sans-serif" w:hAnsi="Avenir Next LT Pro;sans-serif"/>
                  <w:b w:val="false"/>
                  <w:strike w:val="false"/>
                  <w:dstrike w:val="false"/>
                  <w:color w:val="000000"/>
                  <w:sz w:val="18"/>
                  <w:u w:val="none"/>
                  <w:effect w:val="none"/>
                </w:rPr>
                <w:t>59</w:t>
              </w:r>
            </w:hyperlink>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C436F"/>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3"/>
            <w:tcBorders/>
            <w:shd w:fill="FAF6EF" w:val="clear"/>
            <w:tcMar>
              <w:top w:w="0" w:type="dxa"/>
              <w:left w:w="0" w:type="dxa"/>
              <w:bottom w:w="0" w:type="dxa"/>
              <w:right w:w="0" w:type="dxa"/>
            </w:tcMar>
            <w:vAlign w:val="center"/>
          </w:tcPr>
          <w:p>
            <w:pPr>
              <w:pStyle w:val="TableContents"/>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Approval of the Amendment and Restatement of the Enphase Energy, Inc. 2021 Equity Incentive Plan to Increase the Number of Shares of Common Stock Authorized for Issuance Thereunder by 2,000,000 Shares</w:t>
            </w:r>
          </w:p>
          <w:p>
            <w:pPr>
              <w:pStyle w:val="TableContents"/>
              <w:bidi w:val="0"/>
              <w:spacing w:lineRule="auto" w:line="288" w:before="0" w:after="120"/>
              <w:jc w:val="left"/>
              <w:rPr/>
            </w:pPr>
            <w:r>
              <w:rPr>
                <w:rFonts w:ascii="Avenir Next LT Pro;sans-serif" w:hAnsi="Avenir Next LT Pro;sans-serif"/>
                <w:b/>
                <w:i/>
                <w:color w:val="000000"/>
                <w:sz w:val="20"/>
              </w:rPr>
              <w:t xml:space="preserve">The Board recommends a vote </w:t>
            </w:r>
            <w:r>
              <w:rPr>
                <w:rFonts w:ascii="Avenir Next LT Pro;sans-serif" w:hAnsi="Avenir Next LT Pro;sans-serif"/>
                <w:b/>
                <w:color w:val="E86100"/>
                <w:sz w:val="24"/>
              </w:rPr>
              <w:t>FOR</w:t>
            </w:r>
            <w:r>
              <w:rPr>
                <w:color w:val="000000"/>
              </w:rPr>
              <w:t xml:space="preserve"> </w:t>
            </w:r>
            <w:r>
              <w:rPr>
                <w:rFonts w:ascii="Avenir Next LT Pro;sans-serif" w:hAnsi="Avenir Next LT Pro;sans-serif"/>
                <w:b/>
                <w:i/>
                <w:color w:val="000000"/>
                <w:sz w:val="20"/>
              </w:rPr>
              <w:t>Proposal 3</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Essential t o maintain a competitive position in attracting, retaining and motivating highly skilled talent</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Broad-based plan in which most employees participate</w:t>
            </w:r>
          </w:p>
          <w:p>
            <w:pPr>
              <w:pStyle w:val="TableContents"/>
              <w:bidi w:val="0"/>
              <w:spacing w:lineRule="auto" w:line="336" w:before="0" w:after="0"/>
              <w:ind w:left="0" w:right="0" w:hanging="180"/>
              <w:jc w:val="left"/>
              <w:rPr/>
            </w:pPr>
            <w:r>
              <w:rPr>
                <w:color w:val="000000"/>
              </w:rPr>
              <w:t>•</w:t>
            </w:r>
            <w:r>
              <w:rPr>
                <w:rFonts w:ascii="Avenir Next LT Pro;sans-serif" w:hAnsi="Avenir Next LT Pro;sans-serif"/>
                <w:b w:val="false"/>
                <w:color w:val="000000"/>
                <w:sz w:val="18"/>
              </w:rPr>
              <w:t>Low three-year average burn rate</w:t>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61"/>
        <w:gridCol w:w="661"/>
        <w:gridCol w:w="662"/>
        <w:gridCol w:w="109"/>
        <w:gridCol w:w="109"/>
        <w:gridCol w:w="109"/>
        <w:gridCol w:w="109"/>
        <w:gridCol w:w="109"/>
        <w:gridCol w:w="109"/>
        <w:gridCol w:w="2282"/>
        <w:gridCol w:w="2282"/>
        <w:gridCol w:w="228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3B999E"/>
                <w:sz w:val="36"/>
              </w:rPr>
            </w:pPr>
            <w:r>
              <w:rPr>
                <w:rFonts w:ascii="Avenir Next LT Pro;sans-serif" w:hAnsi="Avenir Next LT Pro;sans-serif"/>
                <w:b/>
                <w:color w:val="3B999E"/>
                <w:sz w:val="36"/>
              </w:rPr>
              <w:t>Proposal 4</w:t>
            </w:r>
          </w:p>
          <w:p>
            <w:pPr>
              <w:pStyle w:val="TableContents"/>
              <w:bidi w:val="0"/>
              <w:spacing w:lineRule="auto" w:line="336" w:before="0" w:after="180"/>
              <w:jc w:val="both"/>
              <w:rPr/>
            </w:pPr>
            <w:r>
              <w:rPr>
                <w:rFonts w:ascii="Avenir Next LT Pro;sans-serif" w:hAnsi="Avenir Next LT Pro;sans-serif"/>
                <w:b w:val="false"/>
                <w:color w:val="000000"/>
                <w:sz w:val="18"/>
              </w:rPr>
              <w:t xml:space="preserve">See page </w:t>
            </w:r>
            <w:hyperlink w:anchor="i19bd7c45acf044609c3ed3c5cf88b3cb_232">
              <w:r>
                <w:rPr>
                  <w:rStyle w:val="InternetLink"/>
                  <w:rFonts w:ascii="Avenir Next LT Pro;sans-serif" w:hAnsi="Avenir Next LT Pro;sans-serif"/>
                  <w:b w:val="false"/>
                  <w:strike w:val="false"/>
                  <w:dstrike w:val="false"/>
                  <w:color w:val="000000"/>
                  <w:sz w:val="18"/>
                  <w:u w:val="none"/>
                  <w:effect w:val="none"/>
                </w:rPr>
                <w:t>71</w:t>
              </w:r>
            </w:hyperlink>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3B999E"/>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3"/>
            <w:tcBorders/>
            <w:shd w:fill="FAF6EF" w:val="clear"/>
            <w:tcMar>
              <w:top w:w="0" w:type="dxa"/>
              <w:left w:w="0" w:type="dxa"/>
              <w:bottom w:w="0" w:type="dxa"/>
              <w:right w:w="0" w:type="dxa"/>
            </w:tcMar>
            <w:vAlign w:val="center"/>
          </w:tcPr>
          <w:p>
            <w:pPr>
              <w:pStyle w:val="TableContents"/>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Ratify Deloitte &amp; Touche LLP as our Independent Registered Public Accounting Firm for Fiscal Year 2026</w:t>
            </w:r>
          </w:p>
          <w:p>
            <w:pPr>
              <w:pStyle w:val="TableContents"/>
              <w:bidi w:val="0"/>
              <w:spacing w:lineRule="auto" w:line="288" w:before="0" w:after="120"/>
              <w:jc w:val="left"/>
              <w:rPr/>
            </w:pPr>
            <w:r>
              <w:rPr>
                <w:rFonts w:ascii="Avenir Next LT Pro;sans-serif" w:hAnsi="Avenir Next LT Pro;sans-serif"/>
                <w:b/>
                <w:i/>
                <w:color w:val="000000"/>
                <w:sz w:val="20"/>
              </w:rPr>
              <w:t xml:space="preserve">The Board recommends a vote </w:t>
            </w:r>
            <w:r>
              <w:rPr>
                <w:rFonts w:ascii="Avenir Next LT Pro;sans-serif" w:hAnsi="Avenir Next LT Pro;sans-serif"/>
                <w:b/>
                <w:color w:val="E86100"/>
                <w:sz w:val="24"/>
              </w:rPr>
              <w:t>FOR</w:t>
            </w:r>
            <w:r>
              <w:rPr>
                <w:color w:val="000000"/>
              </w:rPr>
              <w:t xml:space="preserve"> </w:t>
            </w:r>
            <w:r>
              <w:rPr>
                <w:rFonts w:ascii="Avenir Next LT Pro;sans-serif" w:hAnsi="Avenir Next LT Pro;sans-serif"/>
                <w:b/>
                <w:i/>
                <w:color w:val="000000"/>
                <w:sz w:val="20"/>
              </w:rPr>
              <w:t>Proposal 4</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Independent firm with reasonable fees and significant financial reporting expertise</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Deloitte &amp; Touche LLP (“Deloitte”) has been our auditors since 2010</w:t>
            </w:r>
          </w:p>
          <w:p>
            <w:pPr>
              <w:pStyle w:val="TableContents"/>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The Audit Committee of the Board (the “Audit Committee”) annually evaluates Deloitte and has determined that its appointment continues to be in the best interests of our stockholders</w:t>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6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7</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439E58"/>
          <w:sz w:val="48"/>
        </w:rPr>
      </w:pPr>
      <w:r>
        <w:rPr>
          <w:rFonts w:ascii="Avenir Next LT Pro;sans-serif" w:hAnsi="Avenir Next LT Pro;sans-serif"/>
          <w:b/>
          <w:color w:val="439E58"/>
          <w:sz w:val="48"/>
        </w:rPr>
        <w:t>Proposal 1</w:t>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Election of Directors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Overview</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are asking our stockholders to elect three Class II nominees to serve on the Board each for a three-year term and until their successors are duly elected and qualified. The current Class II nominees up for election are Jamie Haenggi, Benjamin Kortlang and Richard Mora. The Board currently has seven members and is divided into three classes, each with a three-year term. Class I currently has two members, Class II has three members and Class III has two members. We believe a classified board provides stability and continuity, permitting directors to share institutional knowledge, develop and advance our strategy, and focus on near- and long-term success.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Vacancies on the Board may be filled only by persons appointed by a majority of the remaining directors. A director appointed by the Board to fill a vacancy in a class, including vacancies created by an increase in the number of directors, shall serve for the remainder of the full term of that class and until the director’s successor is elected and qualified.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Directors are elected by a plurality of the votes of the holders of shares present in person or represented by proxy at the Annual Meeting and entitled to vote generally on the election of directors. The three nominees receiving the highest number of votes “FOR” will be elected. Shares represented by executed proxies will be voted, if authority to do so is not withheld, for the election of the nominees named below. If any or all of the nominees become unavailable for election as a result of an unexpected occurrence, shares represented by executed proxies that would have been voted for each such nominee instead will be voted for such substitute nominee as the Nominating and Corporate Governance Committee may propose. Each of the nominees is a director of Enphase and has been previously elected by the stockholders. The persons nominated for election have agreed to serve if elected. Our management has no reason to believe that any nominee will be unable to serve.</w:t>
      </w:r>
    </w:p>
    <w:p>
      <w:pPr>
        <w:pStyle w:val="TextBody"/>
        <w:bidi w:val="0"/>
        <w:spacing w:lineRule="auto" w:line="336" w:before="0" w:after="180"/>
        <w:jc w:val="both"/>
        <w:rPr/>
      </w:pPr>
      <w:r>
        <w:rPr>
          <w:rFonts w:ascii="Avenir Next LT Pro;sans-serif" w:hAnsi="Avenir Next LT Pro;sans-serif"/>
          <w:b w:val="false"/>
          <w:color w:val="000000"/>
          <w:sz w:val="18"/>
        </w:rPr>
        <w:t>It is the policy of the Board, as set forth in our Corporate Governance Guidelines, that any nominee for director in an uncontested election who does not receive a majority of the votes cast (</w:t>
      </w:r>
      <w:r>
        <w:rPr>
          <w:rFonts w:ascii="Avenir Next LT Pro;sans-serif" w:hAnsi="Avenir Next LT Pro;sans-serif"/>
          <w:b w:val="false"/>
          <w:i/>
          <w:color w:val="000000"/>
          <w:sz w:val="18"/>
        </w:rPr>
        <w:t>i.e.</w:t>
      </w:r>
      <w:r>
        <w:rPr>
          <w:rFonts w:ascii="Avenir Next LT Pro;sans-serif" w:hAnsi="Avenir Next LT Pro;sans-serif"/>
          <w:b w:val="false"/>
          <w:color w:val="000000"/>
          <w:sz w:val="18"/>
        </w:rPr>
        <w:t>, receives a greater number of votes “withheld” from his or her election than votes “for” in such election) shall submit his or her offer of resignation for consideration by the Nominating and Corporate Governance Committee. The Nominating and Corporate Governance Committee shall consider all of the relevant facts and circumstances and recommend to the Board the action to be taken with respect to such offer of resignation. The Board will then act on the Nominating and Corporate Governance Committee’s recommendation. Promptly following the Board’s decision, we will disclose that decision and an explanation of such decision in a filing with the Securities and Exchange Commission (the “SEC”) and a press release.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It is our policy to encourage directors and nominees for director to attend the Annual Meeting. Badri Kothandaraman, our President and CEO, Mr. Gomo and Ms. Haenggi attended the 2025 Annual Meeting of Stockholders (the “2025 Annual Meeting”).</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Vote Required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three Class II nominees receiving the most “FOR” votes from the holders of shares present in person or represented by proxy at the Annual Meeting and entitled to vote generally on the election of directors will be elected. Only votes “FOR” will affect the outcome. Proxies may not be voted for a greater number of persons than the number of nominees named. </w:t>
      </w:r>
    </w:p>
    <w:p>
      <w:pPr>
        <w:pStyle w:val="TextBody"/>
        <w:bidi w:val="0"/>
        <w:spacing w:lineRule="auto" w:line="288" w:before="0" w:after="120"/>
        <w:jc w:val="left"/>
        <w:rPr/>
      </w:pPr>
      <w:r>
        <w:rPr>
          <w:rFonts w:ascii="Avenir Next LT Pro;sans-serif" w:hAnsi="Avenir Next LT Pro;sans-serif"/>
          <w:b/>
          <w:i/>
          <w:color w:val="000000"/>
          <w:sz w:val="28"/>
        </w:rPr>
        <w:t xml:space="preserve">The Board of Directors recommends that stockholders vote </w:t>
      </w:r>
      <w:r>
        <w:rPr>
          <w:rFonts w:ascii="Avenir Next LT Pro;sans-serif" w:hAnsi="Avenir Next LT Pro;sans-serif"/>
          <w:b/>
          <w:color w:val="E86100"/>
          <w:sz w:val="28"/>
        </w:rPr>
        <w:t>FOR</w:t>
      </w:r>
      <w:r>
        <w:rPr>
          <w:color w:val="000000"/>
        </w:rPr>
        <w:t xml:space="preserve"> </w:t>
      </w:r>
      <w:r>
        <w:rPr>
          <w:rFonts w:ascii="Avenir Next LT Pro;sans-serif" w:hAnsi="Avenir Next LT Pro;sans-serif"/>
          <w:b/>
          <w:i/>
          <w:color w:val="000000"/>
          <w:sz w:val="28"/>
        </w:rPr>
        <w:t>each of the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6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300"/>
        <w:jc w:val="left"/>
        <w:rPr>
          <w:rFonts w:ascii="Avenir Next LT Pro;sans-serif" w:hAnsi="Avenir Next LT Pro;sans-serif"/>
          <w:b/>
          <w:color w:val="439E58"/>
          <w:sz w:val="28"/>
        </w:rPr>
      </w:pPr>
      <w:r>
        <w:rPr>
          <w:rFonts w:ascii="Avenir Next LT Pro;sans-serif" w:hAnsi="Avenir Next LT Pro;sans-serif"/>
          <w:b/>
          <w:color w:val="439E58"/>
          <w:sz w:val="28"/>
        </w:rPr>
        <w:t>Class II Nominees for Election (Until the 2029 Annual Meeting)</w:t>
      </w:r>
    </w:p>
    <w:tbl>
      <w:tblPr>
        <w:tblW w:w="10205" w:type="dxa"/>
        <w:jc w:val="left"/>
        <w:tblInd w:w="0" w:type="dxa"/>
        <w:tblLayout w:type="fixed"/>
        <w:tblCellMar>
          <w:top w:w="28" w:type="dxa"/>
          <w:left w:w="28" w:type="dxa"/>
          <w:bottom w:w="28" w:type="dxa"/>
          <w:right w:w="28" w:type="dxa"/>
        </w:tblCellMar>
      </w:tblPr>
      <w:tblGrid>
        <w:gridCol w:w="769"/>
        <w:gridCol w:w="676"/>
        <w:gridCol w:w="678"/>
        <w:gridCol w:w="109"/>
        <w:gridCol w:w="109"/>
        <w:gridCol w:w="109"/>
        <w:gridCol w:w="2268"/>
        <w:gridCol w:w="2268"/>
        <w:gridCol w:w="3219"/>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4" descr=""/>
                          <pic:cNvPicPr>
                            <a:picLocks noChangeAspect="1" noChangeArrowheads="1"/>
                          </pic:cNvPicPr>
                        </pic:nvPicPr>
                        <pic:blipFill>
                          <a:blip r:embed="rId55"/>
                          <a:stretch>
                            <a:fillRect/>
                          </a:stretch>
                        </pic:blipFill>
                        <pic:spPr bwMode="auto">
                          <a:xfrm>
                            <a:off x="0" y="0"/>
                            <a:ext cx="1190625" cy="1524000"/>
                          </a:xfrm>
                          <a:prstGeom prst="rect">
                            <a:avLst/>
                          </a:prstGeom>
                        </pic:spPr>
                      </pic:pic>
                    </a:graphicData>
                  </a:graphic>
                </wp:inline>
              </w:drawing>
            </w:r>
            <w:bookmarkStart w:id="53" w:name="i-54"/>
            <w:bookmarkEnd w:id="5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Ms. Haenggi’s extensive experience in consumer and commercial sales, marketing and customer experience brings a valuable perspective to the Board.</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Ms. Haenggi, 56, is the founder and principal of Goodwin+Beckham, a consulting firm, since September 2025. Prior to that, she served as the EVP &amp; President of ADT Solar, a division of ADT Security Services, from December 2022 until June 2024, and served as an advisor for a period after her departure until July 2025. She also had served as the Executive Vice President, COO at ADT Solar, overseeing sales, marketing contract center, field and business operations, HR, IT and administration. Prior to that, Ms. Haenggi was the Executive Vice President, Chief Customer Officer at ADT Security Services from July 2018 to March 2022. She joined ADT Security Services in 2016 as Senior Vice President, Chief Sales and Marketing Officer and had previously been with the company from 1998 to 2006 with progressive senior leadership roles in commercial sales and marketing, and domestic and international sales and marketing. From 2010 to 2016, Ms. Haenggi was the Chief Customer Experience Officer at Protection 1, Inc., a home security systems company. Earlier in her career, Ms. Haenggi held various sales and marketing roles at Vonage, Inc., Holmes Protection Group and National Guardian Corporation.</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Ms. Haenggi earned a bachelor of arts degree in international relations and Japanese from the University of Minnesota and received an honorary doctorate degree from Taylor University.</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6"/>
              </w:rPr>
            </w:pPr>
            <w:r>
              <w:rPr>
                <w:rFonts w:ascii="Avenir Next LT Pro;sans-serif" w:hAnsi="Avenir Next LT Pro;sans-serif"/>
                <w:b w:val="false"/>
                <w:color w:val="000000"/>
                <w:sz w:val="16"/>
              </w:rPr>
              <w:t>SunPower Inc. - since May 2025</w:t>
            </w:r>
          </w:p>
        </w:tc>
      </w:tr>
      <w:tr>
        <w:trPr/>
        <w:tc>
          <w:tcPr>
            <w:tcW w:w="21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Jamie </w:t>
            </w:r>
          </w:p>
          <w:p>
            <w:pPr>
              <w:pStyle w:val="TableContents"/>
              <w:bidi w:val="0"/>
              <w:spacing w:lineRule="auto" w:line="28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Haenggi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3" w:type="dxa"/>
            <w:gridSpan w:val="3"/>
            <w:tcBorders>
              <w:top w:val="single" w:sz="4" w:space="0" w:color="439E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3"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Director since August 2020</w:t>
            </w:r>
          </w:p>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5"/>
        <w:gridCol w:w="698"/>
        <w:gridCol w:w="700"/>
        <w:gridCol w:w="109"/>
        <w:gridCol w:w="109"/>
        <w:gridCol w:w="109"/>
        <w:gridCol w:w="2247"/>
        <w:gridCol w:w="2247"/>
        <w:gridCol w:w="3191"/>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7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5" descr=""/>
                          <pic:cNvPicPr>
                            <a:picLocks noChangeAspect="1" noChangeArrowheads="1"/>
                          </pic:cNvPicPr>
                        </pic:nvPicPr>
                        <pic:blipFill>
                          <a:blip r:embed="rId56"/>
                          <a:stretch>
                            <a:fillRect/>
                          </a:stretch>
                        </pic:blipFill>
                        <pic:spPr bwMode="auto">
                          <a:xfrm>
                            <a:off x="0" y="0"/>
                            <a:ext cx="1190625" cy="1524000"/>
                          </a:xfrm>
                          <a:prstGeom prst="rect">
                            <a:avLst/>
                          </a:prstGeom>
                        </pic:spPr>
                      </pic:pic>
                    </a:graphicData>
                  </a:graphic>
                </wp:inline>
              </w:drawing>
            </w:r>
            <w:bookmarkStart w:id="54" w:name="i-55"/>
            <w:bookmarkEnd w:id="5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 xml:space="preserve">Mr. Kortlang’s work as a venture capitalist with a focus on growth-stage investing in alternative energy technologies provides a valuable industry perspective to the Board. Additionally, Mr. Kortlang’s investing and business experience also provides the Board with a valuable perspective on acquisitions and building alternative energy businesses. </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As the Chair of the Nominating and Corporate Governance Committee, Mr. Kortlang leads Board oversight of the Company’s sustainability report, director evaluation and nominations, and corporate governance matters. Mr. Kortlang also serves on the Board’s pricing committee related to the repurchase of the Company’s common stock under the share repurchase program authorized by the Board.</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 xml:space="preserve">Mr. Kortlang, 51, has been a Partner with G2VP, LLC, a venture capital firm since August 2016. From February 2008 to April 2020, Mr. Kortlang was a Partner with Kleiner Perkins Caufield &amp; Byers, a venture capital firm. From July 2000 to January 2008, Mr. Kortlang worked with Goldman, Sachs &amp; Co., co-heading Goldman’s Alternative Energy Investing business. From June 2005 to February 2008, Mr. Kortlang was a Vice President within Goldman’s Special Situations Group, before which he was a Vice President in Goldman’s investment banking group focusing on Industrials and Natural Resources. From January 1996 to August 1998, Mr. Kortlang was an Associate with A.T. Kearney, Inc., a global management consulting firm where he focused on strategic and operations consulting in the energy, manufacturing, packaging, transportation and communications industries. From February 1993 to July 1994, Mr. Kortlang was a Business Analyst at National Australia Bank in strategic planning and macroeconomic forecasting. </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Kortlang holds a bachelor of business degree in economics and finance from Royal Melbourne Institute of Technology, a bachelor of commerce and an honors degree in econometrics from University of Melbourne, and a master of business administration degree from the University of Michigan.</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None</w:t>
            </w:r>
          </w:p>
        </w:tc>
      </w:tr>
      <w:tr>
        <w:trPr/>
        <w:tc>
          <w:tcPr>
            <w:tcW w:w="219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Benjamin </w:t>
            </w:r>
          </w:p>
          <w:p>
            <w:pPr>
              <w:pStyle w:val="TableContents"/>
              <w:bidi w:val="0"/>
              <w:spacing w:lineRule="auto" w:line="26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Kortlang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3" w:type="dxa"/>
            <w:gridSpan w:val="3"/>
            <w:tcBorders>
              <w:top w:val="single" w:sz="4" w:space="0" w:color="439E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3"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Director since May 2010</w:t>
            </w:r>
          </w:p>
          <w:p>
            <w:pPr>
              <w:pStyle w:val="TableContents"/>
              <w:bidi w:val="0"/>
              <w:spacing w:lineRule="auto" w:line="336" w:before="180" w:after="180"/>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Audit Committee</w:t>
            </w:r>
          </w:p>
          <w:p>
            <w:pPr>
              <w:pStyle w:val="TableContents"/>
              <w:bidi w:val="0"/>
              <w:spacing w:lineRule="auto" w:line="336" w:before="180" w:after="180"/>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Nominating and Corporate Governance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47"/>
        <w:gridCol w:w="657"/>
        <w:gridCol w:w="659"/>
        <w:gridCol w:w="109"/>
        <w:gridCol w:w="109"/>
        <w:gridCol w:w="109"/>
        <w:gridCol w:w="2285"/>
        <w:gridCol w:w="2285"/>
        <w:gridCol w:w="3245"/>
      </w:tblGrid>
      <w:tr>
        <w:trPr/>
        <w:tc>
          <w:tcPr>
            <w:tcW w:w="7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7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6" descr=""/>
                          <pic:cNvPicPr>
                            <a:picLocks noChangeAspect="1" noChangeArrowheads="1"/>
                          </pic:cNvPicPr>
                        </pic:nvPicPr>
                        <pic:blipFill>
                          <a:blip r:embed="rId57"/>
                          <a:stretch>
                            <a:fillRect/>
                          </a:stretch>
                        </pic:blipFill>
                        <pic:spPr bwMode="auto">
                          <a:xfrm>
                            <a:off x="0" y="0"/>
                            <a:ext cx="1190625" cy="1524000"/>
                          </a:xfrm>
                          <a:prstGeom prst="rect">
                            <a:avLst/>
                          </a:prstGeom>
                        </pic:spPr>
                      </pic:pic>
                    </a:graphicData>
                  </a:graphic>
                </wp:inline>
              </w:drawing>
            </w:r>
            <w:bookmarkStart w:id="55" w:name="i-56"/>
            <w:bookmarkEnd w:id="5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Mora’s expertise in process and productivity improvements at the corporate, regional and country level provides a valuable perspective to the Board, as well as his years of experience with respect to emerging companies, international operations, risk management, and team building.</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Mora, 61, served as the CEO of Landis+Gyr, an energy management company, from April 2017 through March 2020. Prior to that, Mr. Mora served as the COO of Landis+Gyr, from November 2013 to April 2017. Mr. Mora served as the President and CEO of Landis+Gyr Americas where he had responsibilities for operations in both North and South America, from August 2011 to November 2013. He served as the President and CEO of Landis+Gyr North America, from August 2008 to August 2011.</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Mora holds a bachelor of arts degree in economics from Stanford University.</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None</w:t>
            </w:r>
          </w:p>
        </w:tc>
      </w:tr>
      <w:tr>
        <w:trPr/>
        <w:tc>
          <w:tcPr>
            <w:tcW w:w="20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Richard </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3" w:type="dxa"/>
            <w:gridSpan w:val="3"/>
            <w:tcBorders>
              <w:top w:val="single" w:sz="4" w:space="0" w:color="439E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3"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Director since February 2014</w:t>
            </w:r>
          </w:p>
          <w:p>
            <w:pPr>
              <w:pStyle w:val="TableContents"/>
              <w:bidi w:val="0"/>
              <w:spacing w:lineRule="auto" w:line="336" w:before="180" w:after="12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Audit Committee</w:t>
            </w:r>
          </w:p>
          <w:p>
            <w:pPr>
              <w:pStyle w:val="TableContents"/>
              <w:bidi w:val="0"/>
              <w:spacing w:lineRule="auto" w:line="336" w:before="180" w:after="283"/>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73"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10</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F45270"/>
          <w:sz w:val="28"/>
        </w:rPr>
      </w:pPr>
      <w:r>
        <w:rPr>
          <w:rFonts w:ascii="Avenir Next LT Pro;sans-serif" w:hAnsi="Avenir Next LT Pro;sans-serif"/>
          <w:b/>
          <w:color w:val="F45270"/>
          <w:sz w:val="28"/>
        </w:rPr>
        <w:t>Class III Directors Continuing in Office until the 2027 Annual Meeting</w:t>
      </w:r>
    </w:p>
    <w:tbl>
      <w:tblPr>
        <w:tblW w:w="10205" w:type="dxa"/>
        <w:jc w:val="left"/>
        <w:tblInd w:w="0" w:type="dxa"/>
        <w:tblLayout w:type="fixed"/>
        <w:tblCellMar>
          <w:top w:w="28" w:type="dxa"/>
          <w:left w:w="28" w:type="dxa"/>
          <w:bottom w:w="28" w:type="dxa"/>
          <w:right w:w="28" w:type="dxa"/>
        </w:tblCellMar>
      </w:tblPr>
      <w:tblGrid>
        <w:gridCol w:w="762"/>
        <w:gridCol w:w="670"/>
        <w:gridCol w:w="672"/>
        <w:gridCol w:w="109"/>
        <w:gridCol w:w="109"/>
        <w:gridCol w:w="109"/>
        <w:gridCol w:w="2273"/>
        <w:gridCol w:w="2273"/>
        <w:gridCol w:w="3228"/>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7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 descr=""/>
                          <pic:cNvPicPr>
                            <a:picLocks noChangeAspect="1" noChangeArrowheads="1"/>
                          </pic:cNvPicPr>
                        </pic:nvPicPr>
                        <pic:blipFill>
                          <a:blip r:embed="rId58"/>
                          <a:stretch>
                            <a:fillRect/>
                          </a:stretch>
                        </pic:blipFill>
                        <pic:spPr bwMode="auto">
                          <a:xfrm>
                            <a:off x="0" y="0"/>
                            <a:ext cx="1190625" cy="1524000"/>
                          </a:xfrm>
                          <a:prstGeom prst="rect">
                            <a:avLst/>
                          </a:prstGeom>
                        </pic:spPr>
                      </pic:pic>
                    </a:graphicData>
                  </a:graphic>
                </wp:inline>
              </w:drawing>
            </w:r>
            <w:bookmarkStart w:id="56" w:name="i-57"/>
            <w:bookmarkEnd w:id="5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Kothandaraman brings to the Board strong technical, operational, strategy and leadership experience during his 21-year career at Cypress Semiconductor and his tenure at Enphase.</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 xml:space="preserve">Mr. Kothandaraman, 54, joined Enphase in April 2017 as Chief Operating Officer (“COO”), before being appointed President and CEO and a member of the Board in September 2017. Prior to Enphase, Mr. Kothandaraman served as Executive Vice President of the Data Communications Division of Cypress Semiconductor Corporation, a semiconductor design and manufacturing company, from April 2011 to September 2016. He started his career with Cypress Semiconductor in 1995 and worked in process technology development and chip design before becoming Vice President of the Asynchronous SRAM Business in 2008. Mr. Kothandaraman was subsequently promoted to executive vice president of Cypress’s Data Communications Division in November 2011 and spent the next five years building the USB 3.0, USB-C and the Internet of Things businesses. He also served as the Executive Director of Cypress Semiconductor Technology India Private Limited from 2012 to 2016. </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Kothandaraman received his bachelor of technology degree from IIT Madras and a master of science degree in materials science from the University of California, Berkeley. Mr. Kothandaraman attended the Stanford Executive Program in 2008 and holds eight U.S. patents.</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None</w:t>
            </w:r>
          </w:p>
        </w:tc>
      </w:tr>
      <w:tr>
        <w:trPr/>
        <w:tc>
          <w:tcPr>
            <w:tcW w:w="210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4" w:type="dxa"/>
            <w:gridSpan w:val="3"/>
            <w:tcBorders>
              <w:top w:val="single" w:sz="4" w:space="0" w:color="F452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4" w:type="dxa"/>
            <w:gridSpan w:val="3"/>
            <w:tcBorders/>
            <w:tcMar>
              <w:top w:w="0" w:type="dxa"/>
              <w:left w:w="0" w:type="dxa"/>
              <w:bottom w:w="0" w:type="dxa"/>
              <w:right w:w="0" w:type="dxa"/>
            </w:tcMar>
            <w:vAlign w:val="center"/>
          </w:tcPr>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President and Chief Executive Officer</w:t>
            </w:r>
          </w:p>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Director since April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2257"/>
        <w:gridCol w:w="2257"/>
        <w:gridCol w:w="320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1190625" cy="1524000"/>
                          </a:xfrm>
                          <a:prstGeom prst="rect">
                            <a:avLst/>
                          </a:prstGeom>
                        </pic:spPr>
                      </pic:pic>
                    </a:graphicData>
                  </a:graphic>
                </wp:inline>
              </w:drawing>
            </w:r>
            <w:bookmarkStart w:id="57" w:name="i-58"/>
            <w:bookmarkEnd w:id="5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Malchow brings to the Board many years of entrepreneurial and investment experience, with expertise in scaled infrastructure, software-driven businesses, data security and machine learning.</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Malchow, 40, has served as the founding Partner at HNVR Technology Investment Management, a venture capital firm, and has been investing in technology companies since 2013. In 2011, he co-founded Publir LLC, a cloud software company. Mr. Malchow is a member of the board of the National Civic Arts Society in Washington, D.C. From December 2020 through July 2021, he served on the Board of Directors of Rodgers Silicon Valley Acquisition Corp, a special purpose acquisition company that successfully completed a business combination with Enovix Corporation. From January 2021 to January 2023, Mr. Malchow served on the Board of Directors of Archaea Energy Inc., a leading producer of renewable gas. Mr. Malchow provided consulting services to Enphase from April 2019 until April 2022. Mr. Malchow is also involved with Stanford University’s Freeman-Spogli Institute and Hoover Institution, and with The Federalist Society in Washington, D.C.</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Malchow holds a bachelor of arts degree from Dartmouth College and a juris doctorate degree from Stanford University.</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Enovix Corporation - since June 2023</w:t>
            </w:r>
          </w:p>
        </w:tc>
      </w:tr>
      <w:tr>
        <w:trPr/>
        <w:tc>
          <w:tcPr>
            <w:tcW w:w="21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Joseph </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Malchow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top w:val="single" w:sz="4" w:space="0" w:color="F4527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Director since February 2020</w:t>
            </w:r>
          </w:p>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76"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11</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2C436F"/>
          <w:sz w:val="28"/>
        </w:rPr>
      </w:pPr>
      <w:r>
        <w:rPr>
          <w:rFonts w:ascii="Avenir Next LT Pro;sans-serif" w:hAnsi="Avenir Next LT Pro;sans-serif"/>
          <w:b/>
          <w:color w:val="2C436F"/>
          <w:sz w:val="28"/>
        </w:rPr>
        <w:t>Class I Directors Continuing in Office until the 2028 Annual Meeting</w:t>
      </w:r>
    </w:p>
    <w:tbl>
      <w:tblPr>
        <w:tblW w:w="10205" w:type="dxa"/>
        <w:jc w:val="left"/>
        <w:tblInd w:w="0" w:type="dxa"/>
        <w:tblLayout w:type="fixed"/>
        <w:tblCellMar>
          <w:top w:w="28" w:type="dxa"/>
          <w:left w:w="28" w:type="dxa"/>
          <w:bottom w:w="28" w:type="dxa"/>
          <w:right w:w="28" w:type="dxa"/>
        </w:tblCellMar>
      </w:tblPr>
      <w:tblGrid>
        <w:gridCol w:w="727"/>
        <w:gridCol w:w="639"/>
        <w:gridCol w:w="641"/>
        <w:gridCol w:w="109"/>
        <w:gridCol w:w="109"/>
        <w:gridCol w:w="109"/>
        <w:gridCol w:w="2304"/>
        <w:gridCol w:w="2304"/>
        <w:gridCol w:w="3263"/>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0"/>
                          <a:stretch>
                            <a:fillRect/>
                          </a:stretch>
                        </pic:blipFill>
                        <pic:spPr bwMode="auto">
                          <a:xfrm>
                            <a:off x="0" y="0"/>
                            <a:ext cx="1190625" cy="1524000"/>
                          </a:xfrm>
                          <a:prstGeom prst="rect">
                            <a:avLst/>
                          </a:prstGeom>
                        </pic:spPr>
                      </pic:pic>
                    </a:graphicData>
                  </a:graphic>
                </wp:inline>
              </w:drawing>
            </w:r>
            <w:bookmarkStart w:id="58" w:name="i-59"/>
            <w:bookmarkEnd w:id="5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Gomo brings to the Board valuable financial and business expertise through his years of experience as a chief financial officer with publicly traded companies, as well as serving as a board member of privately-held and publicly-traded companies. Mr. Gomo provides an important role in leading the Board’s activities as the Board Chair, and on financial and auditing matters as the Audit Committee Chair, as well as collaborating with our independent registered public accounting firm and management team in these areas.</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Gomo, 74, served as Executive Vice President of Finance and CFO of NetApp Inc., a computer storage and data management company, from October 2004 until December 2011, and as Senior Vice President of Finance and CFO from August 2002 until October 2004. From November 2000 to April 2002, Mr. Gomo served as CFO of Gemplus International S.A., a smart card provider, and from February 1998 until August 2000, Mr. Gomo served as CFO of Silicon Graphics, Inc., a high-performance computer and computer graphics company. Prior to February 1998, Mr. Gomo held various finance, financial management, manufacturing, and general management positions at Hewlett-Packard Company, an information technology company.</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Gomo holds a bachelor of science degree in business administration from Oregon State University and a master of business administration degree from Santa Clara University.</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From December 2020 through July 2021, Mr. Gomo served on the Board of Directors of Rodgers Silicon Valley Acquisition Corp, a special purpose acquisition company that successfully completed a business combination with Enovix Corporation, a lithium-ion battery company.</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Nutanix, Inc. - since June 2015; Micron Technology, Inc. - since October 2018</w:t>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Steven J. </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Gomo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7" w:type="dxa"/>
            <w:gridSpan w:val="3"/>
            <w:tcBorders>
              <w:top w:val="single" w:sz="4" w:space="0" w:color="2C43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Chair of the Board</w:t>
            </w:r>
          </w:p>
          <w:p>
            <w:pPr>
              <w:pStyle w:val="TableContents"/>
              <w:bidi w:val="0"/>
              <w:spacing w:lineRule="auto" w:line="336" w:before="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Director since March 2011</w:t>
            </w:r>
          </w:p>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Audit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2257"/>
        <w:gridCol w:w="2257"/>
        <w:gridCol w:w="320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1524000"/>
                  <wp:effectExtent l="0" t="0" r="0" b="0"/>
                  <wp:docPr id="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0" descr=""/>
                          <pic:cNvPicPr>
                            <a:picLocks noChangeAspect="1" noChangeArrowheads="1"/>
                          </pic:cNvPicPr>
                        </pic:nvPicPr>
                        <pic:blipFill>
                          <a:blip r:embed="rId61"/>
                          <a:stretch>
                            <a:fillRect/>
                          </a:stretch>
                        </pic:blipFill>
                        <pic:spPr bwMode="auto">
                          <a:xfrm>
                            <a:off x="0" y="0"/>
                            <a:ext cx="1190625" cy="1524000"/>
                          </a:xfrm>
                          <a:prstGeom prst="rect">
                            <a:avLst/>
                          </a:prstGeom>
                        </pic:spPr>
                      </pic:pic>
                    </a:graphicData>
                  </a:graphic>
                </wp:inline>
              </w:drawing>
            </w:r>
            <w:bookmarkStart w:id="59" w:name="i-60"/>
            <w:bookmarkEnd w:id="5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Key Skills and Qualifications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Rodgers brings 35 years of public company CEO experience to the Board, as well as his skills as a technologist, and a director of both privately-held and publicly-traded companies. Mr. Rodgers provides an important role in leading the strategic vision of the company.</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Career Highlights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Rodgers, 78, founded Cypress Semiconductor Corporation in 1982 and served as the President, CEO and as a member of the Board of Directors until April 2017. Mr. Rodgers currently serves as the CEO of SunPower Inc. since April 2024. From September 2020 to July 2021, he served as the Chairman of the Board of Directors and CEO of Rodgers Silicon Valley Acquisition Corp., a special purpose acquisition company, that successfully completed a business combination with Enovix Corporation in July 2021, where he continues to serve as the Chairman of the Board of Directors. From January 2017 to January 2023, Mr. Rodgers also served on the Board of Directors of FTC Solar, Inc., a solar tracker company. From May 2002 to May 2011, Mr. Rodgers served as a member of the Board of Directors of SunPower Corporation, an energy company. From June 2004 through December 2012 Mr. Rodgers was a member of the board of trustees of Dartmouth College.</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Mr. Rodgers holds a bachelor of science degree in physics and chemistry from Dartmouth. Mr. Rodgers holds a master of science degree and a Ph.D. in electrical engineering from Stanford University. At Stanford, Mr. Rodgers invented, developed and patented VMOS technology.</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Current Public Company Boards</w:t>
            </w:r>
          </w:p>
          <w:p>
            <w:pPr>
              <w:pStyle w:val="TableContents"/>
              <w:bidi w:val="0"/>
              <w:spacing w:lineRule="auto" w:line="336" w:before="0" w:after="180"/>
              <w:jc w:val="both"/>
              <w:rPr>
                <w:rFonts w:ascii="Avenir Next LT Pro;sans-serif" w:hAnsi="Avenir Next LT Pro;sans-serif"/>
                <w:b w:val="false"/>
                <w:color w:val="000000"/>
                <w:sz w:val="17"/>
              </w:rPr>
            </w:pPr>
            <w:r>
              <w:rPr>
                <w:rFonts w:ascii="Avenir Next LT Pro;sans-serif" w:hAnsi="Avenir Next LT Pro;sans-serif"/>
                <w:b w:val="false"/>
                <w:color w:val="000000"/>
                <w:sz w:val="17"/>
              </w:rPr>
              <w:t>Enovix Corporation - since September 2020; SunPower Inc. - since November 2022</w:t>
            </w:r>
          </w:p>
        </w:tc>
      </w:tr>
      <w:tr>
        <w:trPr/>
        <w:tc>
          <w:tcPr>
            <w:tcW w:w="21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Thurman John </w:t>
            </w:r>
          </w:p>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Rodgers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top w:val="single" w:sz="4" w:space="0" w:color="2C436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1"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Director since January 2017</w:t>
            </w:r>
          </w:p>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Compensation Committee (Chair)</w:t>
            </w:r>
          </w:p>
          <w:p>
            <w:pPr>
              <w:pStyle w:val="TableContents"/>
              <w:bidi w:val="0"/>
              <w:spacing w:lineRule="auto" w:line="336" w:before="180" w:after="180"/>
              <w:jc w:val="left"/>
              <w:rPr>
                <w:rFonts w:ascii="Avenir Next LT Pro;sans-serif" w:hAnsi="Avenir Next LT Pro;sans-serif"/>
                <w:b w:val="false"/>
                <w:color w:val="000000"/>
                <w:sz w:val="17"/>
              </w:rPr>
            </w:pPr>
            <w:r>
              <w:rPr>
                <w:rFonts w:ascii="Avenir Next LT Pro;sans-serif" w:hAnsi="Avenir Next LT Pro;sans-serif"/>
                <w:b w:val="false"/>
                <w:color w:val="000000"/>
                <w:sz w:val="17"/>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7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12</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Information Regarding the 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Identifying and Evaluating Nominees for Directors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Board is responsible for selecting nominees for election as directors. The Board delegates the initial screening process to the Nominating and Corporate Governance Committee with the expectation that other members of the Board participate in this process, as appropriate. On an ongoing basis, including in connection with the annual Board self-evaluation and setting the director slate for the annual meeting, the Nominating and Corporate Governance Committee regularly assesses the composition of the Board to maintain alignment with the company’s strategy and other priorities.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has identified the following key attributes, skills and experience of directors that it believes are essential to the oversight and implementation of our business and strategy requirements and to promoting the long-term interests of our stockholders and other stakeholders.</w:t>
      </w:r>
    </w:p>
    <w:tbl>
      <w:tblPr>
        <w:tblW w:w="10205" w:type="dxa"/>
        <w:jc w:val="left"/>
        <w:tblInd w:w="0" w:type="dxa"/>
        <w:tblLayout w:type="fixed"/>
        <w:tblCellMar>
          <w:top w:w="28" w:type="dxa"/>
          <w:left w:w="28" w:type="dxa"/>
          <w:bottom w:w="28" w:type="dxa"/>
          <w:right w:w="28" w:type="dxa"/>
        </w:tblCellMar>
      </w:tblPr>
      <w:tblGrid>
        <w:gridCol w:w="1816"/>
        <w:gridCol w:w="1601"/>
        <w:gridCol w:w="1607"/>
        <w:gridCol w:w="1597"/>
        <w:gridCol w:w="1467"/>
        <w:gridCol w:w="2117"/>
      </w:tblGrid>
      <w:tr>
        <w:trPr/>
        <w:tc>
          <w:tcPr>
            <w:tcW w:w="181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4" w:space="0" w:color="3C3C3C"/>
              <w:right w:val="single" w:sz="4" w:space="0" w:color="3C3C3C"/>
            </w:tcBorders>
            <w:shd w:fill="3C3C3C" w:val="clear"/>
            <w:tcMar>
              <w:top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Key Attributes</w:t>
            </w:r>
          </w:p>
        </w:tc>
      </w:tr>
      <w:tr>
        <w:trPr/>
        <w:tc>
          <w:tcPr>
            <w:tcW w:w="5024"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Objectivity and independence</w:t>
            </w:r>
          </w:p>
        </w:tc>
        <w:tc>
          <w:tcPr>
            <w:tcW w:w="5181"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Sound judgment</w:t>
            </w:r>
          </w:p>
        </w:tc>
      </w:tr>
      <w:tr>
        <w:trPr/>
        <w:tc>
          <w:tcPr>
            <w:tcW w:w="502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Ability to contribute diverse perspectives in the Board’s deliberations</w:t>
            </w:r>
          </w:p>
        </w:tc>
        <w:tc>
          <w:tcPr>
            <w:tcW w:w="518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Ability and desire to devote the time necessary to fulfill his or her duties</w:t>
            </w:r>
          </w:p>
        </w:tc>
      </w:tr>
      <w:tr>
        <w:trPr/>
        <w:tc>
          <w:tcPr>
            <w:tcW w:w="5024"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High integrity &amp; values</w:t>
            </w:r>
          </w:p>
        </w:tc>
        <w:tc>
          <w:tcPr>
            <w:tcW w:w="5181" w:type="dxa"/>
            <w:gridSpan w:val="3"/>
            <w:tcBorders>
              <w:left w:val="single" w:sz="2" w:space="0" w:color="929292"/>
              <w:right w:val="single" w:sz="2" w:space="0" w:color="929292"/>
            </w:tcBorders>
            <w:shd w:fill="FFFFFF" w:val="clear"/>
            <w:tcMar>
              <w:top w:w="0" w:type="dxa"/>
              <w:left w:w="14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Effective collaboration</w:t>
            </w:r>
          </w:p>
        </w:tc>
      </w:tr>
      <w:tr>
        <w:trPr/>
        <w:tc>
          <w:tcPr>
            <w:tcW w:w="502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Loyalty to the interests of Enphase and its stockholders</w:t>
            </w:r>
          </w:p>
        </w:tc>
        <w:tc>
          <w:tcPr>
            <w:tcW w:w="5181" w:type="dxa"/>
            <w:gridSpan w:val="3"/>
            <w:tcBorders>
              <w:left w:val="single" w:sz="2" w:space="0" w:color="929292"/>
              <w:right w:val="single" w:sz="2" w:space="0" w:color="929292"/>
            </w:tcBorders>
            <w:shd w:fill="FAF6EF" w:val="clear"/>
            <w:tcMar>
              <w:top w:w="0" w:type="dxa"/>
              <w:left w:w="14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Expertise in his or her field</w:t>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additional information on the criteria used to select Board nominees, please see the section “Information Regarding Committees of the Board - Nominating and Corporate Governance Committee”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Director Independence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Under The Nasdaq Stock Market LLC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compensation and nominating committees be independent within the meaning of the Nasdaq listing standards. Under the Nasdaq listing standards, a director will only qualify as an “independent director” if, in the opinion of a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Exchange Act of 1934, as amended (the “Exchange Act”).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undertook a review of the independence of each director. Based on information provided by each director concerning his or her background, employment and affiliations, the Board determined that each of Messrs. Gomo, Kortlang, Malchow, Mora and Rodgers and Ms. Haenggi do not have a relationship with Enphase that would interfere with the exercise of independent judgment in carrying out the responsibilities of a director, and that each of these is “independent” as that term is defined under the applicable rules and regulations of the SEC and the Nasdaq listing standards. Accordingly, a majority of our directors are independent, as required under Nasdaq listing standards. The Board determined that Mr. Kothandaraman is not “independent” as defined under the applicable Nasdaq listing standards due to his services as our president and CEO.</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non-employee directors meet in regularly scheduled executive sessions at which only non-employee directors are present.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300"/>
        <w:jc w:val="left"/>
        <w:rPr>
          <w:rFonts w:ascii="Avenir Next LT Pro;sans-serif" w:hAnsi="Avenir Next LT Pro;sans-serif"/>
          <w:b/>
          <w:color w:val="000000"/>
          <w:sz w:val="36"/>
        </w:rPr>
      </w:pPr>
      <w:r>
        <w:rPr>
          <w:rFonts w:ascii="Avenir Next LT Pro;sans-serif" w:hAnsi="Avenir Next LT Pro;sans-serif"/>
          <w:b/>
          <w:color w:val="000000"/>
          <w:sz w:val="36"/>
        </w:rPr>
        <w:t>Board Composition and Refreshment; Director Tenure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Board and the Nominating and Corporate Governance Committee value a variety of backgrounds, age, education, experience, perspectives and leadership in different fields when identifying nominees. The Board believes that the representation of a multitude of diverse perspectives expands the Board’s understanding of our customers, partners, employees, investors and other stakeholders.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Nominating and Corporate Governance Committee is committed to identifying qualified candidates for its Board that would bring new perspectives and expertise to our Board. In furtherance of this commitment, the Nominating and Corporate Governance Committee continues to actively seek to add a candidate to the Board in the near future that enhances the skill set of the Board, who ideally has expertise in artificial intelligence and/or data centers.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is committed to ongoing and thoughtful refreshment of its membership, yet also believes it is in the best interests of Enphase and our stockholders to maintain a mix of longer-tenured, experienced directors with institutional knowledge and newer directors with fresh perspectives. If each director nominee is elected to the Board at the Annual Meeting, two of our directors will be newer directors having been appointed in 2020 or later.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At the 2025 Annual Meeting, Mr. Rodgers did not receive a majority of the votes cast but was elected under our plurality voting standard for directors. The Nominating and Corporate Governance Committee strongly recommended to the Board that he remain a member of the Board, which was unanimously approved by all directors (excluding Mr. Rodgers). The Board believed that Mr. Rodgers received less than 50% of the votes cast primarily due to proxy voting guidelines related to over-boarding policies at several of our largest institutional stockholders. However, Mr. Rodgers had served with distinction on the Board since 2017, as an engaged and active member, and was and is an indispensable force on the Board and to the long-term success of Enphase. In addition, Mr. Rodgers attended 100% of the Board and committee meetings in 2024 and 2025.</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do not impose director tenure limits or a mandatory retirement age. The Board believes that our longer-tenured directors, with their deep historical and institutional knowledge, have a unique perspective of Enphase, which provides invaluable insight as we continue to grow and evolve. Accordingly, while director tenure is taken into consideration when making nomination decisions, the Board believes that imposing strict limits on director tenure would deprive the Board of the valuable perspectives of its most experienced members. If each director nominee is elected to the Board at the Annual Meeting, our directors will have served on the Board for an average of 10.4 years. The Board believes the current average tenure of its directors is consistent with the balance the Board seeks between different perspectives brought by longer serving directors and newer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Board Leadership Structure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believe that independent board oversight is an essential component of strong corporate performance. We also believe that the decision as to whether the positions of Chairman and CEO should be combined or separated, and whether an executive or an independent director should serve as the Chairman should be based upon the circumstances facing the company. Maintaining flexibility on this policy allows the Board to choose the leadership structure that will best serve the interests of the company and its shareholders at any particular time.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has separated the roles of Chairman and CEO, and Mr. Gomo has been appointed to serve as the independent Chair of the Board and as the Lead Independent Director. In his capacity as Chair of the Board, Mr. Gomo has the authority to, among other things, call and preside over Board meetings, including meetings of the independent directors, and establish the agenda for these meetings. Accordingly, the Chair of the Board has substantial ability to shape the work of the Board. The Board believes that having an independent Chair of the Board, separate from the CEO, reinforces the independence of the Board in its oversight of the business and affairs of Enphase. In addition, we believe that having an independent Chair of the Board creates an environment that is more conducive to objective evaluation and oversight of management’s performance, increasing management accountability and improving the ability of the Board to monitor whether management’s actions are in the best interests of Enphase and its stockholders. As a result, we believe that an independent Chair of the Board can enhance the effectiveness of the Board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14</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oversees the CEO and other senior management in the competent and ethical operation of Enphase and seeks to ensure that the long-term interests of our stockholders are being served. Directors are expected to take a proactive and focused approach in order to ensure that we are committed to business success through the maintenance of high standards of responsibility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Role of the Board in Risk Oversight</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Risk Oversight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the Board is responsible for monitoring and assessing strategic risk exposure, including a determination of the nature and level of risk appropriate for Enphase.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has the responsibility to consider and discuss our major financial and accounting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as well as the performance of our internal audit function. The Audit Committee responsibilities also include oversight of cybersecurity risk management, including an annual review of our IT security, and has established a subcommittee that meets with management with a particular focus on these matters.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Nominating and Corporate Governance Committee oversees the risks associated with Board and corporate governance, director independence and sustainability initiatives.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assesses and monitors whether any of our compensation policies and programs has the potential to encourage excessive risk-taking. Each of our committees provides reports to the full Board on their oversight activities and escalates review of risk issues to the Board as appropriate.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the Board meets with certain members of our executive team, including the heads of our different organizational functions, who discuss the risks and exposures involved in their respective areas of responsibility as well as any developments that could impact our risk profile or other aspects of our business. These reports from our executive team are designed to provide timely visibility to the Board and its committees about the identification and assessment of key risks, our risk mitigation strategies and ongoing developments.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a discussion of key risks that could have a material adverse effect on our business, reputation, financial position and results of operations, please refer to the Risk Factors section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Corporate Governance Guidelines</w:t>
      </w:r>
    </w:p>
    <w:p>
      <w:pPr>
        <w:pStyle w:val="TextBody"/>
        <w:bidi w:val="0"/>
        <w:spacing w:lineRule="auto" w:line="336" w:before="0" w:after="180"/>
        <w:jc w:val="both"/>
        <w:rPr/>
      </w:pPr>
      <w:r>
        <w:rPr>
          <w:rFonts w:ascii="Avenir Next LT Pro;sans-serif" w:hAnsi="Avenir Next LT Pro;sans-serif"/>
          <w:b w:val="false"/>
          <w:color w:val="000000"/>
          <w:sz w:val="18"/>
        </w:rPr>
        <w:t xml:space="preserve">The Board has adopted Corporate Governance Guidelines that outline the role and responsibilities of the Board and its various committees. Our Corporate Governance Guidelines are available on our website at </w:t>
      </w:r>
      <w:r>
        <w:rPr>
          <w:rFonts w:ascii="Avenir Next LT Pro;sans-serif" w:hAnsi="Avenir Next LT Pro;sans-serif"/>
          <w:b w:val="false"/>
          <w:i/>
          <w:color w:val="000000"/>
          <w:sz w:val="18"/>
        </w:rPr>
        <w:t>https://investor.enphase.com/corporate-governance</w:t>
      </w:r>
      <w:r>
        <w:rPr>
          <w:rFonts w:ascii="Avenir Next LT Pro;sans-serif" w:hAnsi="Avenir Next LT Pro;sans-serif"/>
          <w:b w:val="false"/>
          <w:color w:val="000000"/>
          <w:sz w:val="18"/>
        </w:rPr>
        <w:t>. Our Corporate Governance Guidelines ensure that the Board will have the necessary authority and practices in place to review and evaluate our business operations as needed and to make decisions that are independent of our management. Our Corporate Governance Guidelines are also intended to align the interests of directors and management with those of our stockholders. Our Corporate Governance Guidelines set forth the practices that the Board intends to follow with respect to board composition and selection, the role of the Board, director orientation and education, director compensation, board meetings and involvement of senior management, board committees, CEO performance evaluation, succession planning and board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Code of Conduct</w:t>
      </w:r>
    </w:p>
    <w:p>
      <w:pPr>
        <w:pStyle w:val="TextBody"/>
        <w:bidi w:val="0"/>
        <w:spacing w:lineRule="auto" w:line="336" w:before="0" w:after="180"/>
        <w:jc w:val="both"/>
        <w:rPr/>
      </w:pPr>
      <w:r>
        <w:rPr>
          <w:rFonts w:ascii="Avenir Next LT Pro;sans-serif" w:hAnsi="Avenir Next LT Pro;sans-serif"/>
          <w:b w:val="false"/>
          <w:color w:val="000000"/>
          <w:sz w:val="18"/>
        </w:rPr>
        <w:t xml:space="preserve">We have adopted the Enphase Energy Code of Conduct (“Code of Conduct”) that applies to all officers, directors and employees. The Code of Conduct is available on our website at </w:t>
      </w:r>
      <w:r>
        <w:rPr>
          <w:rFonts w:ascii="Avenir Next LT Pro;sans-serif" w:hAnsi="Avenir Next LT Pro;sans-serif"/>
          <w:b w:val="false"/>
          <w:i/>
          <w:color w:val="000000"/>
          <w:sz w:val="18"/>
        </w:rPr>
        <w:t>https://investor.enphase.com/corporate-governance</w:t>
      </w:r>
      <w:r>
        <w:rPr>
          <w:rFonts w:ascii="Avenir Next LT Pro;sans-serif" w:hAnsi="Avenir Next LT Pro;sans-serif"/>
          <w:b w:val="false"/>
          <w:color w:val="000000"/>
          <w:sz w:val="18"/>
        </w:rPr>
        <w:t xml:space="preserve">.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15</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make any substantive amendments to the Code of Conduct or grant any waiver from a provision of the Code of Conduct to any executive officer or director, we intend to promptly disclose the nature of the amendment or waiver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Insider Trading Policy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maintain an insider trading policy entitled our Policy Against Trading on the Basis of Inside Information that applies to and governs the purchase, sale and/or other dispositions of our securities by directors, officers and all employees, consultants and contractors. We believe that our insider trading policy is reasonably designed to promote compliance with insider trading laws, rules and regulations, and applicable Nasdaq listing standards, and helps protect our reputation for integrity and ethical conduct. A copy of our Policy Against Trading on the Basis of Inside Information was included as Exhibit 19.1 to our Annual Report on Form 10-K for the year ended December 31, 2025, as filed with the SEC on February 17, 2026 (the “Annual Report on Form 10-K”). In addition, we also maintain a separate policy governing the ability of our directors, officers and employees to enter into a pre-arranged trading plan pursuant to Rule 10b5-1 of the Exchange Act. It is our practice to comply with all applicable securities and state laws (including appropriate approvals by the Board or appropriate committee, if required) when engaging in transactions in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Sustainability</w:t>
      </w:r>
    </w:p>
    <w:p>
      <w:pPr>
        <w:pStyle w:val="TextBody"/>
        <w:bidi w:val="0"/>
        <w:spacing w:lineRule="auto" w:line="336" w:before="0" w:after="180"/>
        <w:jc w:val="both"/>
        <w:rPr/>
      </w:pPr>
      <w:r>
        <w:rPr>
          <w:rFonts w:ascii="Avenir Next LT Pro;sans-serif" w:hAnsi="Avenir Next LT Pro;sans-serif"/>
          <w:b w:val="false"/>
          <w:color w:val="000000"/>
          <w:sz w:val="18"/>
        </w:rPr>
        <w:t xml:space="preserve">We publish annually our sustainability and governance report. Our efforts are overseen by our General Counsel, with participation from a senior management committee, along with board-level oversight led by the Nominating and Corporate Governance Committee. The Board receives reports on sustainability and governance matters from the Nominating and Corporate Governance Committee and senior management team at a minimum on an annual basis. The current report is available on our website at </w:t>
      </w:r>
      <w:r>
        <w:rPr>
          <w:rFonts w:ascii="Avenir Next LT Pro;sans-serif" w:hAnsi="Avenir Next LT Pro;sans-serif"/>
          <w:b w:val="false"/>
          <w:i/>
          <w:color w:val="000000"/>
          <w:sz w:val="18"/>
        </w:rPr>
        <w:t>www.enphase.com</w:t>
      </w:r>
      <w:r>
        <w:rPr>
          <w:rFonts w:ascii="Avenir Next LT Pro;sans-serif" w:hAnsi="Avenir Next LT Pro;sans-serif"/>
          <w:b w:val="false"/>
          <w:color w:val="000000"/>
          <w:sz w:val="18"/>
        </w:rPr>
        <w:t>. Additional information about the role of the Nominating and Corporate Governance Committee can be found in its written charter, also available to stockholders on our website. Information contained on our website is not incorporated by reference into this proxy statement or any other report we file with the SEC.</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believe that global warming and climate change present serious risk to the economic, environmental and social systems supporting human civilization. We create clean energy technologies for the world to help slow the pace of global warming, protect the environment, and accelerate the transition to a clean, accessible and resilient energy system. However, we also acknowledge that our ability to capitalize on climate opportunities continuously over the long term requires navigating climate risk successfully.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Meetings of the Board and Committees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expects directors to attend all meetings of the Board and the committees on which the director serves. The Board met five times in 2025. Each director attended at least 75% of the aggregate number of meetings of the Board and of the committees on which he or she served during the portion of 2025 for which he or she was a director or committee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Information Regarding Committees of the Board</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has three standing committees: an Audit Committee, a Compensation Committee and a Nominating and Corporate Governance Committee, each of which has the composition and responsibilities described below. All directors on the Board also participate on the Strategic Committee, which was established by the Board to consider and make recommendations regarding issues impacting our strategic direction, with participation from management, from time to time.</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Audit Committee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was established by the Board in accordance with Section 3(a)(58)(A) of the Exchange Act, to monitor and oversee our corporate accounting and financial reporting processes and audits of its financial statements. For this purpose, the Audit Committee, among other things: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evaluates the performance of and assesses the qualifications of the independent auditors;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determines and approves the scope of engagement and compensation of the independent auditors;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16</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confers with management and the independent auditors regarding the effectiveness of internal controls over financial reporting; and</w:t>
      </w:r>
    </w:p>
    <w:p>
      <w:pPr>
        <w:pStyle w:val="TextBody"/>
        <w:bidi w:val="0"/>
        <w:spacing w:lineRule="auto" w:line="336" w:before="0" w:after="120"/>
        <w:ind w:left="0" w:right="0" w:hanging="180"/>
        <w:jc w:val="left"/>
        <w:rPr/>
      </w:pPr>
      <w:r>
        <w:rPr>
          <w:color w:val="000000"/>
        </w:rPr>
        <w:t>•</w:t>
      </w:r>
      <w:r>
        <w:rPr>
          <w:rFonts w:ascii="Avenir Next LT Pro;sans-serif" w:hAnsi="Avenir Next LT Pro;sans-serif"/>
          <w:b w:val="false"/>
          <w:color w:val="000000"/>
          <w:sz w:val="18"/>
        </w:rPr>
        <w:t>establishes procedures, as required by law, for the receipt, retention and treatment of complaints regarding accounting, internal accounting controls or audit matters.</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also has the following responsibilities: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determining whether to retain or terminate the existing independent auditors or to appoint and engage new independent auditors;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reviewing and approving the retention of the independent auditors to perform any proposed permissible non-audit services;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reviewing and approving or rejecting related-party transactions;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oversight of cybersecurity risks;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oversight of our enterprise risk management program; and</w:t>
      </w:r>
    </w:p>
    <w:p>
      <w:pPr>
        <w:pStyle w:val="TextBody"/>
        <w:bidi w:val="0"/>
        <w:spacing w:lineRule="auto" w:line="336" w:before="0" w:after="180"/>
        <w:ind w:left="0" w:right="0" w:hanging="180"/>
        <w:jc w:val="left"/>
        <w:rPr/>
      </w:pPr>
      <w:r>
        <w:rPr>
          <w:color w:val="000000"/>
        </w:rPr>
        <w:t>•</w:t>
      </w:r>
      <w:r>
        <w:rPr>
          <w:rFonts w:ascii="Avenir Next LT Pro;sans-serif" w:hAnsi="Avenir Next LT Pro;sans-serif"/>
          <w:b w:val="false"/>
          <w:color w:val="000000"/>
          <w:sz w:val="18"/>
        </w:rPr>
        <w:t>reviewing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p>
      <w:pPr>
        <w:pStyle w:val="TextBody"/>
        <w:bidi w:val="0"/>
        <w:spacing w:lineRule="auto" w:line="336" w:before="0" w:after="180"/>
        <w:jc w:val="both"/>
        <w:rPr/>
      </w:pPr>
      <w:r>
        <w:rPr>
          <w:rFonts w:ascii="Avenir Next LT Pro;sans-serif" w:hAnsi="Avenir Next LT Pro;sans-serif"/>
          <w:b w:val="false"/>
          <w:color w:val="000000"/>
          <w:sz w:val="18"/>
        </w:rPr>
        <w:t xml:space="preserve">The Audit Committee is composed of three directors: Messrs. Gomo, Kortlang and Mora. The Audit Committee met five times in 2025. The Audit Committee has adopted a written charter, which is reviewed annually, and is available to stockholders on our website at </w:t>
      </w:r>
      <w:r>
        <w:rPr>
          <w:rFonts w:ascii="Avenir Next LT Pro;sans-serif" w:hAnsi="Avenir Next LT Pro;sans-serif"/>
          <w:b w:val="false"/>
          <w:i/>
          <w:color w:val="000000"/>
          <w:sz w:val="18"/>
        </w:rPr>
        <w:t>https://investor.enphase.com/corporate-governance</w:t>
      </w:r>
      <w:r>
        <w:rPr>
          <w:rFonts w:ascii="Avenir Next LT Pro;sans-serif" w:hAnsi="Avenir Next LT Pro;sans-serif"/>
          <w:b w:val="false"/>
          <w:color w:val="000000"/>
          <w:sz w:val="18"/>
        </w:rPr>
        <w: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Board reviews the Nasdaq listing standards definition of independence for Audit Committee members on an annual basis and has determined that all members of the Audit Committee are independent, as required by Rule 5605(c)(2)(A)(i) and (ii) of the Nasdaq listing standards.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has determined that each member of the Audit Committee can read and understand fundamental financial statements in accordance with applicable requirements. The Board has also determined that Messrs. Gomo and Mora each qualify as an “audit committee financial expert,” as defined in SEC rules. The Board made a qualitative assessment of their level of knowledge and experience based on a number of factors, including formal education, experience as a chief financial officer for public reporting companies or experience as a chief executive officer with financial oversight responsibilities.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Compensation Committee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acts on behalf of the Board to review and adopt, or recommend to the Board for adoption, and oversees our compensation strategy, policies, plans and programs, including:</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approving or recommending to the Board the approval of compensation and other terms of employment of our executive officers;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reviewing and approving performance goals and objectives relevant to the compensation of our executive officers;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evaluating and recommending to the Board the approval of compensation plans and programs, as well as modification or termination of existing plans and programs;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reviewing and approving to the Board the type and amount of compensation to be paid or awarded to Board members;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administering our equity incentive plans;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establishing policies with respect to equity compensation arrangements; and</w:t>
      </w:r>
    </w:p>
    <w:p>
      <w:pPr>
        <w:pStyle w:val="TextBody"/>
        <w:bidi w:val="0"/>
        <w:spacing w:lineRule="auto" w:line="336" w:before="0" w:after="180"/>
        <w:ind w:left="0" w:right="0" w:hanging="180"/>
        <w:jc w:val="left"/>
        <w:rPr/>
      </w:pPr>
      <w:r>
        <w:rPr>
          <w:color w:val="000000"/>
        </w:rPr>
        <w:t>•</w:t>
      </w:r>
      <w:r>
        <w:rPr>
          <w:rFonts w:ascii="Avenir Next LT Pro;sans-serif" w:hAnsi="Avenir Next LT Pro;sans-serif"/>
          <w:b w:val="false"/>
          <w:color w:val="000000"/>
          <w:sz w:val="18"/>
        </w:rPr>
        <w:t>reviewing and approving the terms of any employment agreements, severance arrangements, change in control protections and any other compensatory arrangements for our executive officers.</w:t>
      </w:r>
    </w:p>
    <w:p>
      <w:pPr>
        <w:pStyle w:val="TextBody"/>
        <w:bidi w:val="0"/>
        <w:spacing w:lineRule="auto" w:line="336" w:before="0" w:after="180"/>
        <w:jc w:val="both"/>
        <w:rPr/>
      </w:pPr>
      <w:r>
        <w:rPr>
          <w:rFonts w:ascii="Avenir Next LT Pro;sans-serif" w:hAnsi="Avenir Next LT Pro;sans-serif"/>
          <w:b w:val="false"/>
          <w:color w:val="000000"/>
          <w:sz w:val="18"/>
        </w:rPr>
        <w:t xml:space="preserve">The Compensation Committee is composed of two directors: Messrs. Mora and Rodgers. All members of the Compensation Committee have been and are “independent,” as required by Rules 5605(a)(2) and 5605(d)(2) of the Nasdaq listing standards. The Compensation Committee met four times in 2025. The Compensation Committee has adopted a written charter, which is reviewed annually, and is available to stockholders on our website at </w:t>
      </w:r>
      <w:r>
        <w:rPr>
          <w:rFonts w:ascii="Avenir Next LT Pro;sans-serif" w:hAnsi="Avenir Next LT Pro;sans-serif"/>
          <w:b w:val="false"/>
          <w:i/>
          <w:color w:val="000000"/>
          <w:sz w:val="18"/>
        </w:rPr>
        <w:t>https://investor.enphase.com/corporate-governance</w:t>
      </w:r>
      <w:r>
        <w:rPr>
          <w:rFonts w:ascii="Avenir Next LT Pro;sans-serif" w:hAnsi="Avenir Next LT Pro;sans-serif"/>
          <w:b w:val="false"/>
          <w:color w:val="000000"/>
          <w:sz w:val="18"/>
        </w:rPr>
        <w:t>.</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Compensation Committee Processes and Procedures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agenda for each meeting is usually developed by the Chair of the Compensation Committee, in consultation with our CEO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17</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and senior vice president of human resources. The Compensation Committee meets periodically in executive session, without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CEO does not participate in, and is not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as well as authority to obtain, at the expense of Enphase,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compensation consultants to assist in its evaluation of executive and director compensation, including the authority to approve the consultant’s independence, reasonable fees and other retention terms.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Nominating and Corporate Governance Committee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Nominating and Corporate Governance Committee is responsible for identifying, reviewing and evaluating candidates to serve as directors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principles. The Nominating and Corporate Governance Committee is also responsible for overseeing our sustainability strategy, initiatives and policies, including communications with employees, investors and other stakeholders.</w:t>
      </w:r>
    </w:p>
    <w:p>
      <w:pPr>
        <w:pStyle w:val="TextBody"/>
        <w:bidi w:val="0"/>
        <w:spacing w:lineRule="auto" w:line="336" w:before="0" w:after="180"/>
        <w:jc w:val="both"/>
        <w:rPr/>
      </w:pPr>
      <w:r>
        <w:rPr>
          <w:rFonts w:ascii="Avenir Next LT Pro;sans-serif" w:hAnsi="Avenir Next LT Pro;sans-serif"/>
          <w:b w:val="false"/>
          <w:color w:val="000000"/>
          <w:sz w:val="18"/>
        </w:rPr>
        <w:t xml:space="preserve">The Nominating and Corporate Governance Committee was composed of four directors during 2025: Messrs. Kortlang, Malchow and Rodgers and Ms. Haenggi. The Board appointed Mr. Malchow to serve as the fourth member of the Nominating and Governance Committee as of January 23, 2025. All members of the Nominating and Corporate Governance Committee are independent (as independence is defined in Rule 5605(a)(2) of the Nasdaq listing standards). The Nominating and Corporate Governance Committee met four times in 2025, and Nominating and Corporate Governance Committee business was also discussed from time to time during meetings of the Board. The Nominating and Corporate Governance Committee has adopted a written charter, which is reviewed annually, and is available to stockholders on our website at </w:t>
      </w:r>
      <w:r>
        <w:rPr>
          <w:rFonts w:ascii="Avenir Next LT Pro;sans-serif" w:hAnsi="Avenir Next LT Pro;sans-serif"/>
          <w:b w:val="false"/>
          <w:i/>
          <w:color w:val="000000"/>
          <w:sz w:val="18"/>
        </w:rPr>
        <w:t>https://investor.enphase.com/corporate-governance</w:t>
      </w:r>
      <w:r>
        <w:rPr>
          <w:rFonts w:ascii="Avenir Next LT Pro;sans-serif" w:hAnsi="Avenir Next LT Pro;sans-serif"/>
          <w:b w:val="false"/>
          <w:color w:val="000000"/>
          <w:sz w:val="18"/>
        </w:rPr>
        <w: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Nominating and Corporate Governance Committee believes that candidates for director should have certain minimum qualifications, including: having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Enphase, having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Candidates for director are reviewed in the context of the current composition of the Board, appropriate size of the Board, our operating requirements and the long-term interests of stockholders. In conducting this assessment, the Nominating and Corporate Governance Committee typically considers diversity of skills, background and experience, and such other factors as it deems appropriate given the current needs of the Board, to maintain a balance of knowledge, experience and capability. This process is designed to follow the guiding principle that the composition of the Board should reflect a diversity of thought, perspectives, backgrounds, skills, experiences and expertise, and a range of tenures that are appropriate given our current and anticipated circumstances. The Nominating and Corporate Governance Committee uses its network of contacts to compile a list of potential candidates, but may also engage, as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any candidates recommended by the Nominating and Corporate Governance Committee are subject to approval by the full Board.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In the case of incumbent directors whose terms of office are set to expire, the Nominating and Corporate Governance Committee reviews these directors’ overall service during their terms, including the number of meetings attended, level of participation, quality of performance and any relationships and transactions that might impair the directors’ independence. In the case of new director candidates, the Nominating and Corporate Governance Committee also determines whether the nominee is independent for Nasdaq purposes, which determination is based upon Nasdaq listing standards, SEC rules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18</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regulations and the advice of counsel, if necessary.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Nominating and Corporate Governance Committee, to date, has not adopted a formal policy with regard to the consideration of director candidates recommended by stockholders and will consider director candidates recommended by stockholders on a case-by-case basis, as appropriate. The Nominating and Corporate Governance Committee believes that it is in the best position to identify, review, evaluate and select qualified candidates for Board membership, based on the comprehensive criteria for Board membership approved by the Board. The Nominating and Corporate Governance Committee does not intend to alter the manner in which it evaluates candidates, including the minimum criteria set forth above, based on whether the candidate was recommended by a stockholder. The Board amended our Amended and Restated Bylaws (as amended, the “Bylaws”), effective April 6, 2022, in order to implement proxy access. Pursuant to the proxy access provision, a stockholder or a group of no more than twenty (20) stockholders owning three percent (3%) or more of the voting power of the our outstanding capital stock continuously for at least three (3) years may nominate, and include in our proxy statement for an annual meeting, director nominees constituting up to the greater of two (2) individuals or twenty percent (20%) of the number of directors in office, provided that the stockholders satisfy the requirements specified in the Bylaws.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To date, the Nominating and Corporate Governance Committee has not received any such nominations, nor has it rejected a director nominee from a stockholder or stockholders holding more than 5% of our voting stock. Stockholders who wish to recommend individuals for consideration by the Nominating and Corporate Governance Committee to become nominees for election to the Board at the next annual meeting may do so by delivering a written recommendation to our Corporate Secretary at the following address: 47281 Bayside Parkway, Fremont, CA 94538, not earlier than the close of business on November 2, 2026 and not later than the close of business on December 2, 2026.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such submission must be accompanied by the written consent of the proposed nominee to be named as a nominee and to serve as a director if elected.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Board and Committee Evaluations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and its principal committees perform an annual self-assessment to foster a culture of accountability for performance and continuous improvement so that the Board is able to meet its strategic objectives. As part of the process, directors are requested to complete written questionnaires, which are benchmarked and refreshed each year focusing on the performance of the Board and each of its committees as well as the objectives and priorities for the upcoming year. The annual evaluation process provides the Board with valuable insight regarding areas where the Board believes it functions effectively, and where it can improve. This process is overseen by the chair of the Nominating and Governance Committee and the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Communications with the Board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have not adopted a formal process for stockholder communications with the Board. However, every reasonable effort has been made to ensure that the views of stockholders are heard by the Board or individual director, and that appropriate responses are provided to stockholders in a timely manner. The Board does not recommend that formal communication procedures be adopted at this time because it believes that informal communications are sufficient to communicate questions, comments and observations that could be useful to the Board.</w:t>
      </w:r>
    </w:p>
    <w:p>
      <w:pPr>
        <w:pStyle w:val="TextBody"/>
        <w:bidi w:val="0"/>
        <w:spacing w:lineRule="auto" w:line="336" w:before="0" w:after="180"/>
        <w:jc w:val="both"/>
        <w:rPr/>
      </w:pPr>
      <w:r>
        <w:rPr>
          <w:rFonts w:ascii="Avenir Next LT Pro;sans-serif" w:hAnsi="Avenir Next LT Pro;sans-serif"/>
          <w:b w:val="false"/>
          <w:color w:val="000000"/>
          <w:sz w:val="18"/>
        </w:rPr>
        <w:t xml:space="preserve">Our stockholders may direct communications to a particular director or to the directors generally, in care of Enphase Energy, Inc., 47281 Bayside Parkway, Fremont, CA 94538. Stockholders may also contact us through the investor page on our website at </w:t>
      </w:r>
      <w:r>
        <w:rPr>
          <w:rFonts w:ascii="Avenir Next LT Pro;sans-serif" w:hAnsi="Avenir Next LT Pro;sans-serif"/>
          <w:b w:val="false"/>
          <w:i/>
          <w:color w:val="000000"/>
          <w:sz w:val="18"/>
        </w:rPr>
        <w:t>www.enphase.com</w:t>
      </w:r>
      <w:r>
        <w:rPr>
          <w:rFonts w:ascii="Avenir Next LT Pro;sans-serif" w:hAnsi="Avenir Next LT Pro;sans-serif"/>
          <w:b w:val="false"/>
          <w:color w:val="000000"/>
          <w:sz w:val="18"/>
        </w:rPr>
        <w: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any interested person, including any stockholder, may communicate directly with our non-employee directors. Persons interested in communicating directly with our non-employee directors regarding any concerns or issues may do so by addressing correspondence to a particular director, or to our non-employee directors generally, in care of Enphase Energy, Inc. 47281 Bayside Parkway, Fremont, CA 94538. If no particular director is named, letters will be forwarded, depending upon the subject matter, to the Chair of the Board, the Chair of the Audit Committee, the Chair of the Compensation Committee, or the Chair of the Nominating and Corporate Governance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19</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Non-Employee Director Compensation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Members of the Board who are non-employee directors receive compensation for their service on the Board. As an employee, Mr. Kothandaraman, our CEO, does not receive additional compensation for his service on the Board.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last made changes to our non-employee director compensation policy in November 2020 in order to ensure that our compensation for directors remains competitive and allows us to attract and retain highly qualified members of the Board. Based on the Compensation Committee’s most recent review of director compensation in 2024, no further changes were recommended. As a result, the Non-Employee Director Compensation Policy summarized below provided the following compensation package for our non-employee directors in 2025.</w:t>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Cash Compensation Arrangements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Each member of the Board who is not our employee was eligible for the following cash compensation for Board services.</w:t>
      </w:r>
    </w:p>
    <w:tbl>
      <w:tblPr>
        <w:tblW w:w="9706" w:type="dxa"/>
        <w:jc w:val="left"/>
        <w:tblInd w:w="0" w:type="dxa"/>
        <w:tblLayout w:type="fixed"/>
        <w:tblCellMar>
          <w:top w:w="28" w:type="dxa"/>
          <w:left w:w="28" w:type="dxa"/>
          <w:bottom w:w="28" w:type="dxa"/>
          <w:right w:w="28" w:type="dxa"/>
        </w:tblCellMar>
      </w:tblPr>
      <w:tblGrid>
        <w:gridCol w:w="2976"/>
        <w:gridCol w:w="2620"/>
        <w:gridCol w:w="2624"/>
        <w:gridCol w:w="435"/>
        <w:gridCol w:w="435"/>
        <w:gridCol w:w="616"/>
      </w:tblGrid>
      <w:tr>
        <w:trPr/>
        <w:tc>
          <w:tcPr>
            <w:tcW w:w="2976"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220"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Arrangement</w:t>
            </w:r>
          </w:p>
        </w:tc>
        <w:tc>
          <w:tcPr>
            <w:tcW w:w="1486"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Compensation</w:t>
              <w:br/>
              <w:t>($)</w:t>
            </w:r>
          </w:p>
        </w:tc>
      </w:tr>
      <w:tr>
        <w:trPr/>
        <w:tc>
          <w:tcPr>
            <w:tcW w:w="822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Annual retainer Board member</w:t>
            </w:r>
          </w:p>
        </w:tc>
        <w:tc>
          <w:tcPr>
            <w:tcW w:w="148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50,000</w:t>
            </w:r>
          </w:p>
        </w:tc>
      </w:tr>
      <w:tr>
        <w:trPr/>
        <w:tc>
          <w:tcPr>
            <w:tcW w:w="8220"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Audit Committee chair</w:t>
            </w:r>
          </w:p>
        </w:tc>
        <w:tc>
          <w:tcPr>
            <w:tcW w:w="148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25,000</w:t>
            </w:r>
          </w:p>
        </w:tc>
      </w:tr>
      <w:tr>
        <w:trPr/>
        <w:tc>
          <w:tcPr>
            <w:tcW w:w="822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Audit Committee member</w:t>
            </w:r>
          </w:p>
        </w:tc>
        <w:tc>
          <w:tcPr>
            <w:tcW w:w="148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15,000</w:t>
            </w:r>
          </w:p>
        </w:tc>
      </w:tr>
      <w:tr>
        <w:trPr/>
        <w:tc>
          <w:tcPr>
            <w:tcW w:w="8220"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Compensation Committee chair</w:t>
            </w:r>
          </w:p>
        </w:tc>
        <w:tc>
          <w:tcPr>
            <w:tcW w:w="148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20,000</w:t>
            </w:r>
          </w:p>
        </w:tc>
      </w:tr>
      <w:tr>
        <w:trPr/>
        <w:tc>
          <w:tcPr>
            <w:tcW w:w="822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Compensation Committee member</w:t>
            </w:r>
          </w:p>
        </w:tc>
        <w:tc>
          <w:tcPr>
            <w:tcW w:w="148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10,000</w:t>
            </w:r>
          </w:p>
        </w:tc>
      </w:tr>
      <w:tr>
        <w:trPr/>
        <w:tc>
          <w:tcPr>
            <w:tcW w:w="8220"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Nominating and Corporate Governance Committee chair</w:t>
            </w:r>
          </w:p>
        </w:tc>
        <w:tc>
          <w:tcPr>
            <w:tcW w:w="148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10,000</w:t>
            </w:r>
          </w:p>
        </w:tc>
      </w:tr>
      <w:tr>
        <w:trPr/>
        <w:tc>
          <w:tcPr>
            <w:tcW w:w="822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Nominating and Corporate Governance Committee member</w:t>
            </w:r>
          </w:p>
        </w:tc>
        <w:tc>
          <w:tcPr>
            <w:tcW w:w="148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5,000</w:t>
            </w:r>
          </w:p>
        </w:tc>
      </w:tr>
      <w:tr>
        <w:trPr/>
        <w:tc>
          <w:tcPr>
            <w:tcW w:w="8220"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Lead Independent Director or Chair of the Board</w:t>
            </w:r>
          </w:p>
        </w:tc>
        <w:tc>
          <w:tcPr>
            <w:tcW w:w="148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20,000</w:t>
            </w:r>
          </w:p>
        </w:tc>
      </w:tr>
      <w:tr>
        <w:trPr/>
        <w:tc>
          <w:tcPr>
            <w:tcW w:w="822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Additional retainer Strategic Committee member</w:t>
            </w:r>
          </w:p>
        </w:tc>
        <w:tc>
          <w:tcPr>
            <w:tcW w:w="148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10,000</w:t>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All Board and committee retainers accrue and are payable on a quarterly basis at the end of each calendar quarter of service. We also reimburse our non-employee directors for travel, lodging and other reasonable expenses incurred in connection with their attendance at Board or committee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8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Equity Compensation Arrangements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Non-Employee Director Compensation Policy provides that on the date of each annual stockholders’ meeting, each non-employee director will automatically receive a RSU award with value of $250,000 (calculated using the closing price of our common stock on the Nasdaq Global Market or any successor exchange on the grant date) vesting on a quarterly basis over 12 months; the lead independent director or Chair of the Board will automatically receive an additional RSU grant with a target value of $20,000 vesting on a quarterly basis over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Director Compensation Table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sets forth certain summary information for 2025 with respect to the compensation of our non-employee directors. Mr. Kothandaraman, as an employee and executive officer, did not receive any additional compensation for serving on the Board.</w:t>
      </w:r>
    </w:p>
    <w:tbl>
      <w:tblPr>
        <w:tblW w:w="7868" w:type="dxa"/>
        <w:jc w:val="left"/>
        <w:tblInd w:w="0" w:type="dxa"/>
        <w:tblLayout w:type="fixed"/>
        <w:tblCellMar>
          <w:top w:w="28" w:type="dxa"/>
          <w:left w:w="28" w:type="dxa"/>
          <w:bottom w:w="28" w:type="dxa"/>
          <w:right w:w="28" w:type="dxa"/>
        </w:tblCellMar>
      </w:tblPr>
      <w:tblGrid>
        <w:gridCol w:w="887"/>
        <w:gridCol w:w="781"/>
        <w:gridCol w:w="792"/>
        <w:gridCol w:w="904"/>
        <w:gridCol w:w="904"/>
        <w:gridCol w:w="907"/>
        <w:gridCol w:w="109"/>
        <w:gridCol w:w="109"/>
        <w:gridCol w:w="514"/>
        <w:gridCol w:w="514"/>
        <w:gridCol w:w="516"/>
        <w:gridCol w:w="271"/>
        <w:gridCol w:w="271"/>
        <w:gridCol w:w="389"/>
      </w:tblGrid>
      <w:tr>
        <w:trPr/>
        <w:tc>
          <w:tcPr>
            <w:tcW w:w="88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w:t>
            </w:r>
          </w:p>
        </w:tc>
        <w:tc>
          <w:tcPr>
            <w:tcW w:w="271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Fees Earned or Paid in Cash</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Stock Awards</w:t>
            </w:r>
            <w:r>
              <w:rPr>
                <w:rFonts w:ascii="Avenir Next LT Pro;sans-serif" w:hAnsi="Avenir Next LT Pro;sans-serif"/>
                <w:b/>
                <w:color w:val="FFFFFF"/>
                <w:sz w:val="10"/>
              </w:rPr>
              <w:t>(1)</w:t>
            </w:r>
            <w:r>
              <w:rPr>
                <w:rFonts w:ascii="Avenir Next LT Pro;sans-serif" w:hAnsi="Avenir Next LT Pro;sans-serif"/>
                <w:b/>
                <w:color w:val="FFFFFF"/>
                <w:sz w:val="16"/>
              </w:rPr>
              <w:br/>
              <w:t>($)</w:t>
            </w:r>
          </w:p>
        </w:tc>
        <w:tc>
          <w:tcPr>
            <w:tcW w:w="93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Total</w:t>
              <w:br/>
              <w:t>($)</w:t>
            </w:r>
          </w:p>
        </w:tc>
      </w:tr>
      <w:tr>
        <w:trPr/>
        <w:tc>
          <w:tcPr>
            <w:tcW w:w="246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Steven J. Gomo</w:t>
            </w:r>
          </w:p>
        </w:tc>
        <w:tc>
          <w:tcPr>
            <w:tcW w:w="271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269,974</w:t>
            </w:r>
          </w:p>
        </w:tc>
        <w:tc>
          <w:tcPr>
            <w:tcW w:w="9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374,974</w:t>
            </w:r>
          </w:p>
        </w:tc>
      </w:tr>
      <w:tr>
        <w:trPr/>
        <w:tc>
          <w:tcPr>
            <w:tcW w:w="2460"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Benjamin Kortlang</w:t>
            </w:r>
          </w:p>
        </w:tc>
        <w:tc>
          <w:tcPr>
            <w:tcW w:w="271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249,990</w:t>
            </w:r>
          </w:p>
        </w:tc>
        <w:tc>
          <w:tcPr>
            <w:tcW w:w="9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334,990</w:t>
            </w:r>
          </w:p>
        </w:tc>
      </w:tr>
      <w:tr>
        <w:trPr/>
        <w:tc>
          <w:tcPr>
            <w:tcW w:w="246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Richard Mora</w:t>
            </w:r>
          </w:p>
        </w:tc>
        <w:tc>
          <w:tcPr>
            <w:tcW w:w="271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249,990</w:t>
            </w:r>
          </w:p>
        </w:tc>
        <w:tc>
          <w:tcPr>
            <w:tcW w:w="9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334,990</w:t>
            </w:r>
          </w:p>
        </w:tc>
      </w:tr>
      <w:tr>
        <w:trPr/>
        <w:tc>
          <w:tcPr>
            <w:tcW w:w="2460"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Thurman John Rodgers</w:t>
            </w:r>
          </w:p>
        </w:tc>
        <w:tc>
          <w:tcPr>
            <w:tcW w:w="271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249,990</w:t>
            </w:r>
          </w:p>
        </w:tc>
        <w:tc>
          <w:tcPr>
            <w:tcW w:w="9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334,990</w:t>
            </w:r>
          </w:p>
        </w:tc>
      </w:tr>
      <w:tr>
        <w:trPr/>
        <w:tc>
          <w:tcPr>
            <w:tcW w:w="246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Jamie Haenggi</w:t>
            </w:r>
          </w:p>
        </w:tc>
        <w:tc>
          <w:tcPr>
            <w:tcW w:w="271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249,990</w:t>
            </w:r>
          </w:p>
        </w:tc>
        <w:tc>
          <w:tcPr>
            <w:tcW w:w="9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314,990</w:t>
            </w:r>
          </w:p>
        </w:tc>
      </w:tr>
      <w:tr>
        <w:trPr/>
        <w:tc>
          <w:tcPr>
            <w:tcW w:w="246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color w:val="000000"/>
                <w:sz w:val="18"/>
              </w:rPr>
              <w:t>Joseph Malchow</w:t>
            </w:r>
            <w:r>
              <w:rPr>
                <w:rFonts w:ascii="Avenir Next LT Pro;sans-serif" w:hAnsi="Avenir Next LT Pro;sans-serif"/>
                <w:b/>
                <w:color w:val="000000"/>
                <w:sz w:val="12"/>
              </w:rPr>
              <w:t>(2)</w:t>
            </w:r>
          </w:p>
        </w:tc>
        <w:tc>
          <w:tcPr>
            <w:tcW w:w="271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64,694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249,990</w:t>
            </w:r>
          </w:p>
        </w:tc>
        <w:tc>
          <w:tcPr>
            <w:tcW w:w="9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314,684</w:t>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1The amounts reported in this column do not reflect dollar amounts actually received by our non-employee directors. Instead, these amounts represent the aggregate grant date fair value of RSU awards granted in the fiscal year ended December 31, 2025 calculated in accordance with Financial Accounting Standards Board ASC Topic 718 (“ASC 718”), disregarding the estimate for forfeitures. For a discussion of the valuation methodology used, see Note 15, “Stock-Based Compensation” of the notes to consolidated financial statements included in Item 8 of the Annual Report on Form 10</w:t>
        <w:noBreakHyphen/>
        <w:t>K.</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2Mr. Malchow was appointed to the Nominating and Governance Committee on January 23, 2025 and received a pro rata fee for his service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Director Outstanding Equity Awards at December 31, 2025</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presents the outstanding equity awards held by each of our non-employee Board members as of December 31, 2025.</w:t>
      </w:r>
    </w:p>
    <w:tbl>
      <w:tblPr>
        <w:tblW w:w="10205" w:type="dxa"/>
        <w:jc w:val="left"/>
        <w:tblInd w:w="0" w:type="dxa"/>
        <w:tblLayout w:type="fixed"/>
        <w:tblCellMar>
          <w:top w:w="28" w:type="dxa"/>
          <w:left w:w="28" w:type="dxa"/>
          <w:bottom w:w="28" w:type="dxa"/>
          <w:right w:w="28" w:type="dxa"/>
        </w:tblCellMar>
      </w:tblPr>
      <w:tblGrid>
        <w:gridCol w:w="655"/>
        <w:gridCol w:w="434"/>
        <w:gridCol w:w="440"/>
        <w:gridCol w:w="966"/>
        <w:gridCol w:w="966"/>
        <w:gridCol w:w="968"/>
        <w:gridCol w:w="992"/>
        <w:gridCol w:w="992"/>
        <w:gridCol w:w="1024"/>
        <w:gridCol w:w="109"/>
        <w:gridCol w:w="109"/>
        <w:gridCol w:w="109"/>
        <w:gridCol w:w="713"/>
        <w:gridCol w:w="713"/>
        <w:gridCol w:w="1015"/>
      </w:tblGrid>
      <w:tr>
        <w:trPr/>
        <w:tc>
          <w:tcPr>
            <w:tcW w:w="65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6"/>
            <w:tcBorders>
              <w:top w:val="single" w:sz="2" w:space="0" w:color="3C3C3C"/>
            </w:tcBorders>
            <w:tcMar>
              <w:top w:w="3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2" w:space="0" w:color="3C3C3C"/>
            </w:tcBorders>
            <w:tcMar>
              <w:top w:w="3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Stock Awards</w:t>
            </w:r>
          </w:p>
        </w:tc>
      </w:tr>
      <w:tr>
        <w:trPr/>
        <w:tc>
          <w:tcPr>
            <w:tcW w:w="1529"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w:t>
            </w:r>
          </w:p>
        </w:tc>
        <w:tc>
          <w:tcPr>
            <w:tcW w:w="290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 xml:space="preserve">Number of Securities Underlying Unexercised Options Exercisable </w:t>
              <w:br/>
              <w:t>(#)</w:t>
            </w:r>
          </w:p>
        </w:tc>
        <w:tc>
          <w:tcPr>
            <w:tcW w:w="3008"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Securities Underlying Unexercised Options Not Exercisable</w:t>
              <w:b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 xml:space="preserve">Number of Shares of Stock or Units That Have Not Vested </w:t>
              <w:br/>
              <w:t>(#)</w:t>
            </w:r>
          </w:p>
        </w:tc>
      </w:tr>
      <w:tr>
        <w:trPr/>
        <w:tc>
          <w:tcPr>
            <w:tcW w:w="15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Steven J. Gomo</w:t>
            </w:r>
          </w:p>
        </w:tc>
        <w:tc>
          <w:tcPr>
            <w:tcW w:w="290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00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2,797</w:t>
            </w:r>
          </w:p>
        </w:tc>
      </w:tr>
      <w:tr>
        <w:trPr/>
        <w:tc>
          <w:tcPr>
            <w:tcW w:w="15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Benjamin Kortlang</w:t>
            </w:r>
          </w:p>
        </w:tc>
        <w:tc>
          <w:tcPr>
            <w:tcW w:w="290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2,475</w:t>
            </w:r>
          </w:p>
        </w:tc>
        <w:tc>
          <w:tcPr>
            <w:tcW w:w="300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2,590</w:t>
            </w:r>
          </w:p>
        </w:tc>
      </w:tr>
      <w:tr>
        <w:trPr/>
        <w:tc>
          <w:tcPr>
            <w:tcW w:w="15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Richard Mora</w:t>
            </w:r>
          </w:p>
        </w:tc>
        <w:tc>
          <w:tcPr>
            <w:tcW w:w="290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00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2,590</w:t>
            </w:r>
          </w:p>
        </w:tc>
      </w:tr>
      <w:tr>
        <w:trPr/>
        <w:tc>
          <w:tcPr>
            <w:tcW w:w="15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Thurman John Rodgers</w:t>
            </w:r>
          </w:p>
        </w:tc>
        <w:tc>
          <w:tcPr>
            <w:tcW w:w="290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00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2,590</w:t>
            </w:r>
          </w:p>
        </w:tc>
      </w:tr>
      <w:tr>
        <w:trPr/>
        <w:tc>
          <w:tcPr>
            <w:tcW w:w="15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Jamie Haenggi</w:t>
            </w:r>
          </w:p>
        </w:tc>
        <w:tc>
          <w:tcPr>
            <w:tcW w:w="290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00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2,590</w:t>
            </w:r>
          </w:p>
        </w:tc>
      </w:tr>
      <w:tr>
        <w:trPr/>
        <w:tc>
          <w:tcPr>
            <w:tcW w:w="15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Joseph Malchow</w:t>
            </w:r>
          </w:p>
        </w:tc>
        <w:tc>
          <w:tcPr>
            <w:tcW w:w="290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00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8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Compensation Committee Interlocks and Insider Participation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Messrs. Rodgers and Mora served on the Compensation Committee for the entire fiscal year ended December 31, 2025. None of the members of the Compensation Committee have, at any time, been one of our officers or employees. None of our executive officers serve, or in the past year have served, as a member of the board of directors or compensation committee of any entity that has one or more executive officers who serve on the Board or the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Stock Ownership Guidelines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As part of our overall corporate governance policies, and to align the interests of our non-employee directors with the interests of our stockholders, the Board believes that our non-employee directors should have a significant financial stake in Enphase. Accordingly, the Board believes that each non-employee director should own shares of our common stock with a value equal to at least five times the current cash annual retainer for Board service (excluding additional retainers for committee or chair service). As of March 2026, this guideline is equivalent to $250,000 based on a $50,000 annual retainer. Non-employee directors should achieve this ownership guideline by the end of the calendar year that is three years after the later of (1) the October 22, 2022 effective date of the Stock Ownership Guidelines or (2) the date the individual becomes a non-employee director.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As of December 31, 2025, each of our non-employee directors had achieved his or her required ownership level.</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additional details on our Stock Ownership Guidelines, and how they relate to our officers, please see the section entitled “Compensation Discussion and Analysis - Other Features of Our Executive Compensation Program”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8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22</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Management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sets forth certain information concerning our executive officers as of March 19, 2026:</w:t>
      </w:r>
    </w:p>
    <w:tbl>
      <w:tblPr>
        <w:tblW w:w="9385" w:type="dxa"/>
        <w:jc w:val="left"/>
        <w:tblInd w:w="0" w:type="dxa"/>
        <w:tblLayout w:type="fixed"/>
        <w:tblCellMar>
          <w:top w:w="28" w:type="dxa"/>
          <w:left w:w="28" w:type="dxa"/>
          <w:bottom w:w="28" w:type="dxa"/>
          <w:right w:w="28" w:type="dxa"/>
        </w:tblCellMar>
      </w:tblPr>
      <w:tblGrid>
        <w:gridCol w:w="716"/>
        <w:gridCol w:w="629"/>
        <w:gridCol w:w="631"/>
        <w:gridCol w:w="2169"/>
        <w:gridCol w:w="2169"/>
        <w:gridCol w:w="3071"/>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90625" cy="1524000"/>
                  <wp:effectExtent l="0" t="0" r="0" b="0"/>
                  <wp:docPr id="9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1" descr=""/>
                          <pic:cNvPicPr>
                            <a:picLocks noChangeAspect="1" noChangeArrowheads="1"/>
                          </pic:cNvPicPr>
                        </pic:nvPicPr>
                        <pic:blipFill>
                          <a:blip r:embed="rId62"/>
                          <a:stretch>
                            <a:fillRect/>
                          </a:stretch>
                        </pic:blipFill>
                        <pic:spPr bwMode="auto">
                          <a:xfrm>
                            <a:off x="0" y="0"/>
                            <a:ext cx="1190625" cy="1524000"/>
                          </a:xfrm>
                          <a:prstGeom prst="rect">
                            <a:avLst/>
                          </a:prstGeom>
                        </pic:spPr>
                      </pic:pic>
                    </a:graphicData>
                  </a:graphic>
                </wp:inline>
              </w:drawing>
            </w:r>
            <w:bookmarkStart w:id="60" w:name="i-61"/>
            <w:bookmarkEnd w:id="60"/>
          </w:p>
        </w:tc>
        <w:tc>
          <w:tcPr>
            <w:tcW w:w="740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Badrinarayanan Kothandaraman</w:t>
            </w:r>
          </w:p>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President and Chief Executive Officer</w:t>
            </w:r>
          </w:p>
        </w:tc>
      </w:tr>
      <w:tr>
        <w:trPr/>
        <w:tc>
          <w:tcPr>
            <w:tcW w:w="1976" w:type="dxa"/>
            <w:gridSpan w:val="3"/>
            <w:vMerge w:val="continue"/>
            <w:tcBorders/>
            <w:tcMar>
              <w:top w:w="0" w:type="dxa"/>
              <w:left w:w="0" w:type="dxa"/>
              <w:bottom w:w="0" w:type="dxa"/>
              <w:right w:w="0" w:type="dxa"/>
            </w:tcMar>
            <w:vAlign w:val="center"/>
          </w:tcPr>
          <w:p>
            <w:pPr>
              <w:pStyle w:val="Normal"/>
              <w:bidi w:val="0"/>
              <w:jc w:val="left"/>
              <w:rPr/>
            </w:pPr>
            <w:r>
              <w:rPr/>
            </w:r>
          </w:p>
        </w:tc>
        <w:tc>
          <w:tcPr>
            <w:tcW w:w="7409" w:type="dxa"/>
            <w:gridSpan w:val="3"/>
            <w:tcBorders>
              <w:top w:val="single" w:sz="8" w:space="0" w:color="F37321"/>
            </w:tcBorders>
            <w:tcMar>
              <w:top w:w="30" w:type="dxa"/>
              <w:left w:w="0" w:type="dxa"/>
              <w:bottom w:w="0" w:type="dxa"/>
              <w:right w:w="0" w:type="dxa"/>
            </w:tcMar>
            <w:vAlign w:val="center"/>
          </w:tcPr>
          <w:p>
            <w:pPr>
              <w:pStyle w:val="TableContents"/>
              <w:bidi w:val="0"/>
              <w:spacing w:lineRule="auto" w:line="288"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Please see page 11 of this Proxy Statement for Mr. Kothandaraman’s biography.</w:t>
            </w:r>
          </w:p>
        </w:tc>
      </w:tr>
    </w:tbl>
    <w:tbl>
      <w:tblPr>
        <w:tblW w:w="10205" w:type="dxa"/>
        <w:jc w:val="left"/>
        <w:tblInd w:w="0" w:type="dxa"/>
        <w:tblLayout w:type="fixed"/>
        <w:tblCellMar>
          <w:top w:w="28" w:type="dxa"/>
          <w:left w:w="28" w:type="dxa"/>
          <w:bottom w:w="28" w:type="dxa"/>
          <w:right w:w="28" w:type="dxa"/>
        </w:tblCellMar>
      </w:tblPr>
      <w:tblGrid>
        <w:gridCol w:w="716"/>
        <w:gridCol w:w="629"/>
        <w:gridCol w:w="631"/>
        <w:gridCol w:w="2958"/>
        <w:gridCol w:w="2181"/>
        <w:gridCol w:w="309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190625" cy="1524000"/>
                  <wp:effectExtent l="0" t="0" r="0" b="0"/>
                  <wp:docPr id="9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2" descr=""/>
                          <pic:cNvPicPr>
                            <a:picLocks noChangeAspect="1" noChangeArrowheads="1"/>
                          </pic:cNvPicPr>
                        </pic:nvPicPr>
                        <pic:blipFill>
                          <a:blip r:embed="rId63"/>
                          <a:stretch>
                            <a:fillRect/>
                          </a:stretch>
                        </pic:blipFill>
                        <pic:spPr bwMode="auto">
                          <a:xfrm>
                            <a:off x="0" y="0"/>
                            <a:ext cx="1190625" cy="1524000"/>
                          </a:xfrm>
                          <a:prstGeom prst="rect">
                            <a:avLst/>
                          </a:prstGeom>
                        </pic:spPr>
                      </pic:pic>
                    </a:graphicData>
                  </a:graphic>
                </wp:inline>
              </w:drawing>
            </w:r>
            <w:bookmarkStart w:id="61" w:name="i-62"/>
            <w:bookmarkEnd w:id="61"/>
          </w:p>
        </w:tc>
        <w:tc>
          <w:tcPr>
            <w:tcW w:w="822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Mandy Yang</w:t>
            </w:r>
          </w:p>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Executive Vice President and Chief Financial Officer</w:t>
            </w:r>
          </w:p>
        </w:tc>
      </w:tr>
      <w:tr>
        <w:trPr/>
        <w:tc>
          <w:tcPr>
            <w:tcW w:w="1976" w:type="dxa"/>
            <w:gridSpan w:val="3"/>
            <w:vMerge w:val="continue"/>
            <w:tcBorders/>
            <w:tcMar>
              <w:top w:w="0" w:type="dxa"/>
              <w:left w:w="0" w:type="dxa"/>
              <w:bottom w:w="0" w:type="dxa"/>
              <w:right w:w="0" w:type="dxa"/>
            </w:tcMar>
            <w:vAlign w:val="center"/>
          </w:tcPr>
          <w:p>
            <w:pPr>
              <w:pStyle w:val="Normal"/>
              <w:bidi w:val="0"/>
              <w:jc w:val="left"/>
              <w:rPr/>
            </w:pPr>
            <w:r>
              <w:rPr/>
            </w:r>
          </w:p>
        </w:tc>
        <w:tc>
          <w:tcPr>
            <w:tcW w:w="8229" w:type="dxa"/>
            <w:gridSpan w:val="3"/>
            <w:tcBorders>
              <w:top w:val="single" w:sz="8" w:space="0" w:color="F373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cMar>
              <w:top w:w="0" w:type="dxa"/>
              <w:left w:w="0" w:type="dxa"/>
              <w:bottom w:w="0" w:type="dxa"/>
              <w:right w:w="0" w:type="dxa"/>
            </w:tcMar>
            <w:vAlign w:val="center"/>
          </w:tcPr>
          <w:p>
            <w:pPr>
              <w:pStyle w:val="Normal"/>
              <w:bidi w:val="0"/>
              <w:jc w:val="left"/>
              <w:rPr/>
            </w:pPr>
            <w:r>
              <w:rPr/>
            </w:r>
          </w:p>
        </w:tc>
        <w:tc>
          <w:tcPr>
            <w:tcW w:w="822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Ms. Yang, 50, has served as our Vice President and Chief Accounting Officer from October 2018 until her promotion to our Vice President and CFO in February 2022. Ms. Yang was appointed Executive Vice President in January 2024. Ms. Yang has over 20 years of accounting, financial reporting, treasury, and tax experience. Previously, she was senior director and group controller at Tesla, Inc. from February 2017 to September 2018. Prior to that, she served in various positions at SunPower Corporation, including as Senior Director and Division Controller of the global distributed generation division, and concurrently as the Chief Accounting Officer and Corporate Controller of 8point3 Energy Partners. Before that, she served in a variety of senior finance positions at Spansion Inc. Earlier in her career, Ms. Yang was an internal auditor at SYNNEX Corporation and an auditor with Deloitte. Ms. Yang earned her bachelor of arts degree in international business from National Taiwan University and a master of business administration degree in finance and accounting from the University of Illinois at Urbana-Champaign. She is a Certified Public Accountant in California and a Chartered Financial Analyst.</w:t>
            </w:r>
          </w:p>
        </w:tc>
      </w:tr>
    </w:tbl>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Compensation Discussion and Analysis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Overview</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Compensation Discussion and Analysis provides an overview of our executive compensation philosophy, policies and objectives, how we arrived at specific compensation decisions, and the compensation paid in 2025 to the individuals who served as our principal executive officer and our principal financial officer, our only other NEO. Because we only had two “executive officers” as defined in Exchange Act Rule 3b-7 during 2025, we have two NEOs.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2025, our NEOs were:</w:t>
      </w:r>
    </w:p>
    <w:tbl>
      <w:tblPr>
        <w:tblW w:w="6659" w:type="dxa"/>
        <w:jc w:val="left"/>
        <w:tblInd w:w="0" w:type="dxa"/>
        <w:tblLayout w:type="fixed"/>
        <w:tblCellMar>
          <w:top w:w="28" w:type="dxa"/>
          <w:left w:w="28" w:type="dxa"/>
          <w:bottom w:w="28" w:type="dxa"/>
          <w:right w:w="28" w:type="dxa"/>
        </w:tblCellMar>
      </w:tblPr>
      <w:tblGrid>
        <w:gridCol w:w="1254"/>
        <w:gridCol w:w="1101"/>
        <w:gridCol w:w="1109"/>
        <w:gridCol w:w="931"/>
        <w:gridCol w:w="931"/>
        <w:gridCol w:w="1333"/>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Executive</w:t>
            </w:r>
          </w:p>
        </w:tc>
        <w:tc>
          <w:tcPr>
            <w:tcW w:w="319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Position</w:t>
            </w:r>
          </w:p>
        </w:tc>
      </w:tr>
      <w:tr>
        <w:trPr/>
        <w:tc>
          <w:tcPr>
            <w:tcW w:w="346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319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President and CEO</w:t>
            </w:r>
          </w:p>
        </w:tc>
      </w:tr>
      <w:tr>
        <w:trPr/>
        <w:tc>
          <w:tcPr>
            <w:tcW w:w="3464"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3195"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Executive Vice President and CFO</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Executive Summary</w:t>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Business Overview</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are a global energy technology company. We deliver smart, easy-to-use solutions that manage solar generation, energy storage and communication on one single platform. Our intelligent microinverters work with virtually every solar panel made, and when paired with our smart technology, results in one of the industry’s best-performing clean energy systems. As of the end of 2025, we have cumulatively shipped approximately 86 million microinverters, and approximately 5.1 million Enphase residential and commercial systems have been deployed in more than 160 countries.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industry continued to be affected by a demand slowdown and changes to the regulatory landscape in the United States upon the implementation of the One Big Beautiful Act. During fiscal year 2025, our priorities included providing excellent customer service; scaling U.S. manufacturing and advancing product qualification to take advantage of both investment and production tax credits; enhancing our Enphase Energy System offering through continued product innovation and system integration; broadening our ecosystem capabilities through collaboration with utilities and the development of virtual power plants; strengthening partnerships with installers and third-party operators through safe harbor agreements; and increasing operating efficiencies while reducing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Fiscal 2025 Performance</w:t>
      </w:r>
    </w:p>
    <w:p>
      <w:pPr>
        <w:pStyle w:val="TextBody"/>
        <w:bidi w:val="0"/>
        <w:spacing w:lineRule="auto" w:line="336" w:before="0" w:after="180"/>
        <w:jc w:val="both"/>
        <w:rPr/>
      </w:pPr>
      <w:r>
        <w:rPr>
          <w:rFonts w:ascii="Avenir Next LT Pro;sans-serif" w:hAnsi="Avenir Next LT Pro;sans-serif"/>
          <w:b w:val="false"/>
          <w:color w:val="000000"/>
          <w:sz w:val="18"/>
        </w:rPr>
        <w:t>Despite a difficult environment within our industry, in 2025, we continued to generate strong free cash flow and maintain a strong balance sheet. Our GAAP profitability for 2025 was $172.1 million, as compared to $102.7 million for 2024. Our non-GAAP profitability for 2025 was $389.8 million, as compared to $321.0 million for 2024. We reported net revenues of $1,473.0 million for 2025, as compared to $1,330.4 million for 2024. We generated free cash flow of $95.9 million in 2025. For the year ended December 31, 2025, we sold approximately 6.4 million microinverter units, as compared to approximately 6.5 million units in 2024; however, shipments of our IQ Batteries to customers increased to 706.1 Megawatt-hours (“MWh”) in 2025, as compared to 521.0 MWh shipped in 2024.</w:t>
      </w:r>
      <w:r>
        <w:rPr>
          <w:rFonts w:ascii="Avenir Next LT Pro;sans-serif" w:hAnsi="Avenir Next LT Pro;sans-serif"/>
          <w:b w:val="false"/>
          <w:color w:val="000000"/>
          <w:sz w:val="12"/>
        </w:rPr>
        <w:t>1</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we completed the buyback of $130.0 million of our common stock as part of our authorized share repurchase program, and ended 2025 with $1.3 billion in net working capital, including cash, cash equivalents, restricted cash and marketable securities.</w:t>
      </w:r>
    </w:p>
    <w:p>
      <w:pPr>
        <w:pStyle w:val="TextBody"/>
        <w:bidi w:val="0"/>
        <w:spacing w:lineRule="auto" w:line="288" w:before="0" w:after="0"/>
        <w:jc w:val="both"/>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7D7D7D"/>
          <w:sz w:val="16"/>
        </w:rPr>
        <w:t>See Appendix A for the most comparable reconciliation of U.S. GAAP to non-GAAP financial measures. We use these non-GAAP financial measures to analyze our operating performance and future prospects, develop internal budgets and financial goals, and to facilitate period-to-period comparisons. We believe that these non-GAAP financial measures reflect an additional way of viewing aspects of our operations that, when viewed with its GAAP results, provide a more complete understanding of factors and trends affecting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Avenir Next LT Pro;sans-serif" w:hAnsi="Avenir Next LT Pro;sans-serif"/>
          <w:b/>
          <w:color w:val="000000"/>
          <w:sz w:val="24"/>
        </w:rPr>
      </w:pPr>
      <w:r>
        <w:rPr>
          <w:rFonts w:ascii="Avenir Next LT Pro;sans-serif" w:hAnsi="Avenir Next LT Pro;sans-serif"/>
          <w:b/>
          <w:color w:val="000000"/>
          <w:sz w:val="24"/>
        </w:rPr>
        <w:t>2025 Executive Compensation Highlights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2025, we continued to execute on our redesigned executive compensation program, meeting the commitments we made to our stockholders in the prior years. We feel strongly that our current executive compensation program is designed properly for the long-term success of the company. Our executive compensation program reflects recognized best practices and principles that align the compensation of our NEOs with the long-term interests of our stockholders and are supported by market practices.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designing our compensation program, the Compensation Committee sought to balance retention and results-oriented objectives by incorporating a mix of performance-based vesting equity and time-based vesting equity, based on a balanced scorecard, which we believe when achieved will lead to our success over the long term. The important features of our executive compensation program for 2025 included the following:</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A substantial portion of executive pay was tied to performance</w:t>
      </w:r>
      <w:r>
        <w:rPr>
          <w:rFonts w:ascii="Avenir Next LT Pro;sans-serif" w:hAnsi="Avenir Next LT Pro;sans-serif"/>
          <w:b w:val="false"/>
          <w:color w:val="000000"/>
          <w:sz w:val="18"/>
        </w:rPr>
        <w:t>.</w:t>
      </w:r>
      <w:r>
        <w:rPr>
          <w:color w:val="000000"/>
        </w:rPr>
        <w:t xml:space="preserve"> </w:t>
      </w:r>
      <w:r>
        <w:rPr>
          <w:rFonts w:ascii="Avenir Next LT Pro;sans-serif" w:hAnsi="Avenir Next LT Pro;sans-serif"/>
          <w:b w:val="false"/>
          <w:color w:val="000000"/>
          <w:sz w:val="18"/>
        </w:rPr>
        <w:t>We structured a significant portion of our NEOs’ compensation to be variable (at risk) based upon the achievement of forward-looking, rigorous performance metrics and targets. For 2025, 68% of our CEO’s total target compensation and 67% of our CFO’s total target compensation was at risk.</w:t>
      </w:r>
    </w:p>
    <w:p>
      <w:pPr>
        <w:pStyle w:val="TextBody"/>
        <w:bidi w:val="0"/>
        <w:spacing w:before="0" w:after="120"/>
        <w:jc w:val="center"/>
        <w:rPr/>
      </w:pPr>
      <w:r>
        <w:rPr/>
        <w:drawing>
          <wp:inline distT="0" distB="0" distL="0" distR="0">
            <wp:extent cx="3295650" cy="2647950"/>
            <wp:effectExtent l="0" t="0" r="0" b="0"/>
            <wp:docPr id="9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3" descr=""/>
                    <pic:cNvPicPr>
                      <a:picLocks noChangeAspect="1" noChangeArrowheads="1"/>
                    </pic:cNvPicPr>
                  </pic:nvPicPr>
                  <pic:blipFill>
                    <a:blip r:embed="rId64"/>
                    <a:stretch>
                      <a:fillRect/>
                    </a:stretch>
                  </pic:blipFill>
                  <pic:spPr bwMode="auto">
                    <a:xfrm>
                      <a:off x="0" y="0"/>
                      <a:ext cx="3295650" cy="2647950"/>
                    </a:xfrm>
                    <a:prstGeom prst="rect">
                      <a:avLst/>
                    </a:prstGeom>
                  </pic:spPr>
                </pic:pic>
              </a:graphicData>
            </a:graphic>
          </wp:inline>
        </w:drawing>
      </w:r>
      <w:bookmarkStart w:id="62" w:name="i-63"/>
      <w:bookmarkEnd w:id="62"/>
      <w:r>
        <w:rPr/>
        <w:drawing>
          <wp:inline distT="0" distB="0" distL="0" distR="0">
            <wp:extent cx="3305175" cy="2647950"/>
            <wp:effectExtent l="0" t="0" r="0" b="0"/>
            <wp:docPr id="9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4" descr=""/>
                    <pic:cNvPicPr>
                      <a:picLocks noChangeAspect="1" noChangeArrowheads="1"/>
                    </pic:cNvPicPr>
                  </pic:nvPicPr>
                  <pic:blipFill>
                    <a:blip r:embed="rId65"/>
                    <a:stretch>
                      <a:fillRect/>
                    </a:stretch>
                  </pic:blipFill>
                  <pic:spPr bwMode="auto">
                    <a:xfrm>
                      <a:off x="0" y="0"/>
                      <a:ext cx="3305175" cy="2647950"/>
                    </a:xfrm>
                    <a:prstGeom prst="rect">
                      <a:avLst/>
                    </a:prstGeom>
                  </pic:spPr>
                </pic:pic>
              </a:graphicData>
            </a:graphic>
          </wp:inline>
        </w:drawing>
      </w:r>
      <w:bookmarkStart w:id="63" w:name="i-64"/>
      <w:bookmarkEnd w:id="63"/>
    </w:p>
    <w:tbl>
      <w:tblPr>
        <w:tblW w:w="4505" w:type="dxa"/>
        <w:jc w:val="center"/>
        <w:tblInd w:w="0" w:type="dxa"/>
        <w:tblLayout w:type="fixed"/>
        <w:tblCellMar>
          <w:top w:w="28" w:type="dxa"/>
          <w:left w:w="28" w:type="dxa"/>
          <w:bottom w:w="28" w:type="dxa"/>
          <w:right w:w="28" w:type="dxa"/>
        </w:tblCellMar>
      </w:tblPr>
      <w:tblGrid>
        <w:gridCol w:w="124"/>
        <w:gridCol w:w="1299"/>
        <w:gridCol w:w="1299"/>
        <w:gridCol w:w="1302"/>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0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00" w:type="dxa"/>
            <w:gridSpan w:val="3"/>
            <w:tcBorders/>
            <w:shd w:fill="FAF6EF" w:val="clear"/>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3B999E"/>
                <w:sz w:val="20"/>
              </w:rPr>
              <w:t>n</w:t>
            </w:r>
            <w:r>
              <w:rPr>
                <w:color w:val="000000"/>
              </w:rPr>
              <w:t xml:space="preserve"> </w:t>
            </w:r>
            <w:r>
              <w:rPr>
                <w:rFonts w:ascii="Avenir Next LT Pro;sans-serif" w:hAnsi="Avenir Next LT Pro;sans-serif"/>
                <w:b/>
                <w:color w:val="000000"/>
                <w:sz w:val="18"/>
              </w:rPr>
              <w:t>Base Salary</w:t>
            </w:r>
          </w:p>
          <w:p>
            <w:pPr>
              <w:pStyle w:val="TableContents"/>
              <w:bidi w:val="0"/>
              <w:spacing w:lineRule="auto" w:line="240" w:before="0" w:after="0"/>
              <w:jc w:val="left"/>
              <w:rPr/>
            </w:pPr>
            <w:r>
              <w:rPr>
                <w:rFonts w:ascii="Wingdings;sans-serif" w:hAnsi="Wingdings;sans-serif"/>
                <w:b w:val="false"/>
                <w:color w:val="2C436F"/>
                <w:sz w:val="20"/>
              </w:rPr>
              <w:t>n</w:t>
            </w:r>
            <w:r>
              <w:rPr>
                <w:color w:val="000000"/>
              </w:rPr>
              <w:t xml:space="preserve"> </w:t>
            </w:r>
            <w:r>
              <w:rPr>
                <w:rFonts w:ascii="Avenir Next LT Pro;sans-serif" w:hAnsi="Avenir Next LT Pro;sans-serif"/>
                <w:b/>
                <w:color w:val="000000"/>
                <w:sz w:val="18"/>
              </w:rPr>
              <w:t>Time-Based RSUs</w:t>
            </w:r>
          </w:p>
          <w:p>
            <w:pPr>
              <w:pStyle w:val="TableContents"/>
              <w:bidi w:val="0"/>
              <w:spacing w:lineRule="auto" w:line="240" w:before="0" w:after="0"/>
              <w:jc w:val="left"/>
              <w:rPr/>
            </w:pPr>
            <w:r>
              <w:rPr>
                <w:rFonts w:ascii="Wingdings;sans-serif" w:hAnsi="Wingdings;sans-serif"/>
                <w:b w:val="false"/>
                <w:color w:val="FFD02C"/>
                <w:sz w:val="20"/>
              </w:rPr>
              <w:t>n</w:t>
            </w:r>
            <w:r>
              <w:rPr>
                <w:color w:val="000000"/>
              </w:rPr>
              <w:t xml:space="preserve"> </w:t>
            </w:r>
            <w:r>
              <w:rPr>
                <w:rFonts w:ascii="Avenir Next LT Pro;sans-serif" w:hAnsi="Avenir Next LT Pro;sans-serif"/>
                <w:b/>
                <w:color w:val="000000"/>
                <w:sz w:val="18"/>
              </w:rPr>
              <w:t>PSUs</w:t>
            </w:r>
          </w:p>
          <w:p>
            <w:pPr>
              <w:pStyle w:val="TableContents"/>
              <w:bidi w:val="0"/>
              <w:spacing w:lineRule="auto" w:line="240" w:before="0" w:after="0"/>
              <w:jc w:val="left"/>
              <w:rPr/>
            </w:pPr>
            <w:r>
              <w:rPr>
                <w:rFonts w:ascii="Wingdings;sans-serif" w:hAnsi="Wingdings;sans-serif"/>
                <w:b w:val="false"/>
                <w:color w:val="F45270"/>
                <w:sz w:val="20"/>
              </w:rPr>
              <w:t>n</w:t>
            </w:r>
            <w:r>
              <w:rPr>
                <w:color w:val="000000"/>
              </w:rPr>
              <w:t xml:space="preserve"> </w:t>
            </w:r>
            <w:r>
              <w:rPr>
                <w:rFonts w:ascii="Avenir Next LT Pro;sans-serif" w:hAnsi="Avenir Next LT Pro;sans-serif"/>
                <w:b/>
                <w:color w:val="000000"/>
                <w:sz w:val="18"/>
              </w:rPr>
              <w:t>Quarterly Performance Cash Bonus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00"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charts above reflect 2025 annual base salaries, 2025 quarterly performance cash bonuses (at risk), time-based RSUs and PSUs (at risk), as reported in the Summary Compensation Table. The charts do not include “All Other Compensation,” as reported in the Summary Compensation Table, because such amounts were less than 1% for each NEO’s aggregate compensation for 2025. </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67% of the equity awards were performance-based awards, of which 34% of the aggregate value was tied to a three-year TSR PSU award and 33% to a one-year CEO SMART Goal PSU award</w:t>
      </w:r>
      <w:r>
        <w:rPr>
          <w:rFonts w:ascii="Avenir Next LT Pro;sans-serif" w:hAnsi="Avenir Next LT Pro;sans-serif"/>
          <w:b w:val="false"/>
          <w:color w:val="000000"/>
          <w:sz w:val="18"/>
        </w:rPr>
        <w:t>. Consistent with 2024, in 2025, we awarded equity in the form of time-based RSUs and PSUs under our Performance Shares Program (“PSP”) for 2025 (the “2025 PSP”), with each NEO receiving 67% of the aggregate target value of their equity awards in the form of PSUs and 33% of the aggregate target value in the form of time-based RSUs. 34% of the PSU opportunity was comprised of a three-year PSU award that vests based on our TSR relative to the TSR of other companies in the S&amp;P 500 measured over the three fiscal year period from the start of 2025 through the end of 2027 (“Relative TSR”). The balance of the PSU opportunity under the 2025 PSP consisted of a PSU award that vests based upon the level of achievement of our Annual CEO SMART Goals (as defined below). Equity awards were an integral part of our executive compensation program in 2025, and along with the rigorous goals set in our annual cash bonus program, comprised the most substantial and primary “at-risk” portion of our NEOs’ compensation package.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6"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 xml:space="preserve">CEO total target compensation decreased for the second year in a row. </w:t>
      </w:r>
      <w:r>
        <w:rPr>
          <w:rFonts w:ascii="Avenir Next LT Pro;sans-serif" w:hAnsi="Avenir Next LT Pro;sans-serif"/>
          <w:b w:val="false"/>
          <w:color w:val="000000"/>
          <w:sz w:val="18"/>
        </w:rPr>
        <w:t>In 2025, our CEO’s total target compensation was approximately 24% and 51% less than his total target compensation in 2024 and 2023, respectively. Our CEO’s base salary and bonus target remained flat and the overall value of the equity awarded to him under the 2025 PSP was reduced as compared to the 2024 PSP.</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 xml:space="preserve">Cash bonuses were dependent on meeting rigorous corporate objectives. </w:t>
      </w:r>
      <w:r>
        <w:rPr>
          <w:rFonts w:ascii="Avenir Next LT Pro;sans-serif" w:hAnsi="Avenir Next LT Pro;sans-serif"/>
          <w:b w:val="false"/>
          <w:color w:val="000000"/>
          <w:sz w:val="18"/>
        </w:rPr>
        <w:t>Our quarterly performance-based bonus opportunities for all of our NEOs were dependent upon the achievement of quarterly corporate objectives and the performance of NEOs in meeting their own individual objectives, which were set to be aggressive and achievable, but only with significant effort. In 2025, under the 2025 Bonus Program, our CEO received aggregate payouts equal to 68% of his target annual payout, and our CFO received an aggregate payout of 74% of her target annual payout, as further detailed below under “2025 Executive Compensation Program - Short-Term Incentive Compensation.”</w:t>
      </w:r>
    </w:p>
    <w:p>
      <w:pPr>
        <w:pStyle w:val="TextBody"/>
        <w:bidi w:val="0"/>
        <w:spacing w:lineRule="auto" w:line="288" w:before="0" w:after="120"/>
        <w:jc w:val="left"/>
        <w:rPr>
          <w:rFonts w:ascii="Avenir Next LT Pro;sans-serif" w:hAnsi="Avenir Next LT Pro;sans-serif"/>
          <w:b/>
          <w:color w:val="000000"/>
          <w:sz w:val="24"/>
        </w:rPr>
      </w:pPr>
      <w:r>
        <w:rPr>
          <w:rFonts w:ascii="Avenir Next LT Pro;sans-serif" w:hAnsi="Avenir Next LT Pro;sans-serif"/>
          <w:b/>
          <w:color w:val="000000"/>
          <w:sz w:val="24"/>
        </w:rPr>
        <w:t>CEO Pay-for-Performance Alignment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68% of our CEO’s total target compensation was at risk in 2025. As discussed below, in 2025, we fell short with respect to a number of our goals under our 2025 Bonus Program, which resulted in below-target aggregate bonus payouts for our NEOs, but solid performance against our Annual CEO SMART Goals (as defined below) resulted in the vesting of our Annual CEO SMART Goal PSUs at 100% of target. The PSU award for Relative TSR granted that was granted under the 2025 PSP was not eligible to vest, if at all, based on performance until early 2028.</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CEO’s realizable pay at fiscal year end as a percentage of total target compensation, was approximately 34% in 2025. In the table below, ‘target compensation’ reflects the values reported in the Summary Compensation Table below, while ‘realizable value’ reflects the actual amount earned under the 2025 Bonus Program, changes in the value of equity awards, and achievement of goals for PSUs, including the status of the three-year Relative TSR PSUs granted in 2023 as of the end of fiscal year 2025.</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Summary of 2025 CEO Compensation (Target v Realizable)</w:t>
      </w:r>
    </w:p>
    <w:tbl>
      <w:tblPr>
        <w:tblW w:w="9553" w:type="dxa"/>
        <w:jc w:val="left"/>
        <w:tblInd w:w="0" w:type="dxa"/>
        <w:tblLayout w:type="fixed"/>
        <w:tblCellMar>
          <w:top w:w="28" w:type="dxa"/>
          <w:left w:w="28" w:type="dxa"/>
          <w:bottom w:w="28" w:type="dxa"/>
          <w:right w:w="28" w:type="dxa"/>
        </w:tblCellMar>
      </w:tblPr>
      <w:tblGrid>
        <w:gridCol w:w="2095"/>
        <w:gridCol w:w="1845"/>
        <w:gridCol w:w="1849"/>
        <w:gridCol w:w="699"/>
        <w:gridCol w:w="699"/>
        <w:gridCol w:w="701"/>
        <w:gridCol w:w="487"/>
        <w:gridCol w:w="487"/>
        <w:gridCol w:w="691"/>
      </w:tblGrid>
      <w:tr>
        <w:trPr/>
        <w:tc>
          <w:tcPr>
            <w:tcW w:w="20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Element of Compensation</w:t>
            </w:r>
          </w:p>
        </w:tc>
        <w:tc>
          <w:tcPr>
            <w:tcW w:w="209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Target Compensation</w:t>
              <w:br/>
              <w:t>($)</w:t>
            </w:r>
          </w:p>
        </w:tc>
        <w:tc>
          <w:tcPr>
            <w:tcW w:w="166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Realizable Value</w:t>
              <w:br/>
              <w:t>($)</w:t>
            </w:r>
          </w:p>
        </w:tc>
      </w:tr>
      <w:tr>
        <w:trPr/>
        <w:tc>
          <w:tcPr>
            <w:tcW w:w="578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w:t>
            </w:r>
          </w:p>
        </w:tc>
        <w:tc>
          <w:tcPr>
            <w:tcW w:w="209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color w:val="000000"/>
                <w:sz w:val="18"/>
              </w:rPr>
            </w:pPr>
            <w:r>
              <w:rPr>
                <w:rFonts w:ascii="Avenir Next LT Pro;sans-serif" w:hAnsi="Avenir Next LT Pro;sans-serif"/>
                <w:b/>
                <w:color w:val="000000"/>
                <w:sz w:val="18"/>
              </w:rPr>
              <w:t>9,744,624</w:t>
            </w:r>
          </w:p>
        </w:tc>
        <w:tc>
          <w:tcPr>
            <w:tcW w:w="166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336" w:before="0" w:after="180"/>
              <w:ind w:left="0" w:right="0" w:firstLine="360"/>
              <w:jc w:val="center"/>
              <w:rPr>
                <w:rFonts w:ascii="Avenir Next LT Pro;sans-serif" w:hAnsi="Avenir Next LT Pro;sans-serif"/>
                <w:b/>
                <w:color w:val="000000"/>
                <w:sz w:val="18"/>
              </w:rPr>
            </w:pPr>
            <w:r>
              <w:rPr>
                <w:rFonts w:ascii="Avenir Next LT Pro;sans-serif" w:hAnsi="Avenir Next LT Pro;sans-serif"/>
                <w:b/>
                <w:color w:val="000000"/>
                <w:sz w:val="18"/>
              </w:rPr>
              <w:t>3,295,112</w:t>
            </w:r>
          </w:p>
        </w:tc>
      </w:tr>
      <w:tr>
        <w:trPr/>
        <w:tc>
          <w:tcPr>
            <w:tcW w:w="578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ind w:left="0" w:right="0" w:firstLine="360"/>
              <w:jc w:val="left"/>
              <w:rPr>
                <w:rFonts w:ascii="Avenir Next LT Pro;sans-serif" w:hAnsi="Avenir Next LT Pro;sans-serif"/>
                <w:b/>
                <w:color w:val="000000"/>
                <w:sz w:val="18"/>
              </w:rPr>
            </w:pPr>
            <w:r>
              <w:rPr>
                <w:rFonts w:ascii="Avenir Next LT Pro;sans-serif" w:hAnsi="Avenir Next LT Pro;sans-serif"/>
                <w:b/>
                <w:color w:val="000000"/>
                <w:sz w:val="18"/>
              </w:rPr>
              <w:t>2025 Bonus Program (cash bonus)</w:t>
            </w:r>
          </w:p>
        </w:tc>
        <w:tc>
          <w:tcPr>
            <w:tcW w:w="2099" w:type="dxa"/>
            <w:gridSpan w:val="3"/>
            <w:tcBorders>
              <w:left w:val="single" w:sz="2" w:space="0" w:color="929292"/>
            </w:tcBorders>
            <w:tcMar>
              <w:top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166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336" w:before="0" w:after="180"/>
              <w:ind w:left="0" w:right="0" w:firstLine="3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306,752</w:t>
            </w:r>
          </w:p>
        </w:tc>
      </w:tr>
      <w:tr>
        <w:trPr/>
        <w:tc>
          <w:tcPr>
            <w:tcW w:w="578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ind w:left="0" w:right="0" w:firstLine="360"/>
              <w:jc w:val="left"/>
              <w:rPr>
                <w:rFonts w:ascii="Avenir Next LT Pro;sans-serif" w:hAnsi="Avenir Next LT Pro;sans-serif"/>
                <w:b/>
                <w:color w:val="000000"/>
                <w:sz w:val="18"/>
              </w:rPr>
            </w:pPr>
            <w:r>
              <w:rPr>
                <w:rFonts w:ascii="Avenir Next LT Pro;sans-serif" w:hAnsi="Avenir Next LT Pro;sans-serif"/>
                <w:b/>
                <w:color w:val="000000"/>
                <w:sz w:val="18"/>
              </w:rPr>
              <w:t xml:space="preserve">Time-based RSUs </w:t>
            </w:r>
          </w:p>
        </w:tc>
        <w:tc>
          <w:tcPr>
            <w:tcW w:w="209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2,591,820</w:t>
            </w:r>
          </w:p>
        </w:tc>
        <w:tc>
          <w:tcPr>
            <w:tcW w:w="166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336" w:before="0" w:after="180"/>
              <w:ind w:left="0" w:right="0" w:firstLine="360"/>
              <w:jc w:val="center"/>
              <w:rPr/>
            </w:pPr>
            <w:r>
              <w:rPr>
                <w:rFonts w:ascii="Avenir Next LT Pro;sans-serif" w:hAnsi="Avenir Next LT Pro;sans-serif"/>
                <w:b w:val="false"/>
                <w:color w:val="000000"/>
                <w:sz w:val="18"/>
              </w:rPr>
              <w:t>1,269,180</w:t>
            </w:r>
            <w:r>
              <w:rPr>
                <w:rFonts w:ascii="Avenir Next LT Pro;sans-serif" w:hAnsi="Avenir Next LT Pro;sans-serif"/>
                <w:b w:val="false"/>
                <w:color w:val="000000"/>
                <w:sz w:val="12"/>
              </w:rPr>
              <w:t>(1)</w:t>
            </w:r>
          </w:p>
        </w:tc>
      </w:tr>
      <w:tr>
        <w:trPr/>
        <w:tc>
          <w:tcPr>
            <w:tcW w:w="578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ind w:left="0" w:right="0" w:firstLine="360"/>
              <w:jc w:val="left"/>
              <w:rPr>
                <w:color w:val="000000"/>
              </w:rPr>
            </w:pPr>
            <w:r>
              <w:rPr>
                <w:color w:val="000000"/>
              </w:rPr>
              <w:t> </w:t>
            </w:r>
            <w:r>
              <w:rPr>
                <w:rFonts w:ascii="Avenir Next LT Pro;sans-serif" w:hAnsi="Avenir Next LT Pro;sans-serif"/>
                <w:b/>
                <w:color w:val="000000"/>
                <w:sz w:val="18"/>
              </w:rPr>
              <w:t>Annual CEO SMART Goal PSUs (performance-based)</w:t>
            </w:r>
          </w:p>
        </w:tc>
        <w:tc>
          <w:tcPr>
            <w:tcW w:w="2099" w:type="dxa"/>
            <w:gridSpan w:val="3"/>
            <w:tcBorders>
              <w:left w:val="single" w:sz="2" w:space="0" w:color="929292"/>
            </w:tcBorders>
            <w:tcMar>
              <w:top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2,591,820</w:t>
            </w:r>
          </w:p>
        </w:tc>
        <w:tc>
          <w:tcPr>
            <w:tcW w:w="166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336" w:before="0" w:after="180"/>
              <w:ind w:left="0" w:right="0" w:firstLine="360"/>
              <w:jc w:val="center"/>
              <w:rPr/>
            </w:pPr>
            <w:r>
              <w:rPr>
                <w:rFonts w:ascii="Avenir Next LT Pro;sans-serif" w:hAnsi="Avenir Next LT Pro;sans-serif"/>
                <w:b w:val="false"/>
                <w:color w:val="000000"/>
                <w:sz w:val="18"/>
              </w:rPr>
              <w:t>1,269,180</w:t>
            </w:r>
            <w:r>
              <w:rPr>
                <w:rFonts w:ascii="Avenir Next LT Pro;sans-serif" w:hAnsi="Avenir Next LT Pro;sans-serif"/>
                <w:b w:val="false"/>
                <w:color w:val="000000"/>
                <w:sz w:val="12"/>
              </w:rPr>
              <w:t>(2)</w:t>
            </w:r>
          </w:p>
        </w:tc>
      </w:tr>
      <w:tr>
        <w:trPr/>
        <w:tc>
          <w:tcPr>
            <w:tcW w:w="578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ind w:left="0" w:right="0" w:firstLine="360"/>
              <w:jc w:val="left"/>
              <w:rPr>
                <w:rFonts w:ascii="Avenir Next LT Pro;sans-serif" w:hAnsi="Avenir Next LT Pro;sans-serif"/>
                <w:b/>
                <w:color w:val="000000"/>
                <w:sz w:val="18"/>
              </w:rPr>
            </w:pPr>
            <w:r>
              <w:rPr>
                <w:rFonts w:ascii="Avenir Next LT Pro;sans-serif" w:hAnsi="Avenir Next LT Pro;sans-serif"/>
                <w:b/>
                <w:color w:val="000000"/>
                <w:sz w:val="18"/>
              </w:rPr>
              <w:t>2023-2025 Relative TSR PSUs (performance based)</w:t>
            </w:r>
          </w:p>
        </w:tc>
        <w:tc>
          <w:tcPr>
            <w:tcW w:w="209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3,660,984</w:t>
            </w:r>
          </w:p>
        </w:tc>
        <w:tc>
          <w:tcPr>
            <w:tcW w:w="166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336" w:before="0" w:after="180"/>
              <w:ind w:left="0" w:right="0" w:firstLine="360"/>
              <w:jc w:val="center"/>
              <w:rPr/>
            </w:pPr>
            <w:r>
              <w:rPr>
                <w:rFonts w:ascii="Avenir Next LT Pro;sans-serif" w:hAnsi="Avenir Next LT Pro;sans-serif"/>
                <w:b w:val="false"/>
                <w:color w:val="000000"/>
                <w:sz w:val="18"/>
              </w:rPr>
              <w:t>0</w:t>
            </w:r>
            <w:r>
              <w:rPr>
                <w:rFonts w:ascii="Avenir Next LT Pro;sans-serif" w:hAnsi="Avenir Next LT Pro;sans-serif"/>
                <w:b w:val="false"/>
                <w:color w:val="000000"/>
                <w:sz w:val="12"/>
              </w:rPr>
              <w:t>(3)</w:t>
            </w:r>
          </w:p>
        </w:tc>
      </w:tr>
      <w:tr>
        <w:trPr/>
        <w:tc>
          <w:tcPr>
            <w:tcW w:w="578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ind w:left="0" w:right="0" w:firstLine="360"/>
              <w:jc w:val="left"/>
              <w:rPr>
                <w:rFonts w:ascii="Avenir Next LT Pro;sans-serif" w:hAnsi="Avenir Next LT Pro;sans-serif"/>
                <w:b/>
                <w:color w:val="000000"/>
                <w:sz w:val="18"/>
              </w:rPr>
            </w:pPr>
            <w:r>
              <w:rPr>
                <w:rFonts w:ascii="Avenir Next LT Pro;sans-serif" w:hAnsi="Avenir Next LT Pro;sans-serif"/>
                <w:b/>
                <w:color w:val="000000"/>
                <w:sz w:val="18"/>
              </w:rPr>
              <w:t>Base Salary</w:t>
            </w:r>
          </w:p>
        </w:tc>
        <w:tc>
          <w:tcPr>
            <w:tcW w:w="2099" w:type="dxa"/>
            <w:gridSpan w:val="3"/>
            <w:tcBorders>
              <w:left w:val="single" w:sz="2" w:space="0" w:color="929292"/>
            </w:tcBorders>
            <w:tcMar>
              <w:top w:w="0" w:type="dxa"/>
              <w:bottom w:w="0" w:type="dxa"/>
              <w:right w:w="0" w:type="dxa"/>
            </w:tcMar>
            <w:vAlign w:val="center"/>
          </w:tcPr>
          <w:p>
            <w:pPr>
              <w:pStyle w:val="TableContents"/>
              <w:bidi w:val="0"/>
              <w:spacing w:lineRule="auto" w:line="336" w:before="0" w:after="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166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336" w:before="0" w:after="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r>
    </w:tbl>
    <w:p>
      <w:pPr>
        <w:pStyle w:val="TextBody"/>
        <w:bidi w:val="0"/>
        <w:spacing w:lineRule="auto" w:line="288" w:before="0" w:after="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18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1The dollar amount represents the market value of the shares underlying the RSUs based on the closing price of our common stock of $32.05 on December 31, 2025, the last trading day in 2025.</w:t>
      </w:r>
    </w:p>
    <w:p>
      <w:pPr>
        <w:pStyle w:val="TextBody"/>
        <w:bidi w:val="0"/>
        <w:spacing w:lineRule="auto" w:line="288" w:before="0" w:after="60"/>
        <w:ind w:left="0" w:right="0" w:hanging="18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2Based on the achievement of the performance criteria related to the performance of the Annual CEO SMART Goals (as defined below) during 2025, these PSUs vested at 100% of target. The dollar amount represents the market value of the shares underlying these vested PSUs based on the closing price of our common stock of $32.05 on December 31, 2025, the last trading day in 2025.</w:t>
      </w:r>
    </w:p>
    <w:p>
      <w:pPr>
        <w:pStyle w:val="TextBody"/>
        <w:bidi w:val="0"/>
        <w:spacing w:lineRule="auto" w:line="288" w:before="0" w:after="240"/>
        <w:ind w:left="0" w:right="0" w:hanging="18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3Represents the realizable value of the Relative TSR PSUs granted in January 2023, subject to vesting based on Relative TSR over the performance period that began on January 1, 2023 and ended on December 31, 2025. Actual performance fell short of the threshold Relative TSR performance goal and therefore, the PSUs were forfeited.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assessment of the performance-based aspects of our 2025 executive compensation program is described in more detail below.</w:t>
      </w:r>
    </w:p>
    <w:p>
      <w:pPr>
        <w:pStyle w:val="TextBody"/>
        <w:bidi w:val="0"/>
        <w:spacing w:lineRule="auto" w:line="288" w:before="0" w:after="120"/>
        <w:jc w:val="left"/>
        <w:rPr>
          <w:rFonts w:ascii="Avenir Next LT Pro;sans-serif" w:hAnsi="Avenir Next LT Pro;sans-serif"/>
          <w:b/>
          <w:color w:val="000000"/>
          <w:sz w:val="24"/>
        </w:rPr>
      </w:pPr>
      <w:r>
        <w:rPr>
          <w:rFonts w:ascii="Avenir Next LT Pro;sans-serif" w:hAnsi="Avenir Next LT Pro;sans-serif"/>
          <w:b/>
          <w:color w:val="000000"/>
          <w:sz w:val="24"/>
        </w:rPr>
        <w:t>Advisory Vote on Executive Compensation Results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At the 2025 Annual Meeting, we received support of approximately 85.4% of the votes cast on our say-on-pay advisory proposal. As a result, our 2024 say-on-pay advisory proposal passed. The Compensation Committee believes that this outcome affirms our stockholders’ support for our executive compensation program and maintained a similar approach in designing our 2025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7"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venir Next LT Pro;sans-serif" w:hAnsi="Avenir Next LT Pro;sans-serif"/>
          <w:b/>
          <w:color w:val="000000"/>
          <w:sz w:val="24"/>
        </w:rPr>
      </w:pPr>
      <w:r>
        <w:rPr>
          <w:rFonts w:ascii="Avenir Next LT Pro;sans-serif" w:hAnsi="Avenir Next LT Pro;sans-serif"/>
          <w:b/>
          <w:color w:val="000000"/>
          <w:sz w:val="24"/>
        </w:rPr>
        <w:t>Stockholder Engagement in 2025 and Early 2026</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Compensation Committee considers both the results of our annual say-on-pay vote and stockholder feedback gathered throughout the year. During the current engagement cycle, we reached out to investors holding approximately 64.2% of our outstanding shares of common stock. Of these, we received responses from ten stockholders. We spoke with two stockholders directly representing approximately 5.3% of our outstanding shares of common stock, while eight stockholders representing approximately 30.1% of our outstanding shares of common stock cited no current concerns and declined our request for a meeting. We continue to make engagement efforts to obtain stockholder views on executive compensation, corporate governance and other matters, and to determine how best to respond to that feedback. These efforts in 2025 and early 2026 were led by our General Counsel and Corporate Secretary who provided updates to the Compensation Committee, the Nominating and Corporate Governance Committee, and the full Board. This feedback has shaped the executive compensation program and practices implemented by our Compensation Committee.</w:t>
      </w:r>
    </w:p>
    <w:p>
      <w:pPr>
        <w:pStyle w:val="TextBody"/>
        <w:bidi w:val="0"/>
        <w:spacing w:lineRule="auto" w:line="288" w:before="0" w:after="120"/>
        <w:jc w:val="both"/>
        <w:rPr>
          <w:rFonts w:ascii="Avenir Next LT Pro;sans-serif" w:hAnsi="Avenir Next LT Pro;sans-serif"/>
          <w:b/>
          <w:color w:val="000000"/>
          <w:sz w:val="24"/>
        </w:rPr>
      </w:pPr>
      <w:r>
        <w:rPr>
          <w:rFonts w:ascii="Avenir Next LT Pro;sans-serif" w:hAnsi="Avenir Next LT Pro;sans-serif"/>
          <w:b/>
          <w:color w:val="000000"/>
          <w:sz w:val="24"/>
        </w:rPr>
        <w:t>Compensation Philosophy and Objectives</w:t>
      </w:r>
    </w:p>
    <w:p>
      <w:pPr>
        <w:pStyle w:val="TextBody"/>
        <w:bidi w:val="0"/>
        <w:spacing w:lineRule="auto" w:line="336" w:before="0" w:after="10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executive compensation program aims to achieve the following main objectives:</w:t>
      </w:r>
    </w:p>
    <w:p>
      <w:pPr>
        <w:pStyle w:val="TextBody"/>
        <w:bidi w:val="0"/>
        <w:spacing w:lineRule="auto" w:line="336" w:before="0" w:after="40"/>
        <w:ind w:left="0" w:right="0" w:hanging="180"/>
        <w:jc w:val="both"/>
        <w:rPr/>
      </w:pPr>
      <w:r>
        <w:rPr>
          <w:color w:val="000000"/>
        </w:rPr>
        <w:t>•</w:t>
      </w:r>
      <w:r>
        <w:rPr>
          <w:rFonts w:ascii="Avenir Next LT Pro;sans-serif" w:hAnsi="Avenir Next LT Pro;sans-serif"/>
          <w:b w:val="false"/>
          <w:color w:val="000000"/>
          <w:sz w:val="18"/>
        </w:rPr>
        <w:t>attract, retain and reward highly qualified employees, including executives;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provide incentives that motivate and reward for the achievement of key performance goals that increase stockholder value over the long term;</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award performance for achieving targets based on a balanced scorecard;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align our executives’ interests with those of our stockholders; and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link executive pay to our performance.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executive compensation program generally consists of the three principal components outlined in the table below.</w:t>
      </w:r>
    </w:p>
    <w:tbl>
      <w:tblPr>
        <w:tblW w:w="10205" w:type="dxa"/>
        <w:jc w:val="left"/>
        <w:tblInd w:w="0" w:type="dxa"/>
        <w:tblLayout w:type="fixed"/>
        <w:tblCellMar>
          <w:top w:w="28" w:type="dxa"/>
          <w:left w:w="28" w:type="dxa"/>
          <w:bottom w:w="28" w:type="dxa"/>
          <w:right w:w="28" w:type="dxa"/>
        </w:tblCellMar>
      </w:tblPr>
      <w:tblGrid>
        <w:gridCol w:w="879"/>
        <w:gridCol w:w="652"/>
        <w:gridCol w:w="653"/>
        <w:gridCol w:w="109"/>
        <w:gridCol w:w="109"/>
        <w:gridCol w:w="109"/>
        <w:gridCol w:w="993"/>
        <w:gridCol w:w="814"/>
        <w:gridCol w:w="822"/>
        <w:gridCol w:w="109"/>
        <w:gridCol w:w="109"/>
        <w:gridCol w:w="109"/>
        <w:gridCol w:w="109"/>
        <w:gridCol w:w="109"/>
        <w:gridCol w:w="109"/>
        <w:gridCol w:w="1378"/>
        <w:gridCol w:w="1323"/>
        <w:gridCol w:w="1334"/>
        <w:gridCol w:w="109"/>
        <w:gridCol w:w="109"/>
        <w:gridCol w:w="158"/>
      </w:tblGrid>
      <w:tr>
        <w:trPr/>
        <w:tc>
          <w:tcPr>
            <w:tcW w:w="87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3C3C3C"/>
            </w:tcBorders>
            <w:shd w:fill="3C3C3C" w:val="clear"/>
            <w:tcMar>
              <w:top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Element of compensation</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Objectives</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Key features</w:t>
            </w:r>
          </w:p>
        </w:tc>
        <w:tc>
          <w:tcPr>
            <w:tcW w:w="376"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Base Salary</w:t>
            </w:r>
          </w:p>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(fixed cash)</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AF6EF" w:val="clear"/>
            <w:tcMar>
              <w:top w:w="0" w:type="dxa"/>
              <w:left w:w="0" w:type="dxa"/>
              <w:bottom w:w="0" w:type="dxa"/>
              <w:right w:w="0" w:type="dxa"/>
            </w:tcMar>
            <w:vAlign w:val="center"/>
          </w:tcPr>
          <w:p>
            <w:pPr>
              <w:pStyle w:val="TableContents"/>
              <w:bidi w:val="0"/>
              <w:spacing w:lineRule="auto" w:line="312"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Provides financial stability and security through a fixed amount of cash to attract and retain executives.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AF6EF" w:val="clear"/>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Fixed compensation that is periodically reviewed and adjusted based on a number of factors, including individual performance, our overall company performance and market data.</w:t>
            </w:r>
          </w:p>
        </w:tc>
        <w:tc>
          <w:tcPr>
            <w:tcW w:w="376"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2"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Short-Term Incentive Compensation (Quarterly Performance Cash Bonus; at-risk cash)</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312"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Motivates and rewards through quarterly payments for attaining key corporate and individual performance goals linked to our key business 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Target bonus amounts, calculated as a percentage of base salary, that are periodically reviewed and determined based upon competitive bonus opportunities in our market. The cash bonus is awarded on a quarterly basis to incentivize and reward quarterly results that help achieve our long-term strategic goals. Bonus awards are dependent upon three components:</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(i) company performance factor, </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(ii) funding factor, and</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(iii) individual performance factor.</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determines the bonus amount achieved each quarter as further described below.</w:t>
            </w:r>
          </w:p>
        </w:tc>
        <w:tc>
          <w:tcPr>
            <w:tcW w:w="376" w:type="dxa"/>
            <w:gridSpan w:val="3"/>
            <w:tcBorders>
              <w:right w:val="single" w:sz="2" w:space="0" w:color="92929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Equity-Based Incentive Compensation (67% PSUs and 33% RSUs; at-risk equity)</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AF6EF" w:val="clear"/>
            <w:tcMar>
              <w:top w:w="0" w:type="dxa"/>
              <w:left w:w="0" w:type="dxa"/>
              <w:bottom w:w="0" w:type="dxa"/>
              <w:right w:w="0" w:type="dxa"/>
            </w:tcMar>
            <w:vAlign w:val="center"/>
          </w:tcPr>
          <w:p>
            <w:pPr>
              <w:pStyle w:val="TableContents"/>
              <w:bidi w:val="0"/>
              <w:spacing w:lineRule="auto" w:line="312"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Motivates and rewards for our longer-term performance; aligns executives’ interests with stockholder interests in creating long-term value; and attracts and retains highly qualified executives.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AF6EF" w:val="clear"/>
            <w:tcMar>
              <w:top w:w="0" w:type="dxa"/>
              <w:left w:w="0" w:type="dxa"/>
              <w:bottom w:w="0" w:type="dxa"/>
              <w:right w:w="0" w:type="dxa"/>
            </w:tcMar>
            <w:vAlign w:val="center"/>
          </w:tcPr>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Variable equity-based compensation, including:</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 PSU awards tied to a three-year relative TSR metric (as described below) (34%),</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(ii) PSU awards that vest based on achievement of specified corporate goals measured over a one-year period (33%), and</w:t>
            </w:r>
          </w:p>
          <w:p>
            <w:pPr>
              <w:pStyle w:val="TableContents"/>
              <w:bidi w:val="0"/>
              <w:spacing w:lineRule="auto" w:line="312" w:before="0" w:after="12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(iii) time-based RSU awards that vest over three years based on continuous service (33%).</w:t>
            </w:r>
          </w:p>
        </w:tc>
        <w:tc>
          <w:tcPr>
            <w:tcW w:w="376"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8"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venir Next LT Pro;sans-serif" w:hAnsi="Avenir Next LT Pro;sans-serif"/>
          <w:b/>
          <w:color w:val="000000"/>
          <w:sz w:val="24"/>
        </w:rPr>
      </w:pPr>
      <w:r>
        <w:rPr>
          <w:rFonts w:ascii="Avenir Next LT Pro;sans-serif" w:hAnsi="Avenir Next LT Pro;sans-serif"/>
          <w:b/>
          <w:color w:val="000000"/>
          <w:sz w:val="24"/>
        </w:rPr>
        <w:t>Compensation Program Governance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assesses the effectiveness of our executive compensation program from time to time and reviews risk mitigation and governance matters, which includes maintaining the following best practices:</w:t>
      </w:r>
    </w:p>
    <w:tbl>
      <w:tblPr>
        <w:tblW w:w="10205" w:type="dxa"/>
        <w:jc w:val="left"/>
        <w:tblInd w:w="0" w:type="dxa"/>
        <w:tblLayout w:type="fixed"/>
        <w:tblCellMar>
          <w:top w:w="28" w:type="dxa"/>
          <w:left w:w="28" w:type="dxa"/>
          <w:bottom w:w="28" w:type="dxa"/>
          <w:right w:w="28" w:type="dxa"/>
        </w:tblCellMar>
      </w:tblPr>
      <w:tblGrid>
        <w:gridCol w:w="2367"/>
        <w:gridCol w:w="2066"/>
        <w:gridCol w:w="2094"/>
        <w:gridCol w:w="109"/>
        <w:gridCol w:w="109"/>
        <w:gridCol w:w="109"/>
        <w:gridCol w:w="1228"/>
        <w:gridCol w:w="873"/>
        <w:gridCol w:w="1250"/>
      </w:tblGrid>
      <w:tr>
        <w:trPr/>
        <w:tc>
          <w:tcPr>
            <w:tcW w:w="2367"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6527"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3C3C3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3C3C3C"/>
              <w:right w:val="single" w:sz="2" w:space="0" w:color="3C3C3C"/>
            </w:tcBorders>
            <w:shd w:fill="3C3C3C"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What we do</w:t>
            </w:r>
          </w:p>
        </w:tc>
        <w:tc>
          <w:tcPr>
            <w:tcW w:w="327" w:type="dxa"/>
            <w:gridSpan w:val="3"/>
            <w:tcBorders>
              <w:left w:val="single" w:sz="2" w:space="0" w:color="3C3C3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3C3C3C"/>
              <w:right w:val="single" w:sz="2" w:space="0" w:color="3C3C3C"/>
            </w:tcBorders>
            <w:shd w:fill="3C3C3C" w:val="clear"/>
            <w:tcMar>
              <w:top w:w="0" w:type="dxa"/>
              <w:left w:w="140" w:type="dxa"/>
              <w:bottom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What we do not do</w:t>
            </w:r>
          </w:p>
        </w:tc>
      </w:tr>
      <w:tr>
        <w:trPr/>
        <w:tc>
          <w:tcPr>
            <w:tcW w:w="6527"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3C3C3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3C3C3C"/>
              <w:right w:val="single" w:sz="2" w:space="0" w:color="3C3C3C"/>
            </w:tcBorders>
            <w:shd w:fill="3C3C3C"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Pay for Performance philosophy with a majority of annual compensation at risk</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 excise tax or other tax gross ups upon a change in control</w:t>
            </w:r>
          </w:p>
        </w:tc>
      </w:tr>
      <w:tr>
        <w:trPr/>
        <w:tc>
          <w:tcPr>
            <w:tcW w:w="652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Stock Ownership Guidelines with rigorous share ownership requirements</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 perquisites or executive fringe benefits</w:t>
            </w:r>
          </w:p>
        </w:tc>
      </w:tr>
      <w:tr>
        <w:trPr/>
        <w:tc>
          <w:tcPr>
            <w:tcW w:w="652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Double-trigger equity acceleration in connection with a change in control, requiring both a change in control and qualifying termination</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 fixed term or evergreen employment agreements</w:t>
            </w:r>
          </w:p>
        </w:tc>
      </w:tr>
      <w:tr>
        <w:trPr/>
        <w:tc>
          <w:tcPr>
            <w:tcW w:w="652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Independent executive compensation consultant retained</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 guaranteed bonuses</w:t>
            </w:r>
          </w:p>
        </w:tc>
      </w:tr>
      <w:tr>
        <w:trPr/>
        <w:tc>
          <w:tcPr>
            <w:tcW w:w="652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Annual assessment of risk and mitigation practices</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Regular review of share utilization, dilution and cost</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Robust engagement with stockholders on compensation and corporate governance</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Maintain a clawback policy</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Avenir Next LT Pro;sans-serif" w:hAnsi="Avenir Next LT Pro;sans-serif"/>
          <w:b/>
          <w:color w:val="000000"/>
          <w:sz w:val="24"/>
        </w:rPr>
      </w:pPr>
      <w:r>
        <w:rPr>
          <w:rFonts w:ascii="Avenir Next LT Pro;sans-serif" w:hAnsi="Avenir Next LT Pro;sans-serif"/>
          <w:b/>
          <w:color w:val="000000"/>
          <w:sz w:val="24"/>
        </w:rPr>
        <w:t>Factors Used in Determining Executive Compensation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evaluating our executive compensation policies and programs, as well as the short-term and long-term value of our executive compensation plans, we consider both the performance and skills of each of our NEOs,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do not have any formal policies for allocating compensation among salary, bonus awards and equity grants. Instead, the Compensation Committee and Board set the compensation of our NEOs at levels they determine to be competitive and appropriate for each NEO, using compensation information benchmarked against our peer companies and those companies against whom we compete for talent and the professional experience, and the judgment of the Compensation Committee and Board members. In order to align the NEOs’ incentives with the interests of our stockholders and corporate goals, a significant portion of the NEOs’ total target compensation is comprised of performance-based quarterly cash bonus opportunities and long-term equity awards that vest based upon achievement of performance goals and also upon continuous service over time. Separately, upon initial commencement of employment, our NEOs generally are awarded an initial new hire equity grant. We may also make equity grants to our NEOs in connection with promotions on a case-by-case basis. New hire and promotion equity grants are based primarily on competitive conditions applicable to each specific executive position, and no such grants were made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making NEO compensation decisions, the Compensation Committee and Board generally take into consideration the following factors:</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Our prior performance and existing business needs;</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Each NEO’s individual performance, scope of job function and the criticality of the NEO’s skill set to our future performance;</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Internal pay equity;</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The need to attract new talent to our executive team and retain existing talent in a highly competitive industry;</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A range of market data reference points, as described above under “Use of Competitive Market Compensation Data;” and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Recommendations from consultants on compensation policy determinations.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How We Determine Executive Compensation</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The Role of the Compensation Committee and the Board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is appointed by the Board to assist with the Board’s oversight of our compensation policies, plans and programs, administration of our equity plans and its responsibilities related to the compensation of our NEOs, directors and senior management, as appropriate. The Compensation Committee meets periodically throughout the year to manage and evaluate our executive compensation program and generally determines on an annual basis the principal components of compensation (base salary, quarterly performance cash bonuses and equity awards) for our NEOs, and the Compensation Committee also approves cash bonus payments on a quarterly basis based on the quarterly performance of our NEOs and of our company. The Compensation Committee may form and delegate authority to subcommittees as appropriate. However, the Compensation Committee does not delegate authority to approve NEO compensation. The Compensation Committee does not maintain a formal policy regarding the timing of granting equity awards to our NEOs, but typically does so during the beginning of each year.</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The Role of Management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works with and receives information and analysis from management, including our legal, finance and human resources departments, and our CEO, and considers the information and analyses in determining the structure and amount of compensation to be paid to our employees, including our CFO. Our legal, finance and human resources departments work with our CEO to: design and develop recommended compensation programs for our NEOs and other senior executives; recommend changes to existing compensation programs; recommend financial and other performance targets to be achieved under those programs; prepare analyses of financial data; prepare peer data comparisons and other briefing materials; and ultimately implement the decisions of the Compensation Committee. Our CEO evaluates the individual performance of our CFO and provides the Compensation Committee with such performance assessments and management’s recommendations and proposals regarding NEO compensation programs and decisions affecting base salaries, performance bonuses, equity compensation and other compensation-related matters outside of the presence of any other NEOs. However, the Compensation Committee and the Board retain the final authority to make all compensation decisions. While the CEO and members of our management team discuss recommendations and compensation arrangements with the Compensation Committee, they do not participate in the deliberations concerning or the determination of their own compensation.</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The Role of the Compensation Consultant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has the sole authority to retain compensation consultants to assist in its evaluation of executive compensation, including the authority to approve the consultant’s reasonable fees and other retention terms. The Compensation Committee retained Compensia as its compensation consultant. Compensia was engaged to support a review of our approach to executive compensation with a focus on finalizing a methodology that would be responsive to investor input, be aligned with our internal culture and compensation objectives, and be competitive with practices among comparable companies. The Compensation Committee engages with Compensia periodically to provide input every other year as it did with the redesign of the executive compensation program in for 2023 and more recently for an evaluation of our 2025 executive compensation program. The Compensation Committee assessed the independence of Compensia pursuant to SEC rules and concluded that no conflict of interest existed that would have prevented Compensia from serving as an independent consultant to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Use of Competitive Market Compensation Data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strive to attract and retain the most highly qualified employees and NEOs in an extremely competitive market. Accordingly, the Compensation Committee believes it is important when making its compensation decisions to be informed as to the competitive market for executive talent, including the current practices of comparable public companies with which we compete for such talent.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regularly reviews our peer group to determine if adjustments are necessary to ensure that the data derived from the group continues to represent current market practices. From time to time, the Compensation Committee will revise the peer group when it determines that additional or different peer companies or groups are necessary to provide appropriate information on market practices and compensation levels. For 2025, the Compensation Committee made changes to the peer group, which resulted in the following list of peer companies:</w:t>
      </w:r>
    </w:p>
    <w:tbl>
      <w:tblPr>
        <w:tblW w:w="8595" w:type="dxa"/>
        <w:jc w:val="left"/>
        <w:tblInd w:w="0" w:type="dxa"/>
        <w:tblLayout w:type="fixed"/>
        <w:tblCellMar>
          <w:top w:w="28" w:type="dxa"/>
          <w:left w:w="28" w:type="dxa"/>
          <w:bottom w:w="28" w:type="dxa"/>
          <w:right w:w="28" w:type="dxa"/>
        </w:tblCellMar>
      </w:tblPr>
      <w:tblGrid>
        <w:gridCol w:w="1059"/>
        <w:gridCol w:w="931"/>
        <w:gridCol w:w="935"/>
        <w:gridCol w:w="829"/>
        <w:gridCol w:w="829"/>
        <w:gridCol w:w="832"/>
        <w:gridCol w:w="930"/>
        <w:gridCol w:w="930"/>
        <w:gridCol w:w="132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Bloom Energy Corporation</w:t>
            </w:r>
            <w:r>
              <w:rPr>
                <w:rFonts w:ascii="Avenir Next LT Pro;sans-serif" w:hAnsi="Avenir Next LT Pro;sans-serif"/>
                <w:b w:val="false"/>
                <w:color w:val="000000"/>
                <w:sz w:val="12"/>
              </w:rPr>
              <w:t>(1)</w:t>
            </w:r>
          </w:p>
        </w:tc>
        <w:tc>
          <w:tcPr>
            <w:tcW w:w="249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Nextpower Inc.</w:t>
            </w:r>
            <w:r>
              <w:rPr>
                <w:rFonts w:ascii="Avenir Next LT Pro;sans-serif" w:hAnsi="Avenir Next LT Pro;sans-serif"/>
                <w:b w:val="false"/>
                <w:color w:val="000000"/>
                <w:sz w:val="12"/>
              </w:rPr>
              <w:t>(1)(3)</w:t>
            </w:r>
          </w:p>
        </w:tc>
        <w:tc>
          <w:tcPr>
            <w:tcW w:w="3180"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SolarEdge Technologies, Inc.</w:t>
            </w:r>
          </w:p>
        </w:tc>
      </w:tr>
      <w:tr>
        <w:trPr/>
        <w:tc>
          <w:tcPr>
            <w:tcW w:w="292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Entegris, Inc.</w:t>
            </w:r>
            <w:r>
              <w:rPr>
                <w:rFonts w:ascii="Avenir Next LT Pro;sans-serif" w:hAnsi="Avenir Next LT Pro;sans-serif"/>
                <w:b w:val="false"/>
                <w:color w:val="000000"/>
                <w:sz w:val="12"/>
              </w:rPr>
              <w:t>(1)</w:t>
            </w:r>
          </w:p>
        </w:tc>
        <w:tc>
          <w:tcPr>
            <w:tcW w:w="2490"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Qorvo, Inc.</w:t>
            </w:r>
          </w:p>
        </w:tc>
        <w:tc>
          <w:tcPr>
            <w:tcW w:w="3180"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Sunrun, Inc.</w:t>
            </w:r>
          </w:p>
        </w:tc>
      </w:tr>
      <w:tr>
        <w:trPr/>
        <w:tc>
          <w:tcPr>
            <w:tcW w:w="292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Everpure, Inc.</w:t>
            </w:r>
            <w:r>
              <w:rPr>
                <w:rFonts w:ascii="Avenir Next LT Pro;sans-serif" w:hAnsi="Avenir Next LT Pro;sans-serif"/>
                <w:b w:val="false"/>
                <w:color w:val="000000"/>
                <w:sz w:val="12"/>
              </w:rPr>
              <w:t>(1)(2)</w:t>
            </w:r>
          </w:p>
        </w:tc>
        <w:tc>
          <w:tcPr>
            <w:tcW w:w="249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Resideo Technologies, Inc.</w:t>
            </w:r>
          </w:p>
        </w:tc>
        <w:tc>
          <w:tcPr>
            <w:tcW w:w="3180"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Teradyne, Inc.</w:t>
            </w:r>
          </w:p>
        </w:tc>
      </w:tr>
      <w:tr>
        <w:trPr/>
        <w:tc>
          <w:tcPr>
            <w:tcW w:w="292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First Solar, Inc.</w:t>
            </w:r>
          </w:p>
        </w:tc>
        <w:tc>
          <w:tcPr>
            <w:tcW w:w="249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Rivian Automotive, Inc.</w:t>
            </w:r>
            <w:r>
              <w:rPr>
                <w:rFonts w:ascii="Avenir Next LT Pro;sans-serif" w:hAnsi="Avenir Next LT Pro;sans-serif"/>
                <w:b w:val="false"/>
                <w:color w:val="000000"/>
                <w:sz w:val="12"/>
              </w:rPr>
              <w:t>(1)</w:t>
            </w:r>
          </w:p>
        </w:tc>
        <w:tc>
          <w:tcPr>
            <w:tcW w:w="3180"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Wolfspeed, Inc.</w:t>
            </w:r>
          </w:p>
        </w:tc>
      </w:tr>
      <w:tr>
        <w:trPr/>
        <w:tc>
          <w:tcPr>
            <w:tcW w:w="292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Generac Holdings, Inc.</w:t>
            </w:r>
          </w:p>
        </w:tc>
        <w:tc>
          <w:tcPr>
            <w:tcW w:w="249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Skyworks Solutions, Inc.</w:t>
            </w:r>
            <w:r>
              <w:rPr>
                <w:rFonts w:ascii="Avenir Next LT Pro;sans-serif" w:hAnsi="Avenir Next LT Pro;sans-serif"/>
                <w:b w:val="false"/>
                <w:color w:val="000000"/>
                <w:sz w:val="12"/>
              </w:rPr>
              <w:t>(1)</w:t>
            </w:r>
          </w:p>
        </w:tc>
        <w:tc>
          <w:tcPr>
            <w:tcW w:w="318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Zebra Technologies Corporation</w:t>
            </w:r>
            <w:r>
              <w:rPr>
                <w:rFonts w:ascii="Avenir Next LT Pro;sans-serif" w:hAnsi="Avenir Next LT Pro;sans-serif"/>
                <w:b w:val="false"/>
                <w:color w:val="000000"/>
                <w:sz w:val="12"/>
              </w:rPr>
              <w:t>(1)</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Monolithic Power Systems, Inc.</w:t>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1New companies added for 2025. Removed the following companies from the 2024 peer group: ADT, Inc.; Alarm.com Holdings, Inc.; Sunnova Energy International; and SunPower Inc.</w:t>
      </w:r>
    </w:p>
    <w:p>
      <w:pPr>
        <w:pStyle w:val="TextBody"/>
        <w:bidi w:val="0"/>
        <w:spacing w:lineRule="auto" w:line="288" w:before="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2Formerly known as Pure Storage, Inc.</w:t>
      </w:r>
    </w:p>
    <w:p>
      <w:pPr>
        <w:pStyle w:val="TextBody"/>
        <w:bidi w:val="0"/>
        <w:spacing w:lineRule="auto" w:line="288" w:before="0" w:after="24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3Formerly known as Nextracker Inc.</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criteria for the peer group focused on US-based publicly traded semiconductor, technology hardware, electrical component, renewable energy, advanced materials, and solar and home management companies, with a market capitalization between $3.9 billion and $61.7 billion, and revenues of $450.0 million to $5.7 billion. The Compensation Committee believes that the resulting peer group companies represented our talent labor market for key leadership positions.</w:t>
      </w:r>
    </w:p>
    <w:p>
      <w:pPr>
        <w:pStyle w:val="TextBody"/>
        <w:bidi w:val="0"/>
        <w:spacing w:lineRule="auto" w:line="336" w:before="0" w:after="180"/>
        <w:jc w:val="both"/>
        <w:rPr/>
      </w:pPr>
      <w:r>
        <w:rPr>
          <w:rFonts w:ascii="Avenir Next LT Pro;sans-serif" w:hAnsi="Avenir Next LT Pro;sans-serif"/>
          <w:b w:val="false"/>
          <w:color w:val="000000"/>
          <w:sz w:val="18"/>
        </w:rPr>
        <w:t>The Compensation Committee did not “benchmark” against a specific percentile of the compensation data derived from our 2025 peer group in setting the compensation of any of our NEOs. Rather, in making executive compensation decisions, the Compensation Committee reviewed compensation data from the 2025 peer group companies (referred to as the market data) as reference points (generally at the 25</w:t>
      </w:r>
      <w:r>
        <w:rPr>
          <w:rFonts w:ascii="Avenir Next LT Pro;sans-serif" w:hAnsi="Avenir Next LT Pro;sans-serif"/>
          <w:b w:val="false"/>
          <w:color w:val="000000"/>
          <w:sz w:val="12"/>
        </w:rPr>
        <w:t>th</w:t>
      </w:r>
      <w:r>
        <w:rPr>
          <w:rFonts w:ascii="Avenir Next LT Pro;sans-serif" w:hAnsi="Avenir Next LT Pro;sans-serif"/>
          <w:b w:val="false"/>
          <w:color w:val="000000"/>
          <w:sz w:val="18"/>
        </w:rPr>
        <w:t>, 50</w:t>
      </w:r>
      <w:r>
        <w:rPr>
          <w:rFonts w:ascii="Avenir Next LT Pro;sans-serif" w:hAnsi="Avenir Next LT Pro;sans-serif"/>
          <w:b w:val="false"/>
          <w:color w:val="000000"/>
          <w:sz w:val="12"/>
        </w:rPr>
        <w:t>th</w:t>
      </w:r>
      <w:r>
        <w:rPr>
          <w:color w:val="000000"/>
        </w:rPr>
        <w:t xml:space="preserve"> </w:t>
      </w:r>
      <w:r>
        <w:rPr>
          <w:rFonts w:ascii="Avenir Next LT Pro;sans-serif" w:hAnsi="Avenir Next LT Pro;sans-serif"/>
          <w:b w:val="false"/>
          <w:color w:val="000000"/>
          <w:sz w:val="18"/>
        </w:rPr>
        <w:t>and 75</w:t>
      </w:r>
      <w:r>
        <w:rPr>
          <w:rFonts w:ascii="Avenir Next LT Pro;sans-serif" w:hAnsi="Avenir Next LT Pro;sans-serif"/>
          <w:b w:val="false"/>
          <w:color w:val="000000"/>
          <w:sz w:val="12"/>
        </w:rPr>
        <w:t>th</w:t>
      </w:r>
      <w:r>
        <w:rPr>
          <w:color w:val="000000"/>
        </w:rPr>
        <w:t xml:space="preserve"> </w:t>
      </w:r>
      <w:r>
        <w:rPr>
          <w:rFonts w:ascii="Avenir Next LT Pro;sans-serif" w:hAnsi="Avenir Next LT Pro;sans-serif"/>
          <w:b w:val="false"/>
          <w:color w:val="000000"/>
          <w:sz w:val="18"/>
        </w:rPr>
        <w:t>percentiles of the market data). The Compensation Committee’s general aim was for total executive compensation to remain competitive with the market, with individual amounts varying as appropriate based on corporate and individual executive performance, and other factors that were deemed appropriate for consideration. Given that we continue to evolve and grow, the Compensation Committee has not developed a specific market positioning that it consistently aims for in setting compensation levels. Instead, the Compensation Committee determines each element of compensation, and total target cash and equity compensation, for each NEO based on various facts and circumstances appropriate for our company in any given year. Competitive market positioning is only one of several factors, as described above under “Factors Used in Determining Executive Compensation,” that the Compensation Committee considers in making compensation decisions, so individual NEO compensation may therefore fall at varying levels as compared to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2025 Executive Compensation Program</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Base Salary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generally reviews our NEOs’ base salaries on an annual basis. As shown in the chart below, the annual base salaries of our NEOs remained unchanged in 2025, as compared with 2024 levels, because the Compensation Committee determined that each NEO’s total compensation – comprised of salary, bonus and equity awards – remained competitive based on market data. The Compensation Committee believed it was more important to tie a greater percentage of each NEO’s total compensation to rewarding performance, whether through cash bonus payments or performance-based equity awards that can be earned based on Relative TSR and the achievement of SMART Goals, as further described below.</w:t>
      </w:r>
    </w:p>
    <w:tbl>
      <w:tblPr>
        <w:tblW w:w="6723" w:type="dxa"/>
        <w:jc w:val="left"/>
        <w:tblInd w:w="0" w:type="dxa"/>
        <w:tblLayout w:type="fixed"/>
        <w:tblCellMar>
          <w:top w:w="28" w:type="dxa"/>
          <w:left w:w="28" w:type="dxa"/>
          <w:bottom w:w="28" w:type="dxa"/>
          <w:right w:w="28" w:type="dxa"/>
        </w:tblCellMar>
      </w:tblPr>
      <w:tblGrid>
        <w:gridCol w:w="1256"/>
        <w:gridCol w:w="1102"/>
        <w:gridCol w:w="1107"/>
        <w:gridCol w:w="444"/>
        <w:gridCol w:w="444"/>
        <w:gridCol w:w="446"/>
        <w:gridCol w:w="444"/>
        <w:gridCol w:w="444"/>
        <w:gridCol w:w="446"/>
        <w:gridCol w:w="109"/>
        <w:gridCol w:w="109"/>
        <w:gridCol w:w="109"/>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133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Base Salary</w:t>
              <w:br/>
              <w:t>(12/31/2024)</w:t>
              <w:br/>
              <w:t>($)</w:t>
            </w:r>
          </w:p>
        </w:tc>
        <w:tc>
          <w:tcPr>
            <w:tcW w:w="1334"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Base Salary</w:t>
              <w:br/>
              <w:t>(12/31/2025)</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133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1334"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133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367,500</w:t>
            </w:r>
          </w:p>
        </w:tc>
        <w:tc>
          <w:tcPr>
            <w:tcW w:w="1334"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367,500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Performance Metrics — SMART Goals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SMART goals are a core component of both our 2025 Bonus Program and our 2025 PSP. “SMART” goals are targets that are: specific, measurable, achievable, relevant and time based. At the beginning of each year, the Board approves the annual CEO goals (the “Annual CEO SMART Goals”) and the quarterly CEO goals (the “Quarterly CEO SMART Goals”), all of which are forward looking.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2025 Annual CEO SMART Goals and the Quarterly CEO SMART Goals (collectively, the “CEO Goals”) were designed to be aggressive and rigorous, but attainable with significant skill and effort. When the CEO Goals were defined in early January 2025, the Compensation Committee and the Board believed that the CEO Goals were rigorous and substantially uncertain to be achieved. The CEO Goals reflected a balanced scorecard covering ten categories important for both the short- and long-term growth of Enphase:</w:t>
      </w:r>
    </w:p>
    <w:tbl>
      <w:tblPr>
        <w:tblW w:w="10205" w:type="dxa"/>
        <w:jc w:val="left"/>
        <w:tblInd w:w="0" w:type="dxa"/>
        <w:tblLayout w:type="fixed"/>
        <w:tblCellMar>
          <w:top w:w="28" w:type="dxa"/>
          <w:left w:w="28" w:type="dxa"/>
          <w:bottom w:w="28" w:type="dxa"/>
          <w:right w:w="28" w:type="dxa"/>
        </w:tblCellMar>
      </w:tblPr>
      <w:tblGrid>
        <w:gridCol w:w="970"/>
        <w:gridCol w:w="590"/>
        <w:gridCol w:w="596"/>
        <w:gridCol w:w="2456"/>
        <w:gridCol w:w="2314"/>
        <w:gridCol w:w="3279"/>
      </w:tblGrid>
      <w:tr>
        <w:trPr/>
        <w:tc>
          <w:tcPr>
            <w:tcW w:w="9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Category</w:t>
            </w:r>
          </w:p>
        </w:tc>
        <w:tc>
          <w:tcPr>
            <w:tcW w:w="8049"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Rationale</w:t>
            </w:r>
          </w:p>
        </w:tc>
      </w:tr>
      <w:tr>
        <w:trPr/>
        <w:tc>
          <w:tcPr>
            <w:tcW w:w="21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Revenue growth</w:t>
            </w:r>
          </w:p>
        </w:tc>
        <w:tc>
          <w:tcPr>
            <w:tcW w:w="8049"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Focused management on pursuing strategies that promote sustainable, long-term growth; provided clear and measurable targets important to stockholders</w:t>
            </w:r>
          </w:p>
        </w:tc>
      </w:tr>
      <w:tr>
        <w:trPr/>
        <w:tc>
          <w:tcPr>
            <w:tcW w:w="21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Profit before taxes</w:t>
            </w:r>
          </w:p>
        </w:tc>
        <w:tc>
          <w:tcPr>
            <w:tcW w:w="804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Focused management on operational efficiency that could promote sustainable growth, and encouraged cost management</w:t>
            </w:r>
          </w:p>
        </w:tc>
      </w:tr>
      <w:tr>
        <w:trPr/>
        <w:tc>
          <w:tcPr>
            <w:tcW w:w="21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New products</w:t>
            </w:r>
          </w:p>
        </w:tc>
        <w:tc>
          <w:tcPr>
            <w:tcW w:w="8049"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Ensured that the company remains competitive, which could lead to revenue and profit growth</w:t>
            </w:r>
          </w:p>
        </w:tc>
      </w:tr>
      <w:tr>
        <w:trPr/>
        <w:tc>
          <w:tcPr>
            <w:tcW w:w="21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Innovation</w:t>
            </w:r>
          </w:p>
        </w:tc>
        <w:tc>
          <w:tcPr>
            <w:tcW w:w="804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Ensured that the company remains competitive and drove management to explore new markets and adapted to changing market conditions</w:t>
            </w:r>
          </w:p>
        </w:tc>
      </w:tr>
      <w:tr>
        <w:trPr/>
        <w:tc>
          <w:tcPr>
            <w:tcW w:w="21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Operations, IT and Security</w:t>
            </w:r>
          </w:p>
        </w:tc>
        <w:tc>
          <w:tcPr>
            <w:tcW w:w="8049"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Focused management on improving operational performance, aligned with our strategic goals, and provided clear and measurable indicators of performance</w:t>
            </w:r>
          </w:p>
        </w:tc>
      </w:tr>
      <w:tr>
        <w:trPr/>
        <w:tc>
          <w:tcPr>
            <w:tcW w:w="21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Quality</w:t>
            </w:r>
          </w:p>
        </w:tc>
        <w:tc>
          <w:tcPr>
            <w:tcW w:w="804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Focused management on its core principles of customer first, producing high-quality products, and providing products and services that were essential for commercial success</w:t>
            </w:r>
          </w:p>
        </w:tc>
      </w:tr>
      <w:tr>
        <w:trPr/>
        <w:tc>
          <w:tcPr>
            <w:tcW w:w="21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Ease of doing business</w:t>
            </w:r>
          </w:p>
        </w:tc>
        <w:tc>
          <w:tcPr>
            <w:tcW w:w="8049"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Focused management on creating a more favorable business environment for our customers, enhancing our competitiveness</w:t>
            </w:r>
          </w:p>
        </w:tc>
      </w:tr>
      <w:tr>
        <w:trPr/>
        <w:tc>
          <w:tcPr>
            <w:tcW w:w="21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Human resources</w:t>
            </w:r>
          </w:p>
        </w:tc>
        <w:tc>
          <w:tcPr>
            <w:tcW w:w="804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Focused management on creating a healthy and positive work environment</w:t>
            </w:r>
          </w:p>
        </w:tc>
      </w:tr>
      <w:tr>
        <w:trPr/>
        <w:tc>
          <w:tcPr>
            <w:tcW w:w="21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Marketing</w:t>
            </w:r>
          </w:p>
        </w:tc>
        <w:tc>
          <w:tcPr>
            <w:tcW w:w="8049"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Incentivized management to develop successful marketing strategies to drive revenue generation</w:t>
            </w:r>
          </w:p>
        </w:tc>
      </w:tr>
      <w:tr>
        <w:trPr/>
        <w:tc>
          <w:tcPr>
            <w:tcW w:w="21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Sustainability</w:t>
            </w:r>
          </w:p>
        </w:tc>
        <w:tc>
          <w:tcPr>
            <w:tcW w:w="804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Aligned with our corporate mission to provide a sustainable future for all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believes that the foregoing categories offered the appropriate mix of financial and corporate objectives to best enable our success and growth. Each of the Annual CEO SMART Goals (which served as one of the components in determining the PSU payout under the 2025 PSP) and each of the Quarterly CEO SMART Goals (which served as one of the factors in determining the payout under the 2025 Bonus Program) used the concept of the balanced scorecard to design their respective goals, as further described below.</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Short-Term Incentive Compensation</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The 2025 Quarterly Performance Cash Bonus Program</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Each of our NEOs was eligible for quarterly performance bonuses under the 2025 Bonus Program. The 2025 Bonus Program represented approximately three percent of our CEO’s total target compensation. The 2025 Bonus Program was based on Quarterly CEO SMART Goals that were measured and paid quarterly, based upon Company and individual performance to better incentivize executives to achieve real-time goals. The Quarterly CEO SMART Goals were designed to drive revenue and gross margin growth and profitability, encourage accountability, drive execution of short-term priorities tied to long-term strategy and annual operating plan objectives, and to recognize and reward our NEOs based upon their achievement of certain individual objectives during a quarter. All such goals were forward looking and set at the beginning of each quarter.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approved target bonus percentages for each NEO under the 2025 Bonus Program, which were unchanged from the 2024 calendar year (the “Bonus Percentage”). Such Bonus Percentages were consistent with our philosophy that a significant portion of each executive’s total target compensation should be tied to performance, and they reflected the Compensation Committee’s review of internal pay equity. The respective target bonus percentages for our NEOs were set as follows:</w:t>
      </w:r>
    </w:p>
    <w:tbl>
      <w:tblPr>
        <w:tblW w:w="5459" w:type="dxa"/>
        <w:jc w:val="left"/>
        <w:tblInd w:w="0" w:type="dxa"/>
        <w:tblLayout w:type="fixed"/>
        <w:tblCellMar>
          <w:top w:w="28" w:type="dxa"/>
          <w:left w:w="28" w:type="dxa"/>
          <w:bottom w:w="28" w:type="dxa"/>
          <w:right w:w="28" w:type="dxa"/>
        </w:tblCellMar>
      </w:tblPr>
      <w:tblGrid>
        <w:gridCol w:w="1256"/>
        <w:gridCol w:w="1102"/>
        <w:gridCol w:w="1107"/>
        <w:gridCol w:w="582"/>
        <w:gridCol w:w="582"/>
        <w:gridCol w:w="830"/>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1994"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Bonus Target</w:t>
              <w:br/>
              <w:t>(% of base salary)</w:t>
            </w:r>
            <w:r>
              <w:rPr>
                <w:rFonts w:ascii="Avenir Next LT Pro;sans-serif" w:hAnsi="Avenir Next LT Pro;sans-serif"/>
                <w:b/>
                <w:color w:val="FFFFFF"/>
                <w:sz w:val="10"/>
              </w:rPr>
              <w:t>(1)</w:t>
            </w:r>
          </w:p>
        </w:tc>
      </w:tr>
      <w:tr>
        <w:trPr/>
        <w:tc>
          <w:tcPr>
            <w:tcW w:w="346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1994"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w:t>
            </w:r>
          </w:p>
        </w:tc>
      </w:tr>
      <w:tr>
        <w:trPr/>
        <w:tc>
          <w:tcPr>
            <w:tcW w:w="346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1994"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75</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24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1Target amounts are payable on the quarterly base salary and based on the performance of the quarterly goals.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retained final discretion over and approved all payments, if any, under the 2025 Bonus Program. The Compensation Committee could, in its discretion, award all or a portion of earned 2025 bonuses to the NEOs and other employees in the form of fully vested RSUs. No bonuses were paid in the form of fully vested RSUs under the 2025 Bonus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Performance Measurements — Three Factors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actual bonus amount that each NEO could earn in a given quarter was determined by taking the NEO’s eligible salary on a quarterly basis, multiplied by his or her Bonus Percentage, and subsequently multiplying that amount by three performance factors:</w:t>
      </w:r>
    </w:p>
    <w:tbl>
      <w:tblPr>
        <w:tblW w:w="10205" w:type="dxa"/>
        <w:jc w:val="left"/>
        <w:tblInd w:w="0" w:type="dxa"/>
        <w:tblLayout w:type="fixed"/>
        <w:tblCellMar>
          <w:top w:w="28" w:type="dxa"/>
          <w:left w:w="28" w:type="dxa"/>
          <w:bottom w:w="28" w:type="dxa"/>
          <w:right w:w="28" w:type="dxa"/>
        </w:tblCellMar>
      </w:tblPr>
      <w:tblGrid>
        <w:gridCol w:w="690"/>
        <w:gridCol w:w="606"/>
        <w:gridCol w:w="607"/>
        <w:gridCol w:w="540"/>
        <w:gridCol w:w="540"/>
        <w:gridCol w:w="541"/>
        <w:gridCol w:w="2095"/>
        <w:gridCol w:w="2095"/>
        <w:gridCol w:w="2114"/>
        <w:gridCol w:w="109"/>
        <w:gridCol w:w="109"/>
        <w:gridCol w:w="159"/>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Performance Factor Range</w:t>
            </w:r>
          </w:p>
        </w:tc>
        <w:tc>
          <w:tcPr>
            <w:tcW w:w="630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Overview</w:t>
            </w:r>
          </w:p>
        </w:tc>
        <w:tc>
          <w:tcPr>
            <w:tcW w:w="377"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3C3C3C"/>
            </w:tcBorders>
            <w:shd w:fill="3C3C3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Company Performance Factor</w:t>
            </w:r>
          </w:p>
        </w:tc>
        <w:tc>
          <w:tcPr>
            <w:tcW w:w="16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0 - 1.0</w:t>
            </w:r>
          </w:p>
        </w:tc>
        <w:tc>
          <w:tcPr>
            <w:tcW w:w="630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The level of achievement of the Quarterly CEO SMART Goals</w:t>
            </w:r>
          </w:p>
        </w:tc>
        <w:tc>
          <w:tcPr>
            <w:tcW w:w="377"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92929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Funding Factor</w:t>
            </w:r>
          </w:p>
        </w:tc>
        <w:tc>
          <w:tcPr>
            <w:tcW w:w="16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0 - 1.5</w:t>
            </w:r>
          </w:p>
        </w:tc>
        <w:tc>
          <w:tcPr>
            <w:tcW w:w="6304"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The amount of actual Company quarterly profit measured against the applicable quarterly profit target that was established in January 2025. Quarterly targets that were set in January were not changed during the year</w:t>
            </w:r>
          </w:p>
        </w:tc>
        <w:tc>
          <w:tcPr>
            <w:tcW w:w="377" w:type="dxa"/>
            <w:gridSpan w:val="3"/>
            <w:tcBorders>
              <w:right w:val="single" w:sz="2" w:space="0" w:color="92929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929292"/>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Individual Performance Factor</w:t>
            </w:r>
          </w:p>
        </w:tc>
        <w:tc>
          <w:tcPr>
            <w:tcW w:w="16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0 -1.2</w:t>
            </w:r>
          </w:p>
        </w:tc>
        <w:tc>
          <w:tcPr>
            <w:tcW w:w="630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Individual performance measured against quarterly targets set at the beginning of each quarter and approved by the CEO in the case of the NEOs other than the CEO (the “Quarterly Individual Goals”)</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For the CEO, the individual performance factor reflects the level of achievement of the Quarterly CEO SMART Goals</w:t>
            </w:r>
          </w:p>
        </w:tc>
        <w:tc>
          <w:tcPr>
            <w:tcW w:w="377"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2" w:space="0" w:color="929292"/>
            </w:tcBorders>
            <w:shd w:fill="FAF6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630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Company Performance Factor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Company Performance Factor was based on the level of achievement of the Quarterly CEO SMART Goals. The Quarterly CEO SMART Goals were all forward looking. After the end of each quarter, the Compensation Committee scored the Quarterly CEO SMART Goals to determine the Company Performance Factor according to the following:</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0 for achievement of less than 65% of the Quarterly CEO SMART Goals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0.5 for achievement between 65% and 80% of the Quarterly CEO SMART Goals</w:t>
      </w:r>
    </w:p>
    <w:p>
      <w:pPr>
        <w:pStyle w:val="TextBody"/>
        <w:bidi w:val="0"/>
        <w:spacing w:lineRule="auto" w:line="336" w:before="0" w:after="180"/>
        <w:ind w:left="0" w:right="0" w:hanging="180"/>
        <w:jc w:val="left"/>
        <w:rPr/>
      </w:pPr>
      <w:r>
        <w:rPr>
          <w:color w:val="000000"/>
        </w:rPr>
        <w:t>•</w:t>
      </w:r>
      <w:r>
        <w:rPr>
          <w:rFonts w:ascii="Avenir Next LT Pro;sans-serif" w:hAnsi="Avenir Next LT Pro;sans-serif"/>
          <w:b w:val="false"/>
          <w:color w:val="000000"/>
          <w:sz w:val="18"/>
        </w:rPr>
        <w:t>1.0 for achievement greater than 80% of the Quarterly CEO SMART Goals</w:t>
      </w:r>
    </w:p>
    <w:p>
      <w:pPr>
        <w:pStyle w:val="TextBody"/>
        <w:bidi w:val="0"/>
        <w:spacing w:lineRule="auto" w:line="336" w:before="0" w:after="180"/>
        <w:jc w:val="both"/>
        <w:rPr/>
      </w:pPr>
      <w:r>
        <w:rPr>
          <w:rFonts w:ascii="Avenir Next LT Pro;sans-serif" w:hAnsi="Avenir Next LT Pro;sans-serif"/>
          <w:b w:val="false"/>
          <w:color w:val="000000"/>
          <w:sz w:val="18"/>
        </w:rPr>
        <w:t>Under the 2025 Bonus Program, quarterly bonuses were not paid if the Quarterly CEO SMART Goals achievement was less than 65% for the quarter</w:t>
      </w:r>
      <w:r>
        <w:rPr>
          <w:rFonts w:ascii="Arial;sans-serif" w:hAnsi="Arial;sans-serif"/>
          <w:b w:val="false"/>
          <w:color w:val="000000"/>
          <w:sz w:val="20"/>
        </w:rPr>
        <w:t>.</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Funding Factor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Funding Factor for each quarter could range from 0 to 1.5, depending upon our quarterly profit before taxes measured on a non-GAAP basis excluding projected bonus (“PBB”). The quarterly PBB targets that would determine the 2025 Funding Factor for each quarter and were approved by the Board in January 2025. The quarterly PBB targets did not change during the year. The actual Funding Factor for a quarter was determined using linear interpolation between 0 and 1.5 based on the ratio of actual PBB to the targeted PBB, with the Funding Factor for quarterly bonuses being 1.0 if actual quarterly PBB equaled targeted PBB. Actual PBB that was more than targeted PBB was capped at 1.5. In determining PBB, we excluded, among others, the following items: stock-based compensation expense, acquisition related expenses and amortization, and non-cash interest expense. After the end of each quarter, the Compensation Committee calculated the Funding Factor based upon the ratio of actual PBB to targeted PBB. </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Individual Performance Factor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Individual Performance Factor for the CEO was based on the achievement of Quarterly CEO SMART Goals; and for our CFO, it was based on the achievement of Quarterly Individual Goals (together with the Quarterly CEO SMART Goals, the “Quarterly Goals”). As noted above, the Quarterly CEO SMART Goals were approved by the Board in January 2025. The Quarterly Individual Goals for our CFO were approved by the CEO at the beginning of each quarter, and were SMART goals, forward looking, and were not altered during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33</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Individual Performance Factor for a quarter could be between 0 and 1.2 and was determined by taking the actual score for achievement of the Quarterly Goals, including 20 points for stretch goals, and dividing by 100. Each individual goal in the Quarterly Goals was either binary (meaning achieved or not) or based upon specific targets defined for 100% achievement and 0% achievement (“Scaled Goals”). For binary goals, all points for the goal were earned if the goal was achieved; all points were lost if the goal was not achieved. For the Scaled Goals, if the 100% target was achieved, all points assigned to that goal were earned, and if less than the 100% target was achieved, then a linear interpolation between the two targets would determine the actual number of points earned. After the end of each quarter, the Compensation Committee approved the Individual Performance Factor for the CEO based on the scores for the CEO Quarterly SMART Goals, and for our CFO, based on the scores for the Quarterly Individual Goals.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our CFO, some of the key individual goals for 2025 are shown in the table below and were specifically tailored to the functions led by Ms. Yang and aligned to the achievement of our overall annual operating plan.</w:t>
      </w:r>
    </w:p>
    <w:tbl>
      <w:tblPr>
        <w:tblW w:w="10205" w:type="dxa"/>
        <w:jc w:val="left"/>
        <w:tblInd w:w="0" w:type="dxa"/>
        <w:tblLayout w:type="fixed"/>
        <w:tblCellMar>
          <w:top w:w="28" w:type="dxa"/>
          <w:left w:w="28" w:type="dxa"/>
          <w:bottom w:w="28" w:type="dxa"/>
          <w:right w:w="28" w:type="dxa"/>
        </w:tblCellMar>
      </w:tblPr>
      <w:tblGrid>
        <w:gridCol w:w="509"/>
        <w:gridCol w:w="447"/>
        <w:gridCol w:w="448"/>
        <w:gridCol w:w="2623"/>
        <w:gridCol w:w="2623"/>
        <w:gridCol w:w="3555"/>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404" w:type="dxa"/>
            <w:gridSpan w:val="3"/>
            <w:tcBorders>
              <w:left w:val="single" w:sz="2" w:space="0" w:color="3C3C3C"/>
            </w:tcBorders>
            <w:shd w:fill="3C3C3C" w:val="clear"/>
            <w:tcMar>
              <w:top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880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Individual Goals</w:t>
            </w:r>
          </w:p>
        </w:tc>
      </w:tr>
      <w:tr>
        <w:trPr/>
        <w:tc>
          <w:tcPr>
            <w:tcW w:w="140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880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Growing revenue; maintaining gross margin; improving operating expenses and EPS; executing forecast process to meet deadline; automating channel management; optimizing tax strategy; supporting new business strategy related to Enphase Care; and navigating impact of changing tariff regime</w:t>
            </w:r>
          </w:p>
        </w:tc>
      </w:tr>
      <w:tr>
        <w:trPr/>
        <w:tc>
          <w:tcPr>
            <w:tcW w:w="1404" w:type="dxa"/>
            <w:gridSpan w:val="3"/>
            <w:tcBorders/>
            <w:vAlign w:val="center"/>
          </w:tcPr>
          <w:p>
            <w:pPr>
              <w:pStyle w:val="TableContents"/>
              <w:bidi w:val="0"/>
              <w:spacing w:before="0" w:after="283"/>
              <w:jc w:val="left"/>
              <w:rPr>
                <w:sz w:val="4"/>
                <w:szCs w:val="4"/>
              </w:rPr>
            </w:pPr>
            <w:r>
              <w:rPr>
                <w:sz w:val="4"/>
                <w:szCs w:val="4"/>
              </w:rPr>
            </w:r>
          </w:p>
        </w:tc>
        <w:tc>
          <w:tcPr>
            <w:tcW w:w="8801" w:type="dxa"/>
            <w:gridSpan w:val="3"/>
            <w:tcBorders/>
            <w:vAlign w:val="center"/>
          </w:tcPr>
          <w:p>
            <w:pPr>
              <w:pStyle w:val="TableContents"/>
              <w:bidi w:val="0"/>
              <w:spacing w:before="0" w:after="283"/>
              <w:jc w:val="left"/>
              <w:rPr>
                <w:sz w:val="4"/>
                <w:szCs w:val="4"/>
              </w:rPr>
            </w:pPr>
            <w:r>
              <w:rPr>
                <w:sz w:val="4"/>
                <w:szCs w:val="4"/>
              </w:rPr>
            </w:r>
          </w:p>
        </w:tc>
      </w:tr>
      <w:tr>
        <w:trPr/>
        <w:tc>
          <w:tcPr>
            <w:tcW w:w="1404" w:type="dxa"/>
            <w:gridSpan w:val="3"/>
            <w:tcBorders/>
            <w:vAlign w:val="center"/>
          </w:tcPr>
          <w:p>
            <w:pPr>
              <w:pStyle w:val="TableContents"/>
              <w:bidi w:val="0"/>
              <w:spacing w:before="0" w:after="283"/>
              <w:jc w:val="left"/>
              <w:rPr>
                <w:sz w:val="4"/>
                <w:szCs w:val="4"/>
              </w:rPr>
            </w:pPr>
            <w:r>
              <w:rPr>
                <w:sz w:val="4"/>
                <w:szCs w:val="4"/>
              </w:rPr>
            </w:r>
          </w:p>
        </w:tc>
        <w:tc>
          <w:tcPr>
            <w:tcW w:w="8801" w:type="dxa"/>
            <w:gridSpan w:val="3"/>
            <w:tcBorders/>
            <w:vAlign w:val="center"/>
          </w:tcPr>
          <w:p>
            <w:pPr>
              <w:pStyle w:val="TableContents"/>
              <w:bidi w:val="0"/>
              <w:spacing w:before="0" w:after="283"/>
              <w:jc w:val="left"/>
              <w:rPr>
                <w:sz w:val="4"/>
                <w:szCs w:val="4"/>
              </w:rPr>
            </w:pPr>
            <w:r>
              <w:rPr>
                <w:sz w:val="4"/>
                <w:szCs w:val="4"/>
              </w:rPr>
            </w:r>
          </w:p>
        </w:tc>
      </w:tr>
      <w:tr>
        <w:trPr/>
        <w:tc>
          <w:tcPr>
            <w:tcW w:w="1404" w:type="dxa"/>
            <w:gridSpan w:val="3"/>
            <w:tcBorders/>
            <w:vAlign w:val="center"/>
          </w:tcPr>
          <w:p>
            <w:pPr>
              <w:pStyle w:val="TableContents"/>
              <w:bidi w:val="0"/>
              <w:spacing w:before="0" w:after="283"/>
              <w:jc w:val="left"/>
              <w:rPr>
                <w:sz w:val="4"/>
                <w:szCs w:val="4"/>
              </w:rPr>
            </w:pPr>
            <w:r>
              <w:rPr>
                <w:sz w:val="4"/>
                <w:szCs w:val="4"/>
              </w:rPr>
            </w:r>
          </w:p>
        </w:tc>
        <w:tc>
          <w:tcPr>
            <w:tcW w:w="8801" w:type="dxa"/>
            <w:gridSpan w:val="3"/>
            <w:tcBorders/>
            <w:vAlign w:val="center"/>
          </w:tcPr>
          <w:p>
            <w:pPr>
              <w:pStyle w:val="TableContents"/>
              <w:bidi w:val="0"/>
              <w:spacing w:before="0" w:after="283"/>
              <w:jc w:val="left"/>
              <w:rPr>
                <w:sz w:val="4"/>
                <w:szCs w:val="4"/>
              </w:rPr>
            </w:pPr>
            <w:r>
              <w:rPr>
                <w:sz w:val="4"/>
                <w:szCs w:val="4"/>
              </w:rPr>
            </w:r>
          </w:p>
        </w:tc>
      </w:tr>
      <w:tr>
        <w:trPr/>
        <w:tc>
          <w:tcPr>
            <w:tcW w:w="1404" w:type="dxa"/>
            <w:gridSpan w:val="3"/>
            <w:tcBorders/>
            <w:vAlign w:val="center"/>
          </w:tcPr>
          <w:p>
            <w:pPr>
              <w:pStyle w:val="TableContents"/>
              <w:bidi w:val="0"/>
              <w:spacing w:before="0" w:after="283"/>
              <w:jc w:val="left"/>
              <w:rPr>
                <w:sz w:val="4"/>
                <w:szCs w:val="4"/>
              </w:rPr>
            </w:pPr>
            <w:r>
              <w:rPr>
                <w:sz w:val="4"/>
                <w:szCs w:val="4"/>
              </w:rPr>
            </w:r>
          </w:p>
        </w:tc>
        <w:tc>
          <w:tcPr>
            <w:tcW w:w="8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i/>
          <w:color w:val="000000"/>
          <w:sz w:val="20"/>
        </w:rPr>
      </w:pPr>
      <w:r>
        <w:rPr>
          <w:rFonts w:ascii="Avenir Next LT Pro;sans-serif" w:hAnsi="Avenir Next LT Pro;sans-serif"/>
          <w:b/>
          <w:i/>
          <w:color w:val="000000"/>
          <w:sz w:val="20"/>
        </w:rPr>
        <w:t>2025 Performance Cash Bonus — Actual Achievement by our NEOs</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Company Performance Factor - Actual Achievement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Compensation Committee reviewed our performance against the predetermined Quarterly CEO SMART Goals and determined that we had achieved our CEO Quarterly SMART Goals as set forth in the table below. This resulted in a Company Performance Factor of 1.0 for the first, second and third quarters, and 0.5 for the fourth quarter. </w:t>
      </w:r>
    </w:p>
    <w:tbl>
      <w:tblPr>
        <w:tblW w:w="10205" w:type="dxa"/>
        <w:jc w:val="left"/>
        <w:tblInd w:w="0" w:type="dxa"/>
        <w:tblLayout w:type="fixed"/>
        <w:tblCellMar>
          <w:top w:w="28" w:type="dxa"/>
          <w:left w:w="28" w:type="dxa"/>
          <w:bottom w:w="28" w:type="dxa"/>
          <w:right w:w="28" w:type="dxa"/>
        </w:tblCellMar>
      </w:tblPr>
      <w:tblGrid>
        <w:gridCol w:w="1308"/>
        <w:gridCol w:w="860"/>
        <w:gridCol w:w="863"/>
        <w:gridCol w:w="593"/>
        <w:gridCol w:w="593"/>
        <w:gridCol w:w="595"/>
        <w:gridCol w:w="593"/>
        <w:gridCol w:w="593"/>
        <w:gridCol w:w="595"/>
        <w:gridCol w:w="593"/>
        <w:gridCol w:w="593"/>
        <w:gridCol w:w="595"/>
        <w:gridCol w:w="533"/>
        <w:gridCol w:w="533"/>
        <w:gridCol w:w="765"/>
      </w:tblGrid>
      <w:tr>
        <w:trPr/>
        <w:tc>
          <w:tcPr>
            <w:tcW w:w="130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3031"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Category of Quarterly CEO SMART Goals (Max Points)</w:t>
            </w:r>
          </w:p>
        </w:tc>
        <w:tc>
          <w:tcPr>
            <w:tcW w:w="178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Actual Points Achieved for Q1</w:t>
            </w:r>
          </w:p>
        </w:tc>
        <w:tc>
          <w:tcPr>
            <w:tcW w:w="178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Actual Points Achieved for Q2</w:t>
            </w:r>
          </w:p>
        </w:tc>
        <w:tc>
          <w:tcPr>
            <w:tcW w:w="178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Actual Points Achieved for Q3</w:t>
            </w:r>
          </w:p>
        </w:tc>
        <w:tc>
          <w:tcPr>
            <w:tcW w:w="183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Actual Points Achieved for Q4</w:t>
            </w:r>
          </w:p>
        </w:tc>
      </w:tr>
      <w:tr>
        <w:trPr/>
        <w:tc>
          <w:tcPr>
            <w:tcW w:w="303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Grow Revenue (24)</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12.9</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13.4</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18.8</w:t>
            </w:r>
          </w:p>
        </w:tc>
        <w:tc>
          <w:tcPr>
            <w:tcW w:w="18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2.6</w:t>
            </w:r>
          </w:p>
        </w:tc>
      </w:tr>
      <w:tr>
        <w:trPr/>
        <w:tc>
          <w:tcPr>
            <w:tcW w:w="303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Profit Before Taxes (24)</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19.3</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16.3</w:t>
            </w:r>
          </w:p>
        </w:tc>
        <w:tc>
          <w:tcPr>
            <w:tcW w:w="18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5.4</w:t>
            </w:r>
          </w:p>
        </w:tc>
      </w:tr>
      <w:tr>
        <w:trPr/>
        <w:tc>
          <w:tcPr>
            <w:tcW w:w="303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New Products (27)</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19.5</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22.0</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18.1</w:t>
            </w:r>
          </w:p>
        </w:tc>
        <w:tc>
          <w:tcPr>
            <w:tcW w:w="18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20.4</w:t>
            </w:r>
          </w:p>
        </w:tc>
      </w:tr>
      <w:tr>
        <w:trPr/>
        <w:tc>
          <w:tcPr>
            <w:tcW w:w="303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Innovation (4)</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3.5</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w:t>
            </w:r>
          </w:p>
        </w:tc>
        <w:tc>
          <w:tcPr>
            <w:tcW w:w="18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w:t>
            </w:r>
          </w:p>
        </w:tc>
      </w:tr>
      <w:tr>
        <w:trPr/>
        <w:tc>
          <w:tcPr>
            <w:tcW w:w="303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Operations (Including IT) (13)</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10.8</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11.1</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9.2</w:t>
            </w:r>
          </w:p>
        </w:tc>
        <w:tc>
          <w:tcPr>
            <w:tcW w:w="18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9.1</w:t>
            </w:r>
          </w:p>
        </w:tc>
      </w:tr>
      <w:tr>
        <w:trPr/>
        <w:tc>
          <w:tcPr>
            <w:tcW w:w="303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Quality (10)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9.3</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6.1</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8.0</w:t>
            </w:r>
          </w:p>
        </w:tc>
        <w:tc>
          <w:tcPr>
            <w:tcW w:w="18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9.7</w:t>
            </w:r>
          </w:p>
        </w:tc>
      </w:tr>
      <w:tr>
        <w:trPr/>
        <w:tc>
          <w:tcPr>
            <w:tcW w:w="303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Ease Of Doing Business (10)</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8.4</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9.9</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9.6</w:t>
            </w:r>
          </w:p>
        </w:tc>
        <w:tc>
          <w:tcPr>
            <w:tcW w:w="18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w:t>
            </w:r>
          </w:p>
        </w:tc>
      </w:tr>
      <w:tr>
        <w:trPr/>
        <w:tc>
          <w:tcPr>
            <w:tcW w:w="303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Human Resources (2)</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c>
          <w:tcPr>
            <w:tcW w:w="18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r>
      <w:tr>
        <w:trPr/>
        <w:tc>
          <w:tcPr>
            <w:tcW w:w="303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Marketing (5)</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c>
          <w:tcPr>
            <w:tcW w:w="1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c>
          <w:tcPr>
            <w:tcW w:w="18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4.9</w:t>
            </w:r>
          </w:p>
        </w:tc>
      </w:tr>
      <w:tr>
        <w:trPr/>
        <w:tc>
          <w:tcPr>
            <w:tcW w:w="303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Sustainability (1)</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8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r>
      <w:tr>
        <w:trPr/>
        <w:tc>
          <w:tcPr>
            <w:tcW w:w="303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 Goals Achievement</w:t>
            </w:r>
          </w:p>
        </w:tc>
        <w:tc>
          <w:tcPr>
            <w:tcW w:w="1781" w:type="dxa"/>
            <w:gridSpan w:val="3"/>
            <w:tcBorders>
              <w:top w:val="single" w:sz="8" w:space="0" w:color="3C3C3C"/>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91.7</w:t>
            </w:r>
          </w:p>
        </w:tc>
        <w:tc>
          <w:tcPr>
            <w:tcW w:w="1781" w:type="dxa"/>
            <w:gridSpan w:val="3"/>
            <w:tcBorders>
              <w:top w:val="single" w:sz="8" w:space="0" w:color="3C3C3C"/>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86.5</w:t>
            </w:r>
          </w:p>
        </w:tc>
        <w:tc>
          <w:tcPr>
            <w:tcW w:w="1781" w:type="dxa"/>
            <w:gridSpan w:val="3"/>
            <w:tcBorders>
              <w:top w:val="single" w:sz="8" w:space="0" w:color="3C3C3C"/>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91.0</w:t>
            </w:r>
          </w:p>
        </w:tc>
        <w:tc>
          <w:tcPr>
            <w:tcW w:w="1831" w:type="dxa"/>
            <w:gridSpan w:val="3"/>
            <w:tcBorders>
              <w:top w:val="single" w:sz="8" w:space="0" w:color="3C3C3C"/>
              <w:left w:val="single" w:sz="2" w:space="0" w:color="929292"/>
              <w:right w:val="single" w:sz="2" w:space="0" w:color="929292"/>
            </w:tcBorders>
            <w:shd w:fill="FAF6EF" w:val="clear"/>
            <w:tcMar>
              <w:top w:w="3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66.5</w:t>
            </w:r>
          </w:p>
        </w:tc>
      </w:tr>
      <w:tr>
        <w:trPr/>
        <w:tc>
          <w:tcPr>
            <w:tcW w:w="303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Company Performance Factor</w:t>
            </w:r>
          </w:p>
        </w:tc>
        <w:tc>
          <w:tcPr>
            <w:tcW w:w="1781" w:type="dxa"/>
            <w:gridSpan w:val="3"/>
            <w:tcBorders>
              <w:top w:val="double" w:sz="8" w:space="0" w:color="3C3C3C"/>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1.0</w:t>
            </w:r>
          </w:p>
        </w:tc>
        <w:tc>
          <w:tcPr>
            <w:tcW w:w="1781" w:type="dxa"/>
            <w:gridSpan w:val="3"/>
            <w:tcBorders>
              <w:top w:val="double" w:sz="8" w:space="0" w:color="3C3C3C"/>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1.0</w:t>
            </w:r>
          </w:p>
        </w:tc>
        <w:tc>
          <w:tcPr>
            <w:tcW w:w="1781" w:type="dxa"/>
            <w:gridSpan w:val="3"/>
            <w:tcBorders>
              <w:top w:val="double" w:sz="8" w:space="0" w:color="3C3C3C"/>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1.0</w:t>
            </w:r>
          </w:p>
        </w:tc>
        <w:tc>
          <w:tcPr>
            <w:tcW w:w="1831" w:type="dxa"/>
            <w:gridSpan w:val="3"/>
            <w:tcBorders>
              <w:top w:val="double" w:sz="8" w:space="0" w:color="3C3C3C"/>
              <w:left w:val="single" w:sz="2" w:space="0" w:color="929292"/>
              <w:right w:val="single" w:sz="2" w:space="0" w:color="929292"/>
            </w:tcBorders>
            <w:shd w:fill="FFFFFF" w:val="clear"/>
            <w:tcMar>
              <w:top w:w="3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0.5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Funding Factor - Actual Achievement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also reviewed the actual PBB for each quarter against the targeted PBB for the applicable quarter and determined the applicable Funding Factor for each quarter as follows:</w:t>
      </w:r>
    </w:p>
    <w:tbl>
      <w:tblPr>
        <w:tblW w:w="6941" w:type="dxa"/>
        <w:jc w:val="left"/>
        <w:tblInd w:w="0" w:type="dxa"/>
        <w:tblLayout w:type="fixed"/>
        <w:tblCellMar>
          <w:top w:w="28" w:type="dxa"/>
          <w:left w:w="28" w:type="dxa"/>
          <w:bottom w:w="28" w:type="dxa"/>
          <w:right w:w="28" w:type="dxa"/>
        </w:tblCellMar>
      </w:tblPr>
      <w:tblGrid>
        <w:gridCol w:w="803"/>
        <w:gridCol w:w="706"/>
        <w:gridCol w:w="710"/>
        <w:gridCol w:w="559"/>
        <w:gridCol w:w="559"/>
        <w:gridCol w:w="561"/>
        <w:gridCol w:w="484"/>
        <w:gridCol w:w="484"/>
        <w:gridCol w:w="486"/>
        <w:gridCol w:w="464"/>
        <w:gridCol w:w="464"/>
        <w:gridCol w:w="66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219" w:type="dxa"/>
            <w:gridSpan w:val="3"/>
            <w:vMerge w:val="restart"/>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2025 Calendar Quarter</w:t>
            </w:r>
          </w:p>
        </w:tc>
        <w:tc>
          <w:tcPr>
            <w:tcW w:w="167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Targeted PBB ($)</w:t>
            </w:r>
          </w:p>
        </w:tc>
        <w:tc>
          <w:tcPr>
            <w:tcW w:w="145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Actual PBB ($)</w:t>
            </w:r>
          </w:p>
        </w:tc>
        <w:tc>
          <w:tcPr>
            <w:tcW w:w="1589"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Funding Factor</w:t>
            </w:r>
          </w:p>
        </w:tc>
      </w:tr>
      <w:tr>
        <w:trPr/>
        <w:tc>
          <w:tcPr>
            <w:tcW w:w="2219" w:type="dxa"/>
            <w:gridSpan w:val="3"/>
            <w:vMerge w:val="continue"/>
            <w:tcBorders>
              <w:left w:val="single" w:sz="2" w:space="0" w:color="3C3C3C"/>
            </w:tcBorders>
            <w:shd w:fill="3C3C3C" w:val="clear"/>
            <w:tcMar>
              <w:top w:w="0" w:type="dxa"/>
              <w:left w:w="110" w:type="dxa"/>
              <w:bottom w:w="0" w:type="dxa"/>
              <w:right w:w="0" w:type="dxa"/>
            </w:tcMar>
            <w:vAlign w:val="center"/>
          </w:tcPr>
          <w:p>
            <w:pPr>
              <w:pStyle w:val="Normal"/>
              <w:bidi w:val="0"/>
              <w:jc w:val="left"/>
              <w:rPr/>
            </w:pPr>
            <w:r>
              <w:rPr/>
            </w:r>
          </w:p>
        </w:tc>
        <w:tc>
          <w:tcPr>
            <w:tcW w:w="4722" w:type="dxa"/>
            <w:gridSpan w:val="9"/>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(In millions, except the Funding Factors)</w:t>
            </w:r>
          </w:p>
        </w:tc>
      </w:tr>
      <w:tr>
        <w:trPr/>
        <w:tc>
          <w:tcPr>
            <w:tcW w:w="221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Q1</w:t>
            </w:r>
          </w:p>
        </w:tc>
        <w:tc>
          <w:tcPr>
            <w:tcW w:w="167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124.80</w:t>
            </w:r>
          </w:p>
        </w:tc>
        <w:tc>
          <w:tcPr>
            <w:tcW w:w="145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115.40</w:t>
            </w:r>
          </w:p>
        </w:tc>
        <w:tc>
          <w:tcPr>
            <w:tcW w:w="1589"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0.92</w:t>
            </w:r>
          </w:p>
        </w:tc>
      </w:tr>
      <w:tr>
        <w:trPr/>
        <w:tc>
          <w:tcPr>
            <w:tcW w:w="221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Q2</w:t>
            </w:r>
          </w:p>
        </w:tc>
        <w:tc>
          <w:tcPr>
            <w:tcW w:w="167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130.30</w:t>
            </w:r>
          </w:p>
        </w:tc>
        <w:tc>
          <w:tcPr>
            <w:tcW w:w="145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106.20</w:t>
            </w:r>
          </w:p>
        </w:tc>
        <w:tc>
          <w:tcPr>
            <w:tcW w:w="1589"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0.82</w:t>
            </w:r>
          </w:p>
        </w:tc>
      </w:tr>
      <w:tr>
        <w:trPr/>
        <w:tc>
          <w:tcPr>
            <w:tcW w:w="221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Q3</w:t>
            </w:r>
          </w:p>
        </w:tc>
        <w:tc>
          <w:tcPr>
            <w:tcW w:w="167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158.93</w:t>
            </w:r>
          </w:p>
        </w:tc>
        <w:tc>
          <w:tcPr>
            <w:tcW w:w="145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139.90</w:t>
            </w:r>
          </w:p>
        </w:tc>
        <w:tc>
          <w:tcPr>
            <w:tcW w:w="1589"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1.04</w:t>
            </w:r>
          </w:p>
        </w:tc>
      </w:tr>
      <w:tr>
        <w:trPr/>
        <w:tc>
          <w:tcPr>
            <w:tcW w:w="221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Q4</w:t>
            </w:r>
          </w:p>
        </w:tc>
        <w:tc>
          <w:tcPr>
            <w:tcW w:w="167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223.09</w:t>
            </w:r>
          </w:p>
        </w:tc>
        <w:tc>
          <w:tcPr>
            <w:tcW w:w="145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98.10</w:t>
            </w:r>
          </w:p>
        </w:tc>
        <w:tc>
          <w:tcPr>
            <w:tcW w:w="1589"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0.69</w:t>
            </w:r>
          </w:p>
        </w:tc>
      </w:tr>
    </w:tbl>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Individual Performance Factor - Actual Achievement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At the end of each calendar quarter, the Compensation Committee scored our CEO’s individual achievement on the Quarterly CEO SMART Goals. Our CEO scored our CFO’s performance against each of her Quarterly Individual Goals.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Out of a possible 120 points each quarter (which included up to 20 points for stretch goals), our NEOs achieved the following individual scores on their quarterly performance goals in 2025:</w:t>
      </w:r>
    </w:p>
    <w:tbl>
      <w:tblPr>
        <w:tblW w:w="7287" w:type="dxa"/>
        <w:jc w:val="left"/>
        <w:tblInd w:w="0" w:type="dxa"/>
        <w:tblLayout w:type="fixed"/>
        <w:tblCellMar>
          <w:top w:w="28" w:type="dxa"/>
          <w:left w:w="28" w:type="dxa"/>
          <w:bottom w:w="28" w:type="dxa"/>
          <w:right w:w="28" w:type="dxa"/>
        </w:tblCellMar>
      </w:tblPr>
      <w:tblGrid>
        <w:gridCol w:w="1256"/>
        <w:gridCol w:w="1102"/>
        <w:gridCol w:w="1107"/>
        <w:gridCol w:w="314"/>
        <w:gridCol w:w="314"/>
        <w:gridCol w:w="316"/>
        <w:gridCol w:w="314"/>
        <w:gridCol w:w="314"/>
        <w:gridCol w:w="316"/>
        <w:gridCol w:w="314"/>
        <w:gridCol w:w="314"/>
        <w:gridCol w:w="316"/>
        <w:gridCol w:w="290"/>
        <w:gridCol w:w="290"/>
        <w:gridCol w:w="410"/>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94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Q1 Score</w:t>
            </w:r>
          </w:p>
        </w:tc>
        <w:tc>
          <w:tcPr>
            <w:tcW w:w="94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Q2 Score</w:t>
            </w:r>
          </w:p>
        </w:tc>
        <w:tc>
          <w:tcPr>
            <w:tcW w:w="94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Q3 Score</w:t>
            </w:r>
          </w:p>
        </w:tc>
        <w:tc>
          <w:tcPr>
            <w:tcW w:w="990"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Q4 Score</w:t>
            </w:r>
          </w:p>
        </w:tc>
      </w:tr>
      <w:tr>
        <w:trPr/>
        <w:tc>
          <w:tcPr>
            <w:tcW w:w="346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9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91.70</w:t>
            </w:r>
          </w:p>
        </w:tc>
        <w:tc>
          <w:tcPr>
            <w:tcW w:w="9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86.50</w:t>
            </w:r>
          </w:p>
        </w:tc>
        <w:tc>
          <w:tcPr>
            <w:tcW w:w="9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91.00</w:t>
            </w:r>
          </w:p>
        </w:tc>
        <w:tc>
          <w:tcPr>
            <w:tcW w:w="99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66.50</w:t>
            </w:r>
          </w:p>
        </w:tc>
      </w:tr>
      <w:tr>
        <w:trPr/>
        <w:tc>
          <w:tcPr>
            <w:tcW w:w="346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9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99.50</w:t>
            </w:r>
          </w:p>
        </w:tc>
        <w:tc>
          <w:tcPr>
            <w:tcW w:w="9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91.54</w:t>
            </w:r>
          </w:p>
        </w:tc>
        <w:tc>
          <w:tcPr>
            <w:tcW w:w="9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105.10</w:t>
            </w:r>
          </w:p>
        </w:tc>
        <w:tc>
          <w:tcPr>
            <w:tcW w:w="990"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63.28</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i/>
          <w:color w:val="000000"/>
          <w:sz w:val="20"/>
        </w:rPr>
      </w:pPr>
      <w:r>
        <w:rPr>
          <w:rFonts w:ascii="Avenir Next LT Pro;sans-serif" w:hAnsi="Avenir Next LT Pro;sans-serif"/>
          <w:b/>
          <w:i/>
          <w:color w:val="000000"/>
          <w:sz w:val="20"/>
        </w:rPr>
        <w:t>Actual 2025 Quarterly Performance Cash Bonuses Earned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Compensation Committee retained final discretion over and approved all quarterly bonus payments under the 2025 Bonus Program.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As described above, the formula works as follows:</w:t>
      </w:r>
    </w:p>
    <w:p>
      <w:pPr>
        <w:pStyle w:val="TextBody"/>
        <w:bidi w:val="0"/>
        <w:spacing w:lineRule="auto" w:line="336" w:before="0" w:after="180"/>
        <w:jc w:val="center"/>
        <w:rPr>
          <w:rFonts w:ascii="Avenir Next LT Pro;sans-serif" w:hAnsi="Avenir Next LT Pro;sans-serif"/>
          <w:b w:val="false"/>
          <w:color w:val="000000"/>
          <w:sz w:val="17"/>
        </w:rPr>
      </w:pPr>
      <w:r>
        <w:rPr>
          <w:rFonts w:ascii="Avenir Next LT Pro;sans-serif" w:hAnsi="Avenir Next LT Pro;sans-serif"/>
          <w:b w:val="false"/>
          <w:color w:val="000000"/>
          <w:sz w:val="17"/>
        </w:rPr>
        <w:t>Actual Bonus = Quarterly Bonus Eligible at Target x Company Performance Factor x Funding Factor x Individual Performance Factor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Below are the calculations for the quarterly cash bonus of the CEO in each quarter of 2025:</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CEO Performance Cash Bonus</w:t>
      </w:r>
    </w:p>
    <w:tbl>
      <w:tblPr>
        <w:tblW w:w="7489" w:type="dxa"/>
        <w:jc w:val="left"/>
        <w:tblInd w:w="0" w:type="dxa"/>
        <w:tblLayout w:type="fixed"/>
        <w:tblCellMar>
          <w:top w:w="28" w:type="dxa"/>
          <w:left w:w="28" w:type="dxa"/>
          <w:bottom w:w="28" w:type="dxa"/>
          <w:right w:w="28" w:type="dxa"/>
        </w:tblCellMar>
      </w:tblPr>
      <w:tblGrid>
        <w:gridCol w:w="1414"/>
        <w:gridCol w:w="1242"/>
        <w:gridCol w:w="1244"/>
        <w:gridCol w:w="294"/>
        <w:gridCol w:w="294"/>
        <w:gridCol w:w="298"/>
        <w:gridCol w:w="294"/>
        <w:gridCol w:w="294"/>
        <w:gridCol w:w="298"/>
        <w:gridCol w:w="294"/>
        <w:gridCol w:w="294"/>
        <w:gridCol w:w="298"/>
        <w:gridCol w:w="270"/>
        <w:gridCol w:w="270"/>
        <w:gridCol w:w="391"/>
      </w:tblGrid>
      <w:tr>
        <w:trPr/>
        <w:tc>
          <w:tcPr>
            <w:tcW w:w="141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Performance Cash Bonus Factors</w:t>
            </w:r>
          </w:p>
        </w:tc>
        <w:tc>
          <w:tcPr>
            <w:tcW w:w="88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Q1</w:t>
            </w:r>
          </w:p>
        </w:tc>
        <w:tc>
          <w:tcPr>
            <w:tcW w:w="88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Q2</w:t>
            </w:r>
          </w:p>
        </w:tc>
        <w:tc>
          <w:tcPr>
            <w:tcW w:w="88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Q3</w:t>
            </w:r>
          </w:p>
        </w:tc>
        <w:tc>
          <w:tcPr>
            <w:tcW w:w="93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Q4</w:t>
            </w:r>
          </w:p>
        </w:tc>
      </w:tr>
      <w:tr>
        <w:trPr/>
        <w:tc>
          <w:tcPr>
            <w:tcW w:w="390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Quarterly bonus eligible at target ($)</w:t>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112,500</w:t>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112,500</w:t>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112,500</w:t>
            </w:r>
          </w:p>
        </w:tc>
        <w:tc>
          <w:tcPr>
            <w:tcW w:w="9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112,500</w:t>
            </w:r>
          </w:p>
        </w:tc>
      </w:tr>
      <w:tr>
        <w:trPr/>
        <w:tc>
          <w:tcPr>
            <w:tcW w:w="3900"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Company Performance Factor</w:t>
            </w:r>
          </w:p>
        </w:tc>
        <w:tc>
          <w:tcPr>
            <w:tcW w:w="88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88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88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9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0.5</w:t>
            </w:r>
          </w:p>
        </w:tc>
      </w:tr>
      <w:tr>
        <w:trPr/>
        <w:tc>
          <w:tcPr>
            <w:tcW w:w="390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Funding Factor</w:t>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0.92</w:t>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0.82</w:t>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1.04</w:t>
            </w:r>
          </w:p>
        </w:tc>
        <w:tc>
          <w:tcPr>
            <w:tcW w:w="9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0.69</w:t>
            </w:r>
          </w:p>
        </w:tc>
      </w:tr>
      <w:tr>
        <w:trPr/>
        <w:tc>
          <w:tcPr>
            <w:tcW w:w="3900"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Individual Performance Factor</w:t>
            </w:r>
          </w:p>
        </w:tc>
        <w:tc>
          <w:tcPr>
            <w:tcW w:w="88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0.9170</w:t>
            </w:r>
          </w:p>
        </w:tc>
        <w:tc>
          <w:tcPr>
            <w:tcW w:w="88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0.8650</w:t>
            </w:r>
          </w:p>
        </w:tc>
        <w:tc>
          <w:tcPr>
            <w:tcW w:w="88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0.9100</w:t>
            </w:r>
          </w:p>
        </w:tc>
        <w:tc>
          <w:tcPr>
            <w:tcW w:w="93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0.6650</w:t>
            </w:r>
          </w:p>
        </w:tc>
      </w:tr>
      <w:tr>
        <w:trPr/>
        <w:tc>
          <w:tcPr>
            <w:tcW w:w="3900"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Actual Bonus ($)</w:t>
            </w:r>
          </w:p>
        </w:tc>
        <w:tc>
          <w:tcPr>
            <w:tcW w:w="886"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94,910</w:t>
            </w:r>
          </w:p>
        </w:tc>
        <w:tc>
          <w:tcPr>
            <w:tcW w:w="886"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79,796</w:t>
            </w:r>
          </w:p>
        </w:tc>
        <w:tc>
          <w:tcPr>
            <w:tcW w:w="886"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106,236</w:t>
            </w:r>
          </w:p>
        </w:tc>
        <w:tc>
          <w:tcPr>
            <w:tcW w:w="931" w:type="dxa"/>
            <w:gridSpan w:val="3"/>
            <w:tcBorders>
              <w:top w:val="single" w:sz="8" w:space="0" w:color="000000"/>
              <w:left w:val="single" w:sz="2" w:space="0" w:color="929292"/>
              <w:right w:val="single" w:sz="2" w:space="0" w:color="929292"/>
            </w:tcBorders>
            <w:shd w:fill="FAF6EF" w:val="clear"/>
            <w:tcMar>
              <w:top w:w="3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25,810</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35</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Based on our quarterly achievement during 2025 and the individual performance of our NEOs each quarter, the Compensation Committee awarded our NEOs the quarterly bonuses shown in the chart below:</w:t>
      </w:r>
    </w:p>
    <w:tbl>
      <w:tblPr>
        <w:tblW w:w="10205" w:type="dxa"/>
        <w:jc w:val="left"/>
        <w:tblInd w:w="0" w:type="dxa"/>
        <w:tblLayout w:type="fixed"/>
        <w:tblCellMar>
          <w:top w:w="28" w:type="dxa"/>
          <w:left w:w="28" w:type="dxa"/>
          <w:bottom w:w="28" w:type="dxa"/>
          <w:right w:w="28" w:type="dxa"/>
        </w:tblCellMar>
      </w:tblPr>
      <w:tblGrid>
        <w:gridCol w:w="927"/>
        <w:gridCol w:w="675"/>
        <w:gridCol w:w="461"/>
        <w:gridCol w:w="460"/>
        <w:gridCol w:w="361"/>
        <w:gridCol w:w="362"/>
        <w:gridCol w:w="339"/>
        <w:gridCol w:w="290"/>
        <w:gridCol w:w="291"/>
        <w:gridCol w:w="339"/>
        <w:gridCol w:w="290"/>
        <w:gridCol w:w="291"/>
        <w:gridCol w:w="439"/>
        <w:gridCol w:w="290"/>
        <w:gridCol w:w="291"/>
        <w:gridCol w:w="339"/>
        <w:gridCol w:w="290"/>
        <w:gridCol w:w="291"/>
        <w:gridCol w:w="423"/>
        <w:gridCol w:w="423"/>
        <w:gridCol w:w="424"/>
        <w:gridCol w:w="109"/>
        <w:gridCol w:w="109"/>
        <w:gridCol w:w="109"/>
        <w:gridCol w:w="109"/>
        <w:gridCol w:w="428"/>
        <w:gridCol w:w="428"/>
        <w:gridCol w:w="617"/>
      </w:tblGrid>
      <w:tr>
        <w:trPr/>
        <w:tc>
          <w:tcPr>
            <w:tcW w:w="92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1183"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2025 Target Annual Bonus</w:t>
              <w:br/>
              <w:t>($)</w:t>
            </w:r>
          </w:p>
        </w:tc>
        <w:tc>
          <w:tcPr>
            <w:tcW w:w="92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Q1 Actual Bonus</w:t>
              <w:br/>
              <w:t>($)</w:t>
            </w:r>
          </w:p>
        </w:tc>
        <w:tc>
          <w:tcPr>
            <w:tcW w:w="92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Q2 Actual Bonus</w:t>
              <w:br/>
              <w:t>($)</w:t>
            </w:r>
          </w:p>
        </w:tc>
        <w:tc>
          <w:tcPr>
            <w:tcW w:w="102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Q3 Actual Bonus</w:t>
              <w:br/>
              <w:t>($)</w:t>
            </w:r>
          </w:p>
        </w:tc>
        <w:tc>
          <w:tcPr>
            <w:tcW w:w="92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Q4 Actual Bonus</w:t>
              <w:br/>
              <w:t>($)</w:t>
            </w:r>
          </w:p>
        </w:tc>
        <w:tc>
          <w:tcPr>
            <w:tcW w:w="127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Aggregate 2025 Bonus</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Aggregate Bonus as % of Target</w:t>
            </w:r>
          </w:p>
        </w:tc>
      </w:tr>
      <w:tr>
        <w:trPr/>
        <w:tc>
          <w:tcPr>
            <w:tcW w:w="2063"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1183"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92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94,910</w:t>
            </w:r>
          </w:p>
        </w:tc>
        <w:tc>
          <w:tcPr>
            <w:tcW w:w="92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79,796</w:t>
            </w:r>
          </w:p>
        </w:tc>
        <w:tc>
          <w:tcPr>
            <w:tcW w:w="102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106,236</w:t>
            </w:r>
          </w:p>
        </w:tc>
        <w:tc>
          <w:tcPr>
            <w:tcW w:w="92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25,810</w:t>
            </w:r>
          </w:p>
        </w:tc>
        <w:tc>
          <w:tcPr>
            <w:tcW w:w="127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306,752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68.2</w:t>
            </w:r>
          </w:p>
        </w:tc>
      </w:tr>
      <w:tr>
        <w:trPr/>
        <w:tc>
          <w:tcPr>
            <w:tcW w:w="2063"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1183"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275,625</w:t>
            </w:r>
          </w:p>
        </w:tc>
        <w:tc>
          <w:tcPr>
            <w:tcW w:w="92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63,077</w:t>
            </w:r>
          </w:p>
        </w:tc>
        <w:tc>
          <w:tcPr>
            <w:tcW w:w="92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51,723</w:t>
            </w:r>
          </w:p>
        </w:tc>
        <w:tc>
          <w:tcPr>
            <w:tcW w:w="102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75,317</w:t>
            </w:r>
          </w:p>
        </w:tc>
        <w:tc>
          <w:tcPr>
            <w:tcW w:w="92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15,043</w:t>
            </w:r>
          </w:p>
        </w:tc>
        <w:tc>
          <w:tcPr>
            <w:tcW w:w="127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205,160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74.4</w:t>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color w:val="000000"/>
          <w:sz w:val="22"/>
        </w:rPr>
      </w:pPr>
      <w:r>
        <w:rPr>
          <w:rFonts w:ascii="Avenir Next LT Pro;sans-serif" w:hAnsi="Avenir Next LT Pro;sans-serif"/>
          <w:b/>
          <w:color w:val="000000"/>
          <w:sz w:val="22"/>
        </w:rPr>
        <w:t>Equity-Based Incentive Compensation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awarded equity in 2025 in the form of time-based RSUs and PSUs under the 2025 PSP to reward top talent for performance and to incentivize retention. The Compensation Committee determined an aggregate target award size for the equity incentive award for each NEO in 2025 based on our internal equity budget for all grants in 2025, internal pay equity, and for our CFO, the recommendations of the CEO. In 2025, for the second year in a row, the Compensation Committee decreased the target value of annual equity awards for our CEO. The Compensation Committee took into account how the business performed in 2024 and the outlook for the business in 2025 in determining the appropriate amount to award the CEO and CFO. The 2025 PSP was designed to encourage our executive staff and other selected top talent, including our NEOs, to focus on initiatives that promoted the achievement of specific, forward-looking, annual goals that were critical in laying the foundation for our success over the longer term. Consistent with 2023 and 2024, in 2025, the Compensation Committee also granted a PSU award that could be earned based on the achievement of relative TSR performance goals over a three-year performance period.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allocated the equity award value under the 2025 PSP to each award type, as follows: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34% in the form of PSUs that vest based on the level of achievement of the TSR of Enphase relative to the TSR performance of the S&amp;P 500 over a three-year period;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33% in the form of PSUs that vest based on the level of achievement of the Annual CEO SMART Goals; and</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33% in the form of time-based RSUs subject to a three-year vesting schedule.</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Time-Based RSUs Granted in 2025</w:t>
      </w:r>
    </w:p>
    <w:p>
      <w:pPr>
        <w:pStyle w:val="TextBody"/>
        <w:bidi w:val="0"/>
        <w:spacing w:lineRule="auto" w:line="336" w:before="0" w:after="180"/>
        <w:jc w:val="both"/>
        <w:rPr/>
      </w:pPr>
      <w:r>
        <w:rPr>
          <w:rFonts w:ascii="Avenir Next LT Pro;sans-serif" w:hAnsi="Avenir Next LT Pro;sans-serif"/>
          <w:b w:val="false"/>
          <w:color w:val="000000"/>
          <w:sz w:val="18"/>
        </w:rPr>
        <w:t>As described above, in January 2025, the Compensation Committee approved the grants of the following RSUs to the NEOs, which were eligible to vest based on continuous service over three years, with 1/3</w:t>
      </w:r>
      <w:r>
        <w:rPr>
          <w:rFonts w:ascii="Avenir Next LT Pro;sans-serif" w:hAnsi="Avenir Next LT Pro;sans-serif"/>
          <w:b w:val="false"/>
          <w:color w:val="000000"/>
          <w:sz w:val="12"/>
        </w:rPr>
        <w:t>rd</w:t>
      </w:r>
      <w:r>
        <w:rPr>
          <w:color w:val="000000"/>
        </w:rPr>
        <w:t xml:space="preserve"> </w:t>
      </w:r>
      <w:r>
        <w:rPr>
          <w:rFonts w:ascii="Avenir Next LT Pro;sans-serif" w:hAnsi="Avenir Next LT Pro;sans-serif"/>
          <w:b w:val="false"/>
          <w:color w:val="000000"/>
          <w:sz w:val="18"/>
        </w:rPr>
        <w:t>vesting on each of March 1, 2026, 2027 and 2028 as follows:</w:t>
      </w:r>
    </w:p>
    <w:tbl>
      <w:tblPr>
        <w:tblW w:w="9607" w:type="dxa"/>
        <w:jc w:val="left"/>
        <w:tblInd w:w="0" w:type="dxa"/>
        <w:tblLayout w:type="fixed"/>
        <w:tblCellMar>
          <w:top w:w="28" w:type="dxa"/>
          <w:left w:w="28" w:type="dxa"/>
          <w:bottom w:w="28" w:type="dxa"/>
          <w:right w:w="28" w:type="dxa"/>
        </w:tblCellMar>
      </w:tblPr>
      <w:tblGrid>
        <w:gridCol w:w="1256"/>
        <w:gridCol w:w="1102"/>
        <w:gridCol w:w="1107"/>
        <w:gridCol w:w="449"/>
        <w:gridCol w:w="449"/>
        <w:gridCol w:w="451"/>
        <w:gridCol w:w="109"/>
        <w:gridCol w:w="109"/>
        <w:gridCol w:w="1338"/>
        <w:gridCol w:w="1338"/>
        <w:gridCol w:w="1899"/>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134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Date of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 Underlying Time-Based RSUs</w:t>
            </w:r>
          </w:p>
        </w:tc>
      </w:tr>
      <w:tr>
        <w:trPr/>
        <w:tc>
          <w:tcPr>
            <w:tcW w:w="346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134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r>
      <w:tr>
        <w:trPr/>
        <w:tc>
          <w:tcPr>
            <w:tcW w:w="346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134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i/>
          <w:color w:val="000000"/>
          <w:sz w:val="20"/>
        </w:rPr>
      </w:pPr>
      <w:r>
        <w:rPr>
          <w:rFonts w:ascii="Avenir Next LT Pro;sans-serif" w:hAnsi="Avenir Next LT Pro;sans-serif"/>
          <w:b/>
          <w:i/>
          <w:color w:val="000000"/>
          <w:sz w:val="20"/>
        </w:rPr>
        <w:t>PSUs Tied to 2025 Annual CEO SMART Goals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PSUs based upon the achievement of Annual CEO SMART Goals were eligible to vest on March 1, 2026, measured over the period starting January 1, 2025 and ending December 31, 2025, subject to continuous service through March 1, 2026, as follows:</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0% vested if the goals score, including stretch goals, was less than 65;</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 xml:space="preserve">50% vested if the goals score, including stretch goals, was at least 65 but less than 80; </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val="false"/>
          <w:color w:val="000000"/>
          <w:sz w:val="18"/>
        </w:rPr>
        <w:t>100% vested if the goals score, including stretch goals, was at least 80 but less than 100; and</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150% vested if the goals score, including stretch goals, was 100 or more.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36</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table below summarizes the Annual CEO SMART Goal PSUs that each NEO could earn for 2025 (assuming target and maximum performance) and the number of PSUs ultimately earned. As described in more detail below under “2025 Annual CEO SMART Goals Results,” on January 22, 2026, based on actual performance against the 2025 Annual CEO SMART Goals, the Compensation Committee determined that the PSUs would be eligible to vest on March 1, 2026 at 100% of target.</w:t>
      </w:r>
    </w:p>
    <w:tbl>
      <w:tblPr>
        <w:tblW w:w="10205" w:type="dxa"/>
        <w:jc w:val="left"/>
        <w:tblInd w:w="0" w:type="dxa"/>
        <w:tblLayout w:type="fixed"/>
        <w:tblCellMar>
          <w:top w:w="28" w:type="dxa"/>
          <w:left w:w="28" w:type="dxa"/>
          <w:bottom w:w="28" w:type="dxa"/>
          <w:right w:w="28" w:type="dxa"/>
        </w:tblCellMar>
      </w:tblPr>
      <w:tblGrid>
        <w:gridCol w:w="982"/>
        <w:gridCol w:w="746"/>
        <w:gridCol w:w="569"/>
        <w:gridCol w:w="281"/>
        <w:gridCol w:w="281"/>
        <w:gridCol w:w="282"/>
        <w:gridCol w:w="109"/>
        <w:gridCol w:w="109"/>
        <w:gridCol w:w="609"/>
        <w:gridCol w:w="609"/>
        <w:gridCol w:w="611"/>
        <w:gridCol w:w="609"/>
        <w:gridCol w:w="609"/>
        <w:gridCol w:w="611"/>
        <w:gridCol w:w="1008"/>
        <w:gridCol w:w="1008"/>
        <w:gridCol w:w="1010"/>
        <w:gridCol w:w="162"/>
      </w:tblGrid>
      <w:tr>
        <w:trPr/>
        <w:tc>
          <w:tcPr>
            <w:tcW w:w="98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84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Date of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 Underlying PSUs</w:t>
              <w:br/>
              <w:t>(Initially granted at Target)</w:t>
            </w:r>
          </w:p>
        </w:tc>
        <w:tc>
          <w:tcPr>
            <w:tcW w:w="182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 Underlying PSUs</w:t>
              <w:br/>
              <w:t>(at Maximum)</w:t>
            </w:r>
          </w:p>
        </w:tc>
        <w:tc>
          <w:tcPr>
            <w:tcW w:w="302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 Underlying PSUs Earned Based on Actual Performance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84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c>
          <w:tcPr>
            <w:tcW w:w="182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59,400</w:t>
            </w:r>
          </w:p>
        </w:tc>
        <w:tc>
          <w:tcPr>
            <w:tcW w:w="30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84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c>
          <w:tcPr>
            <w:tcW w:w="182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31,680</w:t>
            </w:r>
          </w:p>
        </w:tc>
        <w:tc>
          <w:tcPr>
            <w:tcW w:w="30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02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02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02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i/>
          <w:color w:val="000000"/>
          <w:sz w:val="20"/>
        </w:rPr>
      </w:pPr>
      <w:r>
        <w:rPr>
          <w:rFonts w:ascii="Avenir Next LT Pro;sans-serif" w:hAnsi="Avenir Next LT Pro;sans-serif"/>
          <w:b/>
          <w:i/>
          <w:color w:val="000000"/>
          <w:sz w:val="20"/>
        </w:rPr>
        <w:t xml:space="preserve">2025 Annual CEO SMART Goals Results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There were 64 Annual CEO SMART Goals, including two stretch goals that fell within the ten broad categories described above, for a maximum possible score of up to 120 points, as set forth in the table below. The number of points assigned to each category were based upon our key priorities and approved by the Compensation Committee and Board in January 2025. As discussed above, except for goals that had binary targets, each goal was assigned a 100% achievement target down to a 0% achievement target, with linear interpolation between the two targets that determined the actual achievement score. The goals were all forward looking, set to be aggressive and rigorous, but attainable with significant skill and effort, as can be seen by the final achievement scores set forth in the table below. At the time that the goals were set, the Compensation Committee and the Board believed that they were substantially uncertain to be achieved. With a score of 84.0 points, our NEOs vested in the PSUs based on the level of achievement of the Annual CEO SMART Goals at 100% of target.</w:t>
      </w:r>
    </w:p>
    <w:tbl>
      <w:tblPr>
        <w:tblW w:w="10205" w:type="dxa"/>
        <w:jc w:val="left"/>
        <w:tblInd w:w="0" w:type="dxa"/>
        <w:tblLayout w:type="fixed"/>
        <w:tblCellMar>
          <w:top w:w="28" w:type="dxa"/>
          <w:left w:w="28" w:type="dxa"/>
          <w:bottom w:w="28" w:type="dxa"/>
          <w:right w:w="28" w:type="dxa"/>
        </w:tblCellMar>
      </w:tblPr>
      <w:tblGrid>
        <w:gridCol w:w="1155"/>
        <w:gridCol w:w="784"/>
        <w:gridCol w:w="790"/>
        <w:gridCol w:w="724"/>
        <w:gridCol w:w="724"/>
        <w:gridCol w:w="726"/>
        <w:gridCol w:w="906"/>
        <w:gridCol w:w="906"/>
        <w:gridCol w:w="909"/>
        <w:gridCol w:w="753"/>
        <w:gridCol w:w="753"/>
        <w:gridCol w:w="1075"/>
      </w:tblGrid>
      <w:tr>
        <w:trPr/>
        <w:tc>
          <w:tcPr>
            <w:tcW w:w="11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Category of Annual CEO SMART Goals</w:t>
            </w:r>
          </w:p>
        </w:tc>
        <w:tc>
          <w:tcPr>
            <w:tcW w:w="217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Goals in the Category</w:t>
            </w:r>
          </w:p>
        </w:tc>
        <w:tc>
          <w:tcPr>
            <w:tcW w:w="272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Maximum Points Assigned to the Category</w:t>
            </w:r>
          </w:p>
        </w:tc>
        <w:tc>
          <w:tcPr>
            <w:tcW w:w="258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Actual Points Achieved in the Category</w:t>
            </w:r>
          </w:p>
        </w:tc>
      </w:tr>
      <w:tr>
        <w:trPr/>
        <w:tc>
          <w:tcPr>
            <w:tcW w:w="27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Grow Revenue</w:t>
            </w:r>
          </w:p>
        </w:tc>
        <w:tc>
          <w:tcPr>
            <w:tcW w:w="217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w:t>
            </w:r>
          </w:p>
        </w:tc>
        <w:tc>
          <w:tcPr>
            <w:tcW w:w="27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w:t>
            </w:r>
          </w:p>
        </w:tc>
        <w:tc>
          <w:tcPr>
            <w:tcW w:w="258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w:t>
            </w:r>
          </w:p>
        </w:tc>
      </w:tr>
      <w:tr>
        <w:trPr/>
        <w:tc>
          <w:tcPr>
            <w:tcW w:w="27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Profit Before Taxes</w:t>
            </w:r>
          </w:p>
        </w:tc>
        <w:tc>
          <w:tcPr>
            <w:tcW w:w="217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w:t>
            </w:r>
          </w:p>
        </w:tc>
        <w:tc>
          <w:tcPr>
            <w:tcW w:w="272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w:t>
            </w:r>
          </w:p>
        </w:tc>
        <w:tc>
          <w:tcPr>
            <w:tcW w:w="25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11.5</w:t>
            </w:r>
          </w:p>
        </w:tc>
      </w:tr>
      <w:tr>
        <w:trPr/>
        <w:tc>
          <w:tcPr>
            <w:tcW w:w="27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New Products</w:t>
            </w:r>
          </w:p>
        </w:tc>
        <w:tc>
          <w:tcPr>
            <w:tcW w:w="217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w:t>
            </w:r>
          </w:p>
        </w:tc>
        <w:tc>
          <w:tcPr>
            <w:tcW w:w="27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w:t>
            </w:r>
          </w:p>
        </w:tc>
        <w:tc>
          <w:tcPr>
            <w:tcW w:w="258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23.5</w:t>
            </w:r>
          </w:p>
        </w:tc>
      </w:tr>
      <w:tr>
        <w:trPr/>
        <w:tc>
          <w:tcPr>
            <w:tcW w:w="27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Innovation</w:t>
            </w:r>
          </w:p>
        </w:tc>
        <w:tc>
          <w:tcPr>
            <w:tcW w:w="217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w:t>
            </w:r>
          </w:p>
        </w:tc>
        <w:tc>
          <w:tcPr>
            <w:tcW w:w="272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w:t>
            </w:r>
          </w:p>
        </w:tc>
        <w:tc>
          <w:tcPr>
            <w:tcW w:w="25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3.2</w:t>
            </w:r>
          </w:p>
        </w:tc>
      </w:tr>
      <w:tr>
        <w:trPr/>
        <w:tc>
          <w:tcPr>
            <w:tcW w:w="27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Operations (Including IT)</w:t>
            </w:r>
          </w:p>
        </w:tc>
        <w:tc>
          <w:tcPr>
            <w:tcW w:w="217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w:t>
            </w:r>
          </w:p>
        </w:tc>
        <w:tc>
          <w:tcPr>
            <w:tcW w:w="27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w:t>
            </w:r>
          </w:p>
        </w:tc>
        <w:tc>
          <w:tcPr>
            <w:tcW w:w="258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9.0</w:t>
            </w:r>
          </w:p>
        </w:tc>
      </w:tr>
      <w:tr>
        <w:trPr/>
        <w:tc>
          <w:tcPr>
            <w:tcW w:w="27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Quality</w:t>
            </w:r>
          </w:p>
        </w:tc>
        <w:tc>
          <w:tcPr>
            <w:tcW w:w="217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w:t>
            </w:r>
          </w:p>
        </w:tc>
        <w:tc>
          <w:tcPr>
            <w:tcW w:w="272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25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9.3</w:t>
            </w:r>
          </w:p>
        </w:tc>
      </w:tr>
      <w:tr>
        <w:trPr/>
        <w:tc>
          <w:tcPr>
            <w:tcW w:w="27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Ease Of Doing Business</w:t>
            </w:r>
          </w:p>
        </w:tc>
        <w:tc>
          <w:tcPr>
            <w:tcW w:w="217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w:t>
            </w:r>
          </w:p>
        </w:tc>
        <w:tc>
          <w:tcPr>
            <w:tcW w:w="27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258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w:t>
            </w:r>
          </w:p>
        </w:tc>
      </w:tr>
      <w:tr>
        <w:trPr/>
        <w:tc>
          <w:tcPr>
            <w:tcW w:w="27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Human Resources</w:t>
            </w:r>
          </w:p>
        </w:tc>
        <w:tc>
          <w:tcPr>
            <w:tcW w:w="217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w:t>
            </w:r>
          </w:p>
        </w:tc>
        <w:tc>
          <w:tcPr>
            <w:tcW w:w="272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w:t>
            </w:r>
          </w:p>
        </w:tc>
        <w:tc>
          <w:tcPr>
            <w:tcW w:w="25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r>
      <w:tr>
        <w:trPr/>
        <w:tc>
          <w:tcPr>
            <w:tcW w:w="272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Marketing</w:t>
            </w:r>
          </w:p>
        </w:tc>
        <w:tc>
          <w:tcPr>
            <w:tcW w:w="217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w:t>
            </w:r>
          </w:p>
        </w:tc>
        <w:tc>
          <w:tcPr>
            <w:tcW w:w="27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w:t>
            </w:r>
          </w:p>
        </w:tc>
        <w:tc>
          <w:tcPr>
            <w:tcW w:w="258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r>
      <w:tr>
        <w:trPr/>
        <w:tc>
          <w:tcPr>
            <w:tcW w:w="2729"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Sustainability</w:t>
            </w:r>
          </w:p>
        </w:tc>
        <w:tc>
          <w:tcPr>
            <w:tcW w:w="217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w:t>
            </w:r>
          </w:p>
        </w:tc>
        <w:tc>
          <w:tcPr>
            <w:tcW w:w="272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w:t>
            </w:r>
          </w:p>
        </w:tc>
        <w:tc>
          <w:tcPr>
            <w:tcW w:w="25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r>
      <w:tr>
        <w:trPr/>
        <w:tc>
          <w:tcPr>
            <w:tcW w:w="2729" w:type="dxa"/>
            <w:gridSpan w:val="3"/>
            <w:tcBorders>
              <w:left w:val="single" w:sz="2" w:space="0" w:color="929292"/>
            </w:tcBorders>
            <w:shd w:fill="FAF6EF" w:val="clear"/>
            <w:tcMar>
              <w:top w:w="0" w:type="dxa"/>
              <w:left w:w="38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w:t>
            </w:r>
          </w:p>
        </w:tc>
        <w:tc>
          <w:tcPr>
            <w:tcW w:w="2174" w:type="dxa"/>
            <w:gridSpan w:val="3"/>
            <w:tcBorders>
              <w:top w:val="single" w:sz="8" w:space="0" w:color="3C3C3C"/>
              <w:left w:val="single" w:sz="2" w:space="0" w:color="929292"/>
              <w:bottom w:val="double" w:sz="8" w:space="0" w:color="3C3C3C"/>
            </w:tcBorders>
            <w:shd w:fill="FAF6E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64</w:t>
            </w:r>
          </w:p>
        </w:tc>
        <w:tc>
          <w:tcPr>
            <w:tcW w:w="2721" w:type="dxa"/>
            <w:gridSpan w:val="3"/>
            <w:tcBorders>
              <w:top w:val="single" w:sz="8" w:space="0" w:color="3C3C3C"/>
              <w:left w:val="single" w:sz="2" w:space="0" w:color="929292"/>
              <w:bottom w:val="double" w:sz="8" w:space="0" w:color="3C3C3C"/>
            </w:tcBorders>
            <w:shd w:fill="FAF6E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120</w:t>
            </w:r>
          </w:p>
        </w:tc>
        <w:tc>
          <w:tcPr>
            <w:tcW w:w="2581" w:type="dxa"/>
            <w:gridSpan w:val="3"/>
            <w:tcBorders>
              <w:top w:val="single" w:sz="8" w:space="0" w:color="3C3C3C"/>
              <w:left w:val="single" w:sz="2" w:space="0" w:color="929292"/>
              <w:bottom w:val="double" w:sz="8" w:space="0" w:color="3C3C3C"/>
              <w:right w:val="single" w:sz="2" w:space="0" w:color="929292"/>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84.0</w:t>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disclose below details about specific goals in each of the above ten categories to illustrate the rigor of the Annual CEO SMART Goals.</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color w:val="000000"/>
          <w:sz w:val="18"/>
        </w:rPr>
        <w:t>Grow Revenue</w:t>
      </w:r>
      <w:r>
        <w:rPr>
          <w:rFonts w:ascii="Avenir Next LT Pro;sans-serif" w:hAnsi="Avenir Next LT Pro;sans-serif"/>
          <w:b w:val="false"/>
          <w:color w:val="000000"/>
          <w:sz w:val="18"/>
        </w:rPr>
        <w:t xml:space="preserve">. The Grow Revenue category included three goals and one stretch goal with a possible total of 24 points. 10 out of the 24 points were assigned to achieving revenue of approximately $1.503 billion in 2025. The 100% target was set at approximately $1.50 billion and the 0% target was set at approximately $1.20 billion. An additional 10 points were assigned to a stretch goal to achieve revenue of approximately $1.65 billion in 2025. We also included a target to grow revenue in international geographies outside the United States and to grow storage to 732.1 MWh, which would be a 41% increase over the prior year. The table below shows how we performed against our goals in the Grow Revenue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9"/>
        <w:gridCol w:w="935"/>
        <w:gridCol w:w="938"/>
        <w:gridCol w:w="314"/>
        <w:gridCol w:w="314"/>
        <w:gridCol w:w="318"/>
        <w:gridCol w:w="324"/>
        <w:gridCol w:w="324"/>
        <w:gridCol w:w="315"/>
        <w:gridCol w:w="314"/>
        <w:gridCol w:w="314"/>
        <w:gridCol w:w="318"/>
        <w:gridCol w:w="414"/>
        <w:gridCol w:w="371"/>
        <w:gridCol w:w="350"/>
        <w:gridCol w:w="659"/>
        <w:gridCol w:w="659"/>
        <w:gridCol w:w="662"/>
        <w:gridCol w:w="356"/>
        <w:gridCol w:w="356"/>
        <w:gridCol w:w="511"/>
      </w:tblGrid>
      <w:tr>
        <w:trPr/>
        <w:tc>
          <w:tcPr>
            <w:tcW w:w="113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Grow Revenue Targets</w:t>
            </w:r>
          </w:p>
        </w:tc>
        <w:tc>
          <w:tcPr>
            <w:tcW w:w="94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Zero PT</w:t>
            </w:r>
          </w:p>
        </w:tc>
        <w:tc>
          <w:tcPr>
            <w:tcW w:w="963"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At Target</w:t>
              <w:br/>
              <w:t> (100%)</w:t>
            </w:r>
          </w:p>
        </w:tc>
        <w:tc>
          <w:tcPr>
            <w:tcW w:w="94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Stretch</w:t>
            </w:r>
          </w:p>
        </w:tc>
        <w:tc>
          <w:tcPr>
            <w:tcW w:w="113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2025 Actual</w:t>
            </w:r>
          </w:p>
        </w:tc>
        <w:tc>
          <w:tcPr>
            <w:tcW w:w="1980"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223"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301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Net Revenue (in millions)</w:t>
            </w:r>
          </w:p>
        </w:tc>
        <w:tc>
          <w:tcPr>
            <w:tcW w:w="9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$1,202.6</w:t>
            </w:r>
          </w:p>
        </w:tc>
        <w:tc>
          <w:tcPr>
            <w:tcW w:w="963"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$1,503.2</w:t>
            </w:r>
          </w:p>
        </w:tc>
        <w:tc>
          <w:tcPr>
            <w:tcW w:w="9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$1,652.7</w:t>
            </w:r>
          </w:p>
        </w:tc>
        <w:tc>
          <w:tcPr>
            <w:tcW w:w="113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$1,473.0</w:t>
            </w:r>
          </w:p>
        </w:tc>
        <w:tc>
          <w:tcPr>
            <w:tcW w:w="198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20.0</w:t>
            </w:r>
          </w:p>
        </w:tc>
        <w:tc>
          <w:tcPr>
            <w:tcW w:w="1223" w:type="dxa"/>
            <w:gridSpan w:val="3"/>
            <w:tcBorders>
              <w:top w:val="single" w:sz="8" w:space="0" w:color="000000"/>
              <w:left w:val="single" w:sz="8" w:space="0" w:color="000000"/>
              <w:right w:val="single" w:sz="8" w:space="0" w:color="000000"/>
            </w:tcBorders>
            <w:shd w:fill="FAF6EF" w:val="clear"/>
            <w:tcMar>
              <w:top w:w="3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9.0</w:t>
            </w:r>
          </w:p>
        </w:tc>
      </w:tr>
      <w:tr>
        <w:trPr/>
        <w:tc>
          <w:tcPr>
            <w:tcW w:w="3012"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Emerging Market Revenue (in millions)</w:t>
            </w:r>
          </w:p>
        </w:tc>
        <w:tc>
          <w:tcPr>
            <w:tcW w:w="94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$76.1</w:t>
            </w:r>
          </w:p>
        </w:tc>
        <w:tc>
          <w:tcPr>
            <w:tcW w:w="963"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$101.4</w:t>
            </w:r>
          </w:p>
        </w:tc>
        <w:tc>
          <w:tcPr>
            <w:tcW w:w="94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13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$84.6</w:t>
            </w:r>
          </w:p>
        </w:tc>
        <w:tc>
          <w:tcPr>
            <w:tcW w:w="198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c>
          <w:tcPr>
            <w:tcW w:w="122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0.70</w:t>
            </w:r>
          </w:p>
        </w:tc>
      </w:tr>
      <w:tr>
        <w:trPr/>
        <w:tc>
          <w:tcPr>
            <w:tcW w:w="301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Storage (in MWh)</w:t>
            </w:r>
          </w:p>
        </w:tc>
        <w:tc>
          <w:tcPr>
            <w:tcW w:w="9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521</w:t>
            </w:r>
          </w:p>
        </w:tc>
        <w:tc>
          <w:tcPr>
            <w:tcW w:w="963"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732</w:t>
            </w:r>
          </w:p>
        </w:tc>
        <w:tc>
          <w:tcPr>
            <w:tcW w:w="9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13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706.1</w:t>
            </w:r>
          </w:p>
        </w:tc>
        <w:tc>
          <w:tcPr>
            <w:tcW w:w="198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c>
          <w:tcPr>
            <w:tcW w:w="1223" w:type="dxa"/>
            <w:gridSpan w:val="3"/>
            <w:tcBorders>
              <w:left w:val="single" w:sz="8" w:space="0" w:color="000000"/>
              <w:right w:val="single" w:sz="8" w:space="0" w:color="000000"/>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w:t>
            </w:r>
          </w:p>
        </w:tc>
      </w:tr>
      <w:tr>
        <w:trPr/>
        <w:tc>
          <w:tcPr>
            <w:tcW w:w="3012"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24.0</w:t>
            </w:r>
          </w:p>
        </w:tc>
        <w:tc>
          <w:tcPr>
            <w:tcW w:w="1223"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11.4</w:t>
            </w:r>
          </w:p>
        </w:tc>
      </w:tr>
    </w:tbl>
    <w:p>
      <w:pPr>
        <w:pStyle w:val="TextBody"/>
        <w:bidi w:val="0"/>
        <w:spacing w:lineRule="auto" w:line="336" w:before="120" w:after="180"/>
        <w:ind w:left="0" w:right="0" w:hanging="180"/>
        <w:jc w:val="both"/>
        <w:rPr/>
      </w:pPr>
      <w:r>
        <w:rPr>
          <w:color w:val="000000"/>
        </w:rPr>
        <w:t>•</w:t>
      </w:r>
      <w:r>
        <w:rPr>
          <w:rFonts w:ascii="Avenir Next LT Pro;sans-serif" w:hAnsi="Avenir Next LT Pro;sans-serif"/>
          <w:b/>
          <w:color w:val="000000"/>
          <w:sz w:val="18"/>
        </w:rPr>
        <w:t>Profit Before Taxes ("PBT").</w:t>
      </w:r>
      <w:r>
        <w:rPr>
          <w:color w:val="000000"/>
        </w:rPr>
        <w:t xml:space="preserve"> </w:t>
      </w:r>
      <w:r>
        <w:rPr>
          <w:rFonts w:ascii="Avenir Next LT Pro;sans-serif" w:hAnsi="Avenir Next LT Pro;sans-serif"/>
          <w:b w:val="false"/>
          <w:color w:val="000000"/>
          <w:sz w:val="18"/>
        </w:rPr>
        <w:t>The PBT category included seven goals with a possible total of 24 points, which related to non-GAAP gross margin (“GM”) with and without Inflation Reduction Act (“IRA”) benefit; improving GM on battery systems with IRA benefit; non-GAAP operating expenses (“OPEX”); non-GAAP PBT; non-GAAP earnings per share (“EPS”); and adjusted free cash flow. This category included a ten point stretch goal to improve non-GAAP GM by approximately 1,000 basis points from target with IRA benefit. The table below shows how we performed against our goals in the PBT category (other than for information on the battery systems GM, which is not disclosed separately and is deemed confidential).</w:t>
      </w:r>
    </w:p>
    <w:tbl>
      <w:tblPr>
        <w:tblW w:w="10205" w:type="dxa"/>
        <w:jc w:val="left"/>
        <w:tblInd w:w="0" w:type="dxa"/>
        <w:tblLayout w:type="fixed"/>
        <w:tblCellMar>
          <w:top w:w="28" w:type="dxa"/>
          <w:left w:w="28" w:type="dxa"/>
          <w:bottom w:w="28" w:type="dxa"/>
          <w:right w:w="28" w:type="dxa"/>
        </w:tblCellMar>
      </w:tblPr>
      <w:tblGrid>
        <w:gridCol w:w="1251"/>
        <w:gridCol w:w="1010"/>
        <w:gridCol w:w="1016"/>
        <w:gridCol w:w="274"/>
        <w:gridCol w:w="274"/>
        <w:gridCol w:w="258"/>
        <w:gridCol w:w="315"/>
        <w:gridCol w:w="296"/>
        <w:gridCol w:w="298"/>
        <w:gridCol w:w="260"/>
        <w:gridCol w:w="260"/>
        <w:gridCol w:w="261"/>
        <w:gridCol w:w="377"/>
        <w:gridCol w:w="359"/>
        <w:gridCol w:w="360"/>
        <w:gridCol w:w="691"/>
        <w:gridCol w:w="691"/>
        <w:gridCol w:w="693"/>
        <w:gridCol w:w="366"/>
        <w:gridCol w:w="366"/>
        <w:gridCol w:w="529"/>
      </w:tblGrid>
      <w:tr>
        <w:trPr/>
        <w:tc>
          <w:tcPr>
            <w:tcW w:w="12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277"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PBT Targets</w:t>
            </w:r>
          </w:p>
        </w:tc>
        <w:tc>
          <w:tcPr>
            <w:tcW w:w="80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Zero PT</w:t>
            </w:r>
          </w:p>
        </w:tc>
        <w:tc>
          <w:tcPr>
            <w:tcW w:w="90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At Target</w:t>
              <w:br/>
              <w:t> (100%)</w:t>
            </w:r>
          </w:p>
        </w:tc>
        <w:tc>
          <w:tcPr>
            <w:tcW w:w="78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Stretch</w:t>
            </w:r>
          </w:p>
        </w:tc>
        <w:tc>
          <w:tcPr>
            <w:tcW w:w="109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2025 Actual</w:t>
            </w:r>
          </w:p>
        </w:tc>
        <w:tc>
          <w:tcPr>
            <w:tcW w:w="207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26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327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GM w/out IRA Benefit</w:t>
            </w:r>
          </w:p>
        </w:tc>
        <w:tc>
          <w:tcPr>
            <w:tcW w:w="8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35.0%</w:t>
            </w:r>
          </w:p>
        </w:tc>
        <w:tc>
          <w:tcPr>
            <w:tcW w:w="90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40.0%</w:t>
            </w:r>
          </w:p>
        </w:tc>
        <w:tc>
          <w:tcPr>
            <w:tcW w:w="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09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38.1%</w:t>
            </w:r>
          </w:p>
        </w:tc>
        <w:tc>
          <w:tcPr>
            <w:tcW w:w="207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c>
          <w:tcPr>
            <w:tcW w:w="1261" w:type="dxa"/>
            <w:gridSpan w:val="3"/>
            <w:tcBorders>
              <w:top w:val="single" w:sz="8" w:space="0" w:color="000000"/>
              <w:left w:val="single" w:sz="8" w:space="0" w:color="000000"/>
              <w:right w:val="single" w:sz="8" w:space="0" w:color="000000"/>
            </w:tcBorders>
            <w:shd w:fill="FAF6EF" w:val="clear"/>
            <w:tcMar>
              <w:top w:w="3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w:t>
            </w:r>
          </w:p>
        </w:tc>
      </w:tr>
      <w:tr>
        <w:trPr/>
        <w:tc>
          <w:tcPr>
            <w:tcW w:w="327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GM with IRA Benefit</w:t>
            </w:r>
          </w:p>
        </w:tc>
        <w:tc>
          <w:tcPr>
            <w:tcW w:w="80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w:t>
            </w:r>
          </w:p>
        </w:tc>
        <w:tc>
          <w:tcPr>
            <w:tcW w:w="90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50.0%</w:t>
            </w:r>
          </w:p>
        </w:tc>
        <w:tc>
          <w:tcPr>
            <w:tcW w:w="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09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48.2%</w:t>
            </w:r>
          </w:p>
        </w:tc>
        <w:tc>
          <w:tcPr>
            <w:tcW w:w="207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w:t>
            </w:r>
          </w:p>
        </w:tc>
        <w:tc>
          <w:tcPr>
            <w:tcW w:w="126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6.4</w:t>
            </w:r>
          </w:p>
        </w:tc>
      </w:tr>
      <w:tr>
        <w:trPr/>
        <w:tc>
          <w:tcPr>
            <w:tcW w:w="327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GM on Battery Systems with IRA Benefit</w:t>
            </w:r>
          </w:p>
        </w:tc>
        <w:tc>
          <w:tcPr>
            <w:tcW w:w="8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0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09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207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c>
          <w:tcPr>
            <w:tcW w:w="1261" w:type="dxa"/>
            <w:gridSpan w:val="3"/>
            <w:tcBorders>
              <w:left w:val="single" w:sz="8" w:space="0" w:color="000000"/>
              <w:right w:val="single" w:sz="8" w:space="0" w:color="000000"/>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327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Non-GAAP OPEX</w:t>
            </w:r>
          </w:p>
        </w:tc>
        <w:tc>
          <w:tcPr>
            <w:tcW w:w="80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w:t>
            </w:r>
          </w:p>
        </w:tc>
        <w:tc>
          <w:tcPr>
            <w:tcW w:w="90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21.0%</w:t>
            </w:r>
          </w:p>
        </w:tc>
        <w:tc>
          <w:tcPr>
            <w:tcW w:w="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09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21.4%</w:t>
            </w:r>
          </w:p>
        </w:tc>
        <w:tc>
          <w:tcPr>
            <w:tcW w:w="207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26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0.9</w:t>
            </w:r>
          </w:p>
        </w:tc>
      </w:tr>
      <w:tr>
        <w:trPr/>
        <w:tc>
          <w:tcPr>
            <w:tcW w:w="327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Non-GAAP PBT (in millions)</w:t>
            </w:r>
          </w:p>
        </w:tc>
        <w:tc>
          <w:tcPr>
            <w:tcW w:w="8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$412.4</w:t>
            </w:r>
          </w:p>
        </w:tc>
        <w:tc>
          <w:tcPr>
            <w:tcW w:w="90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$515.5</w:t>
            </w:r>
          </w:p>
        </w:tc>
        <w:tc>
          <w:tcPr>
            <w:tcW w:w="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09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$447.5</w:t>
            </w:r>
          </w:p>
        </w:tc>
        <w:tc>
          <w:tcPr>
            <w:tcW w:w="207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261" w:type="dxa"/>
            <w:gridSpan w:val="3"/>
            <w:tcBorders>
              <w:left w:val="single" w:sz="8" w:space="0" w:color="000000"/>
              <w:right w:val="single" w:sz="8" w:space="0" w:color="000000"/>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0.3</w:t>
            </w:r>
          </w:p>
        </w:tc>
      </w:tr>
      <w:tr>
        <w:trPr/>
        <w:tc>
          <w:tcPr>
            <w:tcW w:w="327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 xml:space="preserve">Non-GAAP Diluted EPS </w:t>
            </w:r>
          </w:p>
        </w:tc>
        <w:tc>
          <w:tcPr>
            <w:tcW w:w="80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w:t>
            </w:r>
          </w:p>
        </w:tc>
        <w:tc>
          <w:tcPr>
            <w:tcW w:w="90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$3.13</w:t>
            </w:r>
          </w:p>
        </w:tc>
        <w:tc>
          <w:tcPr>
            <w:tcW w:w="7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09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$2.96</w:t>
            </w:r>
          </w:p>
        </w:tc>
        <w:tc>
          <w:tcPr>
            <w:tcW w:w="207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26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0.7</w:t>
            </w:r>
          </w:p>
        </w:tc>
      </w:tr>
      <w:tr>
        <w:trPr/>
        <w:tc>
          <w:tcPr>
            <w:tcW w:w="327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Adjusted Free Cash Flow (in millions)</w:t>
            </w:r>
          </w:p>
        </w:tc>
        <w:tc>
          <w:tcPr>
            <w:tcW w:w="8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$174.5</w:t>
            </w:r>
          </w:p>
        </w:tc>
        <w:tc>
          <w:tcPr>
            <w:tcW w:w="90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$218.1</w:t>
            </w:r>
          </w:p>
        </w:tc>
        <w:tc>
          <w:tcPr>
            <w:tcW w:w="7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09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$95.9</w:t>
            </w:r>
          </w:p>
        </w:tc>
        <w:tc>
          <w:tcPr>
            <w:tcW w:w="207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261" w:type="dxa"/>
            <w:gridSpan w:val="3"/>
            <w:tcBorders>
              <w:left w:val="single" w:sz="8" w:space="0" w:color="000000"/>
              <w:right w:val="single" w:sz="8" w:space="0" w:color="000000"/>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3277"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24.0</w:t>
            </w:r>
          </w:p>
        </w:tc>
        <w:tc>
          <w:tcPr>
            <w:tcW w:w="1261"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11.5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38</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120" w:after="60"/>
        <w:ind w:left="0" w:right="0" w:hanging="180"/>
        <w:jc w:val="left"/>
        <w:rPr/>
      </w:pPr>
      <w:r>
        <w:rPr>
          <w:color w:val="000000"/>
        </w:rPr>
        <w:t>•</w:t>
      </w:r>
      <w:r>
        <w:rPr>
          <w:rFonts w:ascii="Avenir Next LT Pro;sans-serif" w:hAnsi="Avenir Next LT Pro;sans-serif"/>
          <w:b/>
          <w:color w:val="000000"/>
          <w:sz w:val="18"/>
        </w:rPr>
        <w:t>New Products</w:t>
      </w:r>
      <w:r>
        <w:rPr>
          <w:rFonts w:ascii="Avenir Next LT Pro;sans-serif" w:hAnsi="Avenir Next LT Pro;sans-serif"/>
          <w:b w:val="false"/>
          <w:color w:val="000000"/>
          <w:sz w:val="18"/>
        </w:rPr>
        <w:t>. The New Products category had 17 goals, and we scored 23.5 out of 27 points in this category. While we do not disclose all details for competitive confidentiality reasons, key initiatives are described below.</w:t>
      </w:r>
    </w:p>
    <w:tbl>
      <w:tblPr>
        <w:tblW w:w="10205" w:type="dxa"/>
        <w:jc w:val="left"/>
        <w:tblInd w:w="0" w:type="dxa"/>
        <w:tblLayout w:type="fixed"/>
        <w:tblCellMar>
          <w:top w:w="28" w:type="dxa"/>
          <w:left w:w="28" w:type="dxa"/>
          <w:bottom w:w="28" w:type="dxa"/>
          <w:right w:w="28" w:type="dxa"/>
        </w:tblCellMar>
      </w:tblPr>
      <w:tblGrid>
        <w:gridCol w:w="2836"/>
        <w:gridCol w:w="2208"/>
        <w:gridCol w:w="2217"/>
        <w:gridCol w:w="598"/>
        <w:gridCol w:w="598"/>
        <w:gridCol w:w="600"/>
        <w:gridCol w:w="335"/>
        <w:gridCol w:w="335"/>
        <w:gridCol w:w="478"/>
      </w:tblGrid>
      <w:tr>
        <w:trPr/>
        <w:tc>
          <w:tcPr>
            <w:tcW w:w="283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New Products Targets</w:t>
            </w:r>
          </w:p>
        </w:tc>
        <w:tc>
          <w:tcPr>
            <w:tcW w:w="179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148"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726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Improving time to introduce new products</w:t>
            </w:r>
          </w:p>
        </w:tc>
        <w:tc>
          <w:tcPr>
            <w:tcW w:w="1796" w:type="dxa"/>
            <w:gridSpan w:val="3"/>
            <w:tcBorders>
              <w:left w:val="single" w:sz="4" w:space="0" w:color="D6D6D6"/>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right w:val="single" w:sz="8" w:space="0" w:color="000000"/>
            </w:tcBorders>
            <w:shd w:fill="FAF6EF" w:val="clear"/>
            <w:tcMar>
              <w:bottom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Improving battery commissioning times</w:t>
            </w:r>
          </w:p>
        </w:tc>
        <w:tc>
          <w:tcPr>
            <w:tcW w:w="1796" w:type="dxa"/>
            <w:gridSpan w:val="3"/>
            <w:vMerge w:val="restart"/>
            <w:tcBorders>
              <w:left w:val="single" w:sz="2" w:space="0" w:color="929292"/>
              <w:right w:val="single" w:sz="8" w:space="0" w:color="000000"/>
            </w:tcBorders>
            <w:shd w:fill="FB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27.0</w:t>
            </w:r>
          </w:p>
        </w:tc>
        <w:tc>
          <w:tcPr>
            <w:tcW w:w="1148" w:type="dxa"/>
            <w:gridSpan w:val="3"/>
            <w:vMerge w:val="restart"/>
            <w:tcBorders>
              <w:left w:val="single" w:sz="8" w:space="0" w:color="000000"/>
              <w:right w:val="single" w:sz="8" w:space="0" w:color="000000"/>
            </w:tcBorders>
            <w:shd w:fill="FB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23.5</w:t>
            </w:r>
          </w:p>
        </w:tc>
      </w:tr>
      <w:tr>
        <w:trPr/>
        <w:tc>
          <w:tcPr>
            <w:tcW w:w="726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Introduction of the IQ Meter Collar</w:t>
            </w:r>
          </w:p>
        </w:tc>
        <w:tc>
          <w:tcPr>
            <w:tcW w:w="1796" w:type="dxa"/>
            <w:gridSpan w:val="3"/>
            <w:vMerge w:val="continue"/>
            <w:tcBorders>
              <w:left w:val="single" w:sz="2" w:space="0" w:color="929292"/>
              <w:right w:val="single" w:sz="8" w:space="0" w:color="000000"/>
            </w:tcBorders>
            <w:shd w:fill="FBF6EF" w:val="clear"/>
            <w:tcMar>
              <w:top w:w="0" w:type="dxa"/>
              <w:bottom w:w="0" w:type="dxa"/>
            </w:tcMar>
            <w:vAlign w:val="center"/>
          </w:tcPr>
          <w:p>
            <w:pPr>
              <w:pStyle w:val="Normal"/>
              <w:bidi w:val="0"/>
              <w:jc w:val="left"/>
              <w:rPr/>
            </w:pPr>
            <w:r>
              <w:rPr/>
            </w:r>
          </w:p>
        </w:tc>
        <w:tc>
          <w:tcPr>
            <w:tcW w:w="1148" w:type="dxa"/>
            <w:gridSpan w:val="3"/>
            <w:vMerge w:val="continue"/>
            <w:tcBorders>
              <w:left w:val="single" w:sz="8" w:space="0" w:color="000000"/>
              <w:right w:val="single" w:sz="8" w:space="0" w:color="000000"/>
            </w:tcBorders>
            <w:shd w:fill="FBF6EF" w:val="clear"/>
            <w:tcMar>
              <w:top w:w="0" w:type="dxa"/>
              <w:bottom w:w="0" w:type="dxa"/>
            </w:tcMar>
            <w:vAlign w:val="center"/>
          </w:tcPr>
          <w:p>
            <w:pPr>
              <w:pStyle w:val="Normal"/>
              <w:bidi w:val="0"/>
              <w:jc w:val="left"/>
              <w:rPr/>
            </w:pPr>
            <w:r>
              <w:rPr/>
            </w:r>
          </w:p>
        </w:tc>
      </w:tr>
      <w:tr>
        <w:trPr/>
        <w:tc>
          <w:tcPr>
            <w:tcW w:w="7261"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Launching next generation IQ Gateway, and next generation IQ Microinverters for residential and commercial markets</w:t>
            </w:r>
          </w:p>
        </w:tc>
        <w:tc>
          <w:tcPr>
            <w:tcW w:w="1796" w:type="dxa"/>
            <w:gridSpan w:val="3"/>
            <w:vMerge w:val="continue"/>
            <w:tcBorders>
              <w:left w:val="single" w:sz="2" w:space="0" w:color="929292"/>
              <w:right w:val="single" w:sz="8" w:space="0" w:color="000000"/>
            </w:tcBorders>
            <w:shd w:fill="FBF6EF" w:val="clear"/>
            <w:tcMar>
              <w:top w:w="0" w:type="dxa"/>
              <w:bottom w:w="0" w:type="dxa"/>
            </w:tcMar>
            <w:vAlign w:val="center"/>
          </w:tcPr>
          <w:p>
            <w:pPr>
              <w:pStyle w:val="Normal"/>
              <w:bidi w:val="0"/>
              <w:jc w:val="left"/>
              <w:rPr/>
            </w:pPr>
            <w:r>
              <w:rPr/>
            </w:r>
          </w:p>
        </w:tc>
        <w:tc>
          <w:tcPr>
            <w:tcW w:w="1148" w:type="dxa"/>
            <w:gridSpan w:val="3"/>
            <w:vMerge w:val="continue"/>
            <w:tcBorders>
              <w:left w:val="single" w:sz="8" w:space="0" w:color="000000"/>
              <w:right w:val="single" w:sz="8" w:space="0" w:color="000000"/>
            </w:tcBorders>
            <w:shd w:fill="FBF6EF" w:val="clear"/>
            <w:tcMar>
              <w:top w:w="0" w:type="dxa"/>
              <w:bottom w:w="0" w:type="dxa"/>
            </w:tcMar>
            <w:vAlign w:val="center"/>
          </w:tcPr>
          <w:p>
            <w:pPr>
              <w:pStyle w:val="Normal"/>
              <w:bidi w:val="0"/>
              <w:jc w:val="left"/>
              <w:rPr/>
            </w:pPr>
            <w:r>
              <w:rPr/>
            </w:r>
          </w:p>
        </w:tc>
      </w:tr>
      <w:tr>
        <w:trPr/>
        <w:tc>
          <w:tcPr>
            <w:tcW w:w="726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Introduction of IQ Balcony for Europe</w:t>
            </w:r>
          </w:p>
        </w:tc>
        <w:tc>
          <w:tcPr>
            <w:tcW w:w="1796" w:type="dxa"/>
            <w:gridSpan w:val="3"/>
            <w:vMerge w:val="continue"/>
            <w:tcBorders>
              <w:left w:val="single" w:sz="2" w:space="0" w:color="929292"/>
              <w:right w:val="single" w:sz="8" w:space="0" w:color="000000"/>
            </w:tcBorders>
            <w:shd w:fill="FBF6EF" w:val="clear"/>
            <w:tcMar>
              <w:top w:w="0" w:type="dxa"/>
              <w:bottom w:w="0" w:type="dxa"/>
            </w:tcMar>
            <w:vAlign w:val="center"/>
          </w:tcPr>
          <w:p>
            <w:pPr>
              <w:pStyle w:val="Normal"/>
              <w:bidi w:val="0"/>
              <w:jc w:val="left"/>
              <w:rPr/>
            </w:pPr>
            <w:r>
              <w:rPr/>
            </w:r>
          </w:p>
        </w:tc>
        <w:tc>
          <w:tcPr>
            <w:tcW w:w="1148" w:type="dxa"/>
            <w:gridSpan w:val="3"/>
            <w:vMerge w:val="continue"/>
            <w:tcBorders>
              <w:left w:val="single" w:sz="8" w:space="0" w:color="000000"/>
              <w:right w:val="single" w:sz="8" w:space="0" w:color="000000"/>
            </w:tcBorders>
            <w:shd w:fill="FBF6EF" w:val="clear"/>
            <w:tcMar>
              <w:top w:w="0" w:type="dxa"/>
              <w:bottom w:w="0" w:type="dxa"/>
            </w:tcMar>
            <w:vAlign w:val="center"/>
          </w:tcPr>
          <w:p>
            <w:pPr>
              <w:pStyle w:val="Normal"/>
              <w:bidi w:val="0"/>
              <w:jc w:val="left"/>
              <w:rPr/>
            </w:pPr>
            <w:r>
              <w:rPr/>
            </w:r>
          </w:p>
        </w:tc>
      </w:tr>
      <w:tr>
        <w:trPr/>
        <w:tc>
          <w:tcPr>
            <w:tcW w:w="7261"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Introduction of IQ PowerPack 1500 into more regions</w:t>
            </w:r>
          </w:p>
        </w:tc>
        <w:tc>
          <w:tcPr>
            <w:tcW w:w="1796" w:type="dxa"/>
            <w:gridSpan w:val="3"/>
            <w:vMerge w:val="continue"/>
            <w:tcBorders>
              <w:left w:val="single" w:sz="2" w:space="0" w:color="929292"/>
              <w:right w:val="single" w:sz="8" w:space="0" w:color="000000"/>
            </w:tcBorders>
            <w:shd w:fill="FBF6EF" w:val="clear"/>
            <w:tcMar>
              <w:top w:w="0" w:type="dxa"/>
              <w:bottom w:w="0" w:type="dxa"/>
            </w:tcMar>
            <w:vAlign w:val="center"/>
          </w:tcPr>
          <w:p>
            <w:pPr>
              <w:pStyle w:val="Normal"/>
              <w:bidi w:val="0"/>
              <w:jc w:val="left"/>
              <w:rPr/>
            </w:pPr>
            <w:r>
              <w:rPr/>
            </w:r>
          </w:p>
        </w:tc>
        <w:tc>
          <w:tcPr>
            <w:tcW w:w="1148" w:type="dxa"/>
            <w:gridSpan w:val="3"/>
            <w:vMerge w:val="continue"/>
            <w:tcBorders>
              <w:left w:val="single" w:sz="8" w:space="0" w:color="000000"/>
              <w:right w:val="single" w:sz="8" w:space="0" w:color="000000"/>
            </w:tcBorders>
            <w:shd w:fill="FBF6EF" w:val="clear"/>
            <w:tcMar>
              <w:top w:w="0" w:type="dxa"/>
              <w:bottom w:w="0" w:type="dxa"/>
            </w:tcMar>
            <w:vAlign w:val="center"/>
          </w:tcPr>
          <w:p>
            <w:pPr>
              <w:pStyle w:val="Normal"/>
              <w:bidi w:val="0"/>
              <w:jc w:val="left"/>
              <w:rPr/>
            </w:pPr>
            <w:r>
              <w:rPr/>
            </w:r>
          </w:p>
        </w:tc>
      </w:tr>
      <w:tr>
        <w:trPr/>
        <w:tc>
          <w:tcPr>
            <w:tcW w:w="7261"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Introduction of bi-directional EV chargers in North America and Europe</w:t>
            </w:r>
          </w:p>
        </w:tc>
        <w:tc>
          <w:tcPr>
            <w:tcW w:w="1796" w:type="dxa"/>
            <w:gridSpan w:val="3"/>
            <w:vMerge w:val="continue"/>
            <w:tcBorders>
              <w:left w:val="single" w:sz="2" w:space="0" w:color="929292"/>
              <w:right w:val="single" w:sz="8" w:space="0" w:color="000000"/>
            </w:tcBorders>
            <w:shd w:fill="FBF6EF" w:val="clear"/>
            <w:tcMar>
              <w:top w:w="0" w:type="dxa"/>
              <w:bottom w:w="0" w:type="dxa"/>
            </w:tcMar>
            <w:vAlign w:val="center"/>
          </w:tcPr>
          <w:p>
            <w:pPr>
              <w:pStyle w:val="Normal"/>
              <w:bidi w:val="0"/>
              <w:jc w:val="left"/>
              <w:rPr/>
            </w:pPr>
            <w:r>
              <w:rPr/>
            </w:r>
          </w:p>
        </w:tc>
        <w:tc>
          <w:tcPr>
            <w:tcW w:w="1148" w:type="dxa"/>
            <w:gridSpan w:val="3"/>
            <w:vMerge w:val="continue"/>
            <w:tcBorders>
              <w:left w:val="single" w:sz="8" w:space="0" w:color="000000"/>
              <w:right w:val="single" w:sz="8" w:space="0" w:color="000000"/>
            </w:tcBorders>
            <w:shd w:fill="FBF6EF" w:val="clear"/>
            <w:tcMar>
              <w:top w:w="0" w:type="dxa"/>
              <w:bottom w:w="0" w:type="dxa"/>
            </w:tcMar>
            <w:vAlign w:val="center"/>
          </w:tcPr>
          <w:p>
            <w:pPr>
              <w:pStyle w:val="Normal"/>
              <w:bidi w:val="0"/>
              <w:jc w:val="left"/>
              <w:rPr/>
            </w:pPr>
            <w:r>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Upgrades to Solargraf features</w:t>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120" w:after="60"/>
        <w:ind w:left="0" w:right="0" w:hanging="180"/>
        <w:jc w:val="both"/>
        <w:rPr/>
      </w:pPr>
      <w:r>
        <w:rPr>
          <w:color w:val="000000"/>
        </w:rPr>
        <w:t>•</w:t>
      </w:r>
      <w:r>
        <w:rPr>
          <w:rFonts w:ascii="Avenir Next LT Pro;sans-serif" w:hAnsi="Avenir Next LT Pro;sans-serif"/>
          <w:b/>
          <w:color w:val="000000"/>
          <w:sz w:val="18"/>
        </w:rPr>
        <w:t>Innovation</w:t>
      </w:r>
      <w:r>
        <w:rPr>
          <w:rFonts w:ascii="Avenir Next LT Pro;sans-serif" w:hAnsi="Avenir Next LT Pro;sans-serif"/>
          <w:b w:val="false"/>
          <w:color w:val="000000"/>
          <w:sz w:val="18"/>
        </w:rPr>
        <w:t xml:space="preserve">. The Innovation category had four goals, and we scored 3.2 out of 4 points in this category. </w:t>
      </w:r>
    </w:p>
    <w:tbl>
      <w:tblPr>
        <w:tblW w:w="10205" w:type="dxa"/>
        <w:jc w:val="left"/>
        <w:tblInd w:w="0" w:type="dxa"/>
        <w:tblLayout w:type="fixed"/>
        <w:tblCellMar>
          <w:top w:w="28" w:type="dxa"/>
          <w:left w:w="28" w:type="dxa"/>
          <w:bottom w:w="28" w:type="dxa"/>
          <w:right w:w="28" w:type="dxa"/>
        </w:tblCellMar>
      </w:tblPr>
      <w:tblGrid>
        <w:gridCol w:w="2325"/>
        <w:gridCol w:w="2039"/>
        <w:gridCol w:w="2028"/>
        <w:gridCol w:w="806"/>
        <w:gridCol w:w="806"/>
        <w:gridCol w:w="809"/>
        <w:gridCol w:w="406"/>
        <w:gridCol w:w="406"/>
        <w:gridCol w:w="580"/>
      </w:tblGrid>
      <w:tr>
        <w:trPr/>
        <w:tc>
          <w:tcPr>
            <w:tcW w:w="2325"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Innovation Targets</w:t>
            </w:r>
          </w:p>
        </w:tc>
        <w:tc>
          <w:tcPr>
            <w:tcW w:w="242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392"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639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Development on next generation IQ Microinverters, including IQ10</w:t>
            </w:r>
          </w:p>
        </w:tc>
        <w:tc>
          <w:tcPr>
            <w:tcW w:w="2421" w:type="dxa"/>
            <w:gridSpan w:val="3"/>
            <w:vMerge w:val="restart"/>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4.0</w:t>
            </w:r>
          </w:p>
        </w:tc>
        <w:tc>
          <w:tcPr>
            <w:tcW w:w="1392" w:type="dxa"/>
            <w:gridSpan w:val="3"/>
            <w:vMerge w:val="restart"/>
            <w:tcBorders>
              <w:top w:val="single" w:sz="8" w:space="0" w:color="000000"/>
              <w:left w:val="single" w:sz="8" w:space="0" w:color="000000"/>
              <w:right w:val="single" w:sz="8" w:space="0" w:color="000000"/>
            </w:tcBorders>
            <w:shd w:fill="FAF6EF" w:val="clear"/>
            <w:tcMar>
              <w:top w:w="3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3.2</w:t>
            </w:r>
          </w:p>
        </w:tc>
      </w:tr>
      <w:tr>
        <w:trPr/>
        <w:tc>
          <w:tcPr>
            <w:tcW w:w="6392"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Development on next generation battery systems</w:t>
            </w:r>
          </w:p>
        </w:tc>
        <w:tc>
          <w:tcPr>
            <w:tcW w:w="2421"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1392" w:type="dxa"/>
            <w:gridSpan w:val="3"/>
            <w:vMerge w:val="continue"/>
            <w:tcBorders>
              <w:top w:val="single" w:sz="8" w:space="0" w:color="000000"/>
              <w:left w:val="single" w:sz="8" w:space="0" w:color="000000"/>
              <w:right w:val="single" w:sz="8" w:space="0" w:color="000000"/>
            </w:tcBorders>
            <w:shd w:fill="FAF6EF" w:val="clear"/>
            <w:tcMar>
              <w:top w:w="30" w:type="dxa"/>
              <w:bottom w:w="0" w:type="dxa"/>
            </w:tcMar>
            <w:vAlign w:val="center"/>
          </w:tcPr>
          <w:p>
            <w:pPr>
              <w:pStyle w:val="Normal"/>
              <w:bidi w:val="0"/>
              <w:jc w:val="left"/>
              <w:rPr/>
            </w:pPr>
            <w:r>
              <w:rPr/>
            </w:r>
          </w:p>
        </w:tc>
      </w:tr>
      <w:tr>
        <w:trPr/>
        <w:tc>
          <w:tcPr>
            <w:tcW w:w="6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1392" w:type="dxa"/>
            <w:gridSpan w:val="3"/>
            <w:tcBorders>
              <w:left w:val="single" w:sz="8" w:space="0" w:color="000000"/>
              <w:bottom w:val="single" w:sz="8" w:space="0" w:color="000000"/>
              <w:right w:val="single" w:sz="8" w:space="0" w:color="000000"/>
            </w:tcBorders>
            <w:shd w:fill="FAF6EF" w:val="clear"/>
            <w:tcMar>
              <w:top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vAlign w:val="center"/>
          </w:tcPr>
          <w:p>
            <w:pPr>
              <w:pStyle w:val="TableContents"/>
              <w:bidi w:val="0"/>
              <w:spacing w:before="0" w:after="283"/>
              <w:jc w:val="left"/>
              <w:rPr>
                <w:sz w:val="4"/>
                <w:szCs w:val="4"/>
              </w:rPr>
            </w:pPr>
            <w:r>
              <w:rPr>
                <w:sz w:val="4"/>
                <w:szCs w:val="4"/>
              </w:rPr>
            </w:r>
          </w:p>
        </w:tc>
        <w:tc>
          <w:tcPr>
            <w:tcW w:w="2421"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13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120" w:after="60"/>
        <w:ind w:left="0" w:right="0" w:hanging="180"/>
        <w:jc w:val="both"/>
        <w:rPr/>
      </w:pPr>
      <w:r>
        <w:rPr>
          <w:color w:val="000000"/>
        </w:rPr>
        <w:t>•</w:t>
      </w:r>
      <w:r>
        <w:rPr>
          <w:rFonts w:ascii="Avenir Next LT Pro;sans-serif" w:hAnsi="Avenir Next LT Pro;sans-serif"/>
          <w:b/>
          <w:color w:val="000000"/>
          <w:sz w:val="18"/>
        </w:rPr>
        <w:t>Operations (including IT)</w:t>
      </w:r>
      <w:r>
        <w:rPr>
          <w:rFonts w:ascii="Avenir Next LT Pro;sans-serif" w:hAnsi="Avenir Next LT Pro;sans-serif"/>
          <w:b w:val="false"/>
          <w:color w:val="000000"/>
          <w:sz w:val="18"/>
        </w:rPr>
        <w:t>. The Operations category had thirteen goals, and we scored 9.0 out of 13 points in this category.</w:t>
      </w:r>
    </w:p>
    <w:tbl>
      <w:tblPr>
        <w:tblW w:w="9435" w:type="dxa"/>
        <w:jc w:val="left"/>
        <w:tblInd w:w="0" w:type="dxa"/>
        <w:tblLayout w:type="fixed"/>
        <w:tblCellMar>
          <w:top w:w="28" w:type="dxa"/>
          <w:left w:w="28" w:type="dxa"/>
          <w:bottom w:w="28" w:type="dxa"/>
          <w:right w:w="28" w:type="dxa"/>
        </w:tblCellMar>
      </w:tblPr>
      <w:tblGrid>
        <w:gridCol w:w="1950"/>
        <w:gridCol w:w="1713"/>
        <w:gridCol w:w="1722"/>
        <w:gridCol w:w="864"/>
        <w:gridCol w:w="864"/>
        <w:gridCol w:w="867"/>
        <w:gridCol w:w="426"/>
        <w:gridCol w:w="426"/>
        <w:gridCol w:w="603"/>
      </w:tblGrid>
      <w:tr>
        <w:trPr/>
        <w:tc>
          <w:tcPr>
            <w:tcW w:w="1950"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Operations (including IT) Targets</w:t>
            </w:r>
          </w:p>
        </w:tc>
        <w:tc>
          <w:tcPr>
            <w:tcW w:w="259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45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538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Digitizing channel management</w:t>
            </w:r>
          </w:p>
        </w:tc>
        <w:tc>
          <w:tcPr>
            <w:tcW w:w="2595" w:type="dxa"/>
            <w:gridSpan w:val="3"/>
            <w:vMerge w:val="restart"/>
            <w:tcBorders>
              <w:left w:val="single" w:sz="2" w:space="0" w:color="929292"/>
              <w:right w:val="single" w:sz="8" w:space="0" w:color="000000"/>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13.0</w:t>
            </w:r>
          </w:p>
        </w:tc>
        <w:tc>
          <w:tcPr>
            <w:tcW w:w="1455" w:type="dxa"/>
            <w:gridSpan w:val="3"/>
            <w:vMerge w:val="restart"/>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9.0</w:t>
            </w:r>
          </w:p>
        </w:tc>
      </w:tr>
      <w:tr>
        <w:trPr/>
        <w:tc>
          <w:tcPr>
            <w:tcW w:w="5385"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Deploy enhanced security infrastructure</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r>
        <w:trPr/>
        <w:tc>
          <w:tcPr>
            <w:tcW w:w="5385"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Improving inventory management</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r>
        <w:trPr/>
        <w:tc>
          <w:tcPr>
            <w:tcW w:w="5385"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Diversification plan related to tariff mitigation</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r>
        <w:trPr/>
        <w:tc>
          <w:tcPr>
            <w:tcW w:w="5385"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Cost reduction targets related to certain products</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r>
        <w:trPr/>
        <w:tc>
          <w:tcPr>
            <w:tcW w:w="5385"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Improving worldwide operations and infrastructure</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bl>
    <w:p>
      <w:pPr>
        <w:pStyle w:val="TextBody"/>
        <w:bidi w:val="0"/>
        <w:spacing w:lineRule="auto" w:line="336" w:before="120" w:after="60"/>
        <w:ind w:left="0" w:right="0" w:hanging="180"/>
        <w:jc w:val="both"/>
        <w:rPr/>
      </w:pPr>
      <w:r>
        <w:rPr>
          <w:color w:val="000000"/>
        </w:rPr>
        <w:t>•</w:t>
      </w:r>
      <w:r>
        <w:rPr>
          <w:rFonts w:ascii="Avenir Next LT Pro;sans-serif" w:hAnsi="Avenir Next LT Pro;sans-serif"/>
          <w:b/>
          <w:color w:val="000000"/>
          <w:sz w:val="18"/>
        </w:rPr>
        <w:t>Quality</w:t>
      </w:r>
      <w:r>
        <w:rPr>
          <w:rFonts w:ascii="Avenir Next LT Pro;sans-serif" w:hAnsi="Avenir Next LT Pro;sans-serif"/>
          <w:b w:val="false"/>
          <w:color w:val="000000"/>
          <w:sz w:val="18"/>
        </w:rPr>
        <w:t>. The Quality category had five goals, and we scored 9.3 out of 10 points on the Quality goals by meeting our annual defective parts per million (“DPPM”) targets for IQ Microinverters, IQ Gateway, IQ Battery, IQ System Controller and related accessories.</w:t>
      </w:r>
    </w:p>
    <w:tbl>
      <w:tblPr>
        <w:tblW w:w="10205" w:type="dxa"/>
        <w:jc w:val="left"/>
        <w:tblInd w:w="0" w:type="dxa"/>
        <w:tblLayout w:type="fixed"/>
        <w:tblCellMar>
          <w:top w:w="28" w:type="dxa"/>
          <w:left w:w="28" w:type="dxa"/>
          <w:bottom w:w="28" w:type="dxa"/>
          <w:right w:w="28" w:type="dxa"/>
        </w:tblCellMar>
      </w:tblPr>
      <w:tblGrid>
        <w:gridCol w:w="2654"/>
        <w:gridCol w:w="2333"/>
        <w:gridCol w:w="2351"/>
        <w:gridCol w:w="580"/>
        <w:gridCol w:w="580"/>
        <w:gridCol w:w="582"/>
        <w:gridCol w:w="328"/>
        <w:gridCol w:w="328"/>
        <w:gridCol w:w="469"/>
      </w:tblGrid>
      <w:tr>
        <w:trPr/>
        <w:tc>
          <w:tcPr>
            <w:tcW w:w="265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7338"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Quality Targets</w:t>
            </w:r>
          </w:p>
        </w:tc>
        <w:tc>
          <w:tcPr>
            <w:tcW w:w="1742"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12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7338"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Improving annual DPPM for IQ Microinverter, IQ Gateway, IQ Battery, IQ System Controller, Cell Modem, Q Relay and Comms Kit</w:t>
            </w:r>
          </w:p>
        </w:tc>
        <w:tc>
          <w:tcPr>
            <w:tcW w:w="1742"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10.0</w:t>
            </w:r>
          </w:p>
        </w:tc>
        <w:tc>
          <w:tcPr>
            <w:tcW w:w="1125" w:type="dxa"/>
            <w:gridSpan w:val="3"/>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9.3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120" w:after="60"/>
        <w:ind w:left="0" w:right="0" w:hanging="180"/>
        <w:jc w:val="both"/>
        <w:rPr/>
      </w:pPr>
      <w:r>
        <w:rPr>
          <w:color w:val="000000"/>
        </w:rPr>
        <w:t>•</w:t>
      </w:r>
      <w:r>
        <w:rPr>
          <w:rFonts w:ascii="Avenir Next LT Pro;sans-serif" w:hAnsi="Avenir Next LT Pro;sans-serif"/>
          <w:b/>
          <w:color w:val="000000"/>
          <w:sz w:val="18"/>
        </w:rPr>
        <w:t>Ease of Doing Business</w:t>
      </w:r>
      <w:r>
        <w:rPr>
          <w:rFonts w:ascii="Avenir Next LT Pro;sans-serif" w:hAnsi="Avenir Next LT Pro;sans-serif"/>
          <w:b w:val="false"/>
          <w:color w:val="000000"/>
          <w:sz w:val="18"/>
        </w:rPr>
        <w:t>. The Ease of Doing Business (“EODB”) category had seven goals, and we scored 8.1 out of 10 points on the EODB goals for exceeding the NPS targets and showing improvement on wait times.</w:t>
      </w:r>
    </w:p>
    <w:tbl>
      <w:tblPr>
        <w:tblW w:w="10049" w:type="dxa"/>
        <w:jc w:val="left"/>
        <w:tblInd w:w="0" w:type="dxa"/>
        <w:tblLayout w:type="fixed"/>
        <w:tblCellMar>
          <w:top w:w="28" w:type="dxa"/>
          <w:left w:w="28" w:type="dxa"/>
          <w:bottom w:w="28" w:type="dxa"/>
          <w:right w:w="28" w:type="dxa"/>
        </w:tblCellMar>
      </w:tblPr>
      <w:tblGrid>
        <w:gridCol w:w="2172"/>
        <w:gridCol w:w="1909"/>
        <w:gridCol w:w="1918"/>
        <w:gridCol w:w="864"/>
        <w:gridCol w:w="864"/>
        <w:gridCol w:w="867"/>
        <w:gridCol w:w="426"/>
        <w:gridCol w:w="426"/>
        <w:gridCol w:w="603"/>
      </w:tblGrid>
      <w:tr>
        <w:trPr/>
        <w:tc>
          <w:tcPr>
            <w:tcW w:w="217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EODB Targets</w:t>
            </w:r>
          </w:p>
        </w:tc>
        <w:tc>
          <w:tcPr>
            <w:tcW w:w="259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Points Possible</w:t>
            </w:r>
          </w:p>
        </w:tc>
        <w:tc>
          <w:tcPr>
            <w:tcW w:w="145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Points Earned</w:t>
            </w:r>
          </w:p>
        </w:tc>
      </w:tr>
      <w:tr>
        <w:trPr/>
        <w:tc>
          <w:tcPr>
            <w:tcW w:w="599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Maintain worldwide net promoter score at 75%</w:t>
            </w:r>
          </w:p>
        </w:tc>
        <w:tc>
          <w:tcPr>
            <w:tcW w:w="2595" w:type="dxa"/>
            <w:gridSpan w:val="3"/>
            <w:vMerge w:val="restart"/>
            <w:tcBorders>
              <w:left w:val="single" w:sz="2" w:space="0" w:color="929292"/>
              <w:right w:val="single" w:sz="8" w:space="0" w:color="000000"/>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10.0</w:t>
            </w:r>
          </w:p>
        </w:tc>
        <w:tc>
          <w:tcPr>
            <w:tcW w:w="1455" w:type="dxa"/>
            <w:gridSpan w:val="3"/>
            <w:vMerge w:val="restart"/>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8.1</w:t>
            </w:r>
          </w:p>
        </w:tc>
      </w:tr>
      <w:tr>
        <w:trPr/>
        <w:tc>
          <w:tcPr>
            <w:tcW w:w="599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Improve call wait times for solar and storage installations</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r>
        <w:trPr/>
        <w:tc>
          <w:tcPr>
            <w:tcW w:w="5999" w:type="dxa"/>
            <w:gridSpan w:val="3"/>
            <w:tcBorders>
              <w:left w:val="single" w:sz="2" w:space="0" w:color="929292"/>
              <w:right w:val="single" w:sz="2" w:space="0" w:color="929292"/>
            </w:tcBorders>
            <w:shd w:fill="FAF6E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Grow O&amp;M Business</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r>
        <w:trPr/>
        <w:tc>
          <w:tcPr>
            <w:tcW w:w="5999"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Improve serviceability and cycle time of battery systems</w:t>
            </w:r>
          </w:p>
        </w:tc>
        <w:tc>
          <w:tcPr>
            <w:tcW w:w="2595" w:type="dxa"/>
            <w:gridSpan w:val="3"/>
            <w:vMerge w:val="continue"/>
            <w:tcBorders>
              <w:left w:val="single" w:sz="2" w:space="0" w:color="929292"/>
              <w:right w:val="single" w:sz="8" w:space="0" w:color="000000"/>
            </w:tcBorders>
            <w:shd w:fill="FAF6EF" w:val="clear"/>
            <w:tcMar>
              <w:top w:w="0" w:type="dxa"/>
              <w:bottom w:w="0" w:type="dxa"/>
            </w:tcMar>
            <w:vAlign w:val="center"/>
          </w:tcPr>
          <w:p>
            <w:pPr>
              <w:pStyle w:val="Normal"/>
              <w:bidi w:val="0"/>
              <w:jc w:val="left"/>
              <w:rPr/>
            </w:pPr>
            <w:r>
              <w:rPr/>
            </w:r>
          </w:p>
        </w:tc>
        <w:tc>
          <w:tcPr>
            <w:tcW w:w="1455" w:type="dxa"/>
            <w:gridSpan w:val="3"/>
            <w:vMerge w:val="continue"/>
            <w:tcBorders>
              <w:top w:val="single" w:sz="8" w:space="0" w:color="000000"/>
              <w:left w:val="single" w:sz="8" w:space="0" w:color="000000"/>
              <w:bottom w:val="single" w:sz="8" w:space="0" w:color="000000"/>
              <w:right w:val="single" w:sz="8" w:space="0" w:color="000000"/>
            </w:tcBorders>
            <w:shd w:fill="FAF6EF" w:val="clear"/>
            <w:tcMar>
              <w:top w:w="30" w:type="dxa"/>
              <w:bottom w:w="30" w:type="dxa"/>
            </w:tcMar>
            <w:vAlign w:val="center"/>
          </w:tcPr>
          <w:p>
            <w:pPr>
              <w:pStyle w:val="Normal"/>
              <w:bidi w:val="0"/>
              <w:jc w:val="left"/>
              <w:rPr/>
            </w:pPr>
            <w:r>
              <w:rPr/>
            </w:r>
          </w:p>
        </w:tc>
      </w:tr>
    </w:tbl>
    <w:p>
      <w:pPr>
        <w:pStyle w:val="TextBody"/>
        <w:bidi w:val="0"/>
        <w:spacing w:lineRule="auto" w:line="336" w:before="120" w:after="60"/>
        <w:ind w:left="0" w:right="0" w:hanging="180"/>
        <w:jc w:val="both"/>
        <w:rPr/>
      </w:pPr>
      <w:r>
        <w:rPr>
          <w:color w:val="000000"/>
        </w:rPr>
        <w:t>•</w:t>
      </w:r>
      <w:r>
        <w:rPr>
          <w:rFonts w:ascii="Avenir Next LT Pro;sans-serif" w:hAnsi="Avenir Next LT Pro;sans-serif"/>
          <w:b/>
          <w:color w:val="000000"/>
          <w:sz w:val="18"/>
        </w:rPr>
        <w:t>Human Resources</w:t>
      </w:r>
      <w:r>
        <w:rPr>
          <w:rFonts w:ascii="Avenir Next LT Pro;sans-serif" w:hAnsi="Avenir Next LT Pro;sans-serif"/>
          <w:b w:val="false"/>
          <w:color w:val="000000"/>
          <w:sz w:val="18"/>
        </w:rPr>
        <w:t>. The Human Resources category had one goal for a possible total of 2 points related to completion of analyzing and publishing a report with ways to improve employee culture, engagement and productivity in 2025. We scored 2 out of 2 points in this category.</w:t>
      </w:r>
    </w:p>
    <w:p>
      <w:pPr>
        <w:pStyle w:val="TextBody"/>
        <w:bidi w:val="0"/>
        <w:spacing w:lineRule="auto" w:line="336" w:before="0" w:after="60"/>
        <w:ind w:left="0" w:right="0" w:hanging="180"/>
        <w:jc w:val="both"/>
        <w:rPr/>
      </w:pPr>
      <w:r>
        <w:rPr>
          <w:color w:val="000000"/>
        </w:rPr>
        <w:t>•</w:t>
      </w:r>
      <w:r>
        <w:rPr>
          <w:rFonts w:ascii="Avenir Next LT Pro;sans-serif" w:hAnsi="Avenir Next LT Pro;sans-serif"/>
          <w:b/>
          <w:color w:val="000000"/>
          <w:sz w:val="18"/>
        </w:rPr>
        <w:t>Marketing</w:t>
      </w:r>
      <w:r>
        <w:rPr>
          <w:rFonts w:ascii="Avenir Next LT Pro;sans-serif" w:hAnsi="Avenir Next LT Pro;sans-serif"/>
          <w:b w:val="false"/>
          <w:color w:val="000000"/>
          <w:sz w:val="18"/>
        </w:rPr>
        <w:t>. The Marketing category had five goals for a possible total of 5 points related to website improvements, building the Enphase brand, go-to-market improvements, and increasing grid services and appliances relationships. We scored 5 out of 5 points in this category.</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Sustainability</w:t>
      </w:r>
      <w:r>
        <w:rPr>
          <w:rFonts w:ascii="Avenir Next LT Pro;sans-serif" w:hAnsi="Avenir Next LT Pro;sans-serif"/>
          <w:b w:val="false"/>
          <w:color w:val="000000"/>
          <w:sz w:val="18"/>
        </w:rPr>
        <w:t>. This category had one goal for a possible total of 1 point related to the installation of solar systems on certain Enphase facilities in order to offset our carbon consumption by increasing targets over prior year. We scored one point out of one in this category.</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2025-2027 Relative TSR PSUs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believes that a three-year Relative TSR award is an objective and meaningful metric to evaluate our performance against the performance of other companies in the S&amp;P 500 and aligns the interests of our NEOs with the interests of our stockholders in creating long-term value.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three-year Relative TSR award is a substantial, at-risk component of our NEOs’ compensation tied to our long-term performance. The number of PSUs that vest, if any, depends entirely on Relative TSR for the applicable performance period. To earn the target number of PSUs, we must achieve above-median performance at the 55th percentile of the S&amp;P 500. We measure Relative TSR for the applicable performance period based on the change in each company’s stock price during the applicable performance period, taking into account any dividends paid during that period, which are assumed to be reinvested in the stock. We use a 10-trading-day averaging period to determine the beginning and ending stock price to calculate our TSR and that of each company in the S&amp;P 500. This averaging period mitigates the impact of one-day or short-term stock price fluctuations at the beginning or end of the performance period on the long-term Relative TSR results. For each company, the change in stock price from the beginning to the end of the performance period is divided by the beginning stock price to determine TSR.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2025 TSR award is eligible to vest on March 1, 2028, subject to the outcome of Relative TSR performance during the period starting January 1, 2025 and ending December 31, 2027. Subject to the terms of the applicable award agreements, between zero and 200% of the target number of the TSR award will vest, depending on our Relative TSR percentile ranking for the performance period and provided the NEO remains in continuous service through that date, as follows:</w:t>
      </w:r>
    </w:p>
    <w:tbl>
      <w:tblPr>
        <w:tblW w:w="8774" w:type="dxa"/>
        <w:jc w:val="left"/>
        <w:tblInd w:w="0" w:type="dxa"/>
        <w:tblLayout w:type="fixed"/>
        <w:tblCellMar>
          <w:top w:w="28" w:type="dxa"/>
          <w:left w:w="28" w:type="dxa"/>
          <w:bottom w:w="28" w:type="dxa"/>
          <w:right w:w="28" w:type="dxa"/>
        </w:tblCellMar>
      </w:tblPr>
      <w:tblGrid>
        <w:gridCol w:w="1629"/>
        <w:gridCol w:w="1431"/>
        <w:gridCol w:w="1439"/>
        <w:gridCol w:w="1251"/>
        <w:gridCol w:w="1251"/>
        <w:gridCol w:w="1773"/>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 xml:space="preserve">Relative TSR Percentile v. S&amp;P 500 Companies </w:t>
            </w:r>
          </w:p>
        </w:tc>
        <w:tc>
          <w:tcPr>
            <w:tcW w:w="427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TSR PSUs Vesting as a Percentage of Target</w:t>
            </w:r>
          </w:p>
        </w:tc>
      </w:tr>
      <w:tr>
        <w:trPr/>
        <w:tc>
          <w:tcPr>
            <w:tcW w:w="449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color w:val="000000"/>
                <w:sz w:val="18"/>
              </w:rPr>
              <w:t>85</w:t>
            </w:r>
            <w:r>
              <w:rPr>
                <w:rFonts w:ascii="Avenir Next LT Pro;sans-serif" w:hAnsi="Avenir Next LT Pro;sans-serif"/>
                <w:b/>
                <w:color w:val="000000"/>
                <w:sz w:val="12"/>
              </w:rPr>
              <w:t>th</w:t>
            </w:r>
            <w:r>
              <w:rPr>
                <w:color w:val="000000"/>
              </w:rPr>
              <w:t xml:space="preserve"> </w:t>
            </w:r>
            <w:r>
              <w:rPr>
                <w:rFonts w:ascii="Avenir Next LT Pro;sans-serif" w:hAnsi="Avenir Next LT Pro;sans-serif"/>
                <w:b/>
                <w:color w:val="000000"/>
                <w:sz w:val="18"/>
              </w:rPr>
              <w:t>Percentile or above</w:t>
            </w:r>
          </w:p>
        </w:tc>
        <w:tc>
          <w:tcPr>
            <w:tcW w:w="427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200%</w:t>
            </w:r>
          </w:p>
        </w:tc>
      </w:tr>
      <w:tr>
        <w:trPr/>
        <w:tc>
          <w:tcPr>
            <w:tcW w:w="449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color w:val="000000"/>
                <w:sz w:val="18"/>
              </w:rPr>
              <w:t>55</w:t>
            </w:r>
            <w:r>
              <w:rPr>
                <w:rFonts w:ascii="Avenir Next LT Pro;sans-serif" w:hAnsi="Avenir Next LT Pro;sans-serif"/>
                <w:b/>
                <w:color w:val="000000"/>
                <w:sz w:val="12"/>
              </w:rPr>
              <w:t>th</w:t>
            </w:r>
            <w:r>
              <w:rPr>
                <w:color w:val="000000"/>
              </w:rPr>
              <w:t xml:space="preserve"> </w:t>
            </w:r>
            <w:r>
              <w:rPr>
                <w:rFonts w:ascii="Avenir Next LT Pro;sans-serif" w:hAnsi="Avenir Next LT Pro;sans-serif"/>
                <w:b/>
                <w:color w:val="000000"/>
                <w:sz w:val="18"/>
              </w:rPr>
              <w:t xml:space="preserve">Percentile </w:t>
            </w:r>
          </w:p>
        </w:tc>
        <w:tc>
          <w:tcPr>
            <w:tcW w:w="4275"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w:t>
            </w:r>
          </w:p>
        </w:tc>
      </w:tr>
      <w:tr>
        <w:trPr/>
        <w:tc>
          <w:tcPr>
            <w:tcW w:w="449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color w:val="000000"/>
                <w:sz w:val="18"/>
              </w:rPr>
              <w:t>Below the 25</w:t>
            </w:r>
            <w:r>
              <w:rPr>
                <w:rFonts w:ascii="Avenir Next LT Pro;sans-serif" w:hAnsi="Avenir Next LT Pro;sans-serif"/>
                <w:b/>
                <w:color w:val="000000"/>
                <w:sz w:val="12"/>
              </w:rPr>
              <w:t>th</w:t>
            </w:r>
            <w:r>
              <w:rPr>
                <w:color w:val="000000"/>
              </w:rPr>
              <w:t xml:space="preserve"> </w:t>
            </w:r>
            <w:r>
              <w:rPr>
                <w:rFonts w:ascii="Avenir Next LT Pro;sans-serif" w:hAnsi="Avenir Next LT Pro;sans-serif"/>
                <w:b/>
                <w:color w:val="000000"/>
                <w:sz w:val="18"/>
              </w:rPr>
              <w:t>Percentile</w:t>
            </w:r>
          </w:p>
        </w:tc>
        <w:tc>
          <w:tcPr>
            <w:tcW w:w="427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r>
              <w:rPr>
                <w:rFonts w:ascii="Avenir Next LT Pro;sans-serif" w:hAnsi="Avenir Next LT Pro;sans-serif"/>
                <w:b w:val="false"/>
                <w:color w:val="000000"/>
                <w:sz w:val="18"/>
              </w:rPr>
              <w:t>%</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42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both"/>
        <w:rPr/>
      </w:pPr>
      <w:r>
        <w:rPr>
          <w:rFonts w:ascii="Avenir Next LT Pro;sans-serif" w:hAnsi="Avenir Next LT Pro;sans-serif"/>
          <w:b w:val="false"/>
          <w:color w:val="000000"/>
          <w:sz w:val="18"/>
        </w:rPr>
        <w:t>If our TSR for the performance period is negative, the number of PSUs that vest will be capped at 100% of the target regardless of our percentile ranking. If our Relative TSR percentile ranking is above the 25</w:t>
      </w:r>
      <w:r>
        <w:rPr>
          <w:rFonts w:ascii="Avenir Next LT Pro;sans-serif" w:hAnsi="Avenir Next LT Pro;sans-serif"/>
          <w:b w:val="false"/>
          <w:color w:val="000000"/>
          <w:sz w:val="12"/>
        </w:rPr>
        <w:t>th</w:t>
      </w:r>
      <w:r>
        <w:rPr>
          <w:color w:val="000000"/>
        </w:rPr>
        <w:t xml:space="preserve"> </w:t>
      </w:r>
      <w:r>
        <w:rPr>
          <w:rFonts w:ascii="Avenir Next LT Pro;sans-serif" w:hAnsi="Avenir Next LT Pro;sans-serif"/>
          <w:b w:val="false"/>
          <w:color w:val="000000"/>
          <w:sz w:val="18"/>
        </w:rPr>
        <w:t>percentile and between the other levels shown in the table above, the portion of the PSUs that vest will be linearly interpolated between the two nearest vesting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40</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table below summarizes the Relative TSR PSUs awarded to each NEO in 2025 (assuming target and maximum performance).</w:t>
      </w:r>
    </w:p>
    <w:tbl>
      <w:tblPr>
        <w:tblW w:w="10205" w:type="dxa"/>
        <w:jc w:val="left"/>
        <w:tblInd w:w="0" w:type="dxa"/>
        <w:tblLayout w:type="fixed"/>
        <w:tblCellMar>
          <w:top w:w="28" w:type="dxa"/>
          <w:left w:w="28" w:type="dxa"/>
          <w:bottom w:w="28" w:type="dxa"/>
          <w:right w:w="28" w:type="dxa"/>
        </w:tblCellMar>
      </w:tblPr>
      <w:tblGrid>
        <w:gridCol w:w="1155"/>
        <w:gridCol w:w="971"/>
        <w:gridCol w:w="909"/>
        <w:gridCol w:w="387"/>
        <w:gridCol w:w="387"/>
        <w:gridCol w:w="388"/>
        <w:gridCol w:w="109"/>
        <w:gridCol w:w="109"/>
        <w:gridCol w:w="938"/>
        <w:gridCol w:w="938"/>
        <w:gridCol w:w="940"/>
        <w:gridCol w:w="938"/>
        <w:gridCol w:w="938"/>
        <w:gridCol w:w="940"/>
        <w:gridCol w:w="158"/>
      </w:tblGrid>
      <w:tr>
        <w:trPr/>
        <w:tc>
          <w:tcPr>
            <w:tcW w:w="115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1162"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Date of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 Underlying PSUs</w:t>
              <w:br/>
              <w:t>(Initially granted at Target)</w:t>
            </w:r>
          </w:p>
        </w:tc>
        <w:tc>
          <w:tcPr>
            <w:tcW w:w="281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 Underlying PSUs</w:t>
              <w:br/>
              <w:t>(at Maximum)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1162"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40,800</w:t>
            </w:r>
          </w:p>
        </w:tc>
        <w:tc>
          <w:tcPr>
            <w:tcW w:w="28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81,600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1162"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21,760</w:t>
            </w:r>
          </w:p>
        </w:tc>
        <w:tc>
          <w:tcPr>
            <w:tcW w:w="281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43,520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i/>
          <w:color w:val="000000"/>
          <w:sz w:val="20"/>
        </w:rPr>
      </w:pPr>
      <w:r>
        <w:rPr>
          <w:rFonts w:ascii="Avenir Next LT Pro;sans-serif" w:hAnsi="Avenir Next LT Pro;sans-serif"/>
          <w:b/>
          <w:i/>
          <w:color w:val="000000"/>
          <w:sz w:val="20"/>
        </w:rPr>
        <w:t>Forfeiture of 2023-2025 Relative TSR PSUs</w:t>
      </w:r>
    </w:p>
    <w:p>
      <w:pPr>
        <w:pStyle w:val="TextBody"/>
        <w:bidi w:val="0"/>
        <w:spacing w:lineRule="auto" w:line="336" w:before="0" w:after="180"/>
        <w:jc w:val="both"/>
        <w:rPr/>
      </w:pPr>
      <w:r>
        <w:rPr>
          <w:rFonts w:ascii="Avenir Next LT Pro;sans-serif" w:hAnsi="Avenir Next LT Pro;sans-serif"/>
          <w:b w:val="false"/>
          <w:color w:val="000000"/>
          <w:sz w:val="18"/>
        </w:rPr>
        <w:t>In 2023, each of our NEOs received a PSU award that was eligible to vest on March 1, 2026, based on our Relative TSR percentile at the end of the three-year performance period beginning on January 1, 2023 and ending on December 31, 2025. As described above with respect to the Relative TSR PSUs granted in 2025, between 0% (for performance below the 25</w:t>
      </w:r>
      <w:r>
        <w:rPr>
          <w:rFonts w:ascii="Avenir Next LT Pro;sans-serif" w:hAnsi="Avenir Next LT Pro;sans-serif"/>
          <w:b w:val="false"/>
          <w:color w:val="000000"/>
          <w:sz w:val="12"/>
        </w:rPr>
        <w:t>th</w:t>
      </w:r>
      <w:r>
        <w:rPr>
          <w:color w:val="000000"/>
        </w:rPr>
        <w:t xml:space="preserve"> </w:t>
      </w:r>
      <w:r>
        <w:rPr>
          <w:rFonts w:ascii="Avenir Next LT Pro;sans-serif" w:hAnsi="Avenir Next LT Pro;sans-serif"/>
          <w:b w:val="false"/>
          <w:color w:val="000000"/>
          <w:sz w:val="18"/>
        </w:rPr>
        <w:t>percentile as compared to companies in the S&amp;P 500) and 200% (for performance at or above the 85th percentile as compared to the companies in the S&amp;P 500) of the target number of PSUs set forth in the table below could be earned based on actual performance, subject also to the NEO’s continuous service with us through the vesting date. However, based on actual Relative TSR below the threshold level of performance for the performance period, at the lowest percentile as compared to companies in the S&amp;P 500, the 2023-2025 Relative TSR PSUs were forfeited in their entirety.</w:t>
      </w:r>
    </w:p>
    <w:tbl>
      <w:tblPr>
        <w:tblW w:w="10205" w:type="dxa"/>
        <w:jc w:val="left"/>
        <w:tblInd w:w="0" w:type="dxa"/>
        <w:tblLayout w:type="fixed"/>
        <w:tblCellMar>
          <w:top w:w="28" w:type="dxa"/>
          <w:left w:w="28" w:type="dxa"/>
          <w:bottom w:w="28" w:type="dxa"/>
          <w:right w:w="28" w:type="dxa"/>
        </w:tblCellMar>
      </w:tblPr>
      <w:tblGrid>
        <w:gridCol w:w="1083"/>
        <w:gridCol w:w="877"/>
        <w:gridCol w:w="767"/>
        <w:gridCol w:w="109"/>
        <w:gridCol w:w="109"/>
        <w:gridCol w:w="109"/>
        <w:gridCol w:w="1159"/>
        <w:gridCol w:w="1159"/>
        <w:gridCol w:w="1163"/>
        <w:gridCol w:w="109"/>
        <w:gridCol w:w="109"/>
        <w:gridCol w:w="109"/>
        <w:gridCol w:w="1024"/>
        <w:gridCol w:w="1024"/>
        <w:gridCol w:w="1028"/>
        <w:gridCol w:w="109"/>
        <w:gridCol w:w="158"/>
      </w:tblGrid>
      <w:tr>
        <w:trPr/>
        <w:tc>
          <w:tcPr>
            <w:tcW w:w="108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 xml:space="preserve">Number of Shares Eligible to Vest for Relative TSR Award </w:t>
            </w:r>
          </w:p>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(at Target)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Number of Shares Paid out for Relative TSR Award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27,200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Other Features of Our Executive Compensation Program</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Employment Offer Letters and Severance and Change in Control Benefits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have entered into offer letter agreements with each of our NEOs upon their initial commencement of employment with us. Each of our NEOs is employed at will and may be terminated at any time for any reason.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Each of our NEOs is a participant in our Severance and Change in Control Benefit Plan (the “Severance Plan”), under which our NEOs are eligible to receive severance payments and benefits upon a termination of employment without “cause” or the resignation by a participant for “good reason” or upon such a termination in connection a change in control transaction. The adoption of the Severance Plan reflects our desire to have a consistent set of benefits across the executive team. The Compensation Committee considers these severance benefits critical to attracting and retaining high-caliber executives. Additionally, the Compensation Committee believes that additional change-in-control severance benefits minimize the distractions to an executive in connection with a corporate transaction and reduce the risk that an NEO departs our Company before a transaction is completed. We believe that the Severance Plan allows our NEOs to focus on continuing normal business operations and, in the case of change-in-control benefits, on the success of a potential business combination, rather than worry about how business decisions that may be in our best interest will impact their own financial security. The Compensation Committee periodically reviews the severance and change in control payments and benefits that we provide, including by reference to market data as appropriate, to ensure they remain appropriately structured and at reasonable levels.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 more detailed description of the employment offer letters, the Severance Plan and each of our NEO’s payment and benefit levels thereunder and other severance and change in control payments and benefits is provided below under the section titled “Employment Contracts and Termination of Employment and Change of Control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Stock Ownership Guidelines</w:t>
      </w:r>
    </w:p>
    <w:p>
      <w:pPr>
        <w:pStyle w:val="TextBody"/>
        <w:bidi w:val="0"/>
        <w:spacing w:lineRule="auto" w:line="331"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To help ensure a strong alignment between the interests of our executives and stockholders, we have adopted Stock Ownership Guidelines for our directors and executive officers. We require our non-employee directors and our NEOs to have an equity ownership interest in accordance with the following schedule by the end of the calendar year that is three years after the later of (1) the October 22, 2022 effective date of the Stock Ownership Guidelines or (2) the date the individual becomes a non-employee director subject to these guidelines:</w:t>
      </w:r>
    </w:p>
    <w:tbl>
      <w:tblPr>
        <w:tblW w:w="5640" w:type="dxa"/>
        <w:jc w:val="left"/>
        <w:tblInd w:w="0" w:type="dxa"/>
        <w:tblLayout w:type="fixed"/>
        <w:tblCellMar>
          <w:top w:w="28" w:type="dxa"/>
          <w:left w:w="28" w:type="dxa"/>
          <w:bottom w:w="28" w:type="dxa"/>
          <w:right w:w="28" w:type="dxa"/>
        </w:tblCellMar>
      </w:tblPr>
      <w:tblGrid>
        <w:gridCol w:w="872"/>
        <w:gridCol w:w="767"/>
        <w:gridCol w:w="776"/>
        <w:gridCol w:w="944"/>
        <w:gridCol w:w="944"/>
        <w:gridCol w:w="1337"/>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Title</w:t>
            </w:r>
          </w:p>
        </w:tc>
        <w:tc>
          <w:tcPr>
            <w:tcW w:w="3225"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 xml:space="preserve">Ownership Guideline Multiple of </w:t>
              <w:br/>
              <w:t>Annual Base Salary or Retainer</w:t>
            </w:r>
          </w:p>
        </w:tc>
      </w:tr>
      <w:tr>
        <w:trPr/>
        <w:tc>
          <w:tcPr>
            <w:tcW w:w="241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Directors</w:t>
            </w:r>
          </w:p>
        </w:tc>
        <w:tc>
          <w:tcPr>
            <w:tcW w:w="322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5x</w:t>
            </w:r>
          </w:p>
        </w:tc>
      </w:tr>
      <w:tr>
        <w:trPr/>
        <w:tc>
          <w:tcPr>
            <w:tcW w:w="241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Chief Executive Officer</w:t>
            </w:r>
          </w:p>
        </w:tc>
        <w:tc>
          <w:tcPr>
            <w:tcW w:w="3225"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6x</w:t>
            </w:r>
          </w:p>
        </w:tc>
      </w:tr>
      <w:tr>
        <w:trPr/>
        <w:tc>
          <w:tcPr>
            <w:tcW w:w="2415"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Chief Financial Officer</w:t>
            </w:r>
          </w:p>
        </w:tc>
        <w:tc>
          <w:tcPr>
            <w:tcW w:w="322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2x</w:t>
            </w:r>
          </w:p>
        </w:tc>
      </w:tr>
      <w:tr>
        <w:trPr/>
        <w:tc>
          <w:tcPr>
            <w:tcW w:w="2415"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All other officers</w:t>
            </w:r>
          </w:p>
        </w:tc>
        <w:tc>
          <w:tcPr>
            <w:tcW w:w="3225"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2x</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As of December 31, 2025, each of our NEOs had achieved his or her required ownership level, and each of our non-employee directors had achieved his or her required ownership level.</w:t>
      </w:r>
    </w:p>
    <w:p>
      <w:pPr>
        <w:pStyle w:val="TextBody"/>
        <w:bidi w:val="0"/>
        <w:spacing w:lineRule="auto" w:line="331"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following shares of our common stock are included in the calculation of each individual’s stock ownership, whether or not purchased on the open market or obtained through the exercise of stock options or the vesting of equity awards granted by us to such individual: </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 xml:space="preserve">shares owned outright and by members of his or her immediate family (as defined in Rule 16a-1(e) under the Securities Exchange Act of 1934, as amended) (a “Family Member”); </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shares held in trust for the benefit of such individual, or for the benefit of a Family Member of such individual;</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 xml:space="preserve">shares owed by an entity for which such individual serves as a partner or is otherwise materially affiliated with (as determined in the sole discretion of the Board), if such entity beneficially owns 2% or more of the outstanding shares of Enphase (as determined in accordance with applicable SEC rules and regulations); </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vested shares under any outstanding RSU awards; and</w:t>
      </w:r>
    </w:p>
    <w:p>
      <w:pPr>
        <w:pStyle w:val="TextBody"/>
        <w:bidi w:val="0"/>
        <w:spacing w:lineRule="auto" w:line="331" w:before="0" w:after="120"/>
        <w:ind w:left="0" w:right="0" w:hanging="180"/>
        <w:jc w:val="left"/>
        <w:rPr/>
      </w:pPr>
      <w:r>
        <w:rPr>
          <w:color w:val="000000"/>
        </w:rPr>
        <w:t>•</w:t>
      </w:r>
      <w:r>
        <w:rPr>
          <w:rFonts w:ascii="Avenir Next LT Pro;sans-serif" w:hAnsi="Avenir Next LT Pro;sans-serif"/>
          <w:b w:val="false"/>
          <w:color w:val="000000"/>
          <w:sz w:val="18"/>
        </w:rPr>
        <w:t>vested shares under any deferred compensation plan.</w:t>
      </w:r>
    </w:p>
    <w:p>
      <w:pPr>
        <w:pStyle w:val="TextBody"/>
        <w:bidi w:val="0"/>
        <w:spacing w:lineRule="auto" w:line="331"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Except as otherwise provided above, unvested equity awards and unexercised options do not count toward compliance.</w:t>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Equity Awards and Grant Administration</w:t>
      </w:r>
    </w:p>
    <w:p>
      <w:pPr>
        <w:pStyle w:val="TextBody"/>
        <w:bidi w:val="0"/>
        <w:spacing w:lineRule="auto" w:line="331"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Board has designated the Compensation Committee as the administrator of our 2021 Equity Incentive Plan (the “2021 Plan”). The Compensation Committee, among other things, selects award recipients under the 2021 Plan, approves the form of grant agreements, determines the terms and restrictions applicable to the equity awards and adopts sub-plans for particular locations, if and as required. </w:t>
      </w:r>
    </w:p>
    <w:p>
      <w:pPr>
        <w:pStyle w:val="TextBody"/>
        <w:bidi w:val="0"/>
        <w:spacing w:lineRule="auto" w:line="331"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accordance with the 2021 Plan, the Compensation Committee has delegated to our CEO the authority to approve a capped number of routine equity grants to new hires and consultants. Equity awards approved by the CEO are granted on or about the 15th (or first trading day thereafter) of each month. In addition, the Compensation Committee may consider additional grants to key employees for retention purposes on an ad hoc basis.</w:t>
      </w:r>
    </w:p>
    <w:p>
      <w:pPr>
        <w:pStyle w:val="TextBody"/>
        <w:bidi w:val="0"/>
        <w:spacing w:lineRule="auto" w:line="331"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Because we believe equity awards are an important part of our compensation program, we also grant equity awards on an annual basis to eligible employees, including our NEOs. The Compensation Committee generally approves these annual equity grants in the first quarter of each year for the NEOs and certain other key employees (through the PSP or other equivalent program), and in the third quarter of each year for all other eligible employees.</w:t>
      </w:r>
    </w:p>
    <w:p>
      <w:pPr>
        <w:pStyle w:val="TextBody"/>
        <w:bidi w:val="0"/>
        <w:spacing w:lineRule="auto" w:line="336"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Employees, including NEOs, in the PSP do not receive additional equity grants in the third quarter.</w:t>
      </w:r>
    </w:p>
    <w:p>
      <w:pPr>
        <w:pStyle w:val="TextBody"/>
        <w:bidi w:val="0"/>
        <w:spacing w:lineRule="auto" w:line="331"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We do not grant stock options, stock appreciation rights, or similar instruments with option-like features and have no policies or practices to disclose pursuant to Item 402(x)(1) of Regulation S-K. We do not take material nonpublic information into account when determining the timing and terms of equity awards, and do not time the disclosure of material nonpublic information for the purpose of affecting the value of executive compensation. We have not granted stock options, stock appreciation rights or similar instruments with option-like features in many years. We did not make any awards of stock options, stock appreciation rights or similar instruments with option-like features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401(k) Plan, ESPP, Welfare and Health Benefits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maintain a tax-qualified retirement plan that provides eligible U.S. employees, including our NEOs, with an opportunity to save for retirement on a tax-advantaged basis. Eligible employees may make voluntary contributions from their eligible pay, up to certain annual limits set by the Internal Revenue Code of 1986, as amended (the “Code”). In 2025, we used a matching formula for all participants in the 401(k) plan, including our NEOs, under which we matched $0.50 for each dollar contributed by a participant up to the first 6% of the participant’s deferral, to a maximum of $3,000 annually. The 401(k) plan is intended to be qualified under Section 401(a) of the Code with the 401(k) plan’s related trust intended to be tax exempt under Section 501(a) of the Code.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also offer our employees, including our NEOs, the opportunity to purchase shares of our common stock at a discount under our 2011 Employee Stock Purchase Plan (the “ESPP”). Under the ESPP, all eligible employees, including the NEOs, may allocate up to 15% of total compensation for that year to purchase our stock at a 15% discount to the market price, subject to specified limits.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we provide other benefits to our NEOs, on the same basis as to all of our full-time employees. These benefits include medical, dental and vision insurance plans, medical and dependent care flexible spending accounts, group life, short-term and long-term disability and accidental death and dismemberment insurance plans.</w:t>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Perquisites and Other Personal Benefits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Historically, we have not provided perquisites or other personal benefits to our NEOs, including in 2025. However, in the future we may provide such items in limited circumstances, such as when we believe it is appropriate to assist an individual in the performance of their duties, to make our executives more efficient and effective, and to recruit, motivate or retain executives. All future practices with respect to perquisites or other personal benefits for executives must be approved and subject to periodic review by the Compensation Committee.</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Tax and Accounting Implications</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Accounting for Stock-Based Compensation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Under ASC 718, we are required to estimate and record an expense for each award of equity compensation over the vesting period of the award. We record share-based compensation expense on an ongoing basis according to ASC 718.</w:t>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Deductibility of Executive Compensation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Section 162(m) of the Code generally places a $1 million annual deduction limit on compensation paid to “covered employees,” which includes our NEOs. The Compensation Committee makes compensation decisions based on our overall compensation philosophy and the interests of stockholders, even if such compensation is non-deductible by Enphase.</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Other Compensation Policies and Practices</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Clawback Policy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maintain an Executive Compensation Clawback Policy (the “Required Clawback Policy”), which is designed to comply with, and will be interpreted in a manner consistent with, Section 10D of the Exchange Act and the applicable Nasdaq rules. Under the Required Clawback Policy, in the event of an accounting restatement due to our material noncompliance with any financial reporting requirement under applicable securities laws, including any required accounting restatement to correct a material error in previously issued financial statements, or that would result in a material misstatement if the error was corrected in the current period or left uncorrected in the current period, we must recover erroneously awarded performance-based compensation previously paid to our executive officers in accordance with the terms of the Required Clawback Policy. Furthermore, under the Required Clawback Policy, we are prohibited from indemnifying any executive officer or former executive officer against the loss of erroneously awarded performance-based compensation and from paying or reimbursing an executive officer for purchasing insurance to cover any such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we also maintain clawback provisions that apply to all employees, including our NEOs, that receive equity awards under the 2025 PSP that allows the Board to recover any incentive-based compensation that was paid based on erroneous financial information reported under securities laws. Specifically, we may recoup any incentive compensation from any employee in the 2025 PSP if: (i) the employee engages in intentional misconduct pertaining to any financial reporting policy; (ii) there is a material negative revision of a financial or operating measure on the basis of which incentive compensation was awarded or paid to the employee; or (iii) the employee engages in any fraud, theft, misappropriation, embezzlement or dishonesty. Any recoupment will be made irrespective of whether the employee’s conduct contributed to the need for the restatement and/or revision. If triggered, to the fullest extent permitted by law we may require the employee to reimburse us for all or a portion of any incentive compensation received within the last 12 months from the date that the erroneous financial information was reported. The employee may also be required to remit to us any profits realized from the sale of our common stock within the last 12 months from the date the erroneous financial data was reported. The clawback amount will be calculated as the excess amount paid on the basis of the erroneous results.</w:t>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Policy Prohibiting Hedging and Pledging of Our Equity Securities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insider trading policy prohibits our directors, NEOs and any other employee required to comply with the blackout periods and pre-clearance requirements from engaging in short sales, transactions in put or call options, hedging transactions, pledges, or other inherently speculative transactions relating to our common stock. In addition, our directors, NEOs and any person required to comply with the blackout periods and pre-clearance requirements under our insider trading policy are prohibited from pledging our securities as collateral for loans and may not hold our securities in margin accounts unless permitted by the Clearing Officer with the approval of the Chair of the Board, Chair of the Audit Committee, or the Board.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Consistent with the terms of our insider trading policy, Mr. Rodgers has received permission to use our securities on an ongoing basis to secure a margin account(s).</w:t>
      </w:r>
    </w:p>
    <w:p>
      <w:pPr>
        <w:pStyle w:val="TextBody"/>
        <w:bidi w:val="0"/>
        <w:spacing w:lineRule="auto" w:line="288" w:before="0" w:after="120"/>
        <w:jc w:val="left"/>
        <w:rPr>
          <w:rFonts w:ascii="Avenir Next LT Pro;sans-serif" w:hAnsi="Avenir Next LT Pro;sans-serif"/>
          <w:b/>
          <w:color w:val="000000"/>
          <w:sz w:val="22"/>
        </w:rPr>
      </w:pPr>
      <w:r>
        <w:rPr>
          <w:rFonts w:ascii="Avenir Next LT Pro;sans-serif" w:hAnsi="Avenir Next LT Pro;sans-serif"/>
          <w:b/>
          <w:color w:val="000000"/>
          <w:sz w:val="22"/>
        </w:rPr>
        <w:t>Analysis of Risks Presented by Our Compensation Policies and Programs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has reviewed our compensation policies and practices to assess whether they encourage employees to take inappropriate risks. After reviewing and assessing our compensation philosophy, terms and practices, including the mix of fixed and variable, short- and long-term incentives and overall pay, incentive plan structures, and the checks and balances built into, and oversight of, each plan and practice,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risks; rather, it believes the mix of short-term compensation (in the form of salary and quarterly bonuses, if any, which are based on a variety of performance factors) and long-term compensation (in the form of PSU and time-based RSU grants) prevents undue focus on short-term results and helps align the interests of our NEOs with the interests of our stockholders. In addition, our insider trading policy and prohibition against hedging and pledging of our stock protects against short-term decision making by our NEOs, directors and others identified as covered insiders under our insider trading policy. The Compensation Committee intends to conduct an annual review of our compensation-related risk profile to ensure that our compensation programs do not encourage excessive or inappropriate risk-taking and that the level of risk that they do encourage is not reasonably likely to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Compensation Committee Report*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of the Board has reviewed and discussed the Compensation Discussion and Analysis required by Item 402(b) of Regulation S-K with management and, based on such review and discussions, the Compensation Committee of the Board recommended to the Board that the Compensation Discussion and Analysis be included in this Proxy Statement.</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Compensation Committee</w:t>
      </w:r>
    </w:p>
    <w:p>
      <w:pPr>
        <w:pStyle w:val="TextBody"/>
        <w:bidi w:val="0"/>
        <w:spacing w:lineRule="auto" w:line="336" w:before="0" w:after="600"/>
        <w:jc w:val="both"/>
        <w:rPr>
          <w:rFonts w:ascii="Avenir Next LT Pro;sans-serif" w:hAnsi="Avenir Next LT Pro;sans-serif"/>
          <w:b/>
          <w:color w:val="000000"/>
          <w:sz w:val="18"/>
        </w:rPr>
      </w:pPr>
      <w:r>
        <w:rPr>
          <w:rFonts w:ascii="Avenir Next LT Pro;sans-serif" w:hAnsi="Avenir Next LT Pro;sans-serif"/>
          <w:b/>
          <w:color w:val="000000"/>
          <w:sz w:val="18"/>
        </w:rPr>
        <w:t>Thurman John Rodgers, Chair</w:t>
        <w:br/>
        <w:t>Richard Mora, Member</w:t>
      </w:r>
    </w:p>
    <w:p>
      <w:pPr>
        <w:pStyle w:val="TextBody"/>
        <w:bidi w:val="0"/>
        <w:spacing w:lineRule="auto" w:line="336" w:before="0" w:after="180"/>
        <w:jc w:val="both"/>
        <w:rPr>
          <w:rFonts w:ascii="Avenir Next LT Pro;sans-serif" w:hAnsi="Avenir Next LT Pro;sans-serif"/>
          <w:b w:val="false"/>
          <w:i/>
          <w:color w:val="000000"/>
          <w:sz w:val="18"/>
        </w:rPr>
      </w:pPr>
      <w:r>
        <w:rPr>
          <w:rFonts w:ascii="Avenir Next LT Pro;sans-serif" w:hAnsi="Avenir Next LT Pro;sans-serif"/>
          <w:b w:val="false"/>
          <w:i/>
          <w:color w:val="000000"/>
          <w:sz w:val="18"/>
        </w:rPr>
        <w:t>*The material in this report is not “soliciting material,” is furnished to, but not deemed “filed” with, the SEC and is not deemed to be incorporated by reference in any of our filings under the Securities Act of 1933, as amended (the “Securities Act”), or the Exchange Act, other than our Annual Report on Form 10-K for the fiscal year ended December 31, 2025, as filed with the SEC on February 17, 2026,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45</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Summary Compensation Table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following table and footnotes show information regarding the total compensation of each NEO for 2025, 2024 and 2023. </w:t>
      </w:r>
    </w:p>
    <w:tbl>
      <w:tblPr>
        <w:tblW w:w="14545" w:type="dxa"/>
        <w:jc w:val="left"/>
        <w:tblInd w:w="0" w:type="dxa"/>
        <w:tblLayout w:type="fixed"/>
        <w:tblCellMar>
          <w:top w:w="28" w:type="dxa"/>
          <w:left w:w="28" w:type="dxa"/>
          <w:bottom w:w="28" w:type="dxa"/>
          <w:right w:w="28" w:type="dxa"/>
        </w:tblCellMar>
      </w:tblPr>
      <w:tblGrid>
        <w:gridCol w:w="998"/>
        <w:gridCol w:w="470"/>
        <w:gridCol w:w="303"/>
        <w:gridCol w:w="109"/>
        <w:gridCol w:w="109"/>
        <w:gridCol w:w="109"/>
        <w:gridCol w:w="194"/>
        <w:gridCol w:w="194"/>
        <w:gridCol w:w="198"/>
        <w:gridCol w:w="109"/>
        <w:gridCol w:w="109"/>
        <w:gridCol w:w="109"/>
        <w:gridCol w:w="294"/>
        <w:gridCol w:w="294"/>
        <w:gridCol w:w="298"/>
        <w:gridCol w:w="109"/>
        <w:gridCol w:w="109"/>
        <w:gridCol w:w="109"/>
        <w:gridCol w:w="230"/>
        <w:gridCol w:w="230"/>
        <w:gridCol w:w="231"/>
        <w:gridCol w:w="109"/>
        <w:gridCol w:w="265"/>
        <w:gridCol w:w="265"/>
        <w:gridCol w:w="266"/>
        <w:gridCol w:w="394"/>
        <w:gridCol w:w="394"/>
        <w:gridCol w:w="398"/>
        <w:gridCol w:w="109"/>
        <w:gridCol w:w="109"/>
        <w:gridCol w:w="109"/>
        <w:gridCol w:w="109"/>
        <w:gridCol w:w="1441"/>
        <w:gridCol w:w="109"/>
        <w:gridCol w:w="1441"/>
        <w:gridCol w:w="295"/>
        <w:gridCol w:w="295"/>
        <w:gridCol w:w="296"/>
        <w:gridCol w:w="586"/>
        <w:gridCol w:w="109"/>
        <w:gridCol w:w="109"/>
        <w:gridCol w:w="109"/>
        <w:gridCol w:w="214"/>
        <w:gridCol w:w="214"/>
        <w:gridCol w:w="218"/>
        <w:gridCol w:w="109"/>
        <w:gridCol w:w="109"/>
        <w:gridCol w:w="109"/>
        <w:gridCol w:w="109"/>
        <w:gridCol w:w="360"/>
        <w:gridCol w:w="360"/>
        <w:gridCol w:w="511"/>
      </w:tblGrid>
      <w:tr>
        <w:trPr/>
        <w:tc>
          <w:tcPr>
            <w:tcW w:w="99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 and Principal Position</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Year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Salary</w:t>
              <w:b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Bonus</w:t>
              <w:br/>
              <w:t>($)</w:t>
            </w:r>
          </w:p>
        </w:tc>
        <w:tc>
          <w:tcPr>
            <w:tcW w:w="109" w:type="dxa"/>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Stock Awards</w:t>
              <w:br/>
              <w:t>($)</w:t>
            </w:r>
            <w:r>
              <w:rPr>
                <w:rFonts w:ascii="Avenir Next LT Pro;sans-serif" w:hAnsi="Avenir Next LT Pro;sans-serif"/>
                <w:b/>
                <w:color w:val="FFFFFF"/>
                <w:sz w:val="10"/>
              </w:rPr>
              <w:t>(1)</w:t>
            </w:r>
          </w:p>
        </w:tc>
        <w:tc>
          <w:tcPr>
            <w:tcW w:w="1186"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Non-Equity Incentive Plan Compensation</w:t>
              <w:br/>
              <w:t>($)</w:t>
            </w:r>
          </w:p>
        </w:tc>
        <w:tc>
          <w:tcPr>
            <w:tcW w:w="109" w:type="dxa"/>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All Other Compensation</w:t>
              <w:br/>
              <w:t>($)</w:t>
            </w:r>
            <w:r>
              <w:rPr>
                <w:rFonts w:ascii="Avenir Next LT Pro;sans-serif" w:hAnsi="Avenir Next LT Pro;sans-serif"/>
                <w:b/>
                <w:color w:val="FFFFFF"/>
                <w:sz w:val="10"/>
              </w:rPr>
              <w:t>(2)</w:t>
            </w:r>
          </w:p>
        </w:tc>
        <w:tc>
          <w:tcPr>
            <w:tcW w:w="886"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Total</w:t>
              <w:br/>
              <w:t>($)</w:t>
            </w:r>
          </w:p>
        </w:tc>
        <w:tc>
          <w:tcPr>
            <w:tcW w:w="2640" w:type="dxa"/>
            <w:gridSpan w:val="13"/>
            <w:tcBorders/>
          </w:tcPr>
          <w:p>
            <w:pPr>
              <w:pStyle w:val="TableContents"/>
              <w:bidi w:val="0"/>
              <w:spacing w:before="0" w:after="283"/>
              <w:jc w:val="left"/>
              <w:rPr>
                <w:sz w:val="4"/>
                <w:szCs w:val="4"/>
              </w:rPr>
            </w:pPr>
            <w:r>
              <w:rPr>
                <w:sz w:val="4"/>
                <w:szCs w:val="4"/>
              </w:rPr>
            </w:r>
          </w:p>
        </w:tc>
      </w:tr>
      <w:tr>
        <w:trPr/>
        <w:tc>
          <w:tcPr>
            <w:tcW w:w="1771" w:type="dxa"/>
            <w:gridSpan w:val="3"/>
            <w:vMerge w:val="restart"/>
            <w:tcBorders/>
            <w:shd w:fill="FAF6EF" w:val="clear"/>
            <w:tcMar>
              <w:top w:w="0" w:type="dxa"/>
              <w:left w:w="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President and CEO</w:t>
            </w:r>
          </w:p>
        </w:tc>
        <w:tc>
          <w:tcPr>
            <w:tcW w:w="327" w:type="dxa"/>
            <w:gridSpan w:val="3"/>
            <w:tcBorders>
              <w:left w:val="single" w:sz="4" w:space="0" w:color="D6D6D6"/>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8,844,624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306,752</w:t>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582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9,601,958</w:t>
            </w:r>
          </w:p>
        </w:tc>
      </w:tr>
      <w:tr>
        <w:trPr/>
        <w:tc>
          <w:tcPr>
            <w:tcW w:w="1771"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12,156,580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22,843</w:t>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582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12,630,005</w:t>
            </w:r>
          </w:p>
        </w:tc>
      </w:tr>
      <w:tr>
        <w:trPr/>
        <w:tc>
          <w:tcPr>
            <w:tcW w:w="1771"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2023</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18,804,672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270,750</w:t>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19,527,534</w:t>
            </w:r>
          </w:p>
        </w:tc>
      </w:tr>
      <w:tr>
        <w:trPr/>
        <w:tc>
          <w:tcPr>
            <w:tcW w:w="1771" w:type="dxa"/>
            <w:gridSpan w:val="3"/>
            <w:vMerge w:val="continue"/>
            <w:tcBorders/>
            <w:shd w:fill="FAF6E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vMerge w:val="restart"/>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EVP and CFO</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4,717,133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205,160</w:t>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3,582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5,293,375</w:t>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6,321,421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16,128</w:t>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3,582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6,708,631</w:t>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6,111,519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16,128</w:t>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4,920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6,495,692</w:t>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1The dollar amounts in this column represent the aggregate grant date fair value of time-based RSU awards and PSU awards granted for the years indicated calculated in accordance with ASC 718, disregarding the estimate for forfeitures. For a discussion of the valuation methodology used, see Note 15, “Stock-Based Compensation” of the notes to consolidated financial statements included in Item 8 of the Annual Report on Form 10</w:t>
        <w:noBreakHyphen/>
        <w:t>K. Assuming that maximum performance is achieved, the value of the PSU awards subject to 2025 Annual CEO SMART Goals at the date of grant would have been as follows: Mr. Kothandaraman - $3,887,730; and Ms. Yang- $2,073,456. With respect to the 2025 Annual CEO SMART Goal PSUs, grant date fair values, as computed in accordance with ASC 718 and presented in the table above and below under “2025 Grants of Plan Based Awards” are based upon the then probable outcome of the performance condition. The amounts reported in this column do not necessarily correspond to the actual value that may be realized from the awards by the NEOs.</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2The amounts in this column for 2025, consist of $3,000 in matching 401(k) contributions for our CFO (and not for Mr. Kothandaraman, who did not participate in the 401(k) plan), and group term life insurance payments for each NEO as follows: Mr. Kothandaraman - $582; and Ms. Yang - $582.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Grants of Plan-Based Awards - 2025</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shows information regarding the incentive awards granted to our NEOs for 2025.</w:t>
      </w:r>
    </w:p>
    <w:tbl>
      <w:tblPr>
        <w:tblW w:w="13781" w:type="dxa"/>
        <w:jc w:val="left"/>
        <w:tblInd w:w="0" w:type="dxa"/>
        <w:tblLayout w:type="fixed"/>
        <w:tblCellMar>
          <w:top w:w="28" w:type="dxa"/>
          <w:left w:w="28" w:type="dxa"/>
          <w:bottom w:w="28" w:type="dxa"/>
          <w:right w:w="28" w:type="dxa"/>
        </w:tblCellMar>
      </w:tblPr>
      <w:tblGrid>
        <w:gridCol w:w="859"/>
        <w:gridCol w:w="586"/>
        <w:gridCol w:w="326"/>
        <w:gridCol w:w="109"/>
        <w:gridCol w:w="109"/>
        <w:gridCol w:w="109"/>
        <w:gridCol w:w="109"/>
        <w:gridCol w:w="109"/>
        <w:gridCol w:w="205"/>
        <w:gridCol w:w="205"/>
        <w:gridCol w:w="206"/>
        <w:gridCol w:w="109"/>
        <w:gridCol w:w="109"/>
        <w:gridCol w:w="109"/>
        <w:gridCol w:w="109"/>
        <w:gridCol w:w="109"/>
        <w:gridCol w:w="630"/>
        <w:gridCol w:w="128"/>
        <w:gridCol w:w="128"/>
        <w:gridCol w:w="128"/>
        <w:gridCol w:w="128"/>
        <w:gridCol w:w="128"/>
        <w:gridCol w:w="731"/>
        <w:gridCol w:w="128"/>
        <w:gridCol w:w="132"/>
        <w:gridCol w:w="109"/>
        <w:gridCol w:w="109"/>
        <w:gridCol w:w="109"/>
        <w:gridCol w:w="109"/>
        <w:gridCol w:w="109"/>
        <w:gridCol w:w="418"/>
        <w:gridCol w:w="418"/>
        <w:gridCol w:w="215"/>
        <w:gridCol w:w="109"/>
        <w:gridCol w:w="109"/>
        <w:gridCol w:w="109"/>
        <w:gridCol w:w="418"/>
        <w:gridCol w:w="239"/>
        <w:gridCol w:w="109"/>
        <w:gridCol w:w="109"/>
        <w:gridCol w:w="109"/>
        <w:gridCol w:w="109"/>
        <w:gridCol w:w="418"/>
        <w:gridCol w:w="418"/>
        <w:gridCol w:w="155"/>
        <w:gridCol w:w="109"/>
        <w:gridCol w:w="109"/>
        <w:gridCol w:w="109"/>
        <w:gridCol w:w="492"/>
        <w:gridCol w:w="137"/>
        <w:gridCol w:w="137"/>
        <w:gridCol w:w="137"/>
        <w:gridCol w:w="137"/>
        <w:gridCol w:w="141"/>
        <w:gridCol w:w="109"/>
        <w:gridCol w:w="109"/>
        <w:gridCol w:w="109"/>
        <w:gridCol w:w="109"/>
        <w:gridCol w:w="109"/>
        <w:gridCol w:w="109"/>
        <w:gridCol w:w="109"/>
        <w:gridCol w:w="109"/>
        <w:gridCol w:w="109"/>
        <w:gridCol w:w="109"/>
        <w:gridCol w:w="109"/>
        <w:gridCol w:w="109"/>
        <w:gridCol w:w="535"/>
        <w:gridCol w:w="53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9"/>
            <w:tcBorders>
              <w:top w:val="single" w:sz="2" w:space="0" w:color="3C3C3C"/>
            </w:tcBorders>
            <w:tcMar>
              <w:top w:w="3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3C3C3C"/>
                <w:sz w:val="16"/>
              </w:rPr>
              <w:t>Estimated Possible Payouts Under Non-Equity Incentive Plan Awards</w:t>
            </w:r>
            <w:r>
              <w:rPr>
                <w:rFonts w:ascii="Avenir Next LT Pro;sans-serif" w:hAnsi="Avenir Next LT Pro;sans-serif"/>
                <w:b/>
                <w:color w:val="3C3C3C"/>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2" w:type="dxa"/>
            <w:gridSpan w:val="15"/>
            <w:tcBorders>
              <w:top w:val="single" w:sz="2" w:space="0" w:color="3C3C3C"/>
            </w:tcBorders>
            <w:tcMar>
              <w:top w:w="3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3C3C3C"/>
                <w:sz w:val="16"/>
              </w:rPr>
              <w:t>Estimated Possible Payouts Under Equity Incentive Plan Awards</w:t>
            </w:r>
            <w:r>
              <w:rPr>
                <w:rFonts w:ascii="Avenir Next LT Pro;sans-serif" w:hAnsi="Avenir Next LT Pro;sans-serif"/>
                <w:b/>
                <w:color w:val="3C3C3C"/>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6"/>
            <w:vMerge w:val="restart"/>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All Other Stock Awards:</w:t>
            </w:r>
          </w:p>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Number of Shares of Stock or Units</w:t>
            </w:r>
          </w:p>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Grant Date Fair Value of Stock Awards</w:t>
              <w:br/>
              <w:t>($)</w:t>
            </w:r>
            <w:r>
              <w:rPr>
                <w:rFonts w:ascii="Avenir Next LT Pro;sans-serif" w:hAnsi="Avenir Next LT Pro;sans-serif"/>
                <w:b/>
                <w:color w:val="FFFFFF"/>
                <w:sz w:val="10"/>
              </w:rPr>
              <w:t>(3)</w:t>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Grant Date</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Target</w:t>
              <w:br/>
              <w:t>($)</w:t>
            </w:r>
          </w:p>
        </w:tc>
        <w:tc>
          <w:tcPr>
            <w:tcW w:w="384"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Maximum</w:t>
              <w:b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Threshold</w:t>
              <w:b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Target</w:t>
              <w:b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Maximum</w:t>
              <w:b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6"/>
            <w:vMerge w:val="continue"/>
            <w:tcBorders/>
            <w:shd w:fill="3C3C3C"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shd w:fill="3C3C3C" w:val="clear"/>
            <w:tcMar>
              <w:top w:w="0" w:type="dxa"/>
              <w:left w:w="0" w:type="dxa"/>
              <w:bottom w:w="0" w:type="dxa"/>
              <w:right w:w="0" w:type="dxa"/>
            </w:tcMar>
            <w:vAlign w:val="center"/>
          </w:tcPr>
          <w:p>
            <w:pPr>
              <w:pStyle w:val="Normal"/>
              <w:bidi w:val="0"/>
              <w:jc w:val="left"/>
              <w:rPr/>
            </w:pPr>
            <w:r>
              <w:rPr/>
            </w:r>
          </w:p>
        </w:tc>
        <w:tc>
          <w:tcPr>
            <w:tcW w:w="1066" w:type="dxa"/>
            <w:gridSpan w:val="3"/>
            <w:vMerge w:val="continue"/>
            <w:tcBorders/>
            <w:shd w:fill="3C3C3C" w:val="clear"/>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7"/>
            <w:tcBorders/>
          </w:tcPr>
          <w:p>
            <w:pPr>
              <w:pStyle w:val="TableContents"/>
              <w:bidi w:val="0"/>
              <w:spacing w:before="0" w:after="283"/>
              <w:jc w:val="left"/>
              <w:rPr>
                <w:sz w:val="4"/>
                <w:szCs w:val="4"/>
              </w:rPr>
            </w:pPr>
            <w:r>
              <w:rPr>
                <w:sz w:val="4"/>
                <w:szCs w:val="4"/>
              </w:rPr>
            </w:r>
          </w:p>
        </w:tc>
      </w:tr>
      <w:tr>
        <w:trPr/>
        <w:tc>
          <w:tcPr>
            <w:tcW w:w="1771" w:type="dxa"/>
            <w:gridSpan w:val="3"/>
            <w:vMerge w:val="restart"/>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8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c>
          <w:tcPr>
            <w:tcW w:w="415"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2,591,820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8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19,800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59,400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415"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2,591,820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8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40,800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81,600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415"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3,660,984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450,000</w:t>
            </w:r>
          </w:p>
        </w:tc>
        <w:tc>
          <w:tcPr>
            <w:tcW w:w="38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810,000</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415"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restart"/>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c>
          <w:tcPr>
            <w:tcW w:w="415"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1,382,304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415"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1,382,304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5"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1,952,525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275,625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496,125</w:t>
            </w:r>
          </w:p>
        </w:tc>
        <w:tc>
          <w:tcPr>
            <w:tcW w:w="327"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1This column sets forth the target and maximum amount of each NEO’s annual performance-based bonus for the fiscal year ended December 31, 2025 under our quarterly cash performance-based bonus plan. Accordingly, the amounts set forth in this column do not represent actual compensation earned by our NEOs for the fiscal year ended December 31, 2025. The performance-based bonus is determined by multiplying the NEO’s base salary by (a) the applicable Bonus Percentage, (b) the Company Performance Factor (0 to 1.0x), (c) the Funding Factor (0 to 1.5x), and (d) the Individual Performance Factor (0 to 1.2x), for an overall maximum payout equal to 1.8 times target. For the actual quarterly performance-based bonuses paid to our NEOs for the fiscal year ended December 31, 2025, please refer to the “Summary Compensation Table” above. For a further discussion of the 2025 Bonus Program, please refer to the section entitled “Compensation Discussion and Analysis - Short-Term Incentive Compensation” above.</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2These columns set forth the threshold, target and maximum number of PSUs that could be earned by our NEOs pursuant to awards made under the 2025 PSP, as further described in footnotes 5 and 6 below. For additional details regarding the 2025 PSP, please refer to the section entitled “Compensation Discussion and Analysis - Equity-Based Incentive Compensation.”</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3Amounts represent the grant date fair value of each stock award granted in 2025. In accordance with ASC 718, the grant date fair value per share subject to (i) each time-based vesting RSU and the at target number of PSUs that could be earned based on achievement of the 2025 Annual CEO SMART Goals is computed based on the closing price of our common stock as reported on the Nasdaq Global Market ($65.45 as of January 14, 2025 grant date), and (ii) the PSUs that could be earned based on achievement of the relative TSR goals is computed based on the estimated fair value per share using a Monte Carlo simulation ($89.73 as of the January 14, 2025 grant date). See Note 15, “Stock-Based Compensation” of the notes to consolidated financial statements included in Part II, Item 8 of the Annual Report on Form 10-K, regarding assumptions underlying the valuation of stock awards and the calculation method. The grant date fair value computed in accordance with ASC 718 represents the amount we expect to expense for accounting purposes over the award's vesting schedule, and not the actual value that will be realized by the NEOs to the extent the awards vest. In addition to the level of performance achieved, the realized value of the PSUs earned will be determined by the price of our stock on the date any shares are issued at the end of the performance period, which may be more or less than the grant date fair value. </w:t>
      </w:r>
    </w:p>
    <w:p>
      <w:pPr>
        <w:pStyle w:val="TextBody"/>
        <w:bidi w:val="0"/>
        <w:spacing w:lineRule="auto" w:line="288" w:before="0" w:after="60"/>
        <w:ind w:left="0" w:right="0" w:hanging="270"/>
        <w:jc w:val="both"/>
        <w:rPr/>
      </w:pPr>
      <w:r>
        <w:rPr>
          <w:rFonts w:ascii="Avenir Next LT Pro;sans-serif" w:hAnsi="Avenir Next LT Pro;sans-serif"/>
          <w:b w:val="false"/>
          <w:color w:val="7D7D7D"/>
          <w:sz w:val="16"/>
        </w:rPr>
        <w:t>4The shares subject to the RSU award vest over a three-year period, with 1/3</w:t>
      </w:r>
      <w:r>
        <w:rPr>
          <w:rFonts w:ascii="Avenir Next LT Pro;sans-serif" w:hAnsi="Avenir Next LT Pro;sans-serif"/>
          <w:b w:val="false"/>
          <w:color w:val="7D7D7D"/>
          <w:sz w:val="10"/>
        </w:rPr>
        <w:t>rd</w:t>
      </w:r>
      <w:r>
        <w:rPr>
          <w:color w:val="7D7D7D"/>
        </w:rPr>
        <w:t xml:space="preserve"> </w:t>
      </w:r>
      <w:r>
        <w:rPr>
          <w:rFonts w:ascii="Avenir Next LT Pro;sans-serif" w:hAnsi="Avenir Next LT Pro;sans-serif"/>
          <w:b w:val="false"/>
          <w:color w:val="7D7D7D"/>
          <w:sz w:val="16"/>
        </w:rPr>
        <w:t>of the RSUs vesting on each of March 1, 2026, March 1, 2027 and March 1, 2028.</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5The shares subject to the PSU award vest upon achievement of the 2025 Annual CEO SMART Goals and were eligible to vest on March 1, 2026. For a further discussion of these PSUs, please refer to the section entitled “Compensation Discussion and Analysis - Equity-Based Incentive Compensation.” Based on the achievement of the performance criteria related to the performance of the 2025 Annual CEO SMART Goals during 2025, 100% of the PSUs at target vested on March 1, 2026.</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6The shares subject to the PSU award are eligible to vest on March 1, 2028 depending on the three-year TSR performance of Enphase relative to S&amp;P 500 companies. For a further discussion of these PSUs, please refer to the section entitled “Compensation Discussion and Analysis - Equity-Based Incentive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Outstanding Equity Awards — at December 31, 2025</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shows information regarding the outstanding equity awards held by each of our NEOs as of December 31, 2025.</w:t>
      </w:r>
    </w:p>
    <w:tbl>
      <w:tblPr>
        <w:tblW w:w="10205" w:type="dxa"/>
        <w:jc w:val="left"/>
        <w:tblInd w:w="0" w:type="dxa"/>
        <w:tblLayout w:type="fixed"/>
        <w:tblCellMar>
          <w:top w:w="28" w:type="dxa"/>
          <w:left w:w="28" w:type="dxa"/>
          <w:bottom w:w="28" w:type="dxa"/>
          <w:right w:w="28" w:type="dxa"/>
        </w:tblCellMar>
      </w:tblPr>
      <w:tblGrid>
        <w:gridCol w:w="851"/>
        <w:gridCol w:w="328"/>
        <w:gridCol w:w="329"/>
        <w:gridCol w:w="109"/>
        <w:gridCol w:w="109"/>
        <w:gridCol w:w="109"/>
        <w:gridCol w:w="109"/>
        <w:gridCol w:w="109"/>
        <w:gridCol w:w="109"/>
        <w:gridCol w:w="109"/>
        <w:gridCol w:w="109"/>
        <w:gridCol w:w="109"/>
        <w:gridCol w:w="109"/>
        <w:gridCol w:w="109"/>
        <w:gridCol w:w="553"/>
        <w:gridCol w:w="554"/>
        <w:gridCol w:w="450"/>
        <w:gridCol w:w="450"/>
        <w:gridCol w:w="451"/>
        <w:gridCol w:w="109"/>
        <w:gridCol w:w="109"/>
        <w:gridCol w:w="109"/>
        <w:gridCol w:w="422"/>
        <w:gridCol w:w="348"/>
        <w:gridCol w:w="349"/>
        <w:gridCol w:w="109"/>
        <w:gridCol w:w="109"/>
        <w:gridCol w:w="109"/>
        <w:gridCol w:w="254"/>
        <w:gridCol w:w="254"/>
        <w:gridCol w:w="258"/>
        <w:gridCol w:w="351"/>
        <w:gridCol w:w="351"/>
        <w:gridCol w:w="352"/>
        <w:gridCol w:w="109"/>
        <w:gridCol w:w="109"/>
        <w:gridCol w:w="109"/>
        <w:gridCol w:w="323"/>
        <w:gridCol w:w="323"/>
        <w:gridCol w:w="474"/>
      </w:tblGrid>
      <w:tr>
        <w:trPr/>
        <w:tc>
          <w:tcPr>
            <w:tcW w:w="85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8"/>
            <w:tcBorders>
              <w:top w:val="single" w:sz="2" w:space="0" w:color="3C3C3C"/>
            </w:tcBorders>
            <w:tcMar>
              <w:top w:w="3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3C3C3C"/>
                <w:sz w:val="16"/>
              </w:rPr>
            </w:pPr>
            <w:r>
              <w:rPr>
                <w:rFonts w:ascii="Avenir Next LT Pro;sans-serif" w:hAnsi="Avenir Next LT Pro;sans-serif"/>
                <w:b/>
                <w:color w:val="3C3C3C"/>
                <w:sz w:val="16"/>
              </w:rPr>
              <w:t>Stock Awards</w:t>
            </w:r>
          </w:p>
        </w:tc>
        <w:tc>
          <w:tcPr>
            <w:tcW w:w="6391" w:type="dxa"/>
            <w:gridSpan w:val="24"/>
            <w:tcBorders/>
          </w:tcPr>
          <w:p>
            <w:pPr>
              <w:pStyle w:val="TableContents"/>
              <w:bidi w:val="0"/>
              <w:spacing w:before="0" w:after="283"/>
              <w:jc w:val="left"/>
              <w:rPr>
                <w:sz w:val="4"/>
                <w:szCs w:val="4"/>
              </w:rPr>
            </w:pPr>
            <w:r>
              <w:rPr>
                <w:sz w:val="4"/>
                <w:szCs w:val="4"/>
              </w:rPr>
            </w:r>
          </w:p>
        </w:tc>
      </w:tr>
      <w:tr>
        <w:trPr/>
        <w:tc>
          <w:tcPr>
            <w:tcW w:w="1508"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Number of Shares or Units of Stock That Have Not Vested</w:t>
            </w:r>
            <w:r>
              <w:rPr>
                <w:rFonts w:ascii="Avenir Next LT Pro;sans-serif" w:hAnsi="Avenir Next LT Pro;sans-serif"/>
                <w:b/>
                <w:color w:val="FFFFFF"/>
                <w:sz w:val="10"/>
              </w:rPr>
              <w:br/>
            </w:r>
            <w:r>
              <w:rPr>
                <w:rFonts w:ascii="Avenir Next LT Pro;sans-serif" w:hAnsi="Avenir Next LT Pro;sans-serif"/>
                <w:b/>
                <w:color w:val="FFFFFF"/>
                <w:sz w:val="16"/>
              </w:rPr>
              <w:t>(#)</w:t>
            </w:r>
          </w:p>
        </w:tc>
        <w:tc>
          <w:tcPr>
            <w:tcW w:w="135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Market Value of Shares or Units of Stock That Have Not Vested</w:t>
            </w:r>
            <w:r>
              <w:rPr>
                <w:rFonts w:ascii="Avenir Next LT Pro;sans-serif" w:hAnsi="Avenir Next LT Pro;sans-serif"/>
                <w:b/>
                <w:color w:val="FFFFFF"/>
                <w:sz w:val="10"/>
              </w:rPr>
              <w:t>(1)(2)</w:t>
              <w:br/>
            </w:r>
            <w:r>
              <w:rPr>
                <w:rFonts w:ascii="Avenir Next LT Pro;sans-serif" w:hAnsi="Avenir Next LT Pro;sans-serif"/>
                <w:b/>
                <w:color w:val="FFFFFF"/>
                <w:sz w:val="16"/>
              </w:rP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Equity Incentive Plan Awards: Number of Unearned Shares, Units or Other Rights That Have Not Vested</w:t>
            </w:r>
            <w:r>
              <w:rPr>
                <w:rFonts w:ascii="Avenir Next LT Pro;sans-serif" w:hAnsi="Avenir Next LT Pro;sans-serif"/>
                <w:b/>
                <w:color w:val="FFFFFF"/>
                <w:sz w:val="10"/>
              </w:rPr>
              <w:br/>
            </w:r>
            <w:r>
              <w:rPr>
                <w:rFonts w:ascii="Avenir Next LT Pro;sans-serif" w:hAnsi="Avenir Next LT Pro;sans-serif"/>
                <w:b/>
                <w:color w:val="FFFFFF"/>
                <w:sz w:val="16"/>
              </w:rPr>
              <w:t>(#)</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Equity Incentive Plan Awards: Market or Payout Value of Unearned Shares, Units or Other Rights That Have Not Vested</w:t>
            </w:r>
            <w:r>
              <w:rPr>
                <w:rFonts w:ascii="Avenir Next LT Pro;sans-serif" w:hAnsi="Avenir Next LT Pro;sans-serif"/>
                <w:b/>
                <w:color w:val="FFFFFF"/>
                <w:sz w:val="10"/>
              </w:rPr>
              <w:t>(1)(2)</w:t>
            </w:r>
          </w:p>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w:t>
            </w:r>
          </w:p>
        </w:tc>
        <w:tc>
          <w:tcPr>
            <w:tcW w:w="1447" w:type="dxa"/>
            <w:gridSpan w:val="6"/>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vMerge w:val="restart"/>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rial;sans-serif" w:hAnsi="Arial;sans-serif"/>
                <w:b/>
                <w:color w:val="000000"/>
                <w:sz w:val="18"/>
              </w:rPr>
            </w:pPr>
            <w:r>
              <w:rPr>
                <w:rFonts w:ascii="Arial;sans-serif" w:hAnsi="Arial;sans-serif"/>
                <w:b/>
                <w:color w:val="000000"/>
                <w:sz w:val="18"/>
              </w:rPr>
              <w:t>Badrinarayanan Kothandaraman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8,800</w:t>
            </w:r>
          </w:p>
        </w:tc>
        <w:tc>
          <w:tcPr>
            <w:tcW w:w="327"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(3)</w:t>
            </w:r>
          </w:p>
        </w:tc>
        <w:tc>
          <w:tcPr>
            <w:tcW w:w="111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282,040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5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1508"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22,000</w:t>
            </w:r>
          </w:p>
        </w:tc>
        <w:tc>
          <w:tcPr>
            <w:tcW w:w="327"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(4)</w:t>
            </w:r>
          </w:p>
        </w:tc>
        <w:tc>
          <w:tcPr>
            <w:tcW w:w="111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705,100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5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1508"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c>
          <w:tcPr>
            <w:tcW w:w="327"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(5)</w:t>
            </w:r>
          </w:p>
        </w:tc>
        <w:tc>
          <w:tcPr>
            <w:tcW w:w="111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1,269,180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39,600</w:t>
            </w:r>
          </w:p>
        </w:tc>
        <w:tc>
          <w:tcPr>
            <w:tcW w:w="105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1,269,180</w:t>
            </w:r>
          </w:p>
        </w:tc>
      </w:tr>
      <w:tr>
        <w:trPr/>
        <w:tc>
          <w:tcPr>
            <w:tcW w:w="1508"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34,000</w:t>
            </w:r>
          </w:p>
        </w:tc>
        <w:tc>
          <w:tcPr>
            <w:tcW w:w="105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(7)</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1,089,700</w:t>
            </w:r>
          </w:p>
        </w:tc>
      </w:tr>
      <w:tr>
        <w:trPr/>
        <w:tc>
          <w:tcPr>
            <w:tcW w:w="1508"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40,800</w:t>
            </w:r>
          </w:p>
        </w:tc>
        <w:tc>
          <w:tcPr>
            <w:tcW w:w="105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1,307,640</w:t>
            </w:r>
          </w:p>
        </w:tc>
      </w:tr>
      <w:tr>
        <w:trPr/>
        <w:tc>
          <w:tcPr>
            <w:tcW w:w="1508" w:type="dxa"/>
            <w:gridSpan w:val="3"/>
            <w:vMerge w:val="restart"/>
            <w:tcBorders>
              <w:left w:val="single" w:sz="2" w:space="0" w:color="929292"/>
            </w:tcBorders>
            <w:tcMar>
              <w:top w:w="0" w:type="dxa"/>
              <w:left w:w="14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(9)</w:t>
            </w:r>
          </w:p>
        </w:tc>
        <w:tc>
          <w:tcPr>
            <w:tcW w:w="111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80,125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1508" w:type="dxa"/>
            <w:gridSpan w:val="3"/>
            <w:vMerge w:val="continue"/>
            <w:tcBorders>
              <w:left w:val="single" w:sz="2" w:space="0" w:color="929292"/>
            </w:tcBorders>
            <w:tcMar>
              <w:top w:w="0" w:type="dxa"/>
              <w:left w:w="14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2,860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(3)</w:t>
            </w:r>
          </w:p>
        </w:tc>
        <w:tc>
          <w:tcPr>
            <w:tcW w:w="111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91,663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1508" w:type="dxa"/>
            <w:gridSpan w:val="3"/>
            <w:vMerge w:val="continue"/>
            <w:tcBorders>
              <w:left w:val="single" w:sz="2" w:space="0" w:color="929292"/>
            </w:tcBorders>
            <w:tcMar>
              <w:top w:w="0" w:type="dxa"/>
              <w:left w:w="14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11,440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(4)</w:t>
            </w:r>
          </w:p>
        </w:tc>
        <w:tc>
          <w:tcPr>
            <w:tcW w:w="111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366,652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1508" w:type="dxa"/>
            <w:gridSpan w:val="3"/>
            <w:vMerge w:val="continue"/>
            <w:tcBorders>
              <w:left w:val="single" w:sz="2" w:space="0" w:color="929292"/>
            </w:tcBorders>
            <w:tcMar>
              <w:top w:w="0" w:type="dxa"/>
              <w:left w:w="14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(5)</w:t>
            </w:r>
          </w:p>
        </w:tc>
        <w:tc>
          <w:tcPr>
            <w:tcW w:w="111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676,896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left w:val="single" w:sz="2" w:space="0" w:color="929292"/>
            </w:tcBorders>
            <w:tcMar>
              <w:top w:w="0" w:type="dxa"/>
              <w:left w:w="14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vMerge w:val="continue"/>
            <w:tcBorders>
              <w:left w:val="single" w:sz="2" w:space="0" w:color="929292"/>
            </w:tcBorders>
            <w:tcMar>
              <w:top w:w="0" w:type="dxa"/>
              <w:left w:w="14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21,120</w:t>
            </w:r>
          </w:p>
        </w:tc>
        <w:tc>
          <w:tcPr>
            <w:tcW w:w="105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676,896</w:t>
            </w:r>
          </w:p>
        </w:tc>
      </w:tr>
      <w:tr>
        <w:trPr/>
        <w:tc>
          <w:tcPr>
            <w:tcW w:w="1508" w:type="dxa"/>
            <w:gridSpan w:val="3"/>
            <w:vMerge w:val="continue"/>
            <w:tcBorders>
              <w:left w:val="single" w:sz="2" w:space="0" w:color="929292"/>
            </w:tcBorders>
            <w:tcMar>
              <w:top w:w="0" w:type="dxa"/>
              <w:left w:w="14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17,680</w:t>
            </w:r>
          </w:p>
        </w:tc>
        <w:tc>
          <w:tcPr>
            <w:tcW w:w="105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566,644</w:t>
            </w:r>
          </w:p>
        </w:tc>
      </w:tr>
      <w:tr>
        <w:trPr/>
        <w:tc>
          <w:tcPr>
            <w:tcW w:w="1508"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21,760</w:t>
            </w:r>
          </w:p>
        </w:tc>
        <w:tc>
          <w:tcPr>
            <w:tcW w:w="105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697,408</w:t>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2501" w:type="dxa"/>
            <w:gridSpan w:val="9"/>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2501" w:type="dxa"/>
            <w:gridSpan w:val="9"/>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2501" w:type="dxa"/>
            <w:gridSpan w:val="9"/>
            <w:tcBorders/>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1Vesting of each stock award is contingent upon the NEO’s continued service, except as may be accelerated on certain events described below under “Employment Contracts and Termination of Employment and Change of Control Arrangements.”</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2The dollar amounts in this column represent the market value of the shares underlying the RSUs is based on the closing price of our common stock of $32.05 on December 31, 2025, the last trading day in 2025.</w:t>
      </w:r>
    </w:p>
    <w:p>
      <w:pPr>
        <w:pStyle w:val="TextBody"/>
        <w:bidi w:val="0"/>
        <w:spacing w:lineRule="auto" w:line="288" w:before="0" w:after="60"/>
        <w:ind w:left="0" w:right="0" w:hanging="270"/>
        <w:jc w:val="both"/>
        <w:rPr/>
      </w:pPr>
      <w:r>
        <w:rPr>
          <w:rFonts w:ascii="Avenir Next LT Pro;sans-serif" w:hAnsi="Avenir Next LT Pro;sans-serif"/>
          <w:b w:val="false"/>
          <w:color w:val="7D7D7D"/>
          <w:sz w:val="16"/>
        </w:rPr>
        <w:t>3The shares subject to the RSU award vest over a three-year period, with 1/3</w:t>
      </w:r>
      <w:r>
        <w:rPr>
          <w:rFonts w:ascii="Avenir Next LT Pro;sans-serif" w:hAnsi="Avenir Next LT Pro;sans-serif"/>
          <w:b w:val="false"/>
          <w:color w:val="7D7D7D"/>
          <w:sz w:val="10"/>
        </w:rPr>
        <w:t>rd</w:t>
      </w:r>
      <w:r>
        <w:rPr>
          <w:color w:val="7D7D7D"/>
        </w:rPr>
        <w:t xml:space="preserve"> </w:t>
      </w:r>
      <w:r>
        <w:rPr>
          <w:rFonts w:ascii="Avenir Next LT Pro;sans-serif" w:hAnsi="Avenir Next LT Pro;sans-serif"/>
          <w:b w:val="false"/>
          <w:color w:val="7D7D7D"/>
          <w:sz w:val="16"/>
        </w:rPr>
        <w:t>of the RSUs vesting on each of March 1, 2024, March 1, 2025 and March 1, 2026.</w:t>
      </w:r>
    </w:p>
    <w:p>
      <w:pPr>
        <w:pStyle w:val="TextBody"/>
        <w:bidi w:val="0"/>
        <w:spacing w:lineRule="auto" w:line="288" w:before="0" w:after="60"/>
        <w:ind w:left="0" w:right="0" w:hanging="270"/>
        <w:jc w:val="both"/>
        <w:rPr/>
      </w:pPr>
      <w:r>
        <w:rPr>
          <w:rFonts w:ascii="Avenir Next LT Pro;sans-serif" w:hAnsi="Avenir Next LT Pro;sans-serif"/>
          <w:b w:val="false"/>
          <w:color w:val="7D7D7D"/>
          <w:sz w:val="16"/>
        </w:rPr>
        <w:t>4The shares subject to the RSU award vest over a three-year period, with 1/3</w:t>
      </w:r>
      <w:r>
        <w:rPr>
          <w:rFonts w:ascii="Avenir Next LT Pro;sans-serif" w:hAnsi="Avenir Next LT Pro;sans-serif"/>
          <w:b w:val="false"/>
          <w:color w:val="7D7D7D"/>
          <w:sz w:val="10"/>
        </w:rPr>
        <w:t>rd</w:t>
      </w:r>
      <w:r>
        <w:rPr>
          <w:color w:val="7D7D7D"/>
        </w:rPr>
        <w:t xml:space="preserve"> </w:t>
      </w:r>
      <w:r>
        <w:rPr>
          <w:rFonts w:ascii="Avenir Next LT Pro;sans-serif" w:hAnsi="Avenir Next LT Pro;sans-serif"/>
          <w:b w:val="false"/>
          <w:color w:val="7D7D7D"/>
          <w:sz w:val="16"/>
        </w:rPr>
        <w:t>of the RSUs vesting on each of March 1, 2025, March 1, 2026 and March 1, 2027.</w:t>
      </w:r>
    </w:p>
    <w:p>
      <w:pPr>
        <w:pStyle w:val="TextBody"/>
        <w:bidi w:val="0"/>
        <w:spacing w:lineRule="auto" w:line="288" w:before="0" w:after="60"/>
        <w:ind w:left="0" w:right="0" w:hanging="270"/>
        <w:jc w:val="both"/>
        <w:rPr/>
      </w:pPr>
      <w:r>
        <w:rPr>
          <w:rFonts w:ascii="Avenir Next LT Pro;sans-serif" w:hAnsi="Avenir Next LT Pro;sans-serif"/>
          <w:b w:val="false"/>
          <w:color w:val="7D7D7D"/>
          <w:sz w:val="16"/>
        </w:rPr>
        <w:t>5The shares subject to the RSU award vest over a three-year period, with 1/3</w:t>
      </w:r>
      <w:r>
        <w:rPr>
          <w:rFonts w:ascii="Avenir Next LT Pro;sans-serif" w:hAnsi="Avenir Next LT Pro;sans-serif"/>
          <w:b w:val="false"/>
          <w:color w:val="7D7D7D"/>
          <w:sz w:val="10"/>
        </w:rPr>
        <w:t>rd</w:t>
      </w:r>
      <w:r>
        <w:rPr>
          <w:color w:val="7D7D7D"/>
        </w:rPr>
        <w:t xml:space="preserve"> </w:t>
      </w:r>
      <w:r>
        <w:rPr>
          <w:rFonts w:ascii="Avenir Next LT Pro;sans-serif" w:hAnsi="Avenir Next LT Pro;sans-serif"/>
          <w:b w:val="false"/>
          <w:color w:val="7D7D7D"/>
          <w:sz w:val="16"/>
        </w:rPr>
        <w:t>of the RSUs vesting on each of March 1, 2026, March 1, 2027 and March 1, 2028.</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6The shares subject to the PSU award vest upon achievement of the 2025 Annual CEO SMART Goals and were eligible to vest on March 1, 2026. Further discussion of these PSUs, please refer to the section entitled “Compensation Discussion and Analysis - Equity-Based Incentive Compensation.” Based on the achievement of the performance criteria related to the performance of 2025 Annual CEO SMART Goals during 2025, 100% of the PSUs at target vested on March 1, 2026.</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7The shares subject to the PSU award are eligible to vest on March 1, 2027 depending on the 3-year TSR performance of Enphase relative to S&amp;P 500 companies. This number represents the number of shares that can be earned at 100% of target. For a further discussion of these PSUs, please refer to the section entitled “Compensation Discussion and Analysis - Equity-Based Incentive Compensation.” </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8The shares subject to the PSU award are eligible to vest on March 1, 2028 depending on the 3-year TSR performance of Enphase relative to S&amp;P 500 companies. This number represents the number of shares that can be earned at 100% of target. For a further discussion of these PSUs, please refer to the section entitled “Compensation Discussion and Analysis - Equity-Based Incentive Compensation.” </w:t>
      </w:r>
    </w:p>
    <w:p>
      <w:pPr>
        <w:pStyle w:val="TextBody"/>
        <w:bidi w:val="0"/>
        <w:spacing w:lineRule="auto" w:line="288" w:before="0" w:after="60"/>
        <w:ind w:left="0" w:right="0" w:hanging="270"/>
        <w:jc w:val="both"/>
        <w:rPr/>
      </w:pPr>
      <w:r>
        <w:rPr>
          <w:rFonts w:ascii="Avenir Next LT Pro;sans-serif" w:hAnsi="Avenir Next LT Pro;sans-serif"/>
          <w:b w:val="false"/>
          <w:color w:val="7D7D7D"/>
          <w:sz w:val="16"/>
        </w:rPr>
        <w:t>9The shares subject to the RSU award vest over a four-year period, with 1/4</w:t>
      </w:r>
      <w:r>
        <w:rPr>
          <w:rFonts w:ascii="Avenir Next LT Pro;sans-serif" w:hAnsi="Avenir Next LT Pro;sans-serif"/>
          <w:b w:val="false"/>
          <w:color w:val="7D7D7D"/>
          <w:sz w:val="10"/>
        </w:rPr>
        <w:t>th</w:t>
      </w:r>
      <w:r>
        <w:rPr>
          <w:color w:val="7D7D7D"/>
        </w:rPr>
        <w:t xml:space="preserve"> </w:t>
      </w:r>
      <w:r>
        <w:rPr>
          <w:rFonts w:ascii="Avenir Next LT Pro;sans-serif" w:hAnsi="Avenir Next LT Pro;sans-serif"/>
          <w:b w:val="false"/>
          <w:color w:val="7D7D7D"/>
          <w:sz w:val="16"/>
        </w:rPr>
        <w:t>of the RSUs vesting on March 10, 2023; and thereafter, 1/16</w:t>
      </w:r>
      <w:r>
        <w:rPr>
          <w:rFonts w:ascii="Avenir Next LT Pro;sans-serif" w:hAnsi="Avenir Next LT Pro;sans-serif"/>
          <w:b w:val="false"/>
          <w:color w:val="7D7D7D"/>
          <w:sz w:val="10"/>
        </w:rPr>
        <w:t>th</w:t>
      </w:r>
      <w:r>
        <w:rPr>
          <w:color w:val="7D7D7D"/>
        </w:rPr>
        <w:t xml:space="preserve"> </w:t>
      </w:r>
      <w:r>
        <w:rPr>
          <w:rFonts w:ascii="Avenir Next LT Pro;sans-serif" w:hAnsi="Avenir Next LT Pro;sans-serif"/>
          <w:b w:val="false"/>
          <w:color w:val="7D7D7D"/>
          <w:sz w:val="16"/>
        </w:rPr>
        <w:t>of the RSU shares vesting quarterly.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Stock Vested — 2025</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shows information regarding vesting of stock awards during 2025 of previously granted awards to our NEOs. There has been no exercise of options by our NEOs in 2025.</w:t>
      </w:r>
    </w:p>
    <w:tbl>
      <w:tblPr>
        <w:tblW w:w="10205" w:type="dxa"/>
        <w:jc w:val="left"/>
        <w:tblInd w:w="0" w:type="dxa"/>
        <w:tblLayout w:type="fixed"/>
        <w:tblCellMar>
          <w:top w:w="28" w:type="dxa"/>
          <w:left w:w="28" w:type="dxa"/>
          <w:bottom w:w="28" w:type="dxa"/>
          <w:right w:w="28" w:type="dxa"/>
        </w:tblCellMar>
      </w:tblPr>
      <w:tblGrid>
        <w:gridCol w:w="1152"/>
        <w:gridCol w:w="967"/>
        <w:gridCol w:w="904"/>
        <w:gridCol w:w="109"/>
        <w:gridCol w:w="109"/>
        <w:gridCol w:w="109"/>
        <w:gridCol w:w="109"/>
        <w:gridCol w:w="109"/>
        <w:gridCol w:w="235"/>
        <w:gridCol w:w="235"/>
        <w:gridCol w:w="1003"/>
        <w:gridCol w:w="1003"/>
        <w:gridCol w:w="1015"/>
        <w:gridCol w:w="109"/>
        <w:gridCol w:w="700"/>
        <w:gridCol w:w="700"/>
        <w:gridCol w:w="702"/>
        <w:gridCol w:w="272"/>
        <w:gridCol w:w="272"/>
        <w:gridCol w:w="391"/>
      </w:tblGrid>
      <w:tr>
        <w:trPr/>
        <w:tc>
          <w:tcPr>
            <w:tcW w:w="115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1" w:type="dxa"/>
            <w:gridSpan w:val="5"/>
            <w:tcBorders>
              <w:top w:val="single" w:sz="2" w:space="0" w:color="3C3C3C"/>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venir Next LT Pro;sans-serif" w:hAnsi="Avenir Next LT Pro;sans-serif"/>
                <w:b/>
                <w:color w:val="3C3C3C"/>
                <w:sz w:val="16"/>
              </w:rPr>
            </w:pPr>
            <w:r>
              <w:rPr>
                <w:rFonts w:ascii="Avenir Next LT Pro;sans-serif" w:hAnsi="Avenir Next LT Pro;sans-serif"/>
                <w:b/>
                <w:color w:val="3C3C3C"/>
                <w:sz w:val="16"/>
              </w:rPr>
              <w:t>Stock Awards</w:t>
            </w:r>
          </w:p>
        </w:tc>
        <w:tc>
          <w:tcPr>
            <w:tcW w:w="3146" w:type="dxa"/>
            <w:gridSpan w:val="7"/>
            <w:tcBorders/>
          </w:tcPr>
          <w:p>
            <w:pPr>
              <w:pStyle w:val="TableContents"/>
              <w:bidi w:val="0"/>
              <w:spacing w:before="0" w:after="283"/>
              <w:jc w:val="left"/>
              <w:rPr>
                <w:sz w:val="4"/>
                <w:szCs w:val="4"/>
              </w:rPr>
            </w:pPr>
            <w:r>
              <w:rPr>
                <w:sz w:val="4"/>
                <w:szCs w:val="4"/>
              </w:rPr>
            </w:r>
          </w:p>
        </w:tc>
      </w:tr>
      <w:tr>
        <w:trPr/>
        <w:tc>
          <w:tcPr>
            <w:tcW w:w="3023" w:type="dxa"/>
            <w:gridSpan w:val="3"/>
            <w:tcBorders>
              <w:left w:val="single" w:sz="2" w:space="0" w:color="3C3C3C"/>
            </w:tcBorders>
            <w:shd w:fill="3C3C3C" w:val="clear"/>
            <w:tcMar>
              <w:top w:w="0" w:type="dxa"/>
              <w:left w:w="29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Number of Shares Acquired on Vesting</w:t>
              <w:br/>
              <w:t>(#)</w:t>
            </w:r>
            <w:r>
              <w:rPr>
                <w:rFonts w:ascii="Avenir Next LT Pro;sans-serif" w:hAnsi="Avenir Next LT Pro;sans-serif"/>
                <w:b/>
                <w:color w:val="FFFFFF"/>
                <w:sz w:val="10"/>
              </w:rPr>
              <w:t>(1)</w:t>
            </w:r>
          </w:p>
        </w:tc>
        <w:tc>
          <w:tcPr>
            <w:tcW w:w="109" w:type="dxa"/>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Value Realized on Vesting</w:t>
              <w:br/>
              <w:t>($)</w:t>
            </w:r>
            <w:r>
              <w:rPr>
                <w:rFonts w:ascii="Avenir Next LT Pro;sans-serif" w:hAnsi="Avenir Next LT Pro;sans-serif"/>
                <w:b/>
                <w:color w:val="FFFFFF"/>
                <w:sz w:val="10"/>
              </w:rPr>
              <w:t>(2)</w:t>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vMerge w:val="restart"/>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11,000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630,630</w:t>
            </w:r>
          </w:p>
        </w:tc>
      </w:tr>
      <w:tr>
        <w:trPr/>
        <w:tc>
          <w:tcPr>
            <w:tcW w:w="3023"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16,500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945,945</w:t>
            </w:r>
          </w:p>
        </w:tc>
      </w:tr>
      <w:tr>
        <w:trPr/>
        <w:tc>
          <w:tcPr>
            <w:tcW w:w="3023"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504,504</w:t>
            </w:r>
          </w:p>
        </w:tc>
      </w:tr>
      <w:tr>
        <w:trPr/>
        <w:tc>
          <w:tcPr>
            <w:tcW w:w="3023"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vMerge w:val="restart"/>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92,800</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8,580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491,891</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5,720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327,928</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112,700</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158,300</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81,975</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2,860</w:t>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163,964</w:t>
            </w:r>
          </w:p>
        </w:tc>
      </w:tr>
      <w:tr>
        <w:trPr/>
        <w:tc>
          <w:tcPr>
            <w:tcW w:w="3023"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1Represents the vesting of RSUs and PSUs.</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2The value realized is based on the closing price of our common stock on the vesting date as reported on the Nasdaq Stock Market multiplied by the number of RSUs and PSUs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Employment Contracts and Termination of Employment and Change of Control Arrangements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Badrinarayanan Kothandaraman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Mr. Kothandaraman has served as our President and CEO since September 3, 2017, pursuant to an employment offer letter, on an at-will basis. In 2025, Mr. Kothandaraman’s annual base salary was $450,000, with a target bonus opportunity of 100% of his base salary. Mr. Kothandaraman was eligible to participate in the 2025 PSP.</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Mr. Kothandaraman is designated as a Tier I participant in the Severance Plan described below.</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Mandy Yang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Ms. Yang has served as our as our CFO since February 15, 2022, pursuant to an employment offer letter, on an at-will basis. In 2025, Ms. Yang’s annual base salary was $367,500, with a target bonus opportunity target of 75% of her base salary. Ms. Yang was eligible to participate in the 2025 PSP.</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Ms. Yang is designated a Tier III Participant in the Severance Plan described below.</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Severance and Change in Control Benefit Plan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March 2013, the Compensation Committee approved the Severance Plan for executive officers and other key employees, including the NEOs. Upon acceptance by a participant, the Severance Plan superseded and replaced certain existing severance agreements. The Compensation Committee has the authority to designate the participants in the Severance Plan and the level of benefits each such participant will be eligible to receive upon a qualifying termination of employment.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Under the Severance Plan, upon a termination of a participant’s employment by the Company without “cause” or the resignation by a participant for “good reason” (each, an “Involuntary Termination”), or upon an Involuntary Termination in connection with, or within 12 months following, a “change in control” (a “Change in Control Termination”), participants in the Severance Plan generally will be entitled to receive the following severance benefits: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 xml:space="preserve">a lump sum cash payment equal to the sum of (a) either 6, 9 or 12 months of the participant’s monthly base salary, and (b) a pro rata portion of the participant’s target annual bonus calculated at 100% of target levels for the year of termination (the “Pro rata Target Bonus”); </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 xml:space="preserve">Company-paid COBRA premiums for continued health insurance for up to 6, 9 or 12 months; </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in certain cases, accelerated vesting of all or a portion of the participant’s then-outstanding equity awards; and</w:t>
      </w:r>
    </w:p>
    <w:p>
      <w:pPr>
        <w:pStyle w:val="TextBody"/>
        <w:bidi w:val="0"/>
        <w:spacing w:lineRule="auto" w:line="336" w:before="0" w:after="180"/>
        <w:ind w:left="0" w:right="0" w:hanging="180"/>
        <w:jc w:val="left"/>
        <w:rPr/>
      </w:pPr>
      <w:r>
        <w:rPr>
          <w:color w:val="000000"/>
        </w:rPr>
        <w:t>•</w:t>
      </w:r>
      <w:r>
        <w:rPr>
          <w:rFonts w:ascii="Avenir Next LT Pro;sans-serif" w:hAnsi="Avenir Next LT Pro;sans-serif"/>
          <w:b w:val="false"/>
          <w:color w:val="000000"/>
          <w:sz w:val="18"/>
        </w:rPr>
        <w:t>an extended period of time to exercise any outstanding vested stock options (and other vested equity awards which carry a right to exercise) held by such participants as of the date of termination, which extended exercisability period will end upon the earlier of (a) one year following the date of termination and (b) the date on which the original term of such equity awards would otherwise expire.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Receipt of the above benefits is subject to the participant’s execution and non-revocation of a release of claims against Enphase and continued compliance with certain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50</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amount of cash severance, the duration of the COBRA payment period, and the percentage of accelerated vesting of equity awards, if any, varies based on the participant’s designation as a Tier I Participant, Tier II Participant or Tier III Participant and whether the termination is an Involuntary Termination or a Change in Control Termination, as set forth in the table below. </w:t>
      </w:r>
    </w:p>
    <w:tbl>
      <w:tblPr>
        <w:tblW w:w="11281" w:type="dxa"/>
        <w:jc w:val="left"/>
        <w:tblInd w:w="0" w:type="dxa"/>
        <w:tblLayout w:type="fixed"/>
        <w:tblCellMar>
          <w:top w:w="28" w:type="dxa"/>
          <w:left w:w="28" w:type="dxa"/>
          <w:bottom w:w="28" w:type="dxa"/>
          <w:right w:w="28" w:type="dxa"/>
        </w:tblCellMar>
      </w:tblPr>
      <w:tblGrid>
        <w:gridCol w:w="859"/>
        <w:gridCol w:w="586"/>
        <w:gridCol w:w="326"/>
        <w:gridCol w:w="109"/>
        <w:gridCol w:w="109"/>
        <w:gridCol w:w="109"/>
        <w:gridCol w:w="410"/>
        <w:gridCol w:w="410"/>
        <w:gridCol w:w="411"/>
        <w:gridCol w:w="121"/>
        <w:gridCol w:w="121"/>
        <w:gridCol w:w="121"/>
        <w:gridCol w:w="402"/>
        <w:gridCol w:w="402"/>
        <w:gridCol w:w="427"/>
        <w:gridCol w:w="109"/>
        <w:gridCol w:w="109"/>
        <w:gridCol w:w="109"/>
        <w:gridCol w:w="410"/>
        <w:gridCol w:w="410"/>
        <w:gridCol w:w="411"/>
        <w:gridCol w:w="113"/>
        <w:gridCol w:w="113"/>
        <w:gridCol w:w="113"/>
        <w:gridCol w:w="405"/>
        <w:gridCol w:w="405"/>
        <w:gridCol w:w="421"/>
        <w:gridCol w:w="109"/>
        <w:gridCol w:w="109"/>
        <w:gridCol w:w="109"/>
        <w:gridCol w:w="410"/>
        <w:gridCol w:w="410"/>
        <w:gridCol w:w="411"/>
        <w:gridCol w:w="132"/>
        <w:gridCol w:w="132"/>
        <w:gridCol w:w="132"/>
        <w:gridCol w:w="408"/>
        <w:gridCol w:w="408"/>
        <w:gridCol w:w="460"/>
      </w:tblGrid>
      <w:tr>
        <w:trPr/>
        <w:tc>
          <w:tcPr>
            <w:tcW w:w="85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2" w:space="0" w:color="3C3C3C"/>
            </w:tcBorders>
            <w:tcMar>
              <w:top w:w="3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3C3C3C"/>
                <w:sz w:val="16"/>
              </w:rPr>
              <w:t>Cash Severance</w:t>
            </w:r>
            <w:r>
              <w:rPr>
                <w:rFonts w:ascii="Avenir Next LT Pro;sans-serif" w:hAnsi="Avenir Next LT Pro;sans-serif"/>
                <w:b/>
                <w:color w:val="3C3C3C"/>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2" w:space="0" w:color="3C3C3C"/>
            </w:tcBorders>
            <w:tcMar>
              <w:top w:w="3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3C3C3C"/>
                <w:sz w:val="16"/>
              </w:rPr>
            </w:pPr>
            <w:r>
              <w:rPr>
                <w:rFonts w:ascii="Avenir Next LT Pro;sans-serif" w:hAnsi="Avenir Next LT Pro;sans-serif"/>
                <w:b/>
                <w:color w:val="3C3C3C"/>
                <w:sz w:val="16"/>
              </w:rPr>
              <w:t>COBRA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op w:val="single" w:sz="2" w:space="0" w:color="3C3C3C"/>
            </w:tcBorders>
            <w:tcMar>
              <w:top w:w="3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3C3C3C"/>
                <w:sz w:val="16"/>
              </w:rPr>
              <w:t>Accelerated Vesting of Equity Awards</w:t>
            </w:r>
            <w:r>
              <w:rPr>
                <w:rFonts w:ascii="Avenir Next LT Pro;sans-serif" w:hAnsi="Avenir Next LT Pro;sans-serif"/>
                <w:b/>
                <w:color w:val="3C3C3C"/>
                <w:sz w:val="10"/>
              </w:rPr>
              <w:t>(2)</w:t>
            </w:r>
          </w:p>
        </w:tc>
      </w:tr>
      <w:tr>
        <w:trPr/>
        <w:tc>
          <w:tcPr>
            <w:tcW w:w="1771"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Involuntary Termination</w:t>
            </w:r>
          </w:p>
        </w:tc>
        <w:tc>
          <w:tcPr>
            <w:tcW w:w="363"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Change in Control Termination</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Involuntary Termination</w:t>
            </w:r>
          </w:p>
        </w:tc>
        <w:tc>
          <w:tcPr>
            <w:tcW w:w="339"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Change in Control Termination</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Involuntary Termination (%)</w:t>
            </w:r>
          </w:p>
        </w:tc>
        <w:tc>
          <w:tcPr>
            <w:tcW w:w="396"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Change in Control Termination (%)</w:t>
            </w:r>
          </w:p>
        </w:tc>
      </w:tr>
      <w:tr>
        <w:trPr/>
        <w:tc>
          <w:tcPr>
            <w:tcW w:w="177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 months</w:t>
            </w:r>
          </w:p>
        </w:tc>
        <w:tc>
          <w:tcPr>
            <w:tcW w:w="363"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 months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 months</w:t>
            </w:r>
          </w:p>
        </w:tc>
        <w:tc>
          <w:tcPr>
            <w:tcW w:w="33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 months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w:t>
            </w:r>
          </w:p>
        </w:tc>
        <w:tc>
          <w:tcPr>
            <w:tcW w:w="396"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w:t>
            </w:r>
          </w:p>
        </w:tc>
      </w:tr>
      <w:tr>
        <w:trPr/>
        <w:tc>
          <w:tcPr>
            <w:tcW w:w="177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 months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 months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w:t>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1Participants are also entitled to receive the Pro rata Target bonus.</w:t>
      </w:r>
    </w:p>
    <w:p>
      <w:pPr>
        <w:pStyle w:val="TextBody"/>
        <w:bidi w:val="0"/>
        <w:spacing w:lineRule="auto" w:line="288" w:before="60" w:after="24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2Participants also will have an extended period of time to exercise outstanding equity awards, as described in the fourth bullet above.</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unless otherwise provided in an agreement between a participant and us, if any payments or benefits that a participant would receive in connection with a change in control of us would constitute a “parachute payment” within the meaning of Section 280G of the Code, and such payments would be subject to the excise tax imposed by Section 4999 of the Code, then such payments will either be (1) provided to the participant in full or (2) reduced to such lesser amount that would result in no portion of such payments being subject to the excise tax, whichever amount after taking into account all taxes, including the excise tax, would result in the participant’s receipt, on an after-tax basis, of the greatest amount of such payments.</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purposes of the Severance Plan, the following definitions apply:</w:t>
      </w:r>
    </w:p>
    <w:p>
      <w:pPr>
        <w:pStyle w:val="TextBody"/>
        <w:bidi w:val="0"/>
        <w:spacing w:lineRule="auto" w:line="336" w:before="0" w:after="120"/>
        <w:jc w:val="both"/>
        <w:rPr/>
      </w:pPr>
      <w:r>
        <w:rPr>
          <w:color w:val="000000"/>
        </w:rPr>
        <w:t>“</w:t>
      </w:r>
      <w:r>
        <w:rPr>
          <w:rFonts w:ascii="Avenir Next LT Pro;sans-serif" w:hAnsi="Avenir Next LT Pro;sans-serif"/>
          <w:b w:val="false"/>
          <w:i/>
          <w:color w:val="000000"/>
          <w:sz w:val="18"/>
        </w:rPr>
        <w:t>Cause,”</w:t>
      </w:r>
      <w:r>
        <w:rPr>
          <w:color w:val="000000"/>
        </w:rPr>
        <w:t xml:space="preserve"> </w:t>
      </w:r>
      <w:r>
        <w:rPr>
          <w:rFonts w:ascii="Avenir Next LT Pro;sans-serif" w:hAnsi="Avenir Next LT Pro;sans-serif"/>
          <w:b w:val="false"/>
          <w:color w:val="000000"/>
          <w:sz w:val="18"/>
        </w:rPr>
        <w:t>as determined by the Board acting in good faith and based on information then known to it, means the participant’s: (i) refusal or failure to perform the participant’s material, lawful and appropriate duties; (ii) material violation of Company policy or any written agreement between the Company and the participant; (iii) repeated unexplained or unjustified absence from the Company; (iv) intentional or negligent misconduct; (v) conviction of, or the entering of a plea of nolo contendere with respect to, any felony or a crime involving moral turpitude; (vi) unauthorized use or disclosure of any proprietary information or trade secrets of the Company or any other party to whom the participant owes an obligation of non-disclosure as a result of the participant’s relationship with the Company; (vii) commitment of any act of fraud, embezzlement, misappropriation, dishonesty or breach of fiduciary duty against the Company that causes, or is likely to cause, material harm to the Company or its subsidiaries or is intended to result in substantial personal enrichment; or (viii) failure to cooperate with the Company in any investigation or formal proceeding, including any government investigation.</w:t>
      </w:r>
    </w:p>
    <w:p>
      <w:pPr>
        <w:pStyle w:val="TextBody"/>
        <w:bidi w:val="0"/>
        <w:spacing w:lineRule="auto" w:line="336" w:before="0" w:after="120"/>
        <w:jc w:val="both"/>
        <w:rPr/>
      </w:pPr>
      <w:r>
        <w:rPr>
          <w:color w:val="000000"/>
        </w:rPr>
        <w:t>“</w:t>
      </w:r>
      <w:r>
        <w:rPr>
          <w:rFonts w:ascii="Avenir Next LT Pro;sans-serif" w:hAnsi="Avenir Next LT Pro;sans-serif"/>
          <w:b w:val="false"/>
          <w:i/>
          <w:color w:val="000000"/>
          <w:sz w:val="18"/>
        </w:rPr>
        <w:t>Change in Control”</w:t>
      </w:r>
      <w:r>
        <w:rPr>
          <w:color w:val="000000"/>
        </w:rPr>
        <w:t xml:space="preserve"> </w:t>
      </w:r>
      <w:r>
        <w:rPr>
          <w:rFonts w:ascii="Avenir Next LT Pro;sans-serif" w:hAnsi="Avenir Next LT Pro;sans-serif"/>
          <w:b w:val="false"/>
          <w:color w:val="000000"/>
          <w:sz w:val="18"/>
        </w:rPr>
        <w:t>means the occurrence of any of the following events: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any sale or exchange of the capital stock by the shareholders of the Company in one transaction or series of related transactions where more than 50% of the outstanding voting power of the Company is acquired by a person or entity or group of related persons or entities; or</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any reorganization, consolidation or merger of the Company where the outstanding voting securities of the Company immediately before the transaction represent or are converted into less than 50% of the outstanding voting power of the surviving entity (or its parent corporation) immediately after the transaction; or</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the consummation of any transaction or series of related transactions that results in the sale of all or substantially all of the assets of the Company; or</w:t>
      </w:r>
    </w:p>
    <w:p>
      <w:pPr>
        <w:pStyle w:val="TextBody"/>
        <w:bidi w:val="0"/>
        <w:spacing w:lineRule="auto" w:line="336" w:before="0" w:after="120"/>
        <w:ind w:left="0" w:right="0" w:hanging="180"/>
        <w:jc w:val="left"/>
        <w:rPr/>
      </w:pPr>
      <w:r>
        <w:rPr>
          <w:color w:val="000000"/>
        </w:rPr>
        <w:t>•</w:t>
      </w:r>
      <w:r>
        <w:rPr>
          <w:rFonts w:ascii="Avenir Next LT Pro;sans-serif" w:hAnsi="Avenir Next LT Pro;sans-serif"/>
          <w:b w:val="false"/>
          <w:color w:val="000000"/>
          <w:sz w:val="18"/>
        </w:rPr>
        <w:t>any “person” or “group” (as defined in the Exchange Act) becoming the “beneficial owner” (as defined in Rule 13d-3 under the Exchange Act), directly or indirectly, of securities representing more than 50% of the voting power of the Company then outstanding.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term Change in Control will not include a sale of assets, merger or other transaction effected exclusively for the purpose of changing the domicile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51</w:t>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180"/>
        <w:jc w:val="both"/>
        <w:rPr/>
      </w:pPr>
      <w:r>
        <w:rPr>
          <w:color w:val="000000"/>
        </w:rPr>
        <w:t>“</w:t>
      </w:r>
      <w:r>
        <w:rPr>
          <w:rFonts w:ascii="Avenir Next LT Pro;sans-serif" w:hAnsi="Avenir Next LT Pro;sans-serif"/>
          <w:b w:val="false"/>
          <w:i/>
          <w:color w:val="000000"/>
          <w:sz w:val="18"/>
        </w:rPr>
        <w:t>Good Reason”</w:t>
      </w:r>
      <w:r>
        <w:rPr>
          <w:color w:val="000000"/>
        </w:rPr>
        <w:t xml:space="preserve"> </w:t>
      </w:r>
      <w:r>
        <w:rPr>
          <w:rFonts w:ascii="Avenir Next LT Pro;sans-serif" w:hAnsi="Avenir Next LT Pro;sans-serif"/>
          <w:b w:val="false"/>
          <w:color w:val="000000"/>
          <w:sz w:val="18"/>
        </w:rPr>
        <w:t>means, without the participant’s written consent: (i) a material reduction or material adverse change in job duties, responsibilities or authority inconsistent with the participant’s position with the Company; provided, however, that any such reduction or change after a Change in Control (or similar corporate transaction that does not constitute a Change in Control) shall not constitute Good Reason by virtue of the fact that the participant is performing similar duties and responsibilities in a larger organization; (ii) a material reduction of the participant’s then current base salary, representing a reduction of more than 10% of the participant’s then current base salary; provided, that an across-the-board reduction in the salary level of all executive officers of the Company by the same percentage amount as part of a general salary level reduction shall not constitute such a material salary reduction; (iii) a material reduction of the participant’s target bonus opportunity; provided, that an across-the-board reduction in the target bonus opportunities of all executive officers of the Company shall not constitute such a material reduction in target bonus opportunity; (iv) the relocation of the principal place for performance of the participant’s duties to the Company to a location more than 50 miles from the Company’s then current location, which relocation is adverse to the participant, except for required travel on the Company’s business; (v) any material breach by the Company of the Severance Plan or any other written agreement between the Company and the participant; or (vi) the failure by any successor to the Company to assume the Severance Plan and any obligations under the Severance Plan; provided, that the participant gives written notice to the Company of the event forming the basis of the termination for Good Reason within 60 days after the date on which the Company gives written notice to the participant of the Company’s affirmative decision to take an action set forth in clause (i), (ii), (iii), (iv) or (v) above, the Company fails to cure such basis for the Good Reason resignation within 30 days after receipt of the participant’s written notice and the participant terminates his or her employment within 30 days following the expiration of the cure period.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Calculation of Potential Payments upon Termination or Change in Control</w:t>
      </w:r>
    </w:p>
    <w:p>
      <w:pPr>
        <w:pStyle w:val="TextBody"/>
        <w:bidi w:val="0"/>
        <w:spacing w:lineRule="auto" w:line="331"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presents our estimate of the benefits payable to the named executive officers under the agreements and plans described above in connection with certain terminations of their employment with us and/or a change in control. In calculating the amount of any potential payments to the NEOs, we have assumed the following:</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 xml:space="preserve">The applicable triggering event (i.e., qualifying termination of employment and/or change in control) occurred on December 31, 2025. </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The price per share of our common stock is equal to the Nasdaq Stock Market closing price per share of $32.05 on December 31, 2025.</w:t>
      </w:r>
    </w:p>
    <w:p>
      <w:pPr>
        <w:pStyle w:val="TextBody"/>
        <w:bidi w:val="0"/>
        <w:spacing w:lineRule="auto" w:line="331" w:before="0" w:after="60"/>
        <w:ind w:left="0" w:right="0" w:hanging="180"/>
        <w:jc w:val="left"/>
        <w:rPr/>
      </w:pPr>
      <w:r>
        <w:rPr>
          <w:color w:val="000000"/>
        </w:rPr>
        <w:t>•</w:t>
      </w:r>
      <w:r>
        <w:rPr>
          <w:rFonts w:ascii="Avenir Next LT Pro;sans-serif" w:hAnsi="Avenir Next LT Pro;sans-serif"/>
          <w:b w:val="false"/>
          <w:color w:val="000000"/>
          <w:sz w:val="18"/>
        </w:rPr>
        <w:t>We do not survive the change in control, and all outstanding incentive awards (and corresponding outstanding dividend equivalents for time-based RSUs and PSUs) are cashed out and terminated in the transaction.</w:t>
      </w:r>
    </w:p>
    <w:p>
      <w:pPr>
        <w:pStyle w:val="TextBody"/>
        <w:bidi w:val="0"/>
        <w:spacing w:lineRule="auto" w:line="331" w:before="0" w:after="180"/>
        <w:ind w:left="0" w:right="0" w:hanging="180"/>
        <w:jc w:val="left"/>
        <w:rPr/>
      </w:pPr>
      <w:r>
        <w:rPr>
          <w:color w:val="000000"/>
        </w:rPr>
        <w:t>•</w:t>
      </w:r>
      <w:r>
        <w:rPr>
          <w:rFonts w:ascii="Avenir Next LT Pro;sans-serif" w:hAnsi="Avenir Next LT Pro;sans-serif"/>
          <w:b w:val="false"/>
          <w:color w:val="000000"/>
          <w:sz w:val="18"/>
        </w:rPr>
        <w:t>Not included in the table below are payments each NEO earned or accrued prior to termination, such as previously vested equity and non-equity incentive awards, which are more fully described and quantified in the tables and narratives above.</w:t>
      </w:r>
    </w:p>
    <w:tbl>
      <w:tblPr>
        <w:tblW w:w="10205" w:type="dxa"/>
        <w:jc w:val="left"/>
        <w:tblInd w:w="0" w:type="dxa"/>
        <w:tblLayout w:type="fixed"/>
        <w:tblCellMar>
          <w:top w:w="28" w:type="dxa"/>
          <w:left w:w="28" w:type="dxa"/>
          <w:bottom w:w="28" w:type="dxa"/>
          <w:right w:w="28" w:type="dxa"/>
        </w:tblCellMar>
      </w:tblPr>
      <w:tblGrid>
        <w:gridCol w:w="928"/>
        <w:gridCol w:w="676"/>
        <w:gridCol w:w="462"/>
        <w:gridCol w:w="109"/>
        <w:gridCol w:w="109"/>
        <w:gridCol w:w="109"/>
        <w:gridCol w:w="604"/>
        <w:gridCol w:w="604"/>
        <w:gridCol w:w="606"/>
        <w:gridCol w:w="109"/>
        <w:gridCol w:w="109"/>
        <w:gridCol w:w="109"/>
        <w:gridCol w:w="109"/>
        <w:gridCol w:w="109"/>
        <w:gridCol w:w="756"/>
        <w:gridCol w:w="756"/>
        <w:gridCol w:w="758"/>
        <w:gridCol w:w="109"/>
        <w:gridCol w:w="109"/>
        <w:gridCol w:w="109"/>
        <w:gridCol w:w="789"/>
        <w:gridCol w:w="789"/>
        <w:gridCol w:w="791"/>
        <w:gridCol w:w="109"/>
        <w:gridCol w:w="109"/>
        <w:gridCol w:w="109"/>
        <w:gridCol w:w="160"/>
      </w:tblGrid>
      <w:tr>
        <w:trPr/>
        <w:tc>
          <w:tcPr>
            <w:tcW w:w="92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Named Executive Officer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Compensation Element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Change in Control-With Termination Without Cause or For Good Reason</w:t>
              <w:br/>
              <w:t>($)</w:t>
            </w:r>
            <w:r>
              <w:rPr>
                <w:rFonts w:ascii="Avenir Next LT Pro;sans-serif" w:hAnsi="Avenir Next LT Pro;sans-serif"/>
                <w:b/>
                <w:color w:val="FFFFFF"/>
                <w:sz w:val="10"/>
              </w:rPr>
              <w:t>(1)</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Involuntary Termination Without Cause or For Good Reason No Change in Control</w:t>
              <w:br/>
              <w:t>($)</w:t>
            </w:r>
            <w:r>
              <w:rPr>
                <w:rFonts w:ascii="Avenir Next LT Pro;sans-serif" w:hAnsi="Avenir Next LT Pro;sans-serif"/>
                <w:b/>
                <w:color w:val="FFFFFF"/>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restart"/>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Badrinarayanan Kothandaraman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shd w:fill="FAF6EF" w:val="clear"/>
            <w:tcMar>
              <w:top w:w="0" w:type="dxa"/>
              <w:left w:w="14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900,000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900,000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Restricted Stock Unit Acceleration</w:t>
            </w:r>
            <w:r>
              <w:rPr>
                <w:rFonts w:ascii="Avenir Next LT Pro;sans-serif" w:hAnsi="Avenir Next LT Pro;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2,256,320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564,080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Performance Stock Unit Acceleration</w:t>
            </w:r>
            <w:r>
              <w:rPr>
                <w:rFonts w:ascii="Avenir Next LT Pro;sans-serif" w:hAnsi="Avenir Next LT Pro;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4,538,280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1,134,570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shd w:fill="FAF6EF" w:val="clear"/>
            <w:tcMar>
              <w:top w:w="0" w:type="dxa"/>
              <w:left w:w="110" w:type="dxa"/>
              <w:bottom w:w="0" w:type="dxa"/>
              <w:right w:w="0" w:type="dxa"/>
            </w:tcMar>
            <w:vAlign w:val="center"/>
          </w:tcPr>
          <w:p>
            <w:pPr>
              <w:pStyle w:val="Normal"/>
              <w:bidi w:val="0"/>
              <w:jc w:val="left"/>
              <w:rPr/>
            </w:pPr>
            <w:r>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Continuation of Benefits</w:t>
            </w:r>
            <w:r>
              <w:rPr>
                <w:rFonts w:ascii="Avenir Next LT Pro;sans-serif" w:hAnsi="Avenir Next LT Pro;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31,883</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31,883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restart"/>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Mandy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tcMar>
              <w:top w:w="0" w:type="dxa"/>
              <w:left w:w="14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482,344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321,563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Restricted Stock Unit Acceleration</w:t>
            </w:r>
            <w:r>
              <w:rPr>
                <w:rFonts w:ascii="Avenir Next LT Pro;sans-serif" w:hAnsi="Avenir Next LT Pro;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1,215,336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Performance Stock Unit Acceleration</w:t>
            </w:r>
            <w:r>
              <w:rPr>
                <w:rFonts w:ascii="Avenir Next LT Pro;sans-serif" w:hAnsi="Avenir Next LT Pro;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2,224,270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Continuation of Benefits</w:t>
            </w:r>
            <w:r>
              <w:rPr>
                <w:rFonts w:ascii="Avenir Next LT Pro;sans-serif" w:hAnsi="Avenir Next LT Pro;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31,883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15,942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left w:val="single" w:sz="2" w:space="0" w:color="929292"/>
            </w:tcBorders>
            <w:tcMar>
              <w:top w:w="0" w:type="dxa"/>
              <w:left w:w="11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1The amounts shown represent the estimated value of the severance benefits payable under the Severance Plan (and the estimated value of equity acceleration under our stock incentive plans for awards not covered under the Severance Plan) in the event of a qualifying termination of employment in connection with a change in control, as such benefits are described more fully above.</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2The amounts shown represent the estimated value of the severance benefits payable under the Severance Plan in the event of a termination of employment by us without cause or for Good Reason, as such benefits are described more fully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3The amounts shown represent the portion of the RSU award that would have accelerated in connection with the termination event and are based on the intrinsic value of that portion as of December 31, 2025. These intrinsic values were calculated by multiplying (i) $32.05, the Nasdaq Stock Market closing price of a share of our common stock on December 31, 2025, by (ii) the number of stock units that would have vested on an accelerated basis on December 31, 2025.</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4The amounts shown represent the target number of PSUs that would have accelerated in connection with the termination event and are based on the intrinsic value of those units as of December 31, 2025. These intrinsic values were calculated by multiplying (i) $32.05, the Nasdaq Stock Market closing price of a share of our common stock on December 31, 2025, by (ii) the target number of PSUs that would have vested on an accelerated basis on December 31, 2025.</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5For purposes of the calculation for these amounts, expected costs have not been adjusted for any actuarial assumptions related to mortality, likelihood that the executive will find other employment, or discount rates for determining present value.</w:t>
      </w:r>
    </w:p>
    <w:p>
      <w:pPr>
        <w:pStyle w:val="TextBody"/>
        <w:bidi w:val="0"/>
        <w:spacing w:before="60" w:after="6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CEO Pay Ratio</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We are required to calculate and disclose the annual total compensation paid to our median employee, as well as the ratio of the annual total compensation paid to the median employee as compared to the annual total compensation paid to our CEO (the “CEO Pay Ratio”).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To identify our median employee, we calculated the annual target total direct compensation for 2025 of each employee as of December 31, 2025. We identified the median compensated employee among an employee population of approximately 717 U.S. employees and 2,155 international employees. We did not exclude any employees whether pursuant to the de minimis exemption for foreign employees or any other permitted exclusion. For these purposes, annual target total direct compensation included each employee’s (a) base salary or base wages, (b) target cash incentive bonus opportunity and (c) the grant date fair value of equity awards. We selected this “consistently applied compensation measure,” because it reflects our primary compensation elements across our employee population. All amounts were annualized for regular full-time employees who did not work for the entire year of 2025. We did not apply any cost-of-living adjustment as part of the calculation. Further, in identifying the median employee, we converted compensation amounts paid in foreign currencies based on the applicable year-to-date average exchange rate as of December 31, 2025.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accordance with the rules set forth in Item 402(u) of Regulation S-K promulgated under the Exchange Act, we calculated the median employee’s annual total compensation in the same manner as the calculation of the CEO’s annual total compensation in the Summary Compensation Table. Our median employee’s annual total compensation for 2025 was $59,250. Our CEO’s annual total compensation for 2025, as reported in the Summary Compensation Table, was $9,601,958. Therefore, our CEO Pay Ratio for 2025 was approximately 162:1.</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 xml:space="preserve">Policies and Practices Related to the Grant of Certain Equity Awards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do not grant stock options, stock appreciation rights, or similar instruments with option-like features and have no policies or practices to disclose pursuant to Item 402(x)(1)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Pay Versus Performance</w:t>
      </w:r>
    </w:p>
    <w:p>
      <w:pPr>
        <w:pStyle w:val="TextBody"/>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As required by Section 953(a) of the Dodd-Frank Act, and Item 402(v) of Regulation S-K, we are providing the following information about the relationship between executive compensation actually paid (or “CAP,” as defined by SEC rules and further described below) and certain Company financial performance metrics.</w:t>
      </w:r>
    </w:p>
    <w:tbl>
      <w:tblPr>
        <w:tblW w:w="12576" w:type="dxa"/>
        <w:jc w:val="left"/>
        <w:tblInd w:w="0" w:type="dxa"/>
        <w:tblLayout w:type="fixed"/>
        <w:tblCellMar>
          <w:top w:w="28" w:type="dxa"/>
          <w:left w:w="28" w:type="dxa"/>
          <w:bottom w:w="28" w:type="dxa"/>
          <w:right w:w="28" w:type="dxa"/>
        </w:tblCellMar>
      </w:tblPr>
      <w:tblGrid>
        <w:gridCol w:w="217"/>
        <w:gridCol w:w="190"/>
        <w:gridCol w:w="194"/>
        <w:gridCol w:w="109"/>
        <w:gridCol w:w="109"/>
        <w:gridCol w:w="109"/>
        <w:gridCol w:w="435"/>
        <w:gridCol w:w="435"/>
        <w:gridCol w:w="436"/>
        <w:gridCol w:w="109"/>
        <w:gridCol w:w="109"/>
        <w:gridCol w:w="109"/>
        <w:gridCol w:w="435"/>
        <w:gridCol w:w="435"/>
        <w:gridCol w:w="436"/>
        <w:gridCol w:w="109"/>
        <w:gridCol w:w="109"/>
        <w:gridCol w:w="109"/>
        <w:gridCol w:w="435"/>
        <w:gridCol w:w="435"/>
        <w:gridCol w:w="436"/>
        <w:gridCol w:w="109"/>
        <w:gridCol w:w="109"/>
        <w:gridCol w:w="109"/>
        <w:gridCol w:w="435"/>
        <w:gridCol w:w="435"/>
        <w:gridCol w:w="436"/>
        <w:gridCol w:w="109"/>
        <w:gridCol w:w="109"/>
        <w:gridCol w:w="109"/>
        <w:gridCol w:w="516"/>
        <w:gridCol w:w="499"/>
        <w:gridCol w:w="126"/>
        <w:gridCol w:w="126"/>
        <w:gridCol w:w="126"/>
        <w:gridCol w:w="126"/>
        <w:gridCol w:w="516"/>
        <w:gridCol w:w="492"/>
        <w:gridCol w:w="133"/>
        <w:gridCol w:w="109"/>
        <w:gridCol w:w="109"/>
        <w:gridCol w:w="109"/>
        <w:gridCol w:w="270"/>
        <w:gridCol w:w="270"/>
        <w:gridCol w:w="271"/>
        <w:gridCol w:w="109"/>
        <w:gridCol w:w="109"/>
        <w:gridCol w:w="109"/>
        <w:gridCol w:w="290"/>
        <w:gridCol w:w="290"/>
        <w:gridCol w:w="411"/>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2" w:space="0" w:color="3C3C3C"/>
            </w:tcBorders>
            <w:tcMar>
              <w:top w:w="3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6"/>
              </w:rPr>
            </w:pPr>
            <w:r>
              <w:rPr>
                <w:rFonts w:ascii="Avenir Next LT Pro;sans-serif" w:hAnsi="Avenir Next LT Pro;sans-serif"/>
                <w:b/>
                <w:color w:val="000000"/>
                <w:sz w:val="16"/>
              </w:rPr>
              <w:t>Value of Initial Fixed $100 Investment Based On:</w:t>
            </w:r>
          </w:p>
        </w:tc>
        <w:tc>
          <w:tcPr>
            <w:tcW w:w="327" w:type="dxa"/>
            <w:gridSpan w:val="3"/>
            <w:tcBorders>
              <w:top w:val="single" w:sz="2" w:space="0" w:color="3C3C3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5"/>
              </w:rPr>
            </w:pPr>
            <w:r>
              <w:rPr>
                <w:rFonts w:ascii="Avenir Next LT Pro;sans-serif" w:hAnsi="Avenir Next LT Pro;sans-serif"/>
                <w:b/>
                <w:color w:val="FFFFFF"/>
                <w:sz w:val="15"/>
              </w:rPr>
              <w:t>Year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5"/>
              </w:rPr>
            </w:pPr>
            <w:r>
              <w:rPr>
                <w:rFonts w:ascii="Avenir Next LT Pro;sans-serif" w:hAnsi="Avenir Next LT Pro;sans-serif"/>
                <w:b/>
                <w:color w:val="FFFFFF"/>
                <w:sz w:val="15"/>
              </w:rPr>
              <w:t>Summary Compensation Table Total for CEO</w:t>
            </w:r>
          </w:p>
          <w:p>
            <w:pPr>
              <w:pStyle w:val="TableContents"/>
              <w:bidi w:val="0"/>
              <w:spacing w:lineRule="auto" w:line="288" w:before="0" w:after="0"/>
              <w:jc w:val="center"/>
              <w:rPr/>
            </w:pPr>
            <w:r>
              <w:rPr>
                <w:rFonts w:ascii="Avenir Next LT Pro;sans-serif" w:hAnsi="Avenir Next LT Pro;sans-serif"/>
                <w:b/>
                <w:color w:val="FFFFFF"/>
                <w:sz w:val="15"/>
              </w:rPr>
              <w:t>($)</w:t>
            </w:r>
            <w:r>
              <w:rPr>
                <w:rFonts w:ascii="Avenir Next LT Pro;sans-serif" w:hAnsi="Avenir Next LT Pro;sans-serif"/>
                <w:b/>
                <w:color w:val="FFFFFF"/>
                <w:sz w:val="10"/>
              </w:rPr>
              <w:t>(1)</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5"/>
              </w:rPr>
            </w:pPr>
            <w:r>
              <w:rPr>
                <w:rFonts w:ascii="Avenir Next LT Pro;sans-serif" w:hAnsi="Avenir Next LT Pro;sans-serif"/>
                <w:b/>
                <w:color w:val="FFFFFF"/>
                <w:sz w:val="15"/>
              </w:rPr>
              <w:t>Compensation Actually Paid to CEO</w:t>
            </w:r>
          </w:p>
          <w:p>
            <w:pPr>
              <w:pStyle w:val="TableContents"/>
              <w:bidi w:val="0"/>
              <w:spacing w:lineRule="auto" w:line="288" w:before="0" w:after="0"/>
              <w:jc w:val="center"/>
              <w:rPr/>
            </w:pPr>
            <w:r>
              <w:rPr>
                <w:rFonts w:ascii="Avenir Next LT Pro;sans-serif" w:hAnsi="Avenir Next LT Pro;sans-serif"/>
                <w:b/>
                <w:color w:val="FFFFFF"/>
                <w:sz w:val="15"/>
              </w:rPr>
              <w:t>($)</w:t>
            </w:r>
            <w:r>
              <w:rPr>
                <w:rFonts w:ascii="Avenir Next LT Pro;sans-serif" w:hAnsi="Avenir Next LT Pro;sans-serif"/>
                <w:b/>
                <w:color w:val="FFFFFF"/>
                <w:sz w:val="10"/>
              </w:rPr>
              <w:t>(2)</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5"/>
              </w:rPr>
              <w:t>Average Summary Compensation Table Total for Non-CEO NEOs ($)</w:t>
            </w:r>
            <w:r>
              <w:rPr>
                <w:rFonts w:ascii="Avenir Next LT Pro;sans-serif" w:hAnsi="Avenir Next LT Pro;sans-serif"/>
                <w:b/>
                <w:color w:val="FFFFFF"/>
                <w:sz w:val="10"/>
              </w:rPr>
              <w:t>(3)</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5"/>
              </w:rPr>
              <w:t>Average Compensation Actually Paid to Non-CEO NEOs ($)</w:t>
            </w:r>
            <w:r>
              <w:rPr>
                <w:rFonts w:ascii="Avenir Next LT Pro;sans-serif" w:hAnsi="Avenir Next LT Pro;sans-serif"/>
                <w:b/>
                <w:color w:val="FFFFFF"/>
                <w:sz w:val="10"/>
              </w:rPr>
              <w:t>(4)</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5"/>
              </w:rPr>
            </w:pPr>
            <w:r>
              <w:rPr>
                <w:rFonts w:ascii="Avenir Next LT Pro;sans-serif" w:hAnsi="Avenir Next LT Pro;sans-serif"/>
                <w:b/>
                <w:color w:val="FFFFFF"/>
                <w:sz w:val="15"/>
              </w:rPr>
              <w:t>Total Shareholder Return</w:t>
            </w:r>
          </w:p>
          <w:p>
            <w:pPr>
              <w:pStyle w:val="TableContents"/>
              <w:bidi w:val="0"/>
              <w:spacing w:lineRule="auto" w:line="288" w:before="0" w:after="0"/>
              <w:jc w:val="center"/>
              <w:rPr/>
            </w:pPr>
            <w:r>
              <w:rPr>
                <w:rFonts w:ascii="Avenir Next LT Pro;sans-serif" w:hAnsi="Avenir Next LT Pro;sans-serif"/>
                <w:b/>
                <w:color w:val="FFFFFF"/>
                <w:sz w:val="15"/>
              </w:rPr>
              <w:t>($)</w:t>
            </w:r>
            <w:r>
              <w:rPr>
                <w:rFonts w:ascii="Avenir Next LT Pro;sans-serif" w:hAnsi="Avenir Next LT Pro;sans-serif"/>
                <w:b/>
                <w:color w:val="FFFFFF"/>
                <w:sz w:val="10"/>
              </w:rPr>
              <w:t>(5)</w:t>
            </w:r>
          </w:p>
        </w:tc>
        <w:tc>
          <w:tcPr>
            <w:tcW w:w="378"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5"/>
              </w:rPr>
            </w:pPr>
            <w:r>
              <w:rPr>
                <w:rFonts w:ascii="Avenir Next LT Pro;sans-serif" w:hAnsi="Avenir Next LT Pro;sans-serif"/>
                <w:b/>
                <w:color w:val="FFFFFF"/>
                <w:sz w:val="15"/>
              </w:rPr>
              <w:t>Peer Group Total Shareholder Return</w:t>
            </w:r>
          </w:p>
          <w:p>
            <w:pPr>
              <w:pStyle w:val="TableContents"/>
              <w:bidi w:val="0"/>
              <w:spacing w:lineRule="auto" w:line="288" w:before="0" w:after="0"/>
              <w:jc w:val="center"/>
              <w:rPr/>
            </w:pPr>
            <w:r>
              <w:rPr>
                <w:rFonts w:ascii="Avenir Next LT Pro;sans-serif" w:hAnsi="Avenir Next LT Pro;sans-serif"/>
                <w:b/>
                <w:color w:val="FFFFFF"/>
                <w:sz w:val="15"/>
              </w:rPr>
              <w:t>($)</w:t>
            </w:r>
            <w:r>
              <w:rPr>
                <w:rFonts w:ascii="Avenir Next LT Pro;sans-serif" w:hAnsi="Avenir Next LT Pro;sans-serif"/>
                <w:b/>
                <w:color w:val="FFFFFF"/>
                <w:sz w:val="10"/>
              </w:rPr>
              <w:t>(6)</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5"/>
              </w:rPr>
            </w:pPr>
            <w:r>
              <w:rPr>
                <w:rFonts w:ascii="Avenir Next LT Pro;sans-serif" w:hAnsi="Avenir Next LT Pro;sans-serif"/>
                <w:b/>
                <w:color w:val="FFFFFF"/>
                <w:sz w:val="15"/>
              </w:rPr>
              <w:t xml:space="preserve">Net Income </w:t>
            </w:r>
          </w:p>
          <w:p>
            <w:pPr>
              <w:pStyle w:val="TableContents"/>
              <w:bidi w:val="0"/>
              <w:spacing w:lineRule="auto" w:line="288" w:before="0" w:after="0"/>
              <w:jc w:val="center"/>
              <w:rPr/>
            </w:pPr>
            <w:r>
              <w:rPr>
                <w:rFonts w:ascii="Avenir Next LT Pro;sans-serif" w:hAnsi="Avenir Next LT Pro;sans-serif"/>
                <w:b/>
                <w:color w:val="FFFFFF"/>
                <w:sz w:val="15"/>
              </w:rPr>
              <w:t>($ in millions)</w:t>
            </w:r>
            <w:r>
              <w:rPr>
                <w:rFonts w:ascii="Avenir Next LT Pro;sans-serif" w:hAnsi="Avenir Next LT Pro;sans-serif"/>
                <w:b/>
                <w:color w:val="FFFFFF"/>
                <w:sz w:val="10"/>
              </w:rPr>
              <w:t>(7)</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0"/>
              <w:jc w:val="center"/>
              <w:rPr>
                <w:rFonts w:ascii="Avenir Next LT Pro;sans-serif" w:hAnsi="Avenir Next LT Pro;sans-serif"/>
                <w:b/>
                <w:color w:val="FFFFFF"/>
                <w:sz w:val="15"/>
              </w:rPr>
            </w:pPr>
            <w:r>
              <w:rPr>
                <w:rFonts w:ascii="Avenir Next LT Pro;sans-serif" w:hAnsi="Avenir Next LT Pro;sans-serif"/>
                <w:b/>
                <w:color w:val="FFFFFF"/>
                <w:sz w:val="15"/>
              </w:rPr>
              <w:t>Net Revenues</w:t>
            </w:r>
          </w:p>
          <w:p>
            <w:pPr>
              <w:pStyle w:val="TableContents"/>
              <w:bidi w:val="0"/>
              <w:spacing w:lineRule="auto" w:line="288" w:before="0" w:after="0"/>
              <w:jc w:val="center"/>
              <w:rPr/>
            </w:pPr>
            <w:r>
              <w:rPr>
                <w:rFonts w:ascii="Avenir Next LT Pro;sans-serif" w:hAnsi="Avenir Next LT Pro;sans-serif"/>
                <w:b/>
                <w:color w:val="FFFFFF"/>
                <w:sz w:val="15"/>
              </w:rPr>
              <w:t>($ in millions)</w:t>
            </w:r>
            <w:r>
              <w:rPr>
                <w:rFonts w:ascii="Avenir Next LT Pro;sans-serif" w:hAnsi="Avenir Next LT Pro;sans-serif"/>
                <w:b/>
                <w:color w:val="FFFFFF"/>
                <w:sz w:val="10"/>
              </w:rPr>
              <w:t>(8)</w:t>
            </w:r>
          </w:p>
        </w:tc>
      </w:tr>
      <w:tr>
        <w:trPr/>
        <w:tc>
          <w:tcPr>
            <w:tcW w:w="601"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9,601,958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(16,391)</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5,293,375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(23,712)</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172.1</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4" w:space="0" w:color="D6D6D6"/>
              <w:right w:val="single" w:sz="4" w:space="0" w:color="DBDBDB"/>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1,473.0</w:t>
            </w:r>
          </w:p>
        </w:tc>
      </w:tr>
      <w:tr>
        <w:trPr/>
        <w:tc>
          <w:tcPr>
            <w:tcW w:w="601"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12,630,005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3,357,725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6,672,535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805,193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263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1,330.4</w:t>
            </w:r>
          </w:p>
        </w:tc>
      </w:tr>
      <w:tr>
        <w:trPr/>
        <w:tc>
          <w:tcPr>
            <w:tcW w:w="601"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19,527,534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2,544,470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8,903,959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903,495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506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438.9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2,290.8</w:t>
            </w:r>
          </w:p>
        </w:tc>
      </w:tr>
      <w:tr>
        <w:trPr/>
        <w:tc>
          <w:tcPr>
            <w:tcW w:w="601"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2022</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16,627,977</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22,990,176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8,146,540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9,419,711</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1,014</w:t>
            </w:r>
          </w:p>
        </w:tc>
        <w:tc>
          <w:tcPr>
            <w:tcW w:w="37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237</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397.4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2,330.9</w:t>
            </w:r>
          </w:p>
        </w:tc>
      </w:tr>
      <w:tr>
        <w:trPr/>
        <w:tc>
          <w:tcPr>
            <w:tcW w:w="601"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19,019,162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13,787,093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9,443,797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9,339,538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1,382.0</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1The dollar amounts reported in this column are the amounts of total compensation reported for our CEO, Badri Kothandaraman in the Summary Compensation Table for fiscal years 2025, 2024, 2023, 2022 and 2021. Mr. Kothandaraman served as CEO for each of the years presented.</w:t>
      </w:r>
    </w:p>
    <w:p>
      <w:pPr>
        <w:pStyle w:val="TextBody"/>
        <w:bidi w:val="0"/>
        <w:spacing w:lineRule="auto" w:line="288" w:before="60" w:after="60"/>
        <w:ind w:left="0" w:right="0" w:hanging="270"/>
        <w:jc w:val="both"/>
        <w:rPr/>
      </w:pPr>
      <w:r>
        <w:rPr>
          <w:rFonts w:ascii="Avenir Next LT Pro;sans-serif" w:hAnsi="Avenir Next LT Pro;sans-serif"/>
          <w:b w:val="false"/>
          <w:color w:val="7D7D7D"/>
          <w:sz w:val="16"/>
        </w:rPr>
        <w:t>2</w:t>
      </w:r>
      <w:r>
        <w:rPr>
          <w:color w:val="7D7D7D"/>
        </w:rPr>
        <w:t>“</w:t>
      </w:r>
      <w:r>
        <w:rPr>
          <w:rFonts w:ascii="Avenir Next LT Pro;sans-serif" w:hAnsi="Avenir Next LT Pro;sans-serif"/>
          <w:b w:val="false"/>
          <w:color w:val="7D7D7D"/>
          <w:sz w:val="16"/>
        </w:rPr>
        <w:t>Compensation actually paid” to our CEO in each of 2025, 2024, 2023, 2022 and 2021</w:t>
      </w:r>
      <w:r>
        <w:rPr>
          <w:color w:val="FF0090"/>
        </w:rPr>
        <w:t xml:space="preserve"> </w:t>
      </w:r>
      <w:r>
        <w:rPr>
          <w:rFonts w:ascii="Avenir Next LT Pro;sans-serif" w:hAnsi="Avenir Next LT Pro;sans-serif"/>
          <w:b w:val="false"/>
          <w:color w:val="7D7D7D"/>
          <w:sz w:val="16"/>
        </w:rPr>
        <w:t>reflects the respective amounts set forth in this column of the table above, adjusted as set forth in the table below, as determined in accordance with SEC rules. The dollar amounts reflected in the table above do not reflect the actual amount of compensation earned by or paid to our CEO during the applicable year. For information regarding the decisions made by the Compensation Committee regarding the CEO’s compensation for each fiscal year, please see the Compensation Discussion and Analysis section of the proxy statements reporting pay for the fiscal years covered in the table above.</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3The dollar amounts reported in this column are the average amounts of total compensation reported for our NEOs as a group, other than our CEO in the Summary Compensation Table for the applicable fiscal years. The names of the NEOs (excluding our CEO) included for purposes of calculating the average amounts in each applicable year are as follows: (i) for 2025, Ms. Yang; (ii) for 2024, Ms. Yang and Mr. Ranhoff; (iii) for 2023, Ms. Yang, Mr. Jeff McNeil and Mr. David Ranhoff; and (iv) for 2022, Ms. Yang, Mr. Branderiz, Mr. McNeil and Mr. Ranhoff; and (v) 2021, Mr. Branderiz, Mr. McNeil and Mr. Ranhoff. Because Ms. Yang was our only non-CEO NEO in 2025, the amounts in this column, in this table and in the footnotes to this table that reference our non-CEO NEOs for 2025 do not represent averages.</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4Average “compensation actually paid” for our non-CEO NEOs in each of 2025, 2024, 2023, 2022 and 2021 reflects the respective amounts set forth in this column of the table above, adjusted as set forth in the table below, as determined in accordance with SEC rules. The dollar amounts reflected in the table above do not reflect the actual amount of compensation earned by or paid to our non-CEO NEOs during the applicable year. For information regarding the decisions made by the Compensation Committee regarding the non-CEO NEOs’ compensation for each fiscal year, please see the Compensation Discussion and Analysis section of the proxy statements reporting pay for the fiscal years covered in the table above.</w:t>
      </w:r>
    </w:p>
    <w:p>
      <w:pPr>
        <w:pStyle w:val="TextBody"/>
        <w:bidi w:val="0"/>
        <w:spacing w:lineRule="auto" w:line="288" w:before="0" w:after="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PSU grant date fair values are calculated using the stock price as of date of grant assuming target performance. Adjustments have been made using the performance modifier as of year end and as of the date of vest. Time-based restricted stock unit grant date fair values are calculated using the stock price as of date of grant. Adjustments have been made using the stock price as of year end and as of each date of vest. The valuation assumptions used to calculate fair values did not materially differ from those disclosed as of the grant date of the equity awards.</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5For the relevant fiscal year, represents our TSR for the measurement periods ended on December 31 of 2025, 2024, 2023, 2022 and 2021, respectively. An investment of $100 is assumed to have been made in our common stock on December 31, 2020 all dividends were reinvested, and the performance of the investment is tracked through December 31, 2025. The information shown is historical, and stockholder returns over the indicated period should not be considered indicative of future stockholder returns or future performance.</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6Represents comparison of cumulative TSR for our common stock and cumulative TSR for the Invesco Solar ETF for the period from December 31, 2020 to December 31, 2025. An investment of $100 is assumed to have been made in our common stock and in each index on December 31, 2020, all dividends were reinvested, and the relative performance of the investments are tracked through December 31, 2025. The information shown is historical and stockholder returns over the indicated period should not be considered indicative of future stockholder returns or future performance.</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7The dollar amounts reported represent the amount of net income reflected in our audited financial statements for the applicable year.</w:t>
      </w:r>
    </w:p>
    <w:p>
      <w:pPr>
        <w:pStyle w:val="TextBody"/>
        <w:bidi w:val="0"/>
        <w:spacing w:lineRule="auto" w:line="288" w:before="60" w:after="24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8    The dollar amounts reported represent the amount of net revenues reflected in our audited financial statements for the applicable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55</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To calculate the amounts in the “Compensation Actually Paid to CEO” column in the table above for 2025, the following amounts were deducted from and added to (as applicable) the “Total” compensation of CEO, as reported in the Summary Compensation Table for 2025:</w:t>
      </w:r>
    </w:p>
    <w:tbl>
      <w:tblPr>
        <w:tblW w:w="10205" w:type="dxa"/>
        <w:jc w:val="left"/>
        <w:tblInd w:w="0" w:type="dxa"/>
        <w:tblLayout w:type="fixed"/>
        <w:tblCellMar>
          <w:top w:w="28" w:type="dxa"/>
          <w:left w:w="28" w:type="dxa"/>
          <w:bottom w:w="28" w:type="dxa"/>
          <w:right w:w="28" w:type="dxa"/>
        </w:tblCellMar>
      </w:tblPr>
      <w:tblGrid>
        <w:gridCol w:w="217"/>
        <w:gridCol w:w="190"/>
        <w:gridCol w:w="194"/>
        <w:gridCol w:w="615"/>
        <w:gridCol w:w="615"/>
        <w:gridCol w:w="616"/>
        <w:gridCol w:w="591"/>
        <w:gridCol w:w="416"/>
        <w:gridCol w:w="417"/>
        <w:gridCol w:w="499"/>
        <w:gridCol w:w="499"/>
        <w:gridCol w:w="500"/>
        <w:gridCol w:w="541"/>
        <w:gridCol w:w="541"/>
        <w:gridCol w:w="542"/>
        <w:gridCol w:w="506"/>
        <w:gridCol w:w="506"/>
        <w:gridCol w:w="507"/>
        <w:gridCol w:w="493"/>
        <w:gridCol w:w="493"/>
        <w:gridCol w:w="707"/>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Year</w:t>
            </w:r>
          </w:p>
        </w:tc>
        <w:tc>
          <w:tcPr>
            <w:tcW w:w="184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Reported Summary Compensation Table Total for CEO ($)</w:t>
            </w:r>
          </w:p>
        </w:tc>
        <w:tc>
          <w:tcPr>
            <w:tcW w:w="1424"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Reported Value of Equity Awards for CEO</w:t>
            </w:r>
          </w:p>
          <w:p>
            <w:pPr>
              <w:pStyle w:val="TableContents"/>
              <w:bidi w:val="0"/>
              <w:spacing w:lineRule="auto" w:line="288" w:before="0" w:after="0"/>
              <w:jc w:val="center"/>
              <w:rPr/>
            </w:pPr>
            <w:r>
              <w:rPr>
                <w:rFonts w:ascii="Avenir Next LT Pro;sans-serif" w:hAnsi="Avenir Next LT Pro;sans-serif"/>
                <w:b/>
                <w:color w:val="FFFFFF"/>
                <w:sz w:val="16"/>
              </w:rPr>
              <w:t>($)</w:t>
            </w:r>
            <w:r>
              <w:rPr>
                <w:rFonts w:ascii="Avenir Next LT Pro;sans-serif" w:hAnsi="Avenir Next LT Pro;sans-serif"/>
                <w:b/>
                <w:color w:val="FFFFFF"/>
                <w:sz w:val="10"/>
              </w:rPr>
              <w:t>(1)</w:t>
            </w:r>
          </w:p>
        </w:tc>
        <w:tc>
          <w:tcPr>
            <w:tcW w:w="1498"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Equity Award Adjustments for CEO</w:t>
            </w:r>
          </w:p>
          <w:p>
            <w:pPr>
              <w:pStyle w:val="TableContents"/>
              <w:bidi w:val="0"/>
              <w:spacing w:lineRule="auto" w:line="288" w:before="0" w:after="0"/>
              <w:jc w:val="center"/>
              <w:rPr/>
            </w:pPr>
            <w:r>
              <w:rPr>
                <w:rFonts w:ascii="Avenir Next LT Pro;sans-serif" w:hAnsi="Avenir Next LT Pro;sans-serif"/>
                <w:b/>
                <w:color w:val="FFFFFF"/>
                <w:sz w:val="16"/>
              </w:rPr>
              <w:t>($)</w:t>
            </w:r>
            <w:r>
              <w:rPr>
                <w:rFonts w:ascii="Avenir Next LT Pro;sans-serif" w:hAnsi="Avenir Next LT Pro;sans-serif"/>
                <w:b/>
                <w:color w:val="FFFFFF"/>
                <w:sz w:val="10"/>
              </w:rPr>
              <w:t>(2)</w:t>
            </w:r>
          </w:p>
        </w:tc>
        <w:tc>
          <w:tcPr>
            <w:tcW w:w="1624"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Reported Change in the Actuarial Present Value of Pension Benefits for CEO ($)</w:t>
            </w:r>
            <w:r>
              <w:rPr>
                <w:rFonts w:ascii="Avenir Next LT Pro;sans-serif" w:hAnsi="Avenir Next LT Pro;sans-serif"/>
                <w:b/>
                <w:color w:val="FFFFFF"/>
                <w:sz w:val="10"/>
              </w:rPr>
              <w:t>(3)</w:t>
            </w:r>
          </w:p>
        </w:tc>
        <w:tc>
          <w:tcPr>
            <w:tcW w:w="1519"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Pension Benefit Adjustments for CEO</w:t>
            </w:r>
          </w:p>
          <w:p>
            <w:pPr>
              <w:pStyle w:val="TableContents"/>
              <w:bidi w:val="0"/>
              <w:spacing w:lineRule="auto" w:line="288" w:before="0" w:after="0"/>
              <w:jc w:val="center"/>
              <w:rPr/>
            </w:pPr>
            <w:r>
              <w:rPr>
                <w:rFonts w:ascii="Avenir Next LT Pro;sans-serif" w:hAnsi="Avenir Next LT Pro;sans-serif"/>
                <w:b/>
                <w:color w:val="FFFFFF"/>
                <w:sz w:val="16"/>
              </w:rPr>
              <w:t>($)</w:t>
            </w:r>
            <w:r>
              <w:rPr>
                <w:rFonts w:ascii="Avenir Next LT Pro;sans-serif" w:hAnsi="Avenir Next LT Pro;sans-serif"/>
                <w:b/>
                <w:color w:val="FFFFFF"/>
                <w:sz w:val="10"/>
              </w:rPr>
              <w:t>(3)</w:t>
            </w:r>
          </w:p>
        </w:tc>
        <w:tc>
          <w:tcPr>
            <w:tcW w:w="1693"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Compensation Actually Paid to CEO</w:t>
              <w:br/>
              <w:t>($)</w:t>
            </w:r>
          </w:p>
        </w:tc>
      </w:tr>
      <w:tr>
        <w:trPr/>
        <w:tc>
          <w:tcPr>
            <w:tcW w:w="60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1846"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9,601,958</w:t>
            </w:r>
          </w:p>
        </w:tc>
        <w:tc>
          <w:tcPr>
            <w:tcW w:w="1424"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(8,844,624)</w:t>
            </w:r>
          </w:p>
        </w:tc>
        <w:tc>
          <w:tcPr>
            <w:tcW w:w="1498"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(773,725)</w:t>
            </w:r>
          </w:p>
        </w:tc>
        <w:tc>
          <w:tcPr>
            <w:tcW w:w="1624"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9"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93" w:type="dxa"/>
            <w:gridSpan w:val="3"/>
            <w:tcBorders>
              <w:left w:val="single" w:sz="4" w:space="0" w:color="D6D6D6"/>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(16,391)</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1Represents the grant date fair value of the equity awards to our CEO, as reported in the “Stock Awards” column in the Summary Compensation Table for 2024.</w:t>
      </w:r>
    </w:p>
    <w:p>
      <w:pPr>
        <w:pStyle w:val="TextBody"/>
        <w:bidi w:val="0"/>
        <w:spacing w:lineRule="auto" w:line="288" w:before="60" w:after="12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2Represents the year-over-year change in the fair value of equity awards to our CEO, as itemized in the table below. No awards vested in the year they were granted and there is no value to report for dividends or other earnings on stock awards in the applicable year prior to the vesting date that were not otherwise reflected in the fair value of such awards.</w:t>
      </w:r>
    </w:p>
    <w:tbl>
      <w:tblPr>
        <w:tblW w:w="10205" w:type="dxa"/>
        <w:jc w:val="left"/>
        <w:tblInd w:w="0" w:type="dxa"/>
        <w:tblLayout w:type="fixed"/>
        <w:tblCellMar>
          <w:top w:w="28" w:type="dxa"/>
          <w:left w:w="28" w:type="dxa"/>
          <w:bottom w:w="28" w:type="dxa"/>
          <w:right w:w="28" w:type="dxa"/>
        </w:tblCellMar>
      </w:tblPr>
      <w:tblGrid>
        <w:gridCol w:w="2855"/>
        <w:gridCol w:w="2496"/>
        <w:gridCol w:w="2505"/>
        <w:gridCol w:w="109"/>
        <w:gridCol w:w="109"/>
        <w:gridCol w:w="109"/>
        <w:gridCol w:w="401"/>
        <w:gridCol w:w="401"/>
        <w:gridCol w:w="409"/>
        <w:gridCol w:w="109"/>
        <w:gridCol w:w="109"/>
        <w:gridCol w:w="109"/>
        <w:gridCol w:w="109"/>
        <w:gridCol w:w="109"/>
        <w:gridCol w:w="109"/>
        <w:gridCol w:w="157"/>
      </w:tblGrid>
      <w:tr>
        <w:trPr/>
        <w:tc>
          <w:tcPr>
            <w:tcW w:w="2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Fair Value of Equity Awards for CEO</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2025</w:t>
            </w:r>
          </w:p>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As of year-end for awards granted during the year</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3,387,816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Year-over-year increase (decrease) of unvested awards granted in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(2,577,964)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Increase (decrease) from prior fiscal year-end for awards that vested during the year</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(1,583,577)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As of the vest date for awards granted during the year that are vested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AF6EF" w:val="clear"/>
            <w:tcMar>
              <w:top w:w="0" w:type="dxa"/>
              <w:left w:w="23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 Equity Award Adjustment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3C3C3C"/>
              <w:left w:val="single" w:sz="2" w:space="0" w:color="929292"/>
              <w:bottom w:val="double" w:sz="8" w:space="0" w:color="3C3C3C"/>
              <w:right w:val="single" w:sz="2" w:space="0" w:color="929292"/>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$(773,725)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3No pension benefit plans are offered by Enphase.</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To calculate the amounts in the “Average Compensation Actually Paid to Non-CEO NEOs” column in the table above for 2025, the following amounts were deducted from and added to (as applicable) the average of the “Total” compensation of our non-CEO named executive officers, as reported in the Summary Compensation Table for 2025:</w:t>
      </w:r>
    </w:p>
    <w:tbl>
      <w:tblPr>
        <w:tblW w:w="10205" w:type="dxa"/>
        <w:jc w:val="left"/>
        <w:tblInd w:w="0" w:type="dxa"/>
        <w:tblLayout w:type="fixed"/>
        <w:tblCellMar>
          <w:top w:w="28" w:type="dxa"/>
          <w:left w:w="28" w:type="dxa"/>
          <w:bottom w:w="28" w:type="dxa"/>
          <w:right w:w="28" w:type="dxa"/>
        </w:tblCellMar>
      </w:tblPr>
      <w:tblGrid>
        <w:gridCol w:w="217"/>
        <w:gridCol w:w="190"/>
        <w:gridCol w:w="194"/>
        <w:gridCol w:w="600"/>
        <w:gridCol w:w="600"/>
        <w:gridCol w:w="602"/>
        <w:gridCol w:w="603"/>
        <w:gridCol w:w="421"/>
        <w:gridCol w:w="422"/>
        <w:gridCol w:w="526"/>
        <w:gridCol w:w="526"/>
        <w:gridCol w:w="527"/>
        <w:gridCol w:w="491"/>
        <w:gridCol w:w="491"/>
        <w:gridCol w:w="493"/>
        <w:gridCol w:w="519"/>
        <w:gridCol w:w="519"/>
        <w:gridCol w:w="521"/>
        <w:gridCol w:w="508"/>
        <w:gridCol w:w="508"/>
        <w:gridCol w:w="727"/>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Year</w:t>
            </w:r>
          </w:p>
        </w:tc>
        <w:tc>
          <w:tcPr>
            <w:tcW w:w="1802"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Average Reported Summary Compensation Table Total for Non-CEO NEOs</w:t>
              <w:br/>
              <w:t>($)</w:t>
            </w:r>
          </w:p>
        </w:tc>
        <w:tc>
          <w:tcPr>
            <w:tcW w:w="1446"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Average Reported Value of Equity Awards for Non-CEO NEOs</w:t>
            </w:r>
          </w:p>
          <w:p>
            <w:pPr>
              <w:pStyle w:val="TableContents"/>
              <w:bidi w:val="0"/>
              <w:spacing w:lineRule="auto" w:line="288" w:before="0" w:after="0"/>
              <w:jc w:val="center"/>
              <w:rPr/>
            </w:pPr>
            <w:r>
              <w:rPr>
                <w:rFonts w:ascii="Avenir Next LT Pro;sans-serif" w:hAnsi="Avenir Next LT Pro;sans-serif"/>
                <w:b/>
                <w:color w:val="FFFFFF"/>
                <w:sz w:val="16"/>
              </w:rPr>
              <w:t>($)</w:t>
            </w:r>
            <w:r>
              <w:rPr>
                <w:rFonts w:ascii="Avenir Next LT Pro;sans-serif" w:hAnsi="Avenir Next LT Pro;sans-serif"/>
                <w:b/>
                <w:color w:val="FFFFFF"/>
                <w:sz w:val="10"/>
              </w:rPr>
              <w:t>(1)</w:t>
            </w:r>
          </w:p>
        </w:tc>
        <w:tc>
          <w:tcPr>
            <w:tcW w:w="1579"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FFFFFF"/>
                <w:sz w:val="16"/>
              </w:rPr>
              <w:t>Average Equity Award Adjustments for Non-CEO NEOs ($)</w:t>
            </w:r>
            <w:r>
              <w:rPr>
                <w:rFonts w:ascii="Avenir Next LT Pro;sans-serif" w:hAnsi="Avenir Next LT Pro;sans-serif"/>
                <w:b/>
                <w:color w:val="FFFFFF"/>
                <w:sz w:val="10"/>
              </w:rPr>
              <w:t>(2)</w:t>
            </w:r>
          </w:p>
        </w:tc>
        <w:tc>
          <w:tcPr>
            <w:tcW w:w="1475"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Average Reported Change in the Actuarial Present Value of Pension Benefits for Non-CEO NEOs</w:t>
            </w:r>
          </w:p>
          <w:p>
            <w:pPr>
              <w:pStyle w:val="TableContents"/>
              <w:bidi w:val="0"/>
              <w:spacing w:lineRule="auto" w:line="288" w:before="0" w:after="0"/>
              <w:jc w:val="center"/>
              <w:rPr/>
            </w:pPr>
            <w:r>
              <w:rPr>
                <w:rFonts w:ascii="Avenir Next LT Pro;sans-serif" w:hAnsi="Avenir Next LT Pro;sans-serif"/>
                <w:b/>
                <w:color w:val="FFFFFF"/>
                <w:sz w:val="16"/>
              </w:rPr>
              <w:t>($)</w:t>
            </w:r>
            <w:r>
              <w:rPr>
                <w:rFonts w:ascii="Avenir Next LT Pro;sans-serif" w:hAnsi="Avenir Next LT Pro;sans-serif"/>
                <w:b/>
                <w:color w:val="FFFFFF"/>
                <w:sz w:val="10"/>
              </w:rPr>
              <w:t>(3)</w:t>
            </w:r>
          </w:p>
        </w:tc>
        <w:tc>
          <w:tcPr>
            <w:tcW w:w="1559"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Average Pension Benefit Adjustments for Non-CEO NEOs</w:t>
            </w:r>
          </w:p>
          <w:p>
            <w:pPr>
              <w:pStyle w:val="TableContents"/>
              <w:bidi w:val="0"/>
              <w:spacing w:lineRule="auto" w:line="288" w:before="0" w:after="0"/>
              <w:jc w:val="center"/>
              <w:rPr/>
            </w:pPr>
            <w:r>
              <w:rPr>
                <w:rFonts w:ascii="Avenir Next LT Pro;sans-serif" w:hAnsi="Avenir Next LT Pro;sans-serif"/>
                <w:b/>
                <w:color w:val="FFFFFF"/>
                <w:sz w:val="16"/>
              </w:rPr>
              <w:t>($)</w:t>
            </w:r>
            <w:r>
              <w:rPr>
                <w:rFonts w:ascii="Avenir Next LT Pro;sans-serif" w:hAnsi="Avenir Next LT Pro;sans-serif"/>
                <w:b/>
                <w:color w:val="FFFFFF"/>
                <w:sz w:val="10"/>
              </w:rPr>
              <w:t>(3)</w:t>
            </w:r>
          </w:p>
        </w:tc>
        <w:tc>
          <w:tcPr>
            <w:tcW w:w="1743"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Average Compensation Actually Paid to Non-CEO NEOs</w:t>
              <w:br/>
              <w:t>($)</w:t>
            </w:r>
          </w:p>
        </w:tc>
      </w:tr>
      <w:tr>
        <w:trPr/>
        <w:tc>
          <w:tcPr>
            <w:tcW w:w="60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1802"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5,293,375</w:t>
            </w:r>
          </w:p>
        </w:tc>
        <w:tc>
          <w:tcPr>
            <w:tcW w:w="144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(4,717,133)</w:t>
            </w:r>
          </w:p>
        </w:tc>
        <w:tc>
          <w:tcPr>
            <w:tcW w:w="157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(599,954)</w:t>
            </w:r>
          </w:p>
        </w:tc>
        <w:tc>
          <w:tcPr>
            <w:tcW w:w="147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55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74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(23,712)</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1Represents the average grant date fair value of the equity awards to our non-CEO NEOs, as reported in the “Stock Awards” column in the Summary Compensation Table for 2025.</w:t>
      </w:r>
    </w:p>
    <w:p>
      <w:pPr>
        <w:pStyle w:val="TextBody"/>
        <w:bidi w:val="0"/>
        <w:spacing w:lineRule="auto" w:line="288" w:before="60" w:after="12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2Represents the average year-over-year change in the fair value of equity awards to our non-CEO NEOs, as itemized in the table below. No awards vested in the year they were granted, and there is no value to report for dividends or other earnings on stock awards in the applicable year prior to the vesting date that were not otherwise reflected in the fair value of such awards.</w:t>
      </w:r>
    </w:p>
    <w:tbl>
      <w:tblPr>
        <w:tblW w:w="10205" w:type="dxa"/>
        <w:jc w:val="left"/>
        <w:tblInd w:w="0" w:type="dxa"/>
        <w:tblLayout w:type="fixed"/>
        <w:tblCellMar>
          <w:top w:w="28" w:type="dxa"/>
          <w:left w:w="28" w:type="dxa"/>
          <w:bottom w:w="28" w:type="dxa"/>
          <w:right w:w="28" w:type="dxa"/>
        </w:tblCellMar>
      </w:tblPr>
      <w:tblGrid>
        <w:gridCol w:w="2846"/>
        <w:gridCol w:w="2497"/>
        <w:gridCol w:w="2513"/>
        <w:gridCol w:w="109"/>
        <w:gridCol w:w="109"/>
        <w:gridCol w:w="109"/>
        <w:gridCol w:w="401"/>
        <w:gridCol w:w="401"/>
        <w:gridCol w:w="409"/>
        <w:gridCol w:w="109"/>
        <w:gridCol w:w="109"/>
        <w:gridCol w:w="109"/>
        <w:gridCol w:w="109"/>
        <w:gridCol w:w="109"/>
        <w:gridCol w:w="109"/>
        <w:gridCol w:w="157"/>
      </w:tblGrid>
      <w:tr>
        <w:trPr/>
        <w:tc>
          <w:tcPr>
            <w:tcW w:w="284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3C3C3C"/>
            </w:tcBorders>
            <w:shd w:fill="3C3C3C" w:val="clear"/>
            <w:tcMar>
              <w:top w:w="0" w:type="dxa"/>
              <w:left w:w="14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Average Fair Value of Equity Awards for Non-CEO NEOs</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3C3C3C" w:val="clear"/>
            <w:tcMar>
              <w:top w:w="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2025</w:t>
            </w:r>
          </w:p>
          <w:p>
            <w:pPr>
              <w:pStyle w:val="TableContents"/>
              <w:bidi w:val="0"/>
              <w:spacing w:lineRule="auto" w:line="288" w:before="0" w:after="0"/>
              <w:jc w:val="center"/>
              <w:rPr>
                <w:rFonts w:ascii="Avenir Next LT Pro;sans-serif" w:hAnsi="Avenir Next LT Pro;sans-serif"/>
                <w:b/>
                <w:color w:val="FFFFFF"/>
                <w:sz w:val="16"/>
              </w:rPr>
            </w:pPr>
            <w:r>
              <w:rPr>
                <w:rFonts w:ascii="Avenir Next LT Pro;sans-serif" w:hAnsi="Avenir Next LT Pro;sans-serif"/>
                <w:b/>
                <w:color w:val="FFFFFF"/>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As of year-end for awards granted during the year</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1,806,835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Year-over-year increase (decrease) of unvested awards granted in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(1,369,259)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Increase (decrease) from prior fiscal year-end for awards that vested during the year</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(1,037,530)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As of the vest date for awards granted during the year that are vested during the year</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6" w:type="dxa"/>
            <w:gridSpan w:val="3"/>
            <w:tcBorders>
              <w:left w:val="single" w:sz="2" w:space="0" w:color="929292"/>
            </w:tcBorders>
            <w:shd w:fill="FAF6EF" w:val="clear"/>
            <w:tcMar>
              <w:top w:w="0" w:type="dxa"/>
              <w:left w:w="23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 Average Equity Award Adjustment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3C3C3C"/>
              <w:left w:val="single" w:sz="2" w:space="0" w:color="929292"/>
              <w:bottom w:val="double" w:sz="8" w:space="0" w:color="3C3C3C"/>
              <w:right w:val="single" w:sz="2" w:space="0" w:color="929292"/>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$(599,954)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2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3No pension benefit plans are offered by Enphase.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Financial Performance Measures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identifies the four most important financial performance measures used by the Compensation Committee to link the “compensation actually paid” to our CEO and our non-CEO NEO in 2025, calculated in accordance with SEC regulations, to company performance. The role of each of these performance measures in our NEOs’ compensation is discussed in the CD&amp;A section above.</w:t>
      </w:r>
    </w:p>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1" w:type="dxa"/>
            <w:gridSpan w:val="39"/>
            <w:tcBorders>
              <w:left w:val="single" w:sz="2" w:space="0" w:color="3C3C3C"/>
              <w:right w:val="single" w:sz="2" w:space="0" w:color="3C3C3C"/>
            </w:tcBorders>
            <w:shd w:fill="3C3C3C" w:val="clear"/>
            <w:tcMar>
              <w:top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Financial Performance Measures</w:t>
            </w:r>
          </w:p>
        </w:tc>
      </w:tr>
      <w:tr>
        <w:trPr/>
        <w:tc>
          <w:tcPr>
            <w:tcW w:w="4311" w:type="dxa"/>
            <w:gridSpan w:val="39"/>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Net Revenues</w:t>
            </w:r>
          </w:p>
        </w:tc>
      </w:tr>
      <w:tr>
        <w:trPr/>
        <w:tc>
          <w:tcPr>
            <w:tcW w:w="4311" w:type="dxa"/>
            <w:gridSpan w:val="39"/>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Non-GAAP Gross Margin</w:t>
            </w:r>
          </w:p>
        </w:tc>
      </w:tr>
      <w:tr>
        <w:trPr/>
        <w:tc>
          <w:tcPr>
            <w:tcW w:w="4311" w:type="dxa"/>
            <w:gridSpan w:val="39"/>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Total Stockholder Return</w:t>
            </w:r>
          </w:p>
        </w:tc>
      </w:tr>
      <w:tr>
        <w:trPr/>
        <w:tc>
          <w:tcPr>
            <w:tcW w:w="4311" w:type="dxa"/>
            <w:gridSpan w:val="39"/>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Free Cash Flow</w:t>
            </w:r>
          </w:p>
        </w:tc>
      </w:tr>
    </w:tbl>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Below are graphs showing the relationship of “compensation actually paid” to our CEO and our non-CEO NEO(s) in 2025, 2024, 2023, 2022 and 2021 compared to (1) our TSR and the TSR of the Invesco Solar ETF (“TAN TSR”), (2) our net income and (3) our net revenues.</w:t>
      </w:r>
    </w:p>
    <w:p>
      <w:pPr>
        <w:pStyle w:val="TextBody"/>
        <w:bidi w:val="0"/>
        <w:spacing w:before="0" w:after="60"/>
        <w:jc w:val="center"/>
        <w:rPr/>
      </w:pPr>
      <w:r>
        <w:rPr/>
        <w:drawing>
          <wp:inline distT="0" distB="0" distL="0" distR="0">
            <wp:extent cx="3286125" cy="2381250"/>
            <wp:effectExtent l="0" t="0" r="0" b="0"/>
            <wp:docPr id="12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5" descr=""/>
                    <pic:cNvPicPr>
                      <a:picLocks noChangeAspect="1" noChangeArrowheads="1"/>
                    </pic:cNvPicPr>
                  </pic:nvPicPr>
                  <pic:blipFill>
                    <a:blip r:embed="rId66"/>
                    <a:stretch>
                      <a:fillRect/>
                    </a:stretch>
                  </pic:blipFill>
                  <pic:spPr bwMode="auto">
                    <a:xfrm>
                      <a:off x="0" y="0"/>
                      <a:ext cx="3286125" cy="2381250"/>
                    </a:xfrm>
                    <a:prstGeom prst="rect">
                      <a:avLst/>
                    </a:prstGeom>
                  </pic:spPr>
                </pic:pic>
              </a:graphicData>
            </a:graphic>
          </wp:inline>
        </w:drawing>
      </w:r>
      <w:bookmarkStart w:id="64" w:name="i-65"/>
      <w:bookmarkEnd w:id="64"/>
      <w:r>
        <w:rPr/>
        <w:drawing>
          <wp:inline distT="0" distB="0" distL="0" distR="0">
            <wp:extent cx="3286125" cy="2381250"/>
            <wp:effectExtent l="0" t="0" r="0" b="0"/>
            <wp:docPr id="12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6" descr=""/>
                    <pic:cNvPicPr>
                      <a:picLocks noChangeAspect="1" noChangeArrowheads="1"/>
                    </pic:cNvPicPr>
                  </pic:nvPicPr>
                  <pic:blipFill>
                    <a:blip r:embed="rId67"/>
                    <a:stretch>
                      <a:fillRect/>
                    </a:stretch>
                  </pic:blipFill>
                  <pic:spPr bwMode="auto">
                    <a:xfrm>
                      <a:off x="0" y="0"/>
                      <a:ext cx="3286125" cy="2381250"/>
                    </a:xfrm>
                    <a:prstGeom prst="rect">
                      <a:avLst/>
                    </a:prstGeom>
                  </pic:spPr>
                </pic:pic>
              </a:graphicData>
            </a:graphic>
          </wp:inline>
        </w:drawing>
      </w:r>
      <w:bookmarkStart w:id="65" w:name="i-66"/>
      <w:bookmarkEnd w:id="65"/>
    </w:p>
    <w:p>
      <w:pPr>
        <w:pStyle w:val="TextBody"/>
        <w:bidi w:val="0"/>
        <w:spacing w:before="0" w:after="60"/>
        <w:jc w:val="center"/>
        <w:rPr/>
      </w:pPr>
      <w:r>
        <w:rPr/>
        <w:drawing>
          <wp:inline distT="0" distB="0" distL="0" distR="0">
            <wp:extent cx="3333750" cy="2381250"/>
            <wp:effectExtent l="0" t="0" r="0" b="0"/>
            <wp:docPr id="13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7" descr=""/>
                    <pic:cNvPicPr>
                      <a:picLocks noChangeAspect="1" noChangeArrowheads="1"/>
                    </pic:cNvPicPr>
                  </pic:nvPicPr>
                  <pic:blipFill>
                    <a:blip r:embed="rId68"/>
                    <a:stretch>
                      <a:fillRect/>
                    </a:stretch>
                  </pic:blipFill>
                  <pic:spPr bwMode="auto">
                    <a:xfrm>
                      <a:off x="0" y="0"/>
                      <a:ext cx="3333750" cy="2381250"/>
                    </a:xfrm>
                    <a:prstGeom prst="rect">
                      <a:avLst/>
                    </a:prstGeom>
                  </pic:spPr>
                </pic:pic>
              </a:graphicData>
            </a:graphic>
          </wp:inline>
        </w:drawing>
      </w:r>
      <w:bookmarkStart w:id="66" w:name="i-67"/>
      <w:bookmarkEnd w:id="66"/>
    </w:p>
    <w:p>
      <w:pPr>
        <w:pStyle w:val="TextBody"/>
        <w:bidi w:val="0"/>
        <w:spacing w:lineRule="auto" w:line="336" w:before="0" w:after="180"/>
        <w:jc w:val="both"/>
        <w:rPr>
          <w:rFonts w:ascii="Avenir Next LT Pro;sans-serif" w:hAnsi="Avenir Next LT Pro;sans-serif"/>
          <w:b w:val="false"/>
          <w:i/>
          <w:color w:val="000000"/>
          <w:sz w:val="18"/>
        </w:rPr>
      </w:pPr>
      <w:r>
        <w:rPr>
          <w:rFonts w:ascii="Avenir Next LT Pro;sans-serif" w:hAnsi="Avenir Next LT Pro;sans-serif"/>
          <w:b w:val="false"/>
          <w:i/>
          <w:color w:val="000000"/>
          <w:sz w:val="18"/>
        </w:rPr>
        <w:t>All information provided above under the “Pay Versus Performance” heading will not be deemed to be incorporated by reference into any filing of Enphase under the Securities Act or the Exchange Act, whether made before or after the date hereof and irrespective of any general incorporation language in any such filing, except to the extent we specifically incorporate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1"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57</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F45270"/>
          <w:sz w:val="48"/>
        </w:rPr>
      </w:pPr>
      <w:r>
        <w:rPr>
          <w:rFonts w:ascii="Avenir Next LT Pro;sans-serif" w:hAnsi="Avenir Next LT Pro;sans-serif"/>
          <w:b/>
          <w:color w:val="F45270"/>
          <w:sz w:val="48"/>
        </w:rPr>
        <w:t>Proposal 2</w:t>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Advisory Vote to Approve Executive Compensation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Under the Dodd-Frank Act and Section 14A of the Exchange Act, our stockholders are entitled to vote to approve, on an advisory basis, the compensation of our NEOs as disclosed in this proxy statement in accordance with SEC rules. We are seeking an advisory vote from our stockholders to approve the compensation paid to our NEOs, as disclosed in this proxy statement.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Compensation Committee, with assistance from an external compensation consultant, has structured our executive compensation program to stress a pay-for-performance philosophy. The compensation opportunities provided to our NEOs are significantly dependent on our financial performance, the performance of our stock and rigorous corporate goals, which are intended to drive creation of sustainable stockholder value. The Compensation Committee will continue to emphasize what it believes to be responsible compensation arrangements that attract, retain and motivate high-caliber executive officers, and motivate those officers to achieve our short- and long-term business strategies and objectives.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You have the opportunity to vote “FOR” or “AGAINST” or to “ABSTAIN” from voting to approve, on an advisory basis, the compensation paid to our NEOs as disclosed in this proxy statement. In deciding how to vote on this proposal, we encourage you to consider our executive compensation philosophy and objectives, and the design principles and the elements of our executive compensation program. As described in this proxy statement, a guiding principle of our compensation philosophy is that compensation should be linked to performance and that the interests of our executives and stockholders should be aligned. Our compensation program is a mix of short- and long-term components, cash and equity elements and fixed and contingent payments in proportions we believe will provide the proper incentives, reward our NEOs and help us achieve our goals and increase stockholder value. For example:</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Our NEOs receive a market-based compensation package.</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Our NEOs’ compensation is substantially tied to performance. A significant portion of their cash and equity compensation is based upon our financial and company performance along with TSR performance.</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Our NEOs’ compensation is aligned with long-term stockholder interests.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vote is not intended to address any specific item of compensation, but rather the overall compensation of our NEOs and the philosophy, policies and practices described in this proxy statement. The compensation of our NEOs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Compensation of our NEOs is designed to enable us to attract, motivate and retain talented and experienced executives to lead us successfully in a competitive environment.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Accordingly, the Board is asking the stockholders to indicate their support for the compensation of our NEOs as described in this proxy statement by casting a non-binding advisory vote “FOR” the following resolution:</w:t>
      </w:r>
    </w:p>
    <w:p>
      <w:pPr>
        <w:pStyle w:val="TextBody"/>
        <w:bidi w:val="0"/>
        <w:spacing w:lineRule="auto" w:line="336" w:before="0" w:after="180"/>
        <w:jc w:val="both"/>
        <w:rPr>
          <w:color w:val="000000"/>
        </w:rPr>
      </w:pPr>
      <w:r>
        <w:rPr>
          <w:color w:val="000000"/>
        </w:rPr>
        <w:t>“</w:t>
      </w:r>
      <w:r>
        <w:rPr>
          <w:rFonts w:ascii="Avenir Next LT Pro;sans-serif" w:hAnsi="Avenir Next LT Pro;sans-serif"/>
          <w:b w:val="false"/>
          <w:color w:val="000000"/>
          <w:sz w:val="18"/>
        </w:rPr>
        <w:t>RESOLVED, that the compensation paid to the Company’s NEOs, as disclosed pursuant to Item 402 of Regulation S-K, including the Compensation Discussion and Analysis, compensation tables and narrative discussion, is APPROVED.”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While your vote on this proposal is advisory and will not be binding on the Compensation Committee, the Board or on us, we value the opinions of our stockholders on executive compensation matters and will take the results of this advisory vote into consideration when making future decisions regarding our executive compensation program.</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Vote Required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Approval of this Proposal 2 requires “FOR” votes from the holders of a majority of shares present in person or represented by proxy at the Annual Meeting and entitled to vote generally on the subject matter. If you “ABSTAIN” from voting, it will have the same effect as an “AGAINST” vote.</w:t>
      </w:r>
    </w:p>
    <w:p>
      <w:pPr>
        <w:pStyle w:val="TextBody"/>
        <w:bidi w:val="0"/>
        <w:spacing w:lineRule="auto" w:line="288" w:before="0" w:after="120"/>
        <w:jc w:val="left"/>
        <w:rPr/>
      </w:pPr>
      <w:r>
        <w:rPr>
          <w:rFonts w:ascii="Avenir Next LT Pro;sans-serif" w:hAnsi="Avenir Next LT Pro;sans-serif"/>
          <w:b/>
          <w:i/>
          <w:color w:val="000000"/>
          <w:sz w:val="28"/>
        </w:rPr>
        <w:t xml:space="preserve">The Board of Directors recommends a vote </w:t>
      </w:r>
      <w:r>
        <w:rPr>
          <w:rFonts w:ascii="Avenir Next LT Pro;sans-serif" w:hAnsi="Avenir Next LT Pro;sans-serif"/>
          <w:b/>
          <w:color w:val="E86100"/>
          <w:sz w:val="28"/>
        </w:rPr>
        <w:t>FOR</w:t>
      </w:r>
      <w:r>
        <w:rPr>
          <w:color w:val="000000"/>
        </w:rPr>
        <w:t xml:space="preserve"> </w:t>
      </w:r>
      <w:r>
        <w:rPr>
          <w:rFonts w:ascii="Avenir Next LT Pro;sans-serif" w:hAnsi="Avenir Next LT Pro;sans-serif"/>
          <w:b/>
          <w:i/>
          <w:color w:val="000000"/>
          <w:sz w:val="28"/>
        </w:rPr>
        <w:t>Proposal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2"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58</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2C436F"/>
          <w:sz w:val="48"/>
        </w:rPr>
      </w:pPr>
      <w:r>
        <w:rPr>
          <w:rFonts w:ascii="Avenir Next LT Pro;sans-serif" w:hAnsi="Avenir Next LT Pro;sans-serif"/>
          <w:b/>
          <w:color w:val="2C436F"/>
          <w:sz w:val="48"/>
        </w:rPr>
        <w:t>Proposal 3</w:t>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Approval of the Amendment and Restatement of the Enphase Energy, Inc. 2021 Equity Incentive Plan to Increase the Number of Shares of Common Stock Authorized for Issuance thereunder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the opinion of the Board, our future success depends, in large part, on our ability to maintain a competitive position in attracting, retaining and motivating key employees with experience and ability. On March 30, 2026, following the Compensation Committee’s approval and recommendation, the Board adopted, subject to stockholder approval, an amendment and restatement of the Enphase Energy, Inc. 2021 Equity Incentive Plan (as amended from time to time, the “2021 Plan”) to increase the number of shares of common stock authorized for issuance thereunder by an additional 2,000,000 shares.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stockholders’ approval of the amendment and restatement of the 2021 Plan will allow us to continue to grant restricted stock unit awards, and other awards at levels determined appropriate by the Board or Compensation Committee. The amendment and restatement of the 2021 Plan will also allow us to further utilize a broad array of equity incentives in order to secure and retain the services of our employees, directors and consultants, and to continue to provide long-term incentives that align the interests of our employees, directors and consultants with the interests of our stockholders.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this Proposal 3 is approved by our stockholders, the amendment and restatement of the 2021 Plan will become effective as of the date of the Annual Meeting and the maximum number of shares that may be issued pursuant to awards granted under the 2021 Plan, as amended and restated, as of the date of the Annual Meeting would be the sum of (1) 15,100,456 shares, representing 9,100,456 shares originally reserved under the 2021 Plan when it was adopted, 4,000,000 shares added to the share reserve upon stockholder approval of the amended 2021 Plan at our 2025 Annual Meeting, and an additional 2,000,000 shares to be added to the share reserve, subject to stockholder approval of this Proposal 3, and (2) any shares subject to outstanding awards under the 2011 Equity Incentive Plan (the “2011 Plan”) that are terminated, canceled, surrendered or forfeited. As of the Record Date, 4,673,827 shares were available for future awards under the 2021 Plan and 6,040,760 shares were subject to outstanding awards under the 2021 Plan and the 2011 Plan.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the event that our stockholders do not approve this Proposal 3, the increase in shares will not become effective and the 2021 Plan will continue in accordance with its terms. Therefore, if our stockholders do not approve this Proposal 3, we may not be able to grant equity incentive awards in the future to our employees, directors and consultants, which would significantly impact our ability to attract, motivate and retain the highly skilled talent we need.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Why You Should Vote for the Amendment and Restatement of the 2021 Plan to Increase Shares</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We Manage Our Equity Incentive Award Use Carefully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continue to believe that equity incentive awards such as RSU and PSU awards are a vital part of our overall compensation program. Our compensation philosophy reflects broad-based eligibility for equity incentive awards, and we grant awards to substantially all of our employees. However, we recognize that equity incentive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To that end, our three-year average burn rate was 1.53% as further detailed below.</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Moreover, we repurchase shares to reduce the dilution associated with our equity incentive program. For several years, our stated capital allocation strategy has included buying back shares over time to offset dilution from employee equity programs and to be opportunistic in share repurchases. As a result of our share repurchase program, as of January 1, 2023, we had 136,441,102 shares outstanding, and as of the Record Date, the shares outstanding had been reduced to 131,783,945 shares outstanding. In addition, in the past three years, our share repurchasing has eclipsed our annual equity awards by approximately 1.14 million shares, fully offsetting any dilutive effects 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59</w:t>
                      </w:r>
                    </w:p>
                  </w:txbxContent>
                </v:textbox>
                <w10:wrap type="none"/>
              </v:rect>
            </w:pict>
          </mc:Fallback>
        </mc:AlternateContent>
      </w:r>
    </w:p>
    <w:p>
      <w:pPr>
        <w:pStyle w:val="TextBody"/>
        <w:bidi w:val="0"/>
        <w:spacing w:before="0" w:after="0"/>
        <w:jc w:val="left"/>
        <w:rPr/>
      </w:pPr>
      <w:r>
        <w:rPr/>
      </w:r>
    </w:p>
    <w:tbl>
      <w:tblPr>
        <w:tblW w:w="9251" w:type="dxa"/>
        <w:jc w:val="left"/>
        <w:tblInd w:w="0" w:type="dxa"/>
        <w:tblLayout w:type="fixed"/>
        <w:tblCellMar>
          <w:top w:w="28" w:type="dxa"/>
          <w:left w:w="28" w:type="dxa"/>
          <w:bottom w:w="28" w:type="dxa"/>
          <w:right w:w="28" w:type="dxa"/>
        </w:tblCellMar>
      </w:tblPr>
      <w:tblGrid>
        <w:gridCol w:w="1404"/>
        <w:gridCol w:w="1236"/>
        <w:gridCol w:w="1244"/>
        <w:gridCol w:w="354"/>
        <w:gridCol w:w="354"/>
        <w:gridCol w:w="358"/>
        <w:gridCol w:w="109"/>
        <w:gridCol w:w="109"/>
        <w:gridCol w:w="402"/>
        <w:gridCol w:w="402"/>
        <w:gridCol w:w="410"/>
        <w:gridCol w:w="354"/>
        <w:gridCol w:w="354"/>
        <w:gridCol w:w="358"/>
        <w:gridCol w:w="549"/>
        <w:gridCol w:w="549"/>
        <w:gridCol w:w="551"/>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2024</w:t>
            </w:r>
          </w:p>
        </w:tc>
        <w:tc>
          <w:tcPr>
            <w:tcW w:w="106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2025</w:t>
            </w:r>
          </w:p>
        </w:tc>
        <w:tc>
          <w:tcPr>
            <w:tcW w:w="164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Three-Year 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Equity awards granted</w:t>
            </w:r>
          </w:p>
        </w:tc>
        <w:tc>
          <w:tcPr>
            <w:tcW w:w="10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1,809,399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2,033,050</w:t>
            </w:r>
          </w:p>
        </w:tc>
        <w:tc>
          <w:tcPr>
            <w:tcW w:w="106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3,888,967</w:t>
            </w:r>
          </w:p>
        </w:tc>
        <w:tc>
          <w:tcPr>
            <w:tcW w:w="164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7,731,416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Shares repurchased</w:t>
            </w:r>
          </w:p>
        </w:tc>
        <w:tc>
          <w:tcPr>
            <w:tcW w:w="106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2,297,053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4,543,016</w:t>
            </w:r>
          </w:p>
        </w:tc>
        <w:tc>
          <w:tcPr>
            <w:tcW w:w="106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2,029,894</w:t>
            </w:r>
          </w:p>
        </w:tc>
        <w:tc>
          <w:tcPr>
            <w:tcW w:w="164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8,869,963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Net dilutive effect of equity program</w:t>
            </w:r>
          </w:p>
        </w:tc>
        <w:tc>
          <w:tcPr>
            <w:tcW w:w="1066"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(487,654)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(2,509,966)</w:t>
            </w:r>
          </w:p>
        </w:tc>
        <w:tc>
          <w:tcPr>
            <w:tcW w:w="1066"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1,859,073</w:t>
            </w:r>
          </w:p>
        </w:tc>
        <w:tc>
          <w:tcPr>
            <w:tcW w:w="1649" w:type="dxa"/>
            <w:gridSpan w:val="3"/>
            <w:tcBorders>
              <w:top w:val="single" w:sz="8" w:space="0" w:color="000000"/>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(1,138,547)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The Size of Our Share Reserve Request Is Reasonable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recognize the dilutive impact of our equity compensation on our stockholders and continuously strive to balance this concern with the competition for talent. If this Proposal 3 is approved by our stockholders, we will have 2,000,000 new shares available for grant under the 2021 Plan. Based on our historical grant practices and planned headcount, we expect that the total number of shares available under the 2021 Plan, if the proposed amendment and restatement is approved, would meet our needs for approximately two more years. However, the actual duration of the shares reserve will depend on currently unknown factors, such as changes in participation, future grant practices, competitive market practices, acquisitions, forfeiture rates and our stock price, among others.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developing our share request for an increase in the number of shares available for issuance under the 2021 Plan, and analyzing the impact of utilizing equity on our stockholders, our management and the Compensation Committee considered both our “burn rate” and “overhang,” which they consider important metrics of how our equity compensation program impacts our stockholders.</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Burn Rate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provides detailed information regarding the activity related to our equity incentive program for fiscal years 2025, 2024 and 2023.</w:t>
      </w:r>
    </w:p>
    <w:tbl>
      <w:tblPr>
        <w:tblW w:w="10205" w:type="dxa"/>
        <w:jc w:val="left"/>
        <w:tblInd w:w="0" w:type="dxa"/>
        <w:tblLayout w:type="fixed"/>
        <w:tblCellMar>
          <w:top w:w="28" w:type="dxa"/>
          <w:left w:w="28" w:type="dxa"/>
          <w:bottom w:w="28" w:type="dxa"/>
          <w:right w:w="28" w:type="dxa"/>
        </w:tblCellMar>
      </w:tblPr>
      <w:tblGrid>
        <w:gridCol w:w="2133"/>
        <w:gridCol w:w="1449"/>
        <w:gridCol w:w="1459"/>
        <w:gridCol w:w="109"/>
        <w:gridCol w:w="109"/>
        <w:gridCol w:w="109"/>
        <w:gridCol w:w="109"/>
        <w:gridCol w:w="109"/>
        <w:gridCol w:w="433"/>
        <w:gridCol w:w="433"/>
        <w:gridCol w:w="440"/>
        <w:gridCol w:w="109"/>
        <w:gridCol w:w="109"/>
        <w:gridCol w:w="109"/>
        <w:gridCol w:w="433"/>
        <w:gridCol w:w="433"/>
        <w:gridCol w:w="440"/>
        <w:gridCol w:w="109"/>
        <w:gridCol w:w="109"/>
        <w:gridCol w:w="109"/>
        <w:gridCol w:w="392"/>
        <w:gridCol w:w="392"/>
        <w:gridCol w:w="569"/>
      </w:tblGrid>
      <w:tr>
        <w:trPr/>
        <w:tc>
          <w:tcPr>
            <w:tcW w:w="213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041" w:type="dxa"/>
            <w:gridSpan w:val="3"/>
            <w:vMerge w:val="restart"/>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9" w:type="dxa"/>
            <w:gridSpan w:val="15"/>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Fiscal Year</w:t>
            </w:r>
          </w:p>
        </w:tc>
      </w:tr>
      <w:tr>
        <w:trPr/>
        <w:tc>
          <w:tcPr>
            <w:tcW w:w="5041" w:type="dxa"/>
            <w:gridSpan w:val="3"/>
            <w:vMerge w:val="continue"/>
            <w:tcBorders>
              <w:left w:val="single" w:sz="2" w:space="0" w:color="3C3C3C"/>
            </w:tcBorders>
            <w:shd w:fill="3C3C3C" w:val="clear"/>
            <w:tcMar>
              <w:top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2025</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2024</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2023</w:t>
            </w:r>
          </w:p>
        </w:tc>
      </w:tr>
      <w:tr>
        <w:trPr/>
        <w:tc>
          <w:tcPr>
            <w:tcW w:w="504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number of shares of common stock subject to stock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left w:val="single" w:sz="4" w:space="0" w:color="D6D6D6"/>
              <w:right w:val="single" w:sz="4" w:space="0" w:color="D6D6D6"/>
            </w:tcBorders>
            <w:shd w:fill="FA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r>
      <w:tr>
        <w:trPr/>
        <w:tc>
          <w:tcPr>
            <w:tcW w:w="504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number of shares of common stock subject to time-based full value awards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2,746,000</w:t>
            </w:r>
          </w:p>
        </w:tc>
        <w:tc>
          <w:tcPr>
            <w:tcW w:w="327"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1,309,000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left w:val="single" w:sz="4" w:space="0" w:color="D6D6D6"/>
              <w:right w:val="single" w:sz="4" w:space="0" w:color="D6D6D6"/>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1,409,000</w:t>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number of performance-based full value awards earned/vested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175,000</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100,000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left w:val="single" w:sz="4" w:space="0" w:color="D6D6D6"/>
              <w:right w:val="single" w:sz="4" w:space="0" w:color="D6D6D6"/>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380,000</w:t>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Weighted-average number of shares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131,162,000</w:t>
            </w:r>
          </w:p>
        </w:tc>
        <w:tc>
          <w:tcPr>
            <w:tcW w:w="327" w:type="dxa"/>
            <w:gridSpan w:val="3"/>
            <w:tcBorders>
              <w:left w:val="single" w:sz="2"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135,167,000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left w:val="single" w:sz="4" w:space="0" w:color="D6D6D6"/>
              <w:right w:val="single" w:sz="4" w:space="0" w:color="D6D6D6"/>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136,376,000</w:t>
            </w:r>
          </w:p>
        </w:tc>
      </w:tr>
      <w:tr>
        <w:trPr/>
        <w:tc>
          <w:tcPr>
            <w:tcW w:w="504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Burn Rate</w:t>
            </w:r>
            <w:r>
              <w:rPr>
                <w:rFonts w:ascii="Avenir Next LT Pro;sans-serif" w:hAnsi="Avenir Next LT Pro;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2.23%</w:t>
            </w:r>
          </w:p>
        </w:tc>
        <w:tc>
          <w:tcPr>
            <w:tcW w:w="327"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left w:val="single" w:sz="4" w:space="0" w:color="D6D6D6"/>
              <w:right w:val="single" w:sz="4" w:space="0" w:color="D6D6D6"/>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1.31%</w:t>
            </w:r>
          </w:p>
        </w:tc>
      </w:tr>
      <w:tr>
        <w:trPr/>
        <w:tc>
          <w:tcPr>
            <w:tcW w:w="5041" w:type="dxa"/>
            <w:gridSpan w:val="3"/>
            <w:tcBorders>
              <w:left w:val="single" w:sz="2" w:space="0" w:color="929292"/>
            </w:tcBorders>
            <w:shd w:fill="FFFFFF" w:val="clear"/>
            <w:tcMar>
              <w:top w:w="0" w:type="dxa"/>
              <w:left w:w="47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Three Year 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9" w:type="dxa"/>
            <w:gridSpan w:val="15"/>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1.53%</w:t>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24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1Burn Rate is calculated as (shares subject to stock options granted + shares subject to time-based full value awards granted + shares subject to performance-based full value awards earned/vested) / weighted average common stock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60</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Overhang</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provides certain information regarding the current status of our equity incentive program.</w:t>
      </w:r>
    </w:p>
    <w:tbl>
      <w:tblPr>
        <w:tblW w:w="10205" w:type="dxa"/>
        <w:jc w:val="left"/>
        <w:tblInd w:w="0" w:type="dxa"/>
        <w:tblLayout w:type="fixed"/>
        <w:tblCellMar>
          <w:top w:w="28" w:type="dxa"/>
          <w:left w:w="28" w:type="dxa"/>
          <w:bottom w:w="28" w:type="dxa"/>
          <w:right w:w="28" w:type="dxa"/>
        </w:tblCellMar>
      </w:tblPr>
      <w:tblGrid>
        <w:gridCol w:w="2777"/>
        <w:gridCol w:w="2422"/>
        <w:gridCol w:w="2433"/>
        <w:gridCol w:w="109"/>
        <w:gridCol w:w="109"/>
        <w:gridCol w:w="109"/>
        <w:gridCol w:w="109"/>
        <w:gridCol w:w="109"/>
        <w:gridCol w:w="109"/>
        <w:gridCol w:w="109"/>
        <w:gridCol w:w="535"/>
        <w:gridCol w:w="532"/>
        <w:gridCol w:w="743"/>
      </w:tblGrid>
      <w:tr>
        <w:trPr/>
        <w:tc>
          <w:tcPr>
            <w:tcW w:w="277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7632"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As of Record Date</w:t>
            </w:r>
          </w:p>
        </w:tc>
      </w:tr>
      <w:tr>
        <w:trPr/>
        <w:tc>
          <w:tcPr>
            <w:tcW w:w="763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number of shares of common stock subject to outstanding options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2,475</w:t>
            </w:r>
          </w:p>
        </w:tc>
      </w:tr>
      <w:tr>
        <w:trPr/>
        <w:tc>
          <w:tcPr>
            <w:tcW w:w="7632"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Weighted-average exercise price of outstanding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$64.17</w:t>
            </w:r>
          </w:p>
        </w:tc>
      </w:tr>
      <w:tr>
        <w:trPr/>
        <w:tc>
          <w:tcPr>
            <w:tcW w:w="763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Weighted-average remaining term of outstanding stock options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1.17 years</w:t>
            </w:r>
          </w:p>
        </w:tc>
      </w:tr>
      <w:tr>
        <w:trPr/>
        <w:tc>
          <w:tcPr>
            <w:tcW w:w="7632"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Total number of shares of common stock subject to outstanding full value awards</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6,040,760</w:t>
            </w:r>
          </w:p>
        </w:tc>
      </w:tr>
      <w:tr>
        <w:trPr/>
        <w:tc>
          <w:tcPr>
            <w:tcW w:w="7632"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Total number of shares of common stock available for grant under the 2021 Plan</w:t>
            </w:r>
            <w:r>
              <w:rPr>
                <w:rFonts w:ascii="Avenir Next LT Pro;sans-serif" w:hAnsi="Avenir Next LT Pro;sans-serif"/>
                <w:b w:val="false"/>
                <w:color w:val="000000"/>
                <w:sz w:val="12"/>
              </w:rPr>
              <w:t>(2)</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4,673,827</w:t>
            </w:r>
          </w:p>
        </w:tc>
      </w:tr>
      <w:tr>
        <w:trPr/>
        <w:tc>
          <w:tcPr>
            <w:tcW w:w="7632"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131,783,945</w:t>
            </w:r>
          </w:p>
        </w:tc>
      </w:tr>
      <w:tr>
        <w:trPr/>
        <w:tc>
          <w:tcPr>
            <w:tcW w:w="763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Per-share closing price of common stocks as reported on Nasdaq Global Select Market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$44.64</w:t>
            </w:r>
          </w:p>
        </w:tc>
      </w:tr>
      <w:tr>
        <w:trPr/>
        <w:tc>
          <w:tcPr>
            <w:tcW w:w="7632"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Warrants and convertible shares</w:t>
            </w:r>
            <w:r>
              <w:rPr>
                <w:rFonts w:ascii="Avenir Next LT Pro;sans-serif" w:hAnsi="Avenir Next LT Pro;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11,330,180</w:t>
            </w:r>
          </w:p>
        </w:tc>
      </w:tr>
      <w:tr>
        <w:trPr/>
        <w:tc>
          <w:tcPr>
            <w:tcW w:w="7632"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Fully-diluted overhang as of the record date</w:t>
            </w:r>
            <w:r>
              <w:rPr>
                <w:rFonts w:ascii="Avenir Next LT Pro;sans-serif" w:hAnsi="Avenir Next LT Pro;sans-serif"/>
                <w:b w:val="false"/>
                <w:color w:val="000000"/>
                <w:sz w:val="12"/>
              </w:rPr>
              <w:t>(4)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7.0%</w:t>
            </w:r>
          </w:p>
        </w:tc>
      </w:tr>
      <w:tr>
        <w:trPr/>
        <w:tc>
          <w:tcPr>
            <w:tcW w:w="7632"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New share request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2,000,000</w:t>
            </w:r>
          </w:p>
        </w:tc>
      </w:tr>
      <w:tr>
        <w:trPr/>
        <w:tc>
          <w:tcPr>
            <w:tcW w:w="7632"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Fully-diluted overhang as of the record date with new share request</w:t>
            </w:r>
            <w:r>
              <w:rPr>
                <w:rFonts w:ascii="Avenir Next LT Pro;sans-serif" w:hAnsi="Avenir Next LT Pro;sans-serif"/>
                <w:b w:val="false"/>
                <w:color w:val="000000"/>
                <w:sz w:val="12"/>
              </w:rPr>
              <w:t>(5)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8.2%</w:t>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1A “full value award” is any award other than a stock option or stock appreciation right with respect to which the exercise or strike price is at least 100% of the fair market value of our common stock on the date of grant.</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2There were no shares of common stock available for grant under any of our other equity incentive plans.</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3Includes (i) 4,114,160 for warrants related to the notes due 2026; (ii) 3,179,060 shares related to the convertible notes due 2028; and (iii) 4,036,960 shares for warrants related to the notes due 2028. This assumes the maximum conversion rate for these warrants and convertible notes.</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4Fully-diluted overhang is calculated as (a) the number of shares available for grant under the 2021 Plan plus the total number of awards outstanding divided by (b) the number of shares available for grant under the 2021 Plan plus the total number of awards outstanding plus the number of common stock outstanding plus the warrants and convertible shares.</w:t>
      </w:r>
    </w:p>
    <w:p>
      <w:pPr>
        <w:pStyle w:val="TextBody"/>
        <w:bidi w:val="0"/>
        <w:spacing w:lineRule="auto" w:line="288" w:before="60" w:after="24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5Fully-diluted overhang is calculated as (a) the 2,000,000 new share request plus the number of shares available for grant under the 2021 Plan plus the total number of awards outstanding divided by (b) the 2,000,000 new share request plus the number of shares available for grant under the 2021 Plan plus the total number of awards outstanding plus the number of common stock outstanding plus the warrants and convertible shares.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The 2021 Plan Combines Compensation and Governance Best Practices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2021 Plan includes provisions that are designed to protect our stockholders’ interests and to reflect corporate governance best practices, including:</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 xml:space="preserve">Stockholder approval required for future additional shares. </w:t>
      </w:r>
      <w:r>
        <w:rPr>
          <w:rFonts w:ascii="Avenir Next LT Pro;sans-serif" w:hAnsi="Avenir Next LT Pro;sans-serif"/>
          <w:b w:val="false"/>
          <w:color w:val="000000"/>
          <w:sz w:val="18"/>
        </w:rPr>
        <w:t>The 2021 Plan does not contain an annual “evergreen” provision. The 2021 Plan authorizes a fixed number of shares, so that stockholder approval is required to issue any additional shares.</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 xml:space="preserve">Repricing is not allowed. </w:t>
      </w:r>
      <w:r>
        <w:rPr>
          <w:rFonts w:ascii="Avenir Next LT Pro;sans-serif" w:hAnsi="Avenir Next LT Pro;sans-serif"/>
          <w:b w:val="false"/>
          <w:color w:val="000000"/>
          <w:sz w:val="18"/>
        </w:rPr>
        <w:t>The 2021 Plan prohibits the repricing of stock options and stock appreciation rights without prior stockholder approval.</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No discounted stock options or stock appreciation rights</w:t>
      </w:r>
      <w:r>
        <w:rPr>
          <w:rFonts w:ascii="Avenir Next LT Pro;sans-serif" w:hAnsi="Avenir Next LT Pro;sans-serif"/>
          <w:b w:val="false"/>
          <w:color w:val="000000"/>
          <w:sz w:val="18"/>
        </w:rPr>
        <w:t xml:space="preserve">. All stock options and stock appreciation rights granted under the 2021 Plan must have an exercise price equal to or greater than the fair market value of our common stock on the date that the stock option or stock appreciation right is granted. As of the Record Date, the closing price of a share of our common stock on the Nasdaq Stock Market was $44.64.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No liberal share counting provisions for stock options or stock appreciation rights</w:t>
      </w:r>
      <w:r>
        <w:rPr>
          <w:rFonts w:ascii="Avenir Next LT Pro;sans-serif" w:hAnsi="Avenir Next LT Pro;sans-serif"/>
          <w:b w:val="false"/>
          <w:color w:val="000000"/>
          <w:sz w:val="18"/>
        </w:rPr>
        <w:t>. The following shares will not become available again for issuance under the 2021 Plan: (i) any shares that are reacquired or withheld (or not issued) by us to satisfy the exercise or strike price of a stock option or stock appreciation right; (ii) any shares that are reacquired or withheld (or not issued) by us to satisfy a tax withholding obligation in connection with a stock option or stock appreciation right; (iii) any shares repurchased by us on the open market with the proceeds of the exercise or strike price of a stock option or stock appreciation right; and (iv) in the event that a stock appreciation right is settled in shares, the gross number of shares subject to such award.</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Restrictions on dividend payouts</w:t>
      </w:r>
      <w:r>
        <w:rPr>
          <w:rFonts w:ascii="Avenir Next LT Pro;sans-serif" w:hAnsi="Avenir Next LT Pro;sans-serif"/>
          <w:b w:val="false"/>
          <w:color w:val="000000"/>
          <w:sz w:val="18"/>
        </w:rPr>
        <w:t>. The 2021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Administered by an independent committee</w:t>
      </w:r>
      <w:r>
        <w:rPr>
          <w:rFonts w:ascii="Avenir Next LT Pro;sans-serif" w:hAnsi="Avenir Next LT Pro;sans-serif"/>
          <w:b w:val="false"/>
          <w:color w:val="000000"/>
          <w:sz w:val="18"/>
        </w:rPr>
        <w:t>. The 2021 Plan is administered by the Compensation Committee, which is made up entirely of independent directors.</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color w:val="000000"/>
          <w:sz w:val="18"/>
        </w:rPr>
        <w:t>Awards subject to forfeiture/clawback</w:t>
      </w:r>
      <w:r>
        <w:rPr>
          <w:rFonts w:ascii="Avenir Next LT Pro;sans-serif" w:hAnsi="Avenir Next LT Pro;sans-serif"/>
          <w:b w:val="false"/>
          <w:color w:val="000000"/>
          <w:sz w:val="18"/>
        </w:rPr>
        <w:t>. Awards under the 2021 Plan, are subject to recoupment under certain circumstances. See “Executive Compensation - Compensation Discussion and Analysis - Other Compensation Policies and Practices - Clawback Policy” discussion of this Proxy Statement.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Additionally in 2025, 2024 and 2023, two-thirds of executives’ annual equity awards were performance based. Annual equity awards to our executive team, including our NEOs, are 33% service-based and 67% performance-based, with shares not earned being forfeited.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Description of the 2021 Plan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 summary of the principal features of the 2021 Plan follows below. The summary is qualified by the full text of the 2021 Plan that is attached as Appendix B to this proxy statement.</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Purpose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2021 Plan is designed to secure and retain the services of our employees, directors and consultants, provide incentives for our employees, directors and consultants to exert maximum efforts for the success of the Company and its affiliates, and provide a means by which our employees, directors and consultants may be given an opportunity to benefit from increases in the value of our common stock. We have not granted stock options under the 2021 Plan.</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Types of Awards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2021 Plan provides for the grant of incentive stock options, nonstatutory stock options, stock appreciation rights, restricted stock awards, restricted stock unit awards, performance stock awards, and other stock awards.</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Shares Available for Awards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Subject to adjustment for certain changes in our capitalization, the aggregate number of shares of our common stock that may be issued under the 2021 Plan will not exceed: the sum of (i) 15,100,456 shares, representing 13,100,456 shares originally reserved under the 2021 Plan when it was adopted, 4,000,000 shares added to the share reserve upon stockholder approval of the amended 2021 Plan at our 2025 Annual Meeting, and an additional 2,000,000 shares to be added to the share reserve, subject to stockholder approval of this Proposal 3, and (ii) the Prior Plan Returning Shares (as defined in the 2021 Plan and described below), as such shares become available from time to time.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For purposes of the 2021 Plan, the term “Prior Plan Returning Shares” refers to the following shares of our common stock: (i) any shares subject to an award granted under the 2011 Plan that was outstanding (a “Prior Plan Award”) as of May 18, 2021 (the “Original Effective Date”) that on or following the Original Effective Date are not issued because such Prior Plan Award or any portion thereof expires or otherwise terminates without all of the shares covered by such Prior Plan Award having been issued; (ii) any shares subject to a Prior Plan Award that on or following the Original Effective Date are not issued because such Prior Plan Award or any portion thereof is settled in cash; (iii) any shares issued pursuant to a Prior Plan Award that on or following the Original Effective Date are forfeited back to or repurchased by the Company because of a failure to vest; (iv) any shares that on or following the Original Effective Date are reacquired or withheld (or not issued) by the Company to satisfy the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6"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62</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price of a Prior Plan Award that is a full value award; and (v) any shares that on or following the Original Effective Date are reacquired or withheld (or not issued) by the Company to satisfy a tax withholding obligation in connection with a Prior Plan Award that is a full value award.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share reserve of the 2021 Plan will not be reduced by any of the following shares of our common stock and such shares will remain available for issuance under the 2021 Plan: (i) any shares subject to an award granted under the 2021 Plan that are not issued because such award or any portion thereof expires or otherwise terminates without all of the shares covered by such award having been issued; and (ii) any shares subject to an award granted under the 2021 Plan that are not issued because such award or any portion thereof is settled in cash.</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shares of our common stock will revert to the share reserve of the 2021 Plan and become available again for issuance under the 2021 Plan: (i) any shares issued pursuant to an award granted under the 2021 Plan that are forfeited back to or repurchased by the Company because of a failure to vest; (ii) any shares that are reacquired or withheld (or not issued) by the Company to satisfy the purchase price of a full value award granted under the 2021 Plan; and (iii) any shares that are reacquired or withheld (or not issued) by the Company to satisfy a tax withholding obligation in connection with a full value award granted under the 2021 Plan.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shares of our common stock will not revert to the share reserve of the 2021 Plan or become available again for issuance under the 2021 Plan: (i) any shares that are reacquired or withheld (or not issued) by the Company to satisfy the exercise or strike price of a stock option or stock appreciation right granted under the 2021 Plan or the 2011 Plan; (ii) any shares that are reacquired or withheld (or not issued) by the Company to satisfy a tax withholding obligation in connection with a stock option or stock appreciation right granted under the 2021 Plan or the 2011 Plan; (iii) any shares repurchased by the Company on the open market with the proceeds of the exercise or strike price of a stock option or stock appreciation right granted under the 2021 Plan or the 2011 Plan; and (iv) in the event that a stock appreciation right granted under the 2021 Plan or the 2011 Plan is settled in shares, the gross number of shares subject to such award.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Eligibility</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All of our (including our affiliates’) employees, non-employee directors and consultants are eligible to participate in the 2021 Plan and may receive all types of awards other than incentive stock options. Incentive stock options may be granted under the 2021 Plan only to our (including our affiliates’) employees.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As of the Record Date, we (including our affiliates) had approximately 2,755 employees, six non-employee directors and nine consultants.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Administration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2021 Plan will be administered by our Board, which may in turn delegate authority to administer the 2021 Plan to a committee. Our Board has delegated concurrent authority to administer the 2021 Plan to our Compensation Committee, but may, at any time, re-vest in itself some or all of the power delegated to our Compensation Committee. Our Board and Compensation Committee are each considered to be a Plan Administrator for purposes of this Proposal 3.</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Subject to the terms of the 2021 Plan, the Plan Administrator may determine the recipients, the types of awards to be granted, the number of shares of our common subject to or the cash value of awards, and the terms and conditions of awards granted under the 2021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2021 Plan.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Plan Administrator may also delegate to one or more persons or bodies the authority to designate recipients (other than officers) of awards, the number of shares of our common stock subject to such awards, and certain terms of such awards in a manner permitted by applicable law (including the General Corporation Law of the State of Delaware). Any person or body who is delegated such authority may not grant an award to themselves.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7"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Repricing; Cancellation and Re-Grant of Awards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Under the 2021 Plan, the Plan Administrator does not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awards without obtaining the approval of our stockholders. Such approval must be obtained within 12 months prior to such an event.</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Dividends and Dividend Equivalents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2021 Plan provides that dividends or dividend equivalents may be paid or credited with respect to any shares of our common stock subject to an award, as determined by the Plan Administrator and contained in the applicable award agreement; provided, however, that (i) no dividends or dividend equivalents may be paid with respect to any such shares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Stock Options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Stock options may be granted under the 2021 Plan pursuant to stock option agreements. The 2021 Plan permits the grant of stock options that are intended to qualify as incentive stock options and nonstatutory stock options.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exercise price of a stock option granted under the 2021 Plan may not be less than 100% of the fair market value of our common stock on the date of grant and, in some cases (see “Limitations on Incentive Stock Options” below), may not be less than 110% of such fair market value.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term of stock options granted under the 2021 Plan may not exceed 10 years from the date of grant and, in some cases (see “Limitations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3 as “continuous service”) terminates (other than for cause and other than upon the participant’s death or disability),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18 months following the participant’s termination due to the participant’s disability or death. Except as explicitly provided otherwise in a participant’s stock option agreement or other written agreement with us or one of our affiliates, if a participant’s continuous service is terminated for cause (as defined in the 2021 Plan),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Acceptable forms of consideration for the purchase of our common stock pursuant to the exercise of a stock option under the 2021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nonstatutory stock options only); or (v) in other legal consideration approved by the Plan Administrator.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Stock options granted under the 2021 Plan may vest and become exercisable in cumulative increments, as determined by the Plan Administrator at the rate specified in the stock option agreement. Shares covered by different stock options granted under the 2021 Plan may be subject to different vesting schedules as the Plan Administrator may determine.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8"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Plan Administrator may impose limitations on the transferability of stock options granted under the 2021 Plan in its discretion. Generally, a participant may not transfer a stock option granted under the 2021 Plan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 applicable tax and securities laws. In addition, subject to approval by the Plan Administrator, a participant may designate a beneficiary who may exercise the stock option following the participant’s death. Notwithstanding the foregoing, no option may be transferred to any financial institution without prior stockholder approval.</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Limitations on Incentive Stock Options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aggregate fair market value, determined at the time of grant, of shares of our common stock with respect to incentive stock options that are exercisable for the first time by a participant during any calendar year under all of our stock plans may not exceed $100,000. The stock options or portions of stock options that exceed this limit or otherwise fail to qualify as incentive stock options are treated as nonstatutory stock options. No incentive stock option may be granted to any person who, at the time of grant, owns or is deemed to own stock possessing more than 10% of our total combined voting power or that of any affiliate unless the following conditions are satisfied:</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the exercise price of the incentive stock option must be at least 110% of the fair market value of our common stock on the date of grant; and</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the term of the incentive stock option must not exceed five years from the date of grant.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Subject to adjustment for certain changes in our capitalization, the aggregate maximum number of shares of our common stock that may be issued pursuant to the exercise of incentive stock options under the 2021 Plan is 30,000,000 shares.</w:t>
      </w:r>
    </w:p>
    <w:p>
      <w:pPr>
        <w:pStyle w:val="TextBody"/>
        <w:bidi w:val="0"/>
        <w:spacing w:lineRule="auto" w:line="276"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Stock Appreciation Rights</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Stock appreciation rights may be granted under the 2021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our common stock on the date of grant. The term of stock appreciation rights granted under the 2021 Plan may not exceed 10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2021 Plan.</w:t>
      </w:r>
    </w:p>
    <w:p>
      <w:pPr>
        <w:pStyle w:val="TextBody"/>
        <w:bidi w:val="0"/>
        <w:spacing w:lineRule="auto" w:line="276"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Restricted Stock Awards</w:t>
      </w:r>
    </w:p>
    <w:p>
      <w:pPr>
        <w:pStyle w:val="TextBody"/>
        <w:bidi w:val="0"/>
        <w:spacing w:lineRule="auto" w:line="324"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Restricted stock awards may be granted under the 2021 Plan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provided, however, that no restricted stock award may be transferred to any financial institution without prior stockholder approval. Upon a participant’s termination of continuous service for any reason, any shares subject to restricted stock awards held by the participant that have not vested as of such termination date may be forfeited to or repurchased by us.</w:t>
      </w:r>
    </w:p>
    <w:p>
      <w:pPr>
        <w:pStyle w:val="TextBody"/>
        <w:bidi w:val="0"/>
        <w:spacing w:lineRule="auto" w:line="276"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Restricted Stock Unit Awards</w:t>
      </w:r>
    </w:p>
    <w:p>
      <w:pPr>
        <w:pStyle w:val="TextBody"/>
        <w:bidi w:val="0"/>
        <w:spacing w:lineRule="auto" w:line="324"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Restricted stock unit awards may be granted under the 2021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or one of our affiliates, restricted stock units that have not vested will be forfeited upon the participant’s termination of continuous service for any reason.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9"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Performance Stock Awards</w:t>
      </w:r>
    </w:p>
    <w:p>
      <w:pPr>
        <w:pStyle w:val="TextBody"/>
        <w:bidi w:val="0"/>
        <w:spacing w:lineRule="auto" w:line="324"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 performance stock award is a stock award that is payable (including that may be granted, may vest, or may be exercised) contingent upon the attainment of pre-determined performance goals that are established by the Plan Administrator for the relevant performance period prior to the grant of the award. A performance stock award may require the completion of a specified period of continuous service. The Plan Administrator will determine and set forth in the award agreement such terms as (i) the nature, length and starting date of any performance period; (ii) the applicable performance goals that will be used to determine the time and extent to which the award has been earned; and (iii) the effect of a termination of participant’s service on a performance award. At the end of the applicable performance period, the Plan Administrator will determine the extent to which a performance award has been earned, including the extent to which performance goals have been attained and the degree of achievement between minimum and maximum levels. To the extent permitted by applicable law and the performance stock award agreement, the Plan Administrator may determine that cash may be used in payment of performance stock awards.</w:t>
      </w:r>
    </w:p>
    <w:p>
      <w:pPr>
        <w:pStyle w:val="TextBody"/>
        <w:bidi w:val="0"/>
        <w:spacing w:lineRule="auto" w:line="324"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addition, the Plan Administrator retains the discretion to reduce or eliminate the compensation or economic benefit due upon the attainment of any performance goals and to define the manner of calculating the performance criteria it selects to use for a performance period.</w:t>
      </w:r>
    </w:p>
    <w:p>
      <w:pPr>
        <w:pStyle w:val="TextBody"/>
        <w:bidi w:val="0"/>
        <w:spacing w:lineRule="auto" w:line="276"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Other Stock Awards</w:t>
      </w:r>
    </w:p>
    <w:p>
      <w:pPr>
        <w:pStyle w:val="TextBody"/>
        <w:bidi w:val="0"/>
        <w:spacing w:lineRule="auto" w:line="324"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Other forms of awards valued in whole or in part by reference to, or otherwise based on, our common stock may be granted either alone or in addition to other awards under the 2021 Plan. Subject to the terms of the 2021 Plan,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Clawback/Recoupment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Awards granted under the 2021 Plan are subject to recoupment in accordance with the Required Clawback Policy as discussed further in the CD&amp;A. In addition, the Plan Administrator may impose other clawback, recovery or recoupment provisions in an award agreement, including a reacquisition right in respect of previously acquired shares or other cash or property upon the occurrence of cause.</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Changes to Capital Structure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the event of certain capitalization adjustments, the Plan Administrator will appropriately adjust: (i) the class(es) and maximum number of securities subject to the 2021 Plan; (ii) the class(es) and maximum number of securities that may be issued pursuant to the exercise of incentive stock options; and (iii) the class(es) and number of securities and price per share of stock subject to outstanding awards.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Corporate Transaction</w:t>
      </w:r>
    </w:p>
    <w:p>
      <w:pPr>
        <w:pStyle w:val="TextBody"/>
        <w:bidi w:val="0"/>
        <w:spacing w:lineRule="auto" w:line="331"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provisions will apply to outstanding awards under the 2021 Plan in the event of a corporate transaction (as defined in the 2021 Plan and described below) unless otherwise provided in the instrument evidencing the award, in any other written agreement between us or one of our affiliates and the participant, or in our director compensation policy, or unless otherwise expressly provided by the Plan Administrator at the time of grant of the award.</w:t>
      </w:r>
    </w:p>
    <w:p>
      <w:pPr>
        <w:pStyle w:val="TextBody"/>
        <w:bidi w:val="0"/>
        <w:spacing w:lineRule="auto" w:line="331"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In the event of a corporate transaction, the Plan Administrator will take one or more of the following actions with respect to outstanding awards under the 2021 Plan, contingent upon the closing or completion of such corporate transaction: (i) arrange for the surviving or acquiring corporation (or its parent company) to assume or continue the award or to substitute a similar stock award for the award (including, but not limited to, an award to acquire the same consideration paid to the stockholders of the Company pursuant to such corporate transaction); (ii) arrange for the assignment of any reacquisition or repurchase rights held by the Company in respect of our common stock issued pursuant to the award to the surviving or acquiring corporation (or its parent company); (iii) accelerate the vesting (and exercisability, if applicable), in whole or in part, of the award to a date prior to the effective time of such corporate transaction as the Plan Administrator will determine (or, if the Plan Administrator does not determine such a date, to the date that is five days prior to the effective time of such corporate transaction), with such award terminating if not exercised (if applicable) prior to the effective time of such corporate transaction in accordance with the exercise procedures determined by the Plan Administrator; (iv) arrange for the lapse of any reacquisition or repurchase rights held by the Company with respect to the award; (v) cancel or arrange for the cancellation of the award, to the extent not vested or not exercised prior to the effective time of such corporate transaction, in exchange for such cash consideration, if any,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0"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66</w:t>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Plan Administrator may consider appropriate; or (vi) make a payment, in such form as may be determined by the Plan Administrator, equal to the excess, if any, of (a) the value of the property the participant would have received upon the exercise of the award immediately prior to the effective time of such corporate transaction, over (b) any exercise price payable by the participant in connection with such exercise.</w:t>
      </w:r>
    </w:p>
    <w:p>
      <w:pPr>
        <w:pStyle w:val="TextBody"/>
        <w:bidi w:val="0"/>
        <w:spacing w:lineRule="auto" w:line="331"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purposes of the 2021 Plan, a corporate transaction generally will be deemed to occur in the event of the consummation of: (i) a sale or other disposition of all or substantially all of our consolidated assets; (ii) a sale or other disposition of at least 90%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the transaction are converted or exchanged into other property by virtue of the transaction.</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Change in Control</w:t>
      </w:r>
    </w:p>
    <w:p>
      <w:pPr>
        <w:pStyle w:val="TextBody"/>
        <w:bidi w:val="0"/>
        <w:spacing w:lineRule="auto" w:line="331"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Awards under the 2021 Plan may be subject to additional acceleration of vesting and exercisability upon or after a change in control (as defined in the 2021 Plan and described below) as may be provided in the applicable award agreement, in any other written agreement or plan between us or one of our affiliates and the participant, or in our director compensation policy, but in the absence of such provision, no such acceleration will occur.</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purposes of the 2021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 stockholders of the Company approve or the Board approves a plan of complete dissolution or liquidation of the Company, or a complete dissolution or liquidation of the Company shall otherwise occur, except for a liquidation into a parent corporation; (iv)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(v) a majority of our Board becomes comprised of individuals whose nomination, appointment, or election was not approved by a majority of the Board members or their approved successors.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Plan Amendments and Termination</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Plan Administrator has the authority to amend or terminate the 2021 Plan at any time. However, except as otherwise provided in the 2021 Plan or an award agreement, no amendment or termination of the 2021 Plan may materially impair a participant’s rights under his or her outstanding awards without the participant’s consent.</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will obtain stockholder approval of any amendment to the 2021 Plan as required by applicable law and listing requirements. No incentive stock options may be granted under the 2021 Plan after March 31, 2035, which is the tenth anniversary of the date the amendment and restatement of the 2021 Plan was adopted by the Board.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U.S. Federal Income Tax Consequences</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is a summary of the principal United States federal income tax consequences to participants and us with respect to participation in the 2021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2021 Plan. The 2021 Plan is not qualified under the provisions of Section 401(a) of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1"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Nonstatutory Stock Options</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Generally, there is no taxation upon the grant of a nonstatutory stock option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will generally be entitled to a tax deduction equal to the taxable ordinary income realized by the participant.</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Incentive Stock Options</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2021 Plan provides for the grant of stock options that are intended to qualify as “incentive stock options,” as defined in Section 422 of the Code. Under the Code, a participant generally is not subject to ordinary income tax upon the grant or exercise of an incentive stock option. If the participant holds a share received upon exercise of an incentive stock option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pStyle w:val="TextBody"/>
        <w:bidi w:val="0"/>
        <w:spacing w:lineRule="auto" w:line="324"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however, a participant disposes of a share acquired upon exercise of an incentive stock option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purposes of the alternative minimum tax, the amount by which the fair market value of a share of stock acquired upon exercise of an incentive stock option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incentive stock option is increased by the amount of the adjustment taken into account with respect to that share for alternative minimum tax purposes in the year the stock option is exercised.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are not allowed a tax deduction with respect to the grant or exercise of an incentive stock option or the disposition of a share acquired upon exercise of an incentive stock option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Restricted Stock Awards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award, to recognize ordinary income, as of the date the recipient receives the award, equal to the excess, if any, of the fair market value of the stock on the date the award is granted over any amount paid by the recipient for the stock.</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2"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68</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will generally be entitled to a tax deduction equal to the taxable ordinary income realized by the recipient of the restricted stock award.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Restricted Stock Unit Awards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exemption to the requirements of Section 409A of the Code, in addition to the tax treatment described above, the recipient will owe an additional 20% federal tax and interest on any taxes owed.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recipient’s basis for the determination of gain or loss upon the subsequent disposition of shares acquired from a restricted stock unit award will be the amount paid for such shares plus any ordinary income recognized when the stock is delivered.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will generally be entitled to a tax deduction equal to the taxable ordinary income realized by the recipient of the restricted stock unit award.</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Stock Appreciation Rights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We will generally be entitled to a tax deduction equal to the taxable ordinary income realized by the recipient of the stock appreciation right.</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Section 162(m) Limitations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Under Section 162(m) of the Code (“Section 162(m)”), compensation paid to any publicly held corporation’s “covered employees” that exceeds $1 million per taxable year for any covered employee is generally non-deductible. Awards granted under the 2021 Plan will be subject to the deduction limit under Section 162(m).</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New Plan Benefits</w:t>
      </w:r>
    </w:p>
    <w:tbl>
      <w:tblPr>
        <w:tblW w:w="10205" w:type="dxa"/>
        <w:jc w:val="left"/>
        <w:tblInd w:w="0" w:type="dxa"/>
        <w:tblLayout w:type="fixed"/>
        <w:tblCellMar>
          <w:top w:w="28" w:type="dxa"/>
          <w:left w:w="28" w:type="dxa"/>
          <w:bottom w:w="28" w:type="dxa"/>
          <w:right w:w="28" w:type="dxa"/>
        </w:tblCellMar>
      </w:tblPr>
      <w:tblGrid>
        <w:gridCol w:w="2635"/>
        <w:gridCol w:w="2321"/>
        <w:gridCol w:w="2300"/>
        <w:gridCol w:w="109"/>
        <w:gridCol w:w="109"/>
        <w:gridCol w:w="109"/>
        <w:gridCol w:w="109"/>
        <w:gridCol w:w="109"/>
        <w:gridCol w:w="109"/>
        <w:gridCol w:w="109"/>
        <w:gridCol w:w="109"/>
        <w:gridCol w:w="109"/>
        <w:gridCol w:w="586"/>
        <w:gridCol w:w="557"/>
        <w:gridCol w:w="559"/>
        <w:gridCol w:w="109"/>
        <w:gridCol w:w="157"/>
      </w:tblGrid>
      <w:tr>
        <w:trPr/>
        <w:tc>
          <w:tcPr>
            <w:tcW w:w="2635"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5"/>
            <w:tcBorders/>
          </w:tcPr>
          <w:p>
            <w:pPr>
              <w:pStyle w:val="TableContents"/>
              <w:bidi w:val="0"/>
              <w:spacing w:before="0" w:after="283"/>
              <w:jc w:val="left"/>
              <w:rPr>
                <w:sz w:val="4"/>
                <w:szCs w:val="4"/>
              </w:rPr>
            </w:pPr>
            <w:r>
              <w:rPr>
                <w:sz w:val="4"/>
                <w:szCs w:val="4"/>
              </w:rPr>
            </w:r>
          </w:p>
        </w:tc>
      </w:tr>
      <w:tr>
        <w:trPr/>
        <w:tc>
          <w:tcPr>
            <w:tcW w:w="7256"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 and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left w:val="single" w:sz="2" w:space="0" w:color="929292"/>
            </w:tcBorders>
            <w:shd w:fill="FBF6EF" w:val="clear"/>
            <w:tcMar>
              <w:top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Badrinarayanan Kothandaraman</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President and CEO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pPr>
            <w:r>
              <w:rPr>
                <w:rFonts w:ascii="Avenir Next LT Pro;sans-serif" w:hAnsi="Avenir Next LT Pro;sans-serif"/>
                <w:b w:val="false"/>
                <w:color w:val="000000"/>
                <w:sz w:val="18"/>
              </w:rPr>
              <w:t>120,000</w:t>
            </w:r>
            <w:r>
              <w:rPr>
                <w:rFonts w:ascii="Avenir Next LT Pro;sans-serif" w:hAnsi="Avenir Next LT Pro;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Mandy Yang</w:t>
            </w:r>
          </w:p>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EVP and CFO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pPr>
            <w:r>
              <w:rPr>
                <w:rFonts w:ascii="Avenir Next LT Pro;sans-serif" w:hAnsi="Avenir Next LT Pro;sans-serif"/>
                <w:b w:val="false"/>
                <w:color w:val="000000"/>
                <w:sz w:val="18"/>
              </w:rPr>
              <w:t>64,000</w:t>
            </w:r>
            <w:r>
              <w:rPr>
                <w:rFonts w:ascii="Avenir Next LT Pro;sans-serif" w:hAnsi="Avenir Next LT Pro;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All current executive officers as a group (2 persons)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pPr>
            <w:r>
              <w:rPr>
                <w:rFonts w:ascii="Avenir Next LT Pro;sans-serif" w:hAnsi="Avenir Next LT Pro;sans-serif"/>
                <w:b w:val="false"/>
                <w:color w:val="000000"/>
                <w:sz w:val="18"/>
              </w:rPr>
              <w:t>184,000</w:t>
            </w:r>
            <w:r>
              <w:rPr>
                <w:rFonts w:ascii="Avenir Next LT Pro;sans-serif" w:hAnsi="Avenir Next LT Pro;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All current directors who are not executive officers as a group (6 persons)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pPr>
            <w:r>
              <w:rPr>
                <w:rFonts w:ascii="Avenir Next LT Pro;sans-serif" w:hAnsi="Avenir Next LT Pro;sans-serif"/>
                <w:b w:val="false"/>
                <w:color w:val="000000"/>
                <w:sz w:val="18"/>
              </w:rPr>
              <w:t>31,488</w:t>
            </w:r>
            <w:r>
              <w:rPr>
                <w:rFonts w:ascii="Avenir Next LT Pro;sans-serif" w:hAnsi="Avenir Next LT Pro;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All employees, including all current officers who are not executive officers, as a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pPr>
            <w:r>
              <w:rPr>
                <w:rFonts w:ascii="Avenir Next LT Pro;sans-serif" w:hAnsi="Avenir Next LT Pro;sans-serif"/>
                <w:b w:val="false"/>
                <w:color w:val="000000"/>
                <w:sz w:val="18"/>
              </w:rPr>
              <w:t>3,673,479</w:t>
            </w:r>
            <w:r>
              <w:rPr>
                <w:rFonts w:ascii="Avenir Next LT Pro;sans-serif" w:hAnsi="Avenir Next LT Pro;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1Awards granted under the 2021 Plan to our executive officers and other employees are discretionary and are not subject to set benefits or amounts under the terms of the 2021 Plan. Accordingly, the benefits or amounts that will be received by or allocated to our executive officers and other employees under the 2021 Plan are not determinable. The amounts set forth in the table above represent awards granted during 2025.</w:t>
      </w:r>
    </w:p>
    <w:p>
      <w:pPr>
        <w:pStyle w:val="TextBody"/>
        <w:bidi w:val="0"/>
        <w:spacing w:lineRule="auto" w:line="288" w:before="60" w:after="24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2Awards granted under the 2021 Plan to our non-employee directors are discretionary and are not subject to set benefits or amounts under the terms of the 2021 Plan. However, pursuant to our current non-employee director compensation policy, on the date of each annual meeting of our stockholders, (i) each of our non-employee directors will automatically receive a restricted stock unit award with a value of $250,000 and (ii) our lead independent director will automatically receive a restricted stock unit award with a value of $20,000. The number of shares of our common stock subject to such awards is determined on the basis of the closing price of our common stock on the grant date and, therefore, is not determinable at this time. The amount set forth in the table above represents the aggregate equity awards granted to our non-employee directors in 2025. For additional information regarding our current non-employee director compensation policy, please see “Director Compensation”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3"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Awards Granted Under the 2021 Plan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sets forth, for each of the individuals and various groups indicated, certain information regarding awards that have been granted under the 2021 Plan since its inception through the Record Date. A total of 12,664,472 shares of our common stock have been issued under the 2021 Plan as of the Record Date.</w:t>
      </w:r>
    </w:p>
    <w:tbl>
      <w:tblPr>
        <w:tblW w:w="10205" w:type="dxa"/>
        <w:jc w:val="left"/>
        <w:tblInd w:w="0" w:type="dxa"/>
        <w:tblLayout w:type="fixed"/>
        <w:tblCellMar>
          <w:top w:w="28" w:type="dxa"/>
          <w:left w:w="28" w:type="dxa"/>
          <w:bottom w:w="28" w:type="dxa"/>
          <w:right w:w="28" w:type="dxa"/>
        </w:tblCellMar>
      </w:tblPr>
      <w:tblGrid>
        <w:gridCol w:w="2664"/>
        <w:gridCol w:w="2302"/>
        <w:gridCol w:w="2287"/>
        <w:gridCol w:w="109"/>
        <w:gridCol w:w="109"/>
        <w:gridCol w:w="109"/>
        <w:gridCol w:w="109"/>
        <w:gridCol w:w="109"/>
        <w:gridCol w:w="109"/>
        <w:gridCol w:w="109"/>
        <w:gridCol w:w="109"/>
        <w:gridCol w:w="109"/>
        <w:gridCol w:w="589"/>
        <w:gridCol w:w="560"/>
        <w:gridCol w:w="557"/>
        <w:gridCol w:w="109"/>
        <w:gridCol w:w="156"/>
      </w:tblGrid>
      <w:tr>
        <w:trPr/>
        <w:tc>
          <w:tcPr>
            <w:tcW w:w="2664"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5"/>
            <w:tcBorders/>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 and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Each named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18"/>
              </w:rPr>
              <w:t>Badrinarayanan Kothandaraman</w:t>
            </w:r>
          </w:p>
          <w:p>
            <w:pPr>
              <w:pStyle w:val="TableContents"/>
              <w:bidi w:val="0"/>
              <w:spacing w:lineRule="auto" w:line="288" w:before="0" w:after="60"/>
              <w:jc w:val="left"/>
              <w:rPr>
                <w:color w:val="000000"/>
              </w:rPr>
            </w:pPr>
            <w:r>
              <w:rPr>
                <w:color w:val="000000"/>
              </w:rPr>
              <w:t>     </w:t>
            </w:r>
            <w:r>
              <w:rPr>
                <w:rFonts w:ascii="Avenir Next LT Pro;sans-serif" w:hAnsi="Avenir Next LT Pro;sans-serif"/>
                <w:b w:val="false"/>
                <w:color w:val="000000"/>
                <w:sz w:val="18"/>
              </w:rPr>
              <w:t>President and CEO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580,000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BF6EF" w:val="clear"/>
            <w:tcMar>
              <w:top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18"/>
              </w:rPr>
              <w:t>Mandy Yang</w:t>
            </w:r>
          </w:p>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18"/>
              </w:rPr>
              <w:t>EVP and CFO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302,000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All current executive officers as a group (2 persons)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882,000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All current directors who are not executive officers as a group (6 persons)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73,376</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All employees, including all current officers who are not executive officers, as a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11,709,096</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Each nominee for election of director: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venir Next LT Pro;sans-serif" w:hAnsi="Avenir Next LT Pro;sans-serif"/>
                <w:b w:val="false"/>
                <w:color w:val="000000"/>
                <w:sz w:val="18"/>
              </w:rPr>
              <w:t>Jamie Haenggi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12,383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venir Next LT Pro;sans-serif" w:hAnsi="Avenir Next LT Pro;sans-serif"/>
                <w:b w:val="false"/>
                <w:color w:val="000000"/>
                <w:sz w:val="18"/>
              </w:rPr>
              <w:t>Benjamin Kortlang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12,383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Avenir Next LT Pro;sans-serif" w:hAnsi="Avenir Next LT Pro;sans-serif"/>
                <w:b w:val="false"/>
                <w:color w:val="000000"/>
                <w:sz w:val="18"/>
              </w:rPr>
              <w:t>Richard Mora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12,383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B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Each associate of any executive officers, current directors, or director nominees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B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BF6E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Each other person who received or is to receive 5% of shares under the 2021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 xml:space="preserve">Vote Required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Approval of this Proposal 3 requires “For” votes from the holders of a majority of the total votes cast in person or represented by proxy at the Annual Meeting and entitled to vote generally on the subject matter. If you “Abstain” from voting, it will have the no effect on the vote.</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 xml:space="preserve">Registration with the Commission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filed a Registration Statement on Form S-8 with the SEC for the purpose of registering shares of our common stock under the 2021 Plan pursuant to the Securities Act, and intend to file a Registration Statement on Form S-8 with the SEC as soon as practicable to register additional shares of our common stock under the 2021 Plan, subject to the approval of the proposed amendment and restatement of the 2021 Plan by our stockholders at the Annual Meeting.</w:t>
      </w:r>
    </w:p>
    <w:p>
      <w:pPr>
        <w:pStyle w:val="TextBody"/>
        <w:bidi w:val="0"/>
        <w:spacing w:lineRule="auto" w:line="288" w:before="0" w:after="120"/>
        <w:jc w:val="left"/>
        <w:rPr/>
      </w:pPr>
      <w:r>
        <w:rPr>
          <w:rFonts w:ascii="Avenir Next LT Pro;sans-serif" w:hAnsi="Avenir Next LT Pro;sans-serif"/>
          <w:b/>
          <w:i/>
          <w:color w:val="000000"/>
          <w:sz w:val="28"/>
        </w:rPr>
        <w:t xml:space="preserve">The Board of Directors recommends a vote </w:t>
      </w:r>
      <w:r>
        <w:rPr>
          <w:rFonts w:ascii="Avenir Next LT Pro;sans-serif" w:hAnsi="Avenir Next LT Pro;sans-serif"/>
          <w:b/>
          <w:color w:val="E86100"/>
          <w:sz w:val="28"/>
        </w:rPr>
        <w:t>FOR</w:t>
      </w:r>
      <w:r>
        <w:rPr>
          <w:color w:val="000000"/>
        </w:rPr>
        <w:t xml:space="preserve"> </w:t>
      </w:r>
      <w:r>
        <w:rPr>
          <w:rFonts w:ascii="Avenir Next LT Pro;sans-serif" w:hAnsi="Avenir Next LT Pro;sans-serif"/>
          <w:b/>
          <w:i/>
          <w:color w:val="000000"/>
          <w:sz w:val="28"/>
        </w:rPr>
        <w:t>Proposal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70</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3B999E"/>
          <w:sz w:val="48"/>
        </w:rPr>
      </w:pPr>
      <w:r>
        <w:rPr>
          <w:rFonts w:ascii="Avenir Next LT Pro;sans-serif" w:hAnsi="Avenir Next LT Pro;sans-serif"/>
          <w:b/>
          <w:color w:val="3B999E"/>
          <w:sz w:val="48"/>
        </w:rPr>
        <w:t>Proposal 4</w:t>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Ratification of Selection of Independent Registered Public Accounting Firm</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has selected Deloitte as our independent registered public accounting firm for the fiscal year ending December 31, 2026. Deloitte has audited our financial statements since 2010. Representatives of Deloitte are expected to be present at the Annual Meeting. They will have an opportunity to make a statement if they so desire and will be available to respond to appropriate questions.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Neither our Bylaws nor other governing documents or law require stockholder ratification of the selection of Deloitte as our independent registered public accounting firm. The Board is submitting the selection of Deloitte to our stockholders for ratification as a matter of good corporate governance. However, the Audit Committee is not bound by a vote either for or against this proposal. The Audit Committee will consider a vote against Deloitte by the stockholders in selecting our independent registered public accounting firm in the future. Even if the selection is ratified, the Audit Committee in its discretion may direct the appointment of different independent auditors at any time during the year if they determine that such a change would be in the best interests of Enphase and its stockholders.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Principal Accountant Fees and Services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represents aggregate fees billed to us for the fiscal years ended December 31, 2025 and 2024, by Deloitte, our independent registered public accounting firm:</w:t>
      </w:r>
    </w:p>
    <w:tbl>
      <w:tblPr>
        <w:tblW w:w="5490" w:type="dxa"/>
        <w:jc w:val="left"/>
        <w:tblInd w:w="0" w:type="dxa"/>
        <w:tblLayout w:type="fixed"/>
        <w:tblCellMar>
          <w:top w:w="28" w:type="dxa"/>
          <w:left w:w="28" w:type="dxa"/>
          <w:bottom w:w="28" w:type="dxa"/>
          <w:right w:w="28" w:type="dxa"/>
        </w:tblCellMar>
      </w:tblPr>
      <w:tblGrid>
        <w:gridCol w:w="711"/>
        <w:gridCol w:w="624"/>
        <w:gridCol w:w="629"/>
        <w:gridCol w:w="368"/>
        <w:gridCol w:w="368"/>
        <w:gridCol w:w="368"/>
        <w:gridCol w:w="368"/>
        <w:gridCol w:w="368"/>
        <w:gridCol w:w="368"/>
        <w:gridCol w:w="383"/>
        <w:gridCol w:w="259"/>
        <w:gridCol w:w="259"/>
        <w:gridCol w:w="263"/>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7"/>
            <w:tcBorders>
              <w:top w:val="single" w:sz="2" w:space="0" w:color="3C3C3C"/>
            </w:tcBorders>
            <w:tcMar>
              <w:top w:w="3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3C3C3C"/>
                <w:sz w:val="16"/>
              </w:rPr>
            </w:pPr>
            <w:r>
              <w:rPr>
                <w:rFonts w:ascii="Avenir Next LT Pro;sans-serif" w:hAnsi="Avenir Next LT Pro;sans-serif"/>
                <w:b/>
                <w:color w:val="3C3C3C"/>
                <w:sz w:val="16"/>
              </w:rPr>
              <w:t>Years Ended December 31,</w:t>
            </w:r>
          </w:p>
        </w:tc>
        <w:tc>
          <w:tcPr>
            <w:tcW w:w="935" w:type="dxa"/>
            <w:gridSpan w:val="4"/>
            <w:tcBorders/>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2025</w:t>
            </w:r>
          </w:p>
        </w:tc>
        <w:tc>
          <w:tcPr>
            <w:tcW w:w="368" w:type="dxa"/>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2024</w:t>
            </w:r>
          </w:p>
        </w:tc>
        <w:tc>
          <w:tcPr>
            <w:tcW w:w="935" w:type="dxa"/>
            <w:gridSpan w:val="4"/>
            <w:tcBorders/>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7"/>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(in thousands)</w:t>
            </w:r>
          </w:p>
        </w:tc>
        <w:tc>
          <w:tcPr>
            <w:tcW w:w="935" w:type="dxa"/>
            <w:gridSpan w:val="4"/>
            <w:tcBorders/>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929292"/>
            </w:tcBorders>
            <w:shd w:fill="FAF6EF" w:val="clear"/>
            <w:tcMar>
              <w:top w:w="0" w:type="dxa"/>
              <w:left w:w="14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Audit fees</w:t>
            </w:r>
          </w:p>
        </w:tc>
        <w:tc>
          <w:tcPr>
            <w:tcW w:w="110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$2,830</w:t>
            </w:r>
          </w:p>
        </w:tc>
        <w:tc>
          <w:tcPr>
            <w:tcW w:w="368"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$2,606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Audit-related fees</w:t>
            </w:r>
          </w:p>
        </w:tc>
        <w:tc>
          <w:tcPr>
            <w:tcW w:w="110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68"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Tax fees</w:t>
            </w:r>
          </w:p>
        </w:tc>
        <w:tc>
          <w:tcPr>
            <w:tcW w:w="1104"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272</w:t>
            </w:r>
          </w:p>
        </w:tc>
        <w:tc>
          <w:tcPr>
            <w:tcW w:w="368"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AF6EF" w:val="clear"/>
            <w:tcMar>
              <w:top w:w="0" w:type="dxa"/>
              <w:left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929292"/>
            </w:tcBorders>
            <w:shd w:fill="FFFFF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All other fees</w:t>
            </w:r>
          </w:p>
        </w:tc>
        <w:tc>
          <w:tcPr>
            <w:tcW w:w="110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68" w:type="dxa"/>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 fees</w:t>
            </w:r>
          </w:p>
        </w:tc>
        <w:tc>
          <w:tcPr>
            <w:tcW w:w="1104" w:type="dxa"/>
            <w:gridSpan w:val="3"/>
            <w:tcBorders>
              <w:top w:val="single" w:sz="8" w:space="0" w:color="3C3C3C"/>
              <w:left w:val="single" w:sz="2" w:space="0" w:color="929292"/>
              <w:bottom w:val="double" w:sz="8" w:space="0" w:color="3C3C3C"/>
            </w:tcBorders>
            <w:shd w:fill="FAF6E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$3,102</w:t>
            </w:r>
          </w:p>
        </w:tc>
        <w:tc>
          <w:tcPr>
            <w:tcW w:w="368" w:type="dxa"/>
            <w:tcBorders/>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3C3C3C"/>
              <w:bottom w:val="double" w:sz="8" w:space="0" w:color="3C3C3C"/>
            </w:tcBorders>
            <w:shd w:fill="FAF6E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3C3C3C"/>
              <w:left w:val="single" w:sz="2" w:space="0" w:color="929292"/>
              <w:bottom w:val="double" w:sz="8" w:space="0" w:color="3C3C3C"/>
              <w:right w:val="single" w:sz="2" w:space="0" w:color="929292"/>
            </w:tcBorders>
            <w:shd w:fill="FAF6EF" w:val="clear"/>
            <w:tcMar>
              <w:top w:w="30" w:type="dxa"/>
              <w:bottom w:w="3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$3,058</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336" w:before="0" w:after="180"/>
        <w:jc w:val="both"/>
        <w:rPr/>
      </w:pPr>
      <w:r>
        <w:rPr>
          <w:rFonts w:ascii="Avenir Next LT Pro;sans-serif" w:hAnsi="Avenir Next LT Pro;sans-serif"/>
          <w:b w:val="false"/>
          <w:i/>
          <w:color w:val="000000"/>
          <w:sz w:val="18"/>
        </w:rPr>
        <w:t>Audit fees:</w:t>
      </w:r>
      <w:r>
        <w:rPr>
          <w:color w:val="000000"/>
        </w:rPr>
        <w:t xml:space="preserve"> </w:t>
      </w:r>
      <w:r>
        <w:rPr>
          <w:rFonts w:ascii="Avenir Next LT Pro;sans-serif" w:hAnsi="Avenir Next LT Pro;sans-serif"/>
          <w:b w:val="false"/>
          <w:color w:val="000000"/>
          <w:sz w:val="18"/>
        </w:rPr>
        <w:t>For 2025 and 2024, consists of fees for professional services rendered, including audit of financial statements presented in our Annual Report on Form 10-K, review of interim financial statements presented in our quarterly reports on Form 10-Q, services provided in connection with regulatory filings, business combinations, and other matters related to our periodic filings with the SEC.</w:t>
      </w:r>
    </w:p>
    <w:p>
      <w:pPr>
        <w:pStyle w:val="TextBody"/>
        <w:bidi w:val="0"/>
        <w:spacing w:lineRule="auto" w:line="336" w:before="0" w:after="180"/>
        <w:jc w:val="both"/>
        <w:rPr/>
      </w:pPr>
      <w:r>
        <w:rPr>
          <w:rFonts w:ascii="Avenir Next LT Pro;sans-serif" w:hAnsi="Avenir Next LT Pro;sans-serif"/>
          <w:b w:val="false"/>
          <w:i/>
          <w:color w:val="000000"/>
          <w:sz w:val="18"/>
        </w:rPr>
        <w:t>Tax fees:</w:t>
      </w:r>
      <w:r>
        <w:rPr>
          <w:color w:val="000000"/>
        </w:rPr>
        <w:t xml:space="preserve"> </w:t>
      </w:r>
      <w:r>
        <w:rPr>
          <w:rFonts w:ascii="Avenir Next LT Pro;sans-serif" w:hAnsi="Avenir Next LT Pro;sans-serif"/>
          <w:b w:val="false"/>
          <w:color w:val="000000"/>
          <w:sz w:val="18"/>
        </w:rPr>
        <w:t>Consists of professional services rendered for tax compliance, tax advice and tax planning.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All fees described above were pre-approved by the Audit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5"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Pre-Approval Policies and Procedures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The Audit Committee has adopted a policy and procedures for the pre-approval of audit and non-audit services rendered by our independent registered public accounting firm, Deloitte. These services may include audit services, audit-related services, tax services and other services. Pre-approval may be given as part of the Audit Committee’s approval of the scope of the engagement of the independent registered public accounting firm or on an individual explicit case-by-case basis. The pre-approval of services may be delegated to one or more of the Audit Committee’s members, but the decision must be reported to the full Audit Committee at its next scheduled meeting.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has determined that the rendering of services other than audit services by Deloitte is compatible with maintaining the principal accountant’s independence.</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Vote Required</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Approval of this Proposal 4 requires “FOR” votes from the holders of a majority of shares present in person or represented by proxy at the Annual Meeting and entitled to vote generally on the subject matter. If you “ABSTAIN” from voting, it will have the same effect as an “AGAINST” vote.</w:t>
      </w:r>
    </w:p>
    <w:p>
      <w:pPr>
        <w:pStyle w:val="TextBody"/>
        <w:bidi w:val="0"/>
        <w:spacing w:lineRule="auto" w:line="288" w:before="0" w:after="120"/>
        <w:jc w:val="left"/>
        <w:rPr/>
      </w:pPr>
      <w:r>
        <w:rPr>
          <w:rFonts w:ascii="Avenir Next LT Pro;sans-serif" w:hAnsi="Avenir Next LT Pro;sans-serif"/>
          <w:b/>
          <w:i/>
          <w:color w:val="000000"/>
          <w:sz w:val="28"/>
        </w:rPr>
        <w:t xml:space="preserve">The Board of Directors recommends a vote </w:t>
      </w:r>
      <w:r>
        <w:rPr>
          <w:rFonts w:ascii="Avenir Next LT Pro;sans-serif" w:hAnsi="Avenir Next LT Pro;sans-serif"/>
          <w:b/>
          <w:color w:val="E86100"/>
          <w:sz w:val="28"/>
        </w:rPr>
        <w:t>FOR</w:t>
      </w:r>
      <w:r>
        <w:rPr>
          <w:color w:val="000000"/>
        </w:rPr>
        <w:t xml:space="preserve"> </w:t>
      </w:r>
      <w:r>
        <w:rPr>
          <w:rFonts w:ascii="Avenir Next LT Pro;sans-serif" w:hAnsi="Avenir Next LT Pro;sans-serif"/>
          <w:b/>
          <w:i/>
          <w:color w:val="000000"/>
          <w:sz w:val="28"/>
        </w:rPr>
        <w:t>Proposal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6"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72</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Report of the Audit Committee of the Board*</w:t>
      </w:r>
    </w:p>
    <w:p>
      <w:pPr>
        <w:pStyle w:val="TextBody"/>
        <w:bidi w:val="0"/>
        <w:spacing w:lineRule="auto" w:line="336" w:before="0" w:after="180"/>
        <w:jc w:val="both"/>
        <w:rPr/>
      </w:pPr>
      <w:r>
        <w:rPr>
          <w:rFonts w:ascii="Avenir Next LT Pro;sans-serif" w:hAnsi="Avenir Next LT Pro;sans-serif"/>
          <w:b w:val="false"/>
          <w:color w:val="000000"/>
          <w:sz w:val="18"/>
        </w:rPr>
        <w:t xml:space="preserve">As of March 20, 2026, the date of this report, the Audit Committee consisted of three members: Steven J. Gomo, who serves as the Chair of the Committee, Benjamin Kortlang and Richard Mora. Each member is an independent director under Nasdaq and SEC rules, and meets the standards for committee independence as set forth in our Corporate Governance Guidelines. The Audit Committee has the duties and powers described in its written charter adopted by the Board. A copy of the charter is available on our website at </w:t>
      </w:r>
      <w:r>
        <w:rPr>
          <w:rFonts w:ascii="Avenir Next LT Pro;sans-serif" w:hAnsi="Avenir Next LT Pro;sans-serif"/>
          <w:b w:val="false"/>
          <w:i/>
          <w:color w:val="000000"/>
          <w:sz w:val="18"/>
        </w:rPr>
        <w:t>https://investor.enphase.com/corporate-governance</w:t>
      </w:r>
      <w:r>
        <w:rPr>
          <w:rFonts w:ascii="Avenir Next LT Pro;sans-serif" w:hAnsi="Avenir Next LT Pro;sans-serif"/>
          <w:b w:val="false"/>
          <w:color w:val="000000"/>
          <w:sz w:val="18"/>
        </w:rPr>
        <w:t xml:space="preserve">.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With respect to our financial reporting process, management is responsible for (i) establishing and maintaining internal controls and (ii) preparing our consolidated financial statements.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Our independent registered public accounting firm, Deloitte, is responsible for auditing these financial statements and the Audit Committee oversees these activities. It is not the responsibility of the Audit Committee to prepare or certify our financial statements or guarantee the audits or reports of the independent auditors. These are the fundamental responsibilities of management and our independent registered public accounting firm.</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is responsible for the appointment, compensation, retention, and oversight of the work performed by Deloitte. In fulfilling its oversight responsibility, the Audit Committee carefully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has reviewed and discussed the audited financial statements for the fiscal year ended December 31, 2025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the PCAOB regarding the independent accountants’ communications with the Audit Committee concerning independence, and has discussed with the independent registered public accounting firm the accounting firm’s independence. Based on the above, the Audit Committee recommended to the Board that the audited financial statements be included in our Annual Report on Form 10-K for the fiscal year ended December 31, 2025.</w:t>
      </w:r>
    </w:p>
    <w:p>
      <w:pPr>
        <w:pStyle w:val="TextBody"/>
        <w:bidi w:val="0"/>
        <w:spacing w:lineRule="auto" w:line="336" w:before="0" w:after="360"/>
        <w:jc w:val="both"/>
        <w:rPr>
          <w:rFonts w:ascii="Avenir Next LT Pro;sans-serif" w:hAnsi="Avenir Next LT Pro;sans-serif"/>
          <w:b/>
          <w:color w:val="000000"/>
          <w:sz w:val="18"/>
        </w:rPr>
      </w:pPr>
      <w:r>
        <w:rPr>
          <w:rFonts w:ascii="Avenir Next LT Pro;sans-serif" w:hAnsi="Avenir Next LT Pro;sans-serif"/>
          <w:b/>
          <w:color w:val="000000"/>
          <w:sz w:val="18"/>
        </w:rPr>
        <w:t>Steven J. Gomo, Chair</w:t>
        <w:br/>
        <w:t>Benjamin Kortlang, Member</w:t>
        <w:br/>
        <w:t>Richard Mora, Member</w:t>
      </w:r>
    </w:p>
    <w:p>
      <w:pPr>
        <w:pStyle w:val="TextBody"/>
        <w:bidi w:val="0"/>
        <w:spacing w:lineRule="auto" w:line="336" w:before="0" w:after="180"/>
        <w:jc w:val="both"/>
        <w:rPr>
          <w:rFonts w:ascii="Avenir Next LT Pro;sans-serif" w:hAnsi="Avenir Next LT Pro;sans-serif"/>
          <w:b w:val="false"/>
          <w:i/>
          <w:color w:val="000000"/>
          <w:sz w:val="18"/>
        </w:rPr>
      </w:pPr>
      <w:r>
        <w:rPr>
          <w:rFonts w:ascii="Avenir Next LT Pro;sans-serif" w:hAnsi="Avenir Next LT Pro;sans-serif"/>
          <w:b w:val="false"/>
          <w:i/>
          <w:color w:val="000000"/>
          <w:sz w:val="18"/>
        </w:rPr>
        <w:t>*The material in this report is not “soliciting material,” is furnished to, but not deemed “filed” with, the SEC and is not deemed to be incorporated by reference in any of our filings under the Securities Act or the Exchange Act, other than our Annual Report on Form 10-K for the fiscal year ended December 31, 2025, as filed with the SEC on February 17, 2026,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7"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73</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Security Ownership of Certain Beneficial Owners and Management</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sets forth certain information regarding the ownership of our common stock as of March 19, 2026 by: (i) each director and nominee for director; (ii) each NEO as set forth in the Summary Compensation Table of this proxy statement; (iii) all of our executive officers and directors as a group; and (iv) all those known by us to be beneficial owners of more than five percent of our common stock. Unless otherwise indicated, the address for each of the stockholders in the table below is c/o Enphase Energy, Inc. 47281 Bayside Parkway, Fremont, CA 94538.</w:t>
      </w:r>
    </w:p>
    <w:tbl>
      <w:tblPr>
        <w:tblW w:w="10205" w:type="dxa"/>
        <w:jc w:val="left"/>
        <w:tblInd w:w="0" w:type="dxa"/>
        <w:tblLayout w:type="fixed"/>
        <w:tblCellMar>
          <w:top w:w="28" w:type="dxa"/>
          <w:left w:w="28" w:type="dxa"/>
          <w:bottom w:w="28" w:type="dxa"/>
          <w:right w:w="28" w:type="dxa"/>
        </w:tblCellMar>
      </w:tblPr>
      <w:tblGrid>
        <w:gridCol w:w="2272"/>
        <w:gridCol w:w="1895"/>
        <w:gridCol w:w="1902"/>
        <w:gridCol w:w="109"/>
        <w:gridCol w:w="109"/>
        <w:gridCol w:w="109"/>
        <w:gridCol w:w="589"/>
        <w:gridCol w:w="538"/>
        <w:gridCol w:w="531"/>
        <w:gridCol w:w="216"/>
        <w:gridCol w:w="216"/>
        <w:gridCol w:w="216"/>
        <w:gridCol w:w="429"/>
        <w:gridCol w:w="429"/>
        <w:gridCol w:w="645"/>
      </w:tblGrid>
      <w:tr>
        <w:trPr/>
        <w:tc>
          <w:tcPr>
            <w:tcW w:w="227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op w:val="single" w:sz="2" w:space="0" w:color="3C3C3C"/>
            </w:tcBorders>
            <w:tcMar>
              <w:top w:w="30" w:type="dxa"/>
              <w:left w:w="0" w:type="dxa"/>
              <w:bottom w:w="0" w:type="dxa"/>
              <w:right w:w="0" w:type="dxa"/>
            </w:tcMar>
            <w:vAlign w:val="center"/>
          </w:tcPr>
          <w:p>
            <w:pPr>
              <w:pStyle w:val="TableContents"/>
              <w:bidi w:val="0"/>
              <w:spacing w:lineRule="auto" w:line="288" w:before="0" w:after="0"/>
              <w:jc w:val="center"/>
              <w:rPr/>
            </w:pPr>
            <w:r>
              <w:rPr>
                <w:rFonts w:ascii="Avenir Next LT Pro;sans-serif" w:hAnsi="Avenir Next LT Pro;sans-serif"/>
                <w:b/>
                <w:color w:val="3C3C3C"/>
                <w:sz w:val="16"/>
              </w:rPr>
              <w:t>Beneficial Ownership</w:t>
            </w:r>
            <w:r>
              <w:rPr>
                <w:rFonts w:ascii="Avenir Next LT Pro;sans-serif" w:hAnsi="Avenir Next LT Pro;sans-serif"/>
                <w:b/>
                <w:color w:val="3C3C3C"/>
                <w:sz w:val="10"/>
              </w:rPr>
              <w:t>(1)</w:t>
            </w:r>
          </w:p>
        </w:tc>
      </w:tr>
      <w:tr>
        <w:trPr/>
        <w:tc>
          <w:tcPr>
            <w:tcW w:w="6069" w:type="dxa"/>
            <w:gridSpan w:val="3"/>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Name of Beneficial Owner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Shares</w:t>
            </w:r>
          </w:p>
        </w:tc>
        <w:tc>
          <w:tcPr>
            <w:tcW w:w="648"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Percent of Total</w:t>
            </w:r>
          </w:p>
        </w:tc>
      </w:tr>
      <w:tr>
        <w:trPr/>
        <w:tc>
          <w:tcPr>
            <w:tcW w:w="6069"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5% Stockholders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BlackRock, Inc.</w:t>
            </w:r>
            <w:r>
              <w:rPr>
                <w:rFonts w:ascii="Avenir Next LT Pro;sans-serif" w:hAnsi="Avenir Next LT Pro;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18,461,738</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14.0%</w:t>
            </w:r>
          </w:p>
        </w:tc>
      </w:tr>
      <w:tr>
        <w:trPr/>
        <w:tc>
          <w:tcPr>
            <w:tcW w:w="6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069" w:type="dxa"/>
            <w:gridSpan w:val="3"/>
            <w:tcBorders>
              <w:left w:val="single" w:sz="2" w:space="0" w:color="929292"/>
            </w:tcBorders>
            <w:shd w:fill="FAF6EF" w:val="clear"/>
            <w:tcMar>
              <w:top w:w="0" w:type="dxa"/>
              <w:left w:w="14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Named Executive Officers and Directors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Badrinarayanan Kothandaraman</w:t>
            </w:r>
            <w:r>
              <w:rPr>
                <w:rFonts w:ascii="Avenir Next LT Pro;sans-serif" w:hAnsi="Avenir Next LT Pro;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1,674,347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w:t>
            </w:r>
          </w:p>
        </w:tc>
      </w:tr>
      <w:tr>
        <w:trPr/>
        <w:tc>
          <w:tcPr>
            <w:tcW w:w="606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Mandy Yang</w:t>
            </w:r>
            <w:r>
              <w:rPr>
                <w:rFonts w:ascii="Avenir Next LT Pro;sans-serif" w:hAnsi="Avenir Next LT Pro;sans-serif"/>
                <w:b w:val="false"/>
                <w:color w:val="000000"/>
                <w:sz w:val="12"/>
              </w:rPr>
              <w:t xml:space="preserve">(4) </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99,415</w:t>
            </w:r>
          </w:p>
        </w:tc>
        <w:tc>
          <w:tcPr>
            <w:tcW w:w="64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r>
      <w:tr>
        <w:trPr/>
        <w:tc>
          <w:tcPr>
            <w:tcW w:w="6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06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Steven J. Gomo</w:t>
            </w:r>
            <w:r>
              <w:rPr>
                <w:rFonts w:ascii="Avenir Next LT Pro;sans-serif" w:hAnsi="Avenir Next LT Pro;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101,704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r>
      <w:tr>
        <w:trPr/>
        <w:tc>
          <w:tcPr>
            <w:tcW w:w="606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Jamie Haenggi</w:t>
            </w:r>
            <w:r>
              <w:rPr>
                <w:rFonts w:ascii="Avenir Next LT Pro;sans-serif" w:hAnsi="Avenir Next LT Pro;sans-serif"/>
                <w:b w:val="false"/>
                <w:color w:val="000000"/>
                <w:sz w:val="12"/>
              </w:rPr>
              <w:t>(6)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14,946</w:t>
            </w:r>
          </w:p>
        </w:tc>
        <w:tc>
          <w:tcPr>
            <w:tcW w:w="64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r>
      <w:tr>
        <w:trPr/>
        <w:tc>
          <w:tcPr>
            <w:tcW w:w="606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Benjamin Kortlang</w:t>
            </w:r>
            <w:r>
              <w:rPr>
                <w:rFonts w:ascii="Avenir Next LT Pro;sans-serif" w:hAnsi="Avenir Next LT Pro;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216,757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r>
      <w:tr>
        <w:trPr/>
        <w:tc>
          <w:tcPr>
            <w:tcW w:w="606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Joseph Malchow</w:t>
            </w:r>
            <w:r>
              <w:rPr>
                <w:rFonts w:ascii="Avenir Next LT Pro;sans-serif" w:hAnsi="Avenir Next LT Pro;sans-serif"/>
                <w:b w:val="false"/>
                <w:color w:val="000000"/>
                <w:sz w:val="12"/>
              </w:rPr>
              <w:t>(8)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63,960</w:t>
            </w:r>
          </w:p>
        </w:tc>
        <w:tc>
          <w:tcPr>
            <w:tcW w:w="64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r>
      <w:tr>
        <w:trPr/>
        <w:tc>
          <w:tcPr>
            <w:tcW w:w="606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Richard Mora</w:t>
            </w:r>
            <w:r>
              <w:rPr>
                <w:rFonts w:ascii="Avenir Next LT Pro;sans-serif" w:hAnsi="Avenir Next LT Pro;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9,370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r>
      <w:tr>
        <w:trPr/>
        <w:tc>
          <w:tcPr>
            <w:tcW w:w="6069"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val="false"/>
                <w:color w:val="000000"/>
                <w:sz w:val="18"/>
              </w:rPr>
              <w:t>Thurman John Rodgers</w:t>
            </w:r>
            <w:r>
              <w:rPr>
                <w:rFonts w:ascii="Avenir Next LT Pro;sans-serif" w:hAnsi="Avenir Next LT Pro;sans-serif"/>
                <w:b w:val="false"/>
                <w:color w:val="000000"/>
                <w:sz w:val="12"/>
              </w:rPr>
              <w:t>(10)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1,693,631</w:t>
            </w:r>
          </w:p>
        </w:tc>
        <w:tc>
          <w:tcPr>
            <w:tcW w:w="648"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w:t>
            </w:r>
          </w:p>
        </w:tc>
      </w:tr>
      <w:tr>
        <w:trPr/>
        <w:tc>
          <w:tcPr>
            <w:tcW w:w="6069"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left"/>
              <w:rPr/>
            </w:pPr>
            <w:r>
              <w:rPr>
                <w:rFonts w:ascii="Avenir Next LT Pro;sans-serif" w:hAnsi="Avenir Next LT Pro;sans-serif"/>
                <w:b/>
                <w:color w:val="000000"/>
                <w:sz w:val="18"/>
              </w:rPr>
              <w:t>All current executive officers and directors as a group (8 persons)</w:t>
            </w:r>
            <w:r>
              <w:rPr>
                <w:rFonts w:ascii="Avenir Next LT Pro;sans-serif" w:hAnsi="Avenir Next LT Pro;sans-serif"/>
                <w:b/>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3,874,130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left w:val="single" w:sz="2" w:space="0" w:color="929292"/>
              <w:right w:val="single" w:sz="2" w:space="0" w:color="929292"/>
            </w:tcBorders>
            <w:shd w:fill="FFFFF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2.9%</w:t>
            </w:r>
          </w:p>
        </w:tc>
      </w:tr>
    </w:tbl>
    <w:p>
      <w:pPr>
        <w:pStyle w:val="TextBody"/>
        <w:bidi w:val="0"/>
        <w:spacing w:lineRule="auto" w:line="288" w:before="0" w:after="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Less than one percent.</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1This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 ownership is based on 131,783,945 shares of our common stock outstanding on March 19, 2026. In accordance with the rules and regulations of the SEC, in computing the number of shares of common stock beneficially owned by a person and the percentage ownership of such person, we deemed to be outstanding all shares of common stock subject to stock options or RSUs held by the person that are currently exercisable or exercisable (or issuable upon vesting of RSUs) within 60 days of March 19, 2026. In computing the percentage ownership of any person, the amount of shares outstanding is deemed to include the amount of shares beneficially owned by such person (and only such person) by reason of such acquisition rights. As a result, the percentage of outstanding shares held by any person in the table below does not necessarily reflect the person’s actual voting power. </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2Information provided is based solely on a Schedule 13G/A filed by the reporting person on October 2, 2025. The reporting entity is a parent holding company and has sole voting power with respect to 18,127,144 shares and sole dispositive power with respect to 18,461,738, shares, reporting on behalf of the following subsidiaries: BlackRock Life Limited, BlackRock Advisors, LLC, BlackRock Fund Advisors,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Advisors (UK) Limited, and BlackRock Fund Managers Ltd. The business address of BlackRock is 50 Hudson Yards, New York, New York 10001.</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3Includes: (a) 1,640,632 shares held by the Kothandaraman-Santhanam Living Trust for which Mr. Kothandaraman serves as a trustee; and (b) 33,715 shares held directly by Mr. Kothandaraman.</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4Includes: (a) 49,415 shares held directly by Ms. Yang; (b) 25,000 shares held by the The Ya-Ling 2023 ENPH - 2 Year GRAT dtd 12/12/2023; and (c) 25,000 shares held by The Stanley Wang 2023 ENPH - 2 YEAR GRAT dtd 12/12/2023.</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5Includes: (a) 1,399 shares of common stock issuable upon the vesting of RSUs within 60 days of March 19, 2026; and (b) 100,305 shares held directly by Mr. Gomo.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8"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6Includes: (a) 1,295 shares of common stock issuable upon the vesting of RSUs within 60 days of March 19, 2026; and (b) 13,651 shares held directly by Ms. Haenggi.</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7Includes: (a) stock options exercisable for 2,475 shares within 60 days of March 19, 2026; (b) 1,295 shares of common stock issuable upon the vesting of RSUs within 60 days of March 19, 2026; and (c) 212,987 shares held directly by Mr. Kortlang.</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8Includes: (a) 1,295 shares of common stock issuable upon the vesting of RSUs within 60 days of March 19, 2026; and (b) 62,665 shares held directly by Mr. Malchow.</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9Includes: (a) 1,295 shares of common stock issuable upon the vesting of RSUs within 60 days of March 19, 2026; and (c) 8,075 shares held directly by Mr. Mora.</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10Includes: (a) 1,597,641 shares of common stock held by Rodgers Massey Revocable Living Trust dtd 4/4/11 for which Mr. Rodgers and his spouse, Valeta Massey, serve as trustees and share joint voting and dispositive power; (b) 4,100 shares of common stock held by Rodgers 2012 Irrevocable Trust; (c) 4,100 shares of common stock held by Valeta Massey 2012 Irrevocable Trust; (d) 85,200 shares of common stock held by Rodgers Family and Free Markets Charitable Trust; (e) 1,295 shares of common stock issuable upon the vesting of RSUs within 60 days of March 19, 2026; and (e) 1,295 shares held directly by Mr. Rodgers.</w:t>
      </w:r>
    </w:p>
    <w:p>
      <w:pPr>
        <w:pStyle w:val="TextBody"/>
        <w:bidi w:val="0"/>
        <w:spacing w:lineRule="auto" w:line="288" w:before="60" w:after="60"/>
        <w:ind w:left="0" w:right="0" w:hanging="36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11Includes: (a) 3,863,781 shares beneficially owned by the current directors and executive officers; (b) 2,475 shares issuable pursuant to stock options exercisable within 60 days of March 19, 2026; and (c) 7,874 shares of common stock issuable upon the vesting of RSUs within 60 days of March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9"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Equity Compensation Plan Information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following table provides certain information with respect to our equity compensation plans in effect as of December 31, 2025.</w:t>
      </w:r>
    </w:p>
    <w:tbl>
      <w:tblPr>
        <w:tblW w:w="10205" w:type="dxa"/>
        <w:jc w:val="left"/>
        <w:tblInd w:w="0" w:type="dxa"/>
        <w:tblLayout w:type="fixed"/>
        <w:tblCellMar>
          <w:top w:w="28" w:type="dxa"/>
          <w:left w:w="28" w:type="dxa"/>
          <w:bottom w:w="28" w:type="dxa"/>
          <w:right w:w="28" w:type="dxa"/>
        </w:tblCellMar>
      </w:tblPr>
      <w:tblGrid>
        <w:gridCol w:w="789"/>
        <w:gridCol w:w="694"/>
        <w:gridCol w:w="701"/>
        <w:gridCol w:w="737"/>
        <w:gridCol w:w="350"/>
        <w:gridCol w:w="350"/>
        <w:gridCol w:w="350"/>
        <w:gridCol w:w="350"/>
        <w:gridCol w:w="357"/>
        <w:gridCol w:w="381"/>
        <w:gridCol w:w="381"/>
        <w:gridCol w:w="381"/>
        <w:gridCol w:w="381"/>
        <w:gridCol w:w="381"/>
        <w:gridCol w:w="386"/>
        <w:gridCol w:w="802"/>
        <w:gridCol w:w="446"/>
        <w:gridCol w:w="446"/>
        <w:gridCol w:w="446"/>
        <w:gridCol w:w="446"/>
        <w:gridCol w:w="650"/>
      </w:tblGrid>
      <w:tr>
        <w:trPr/>
        <w:tc>
          <w:tcPr>
            <w:tcW w:w="7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184" w:type="dxa"/>
            <w:gridSpan w:val="3"/>
            <w:vMerge w:val="restart"/>
            <w:tcBorders>
              <w:left w:val="single" w:sz="2" w:space="0" w:color="3C3C3C"/>
            </w:tcBorders>
            <w:shd w:fill="3C3C3C" w:val="clear"/>
            <w:tcMar>
              <w:top w:w="0" w:type="dxa"/>
              <w:left w:w="11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FFFFFF"/>
                <w:sz w:val="16"/>
              </w:rPr>
            </w:pPr>
            <w:r>
              <w:rPr>
                <w:rFonts w:ascii="Avenir Next LT Pro;sans-serif" w:hAnsi="Avenir Next LT Pro;sans-serif"/>
                <w:b/>
                <w:color w:val="FFFFFF"/>
                <w:sz w:val="16"/>
              </w:rPr>
              <w:t>Plan Category</w:t>
            </w:r>
          </w:p>
        </w:tc>
        <w:tc>
          <w:tcPr>
            <w:tcW w:w="2494" w:type="dxa"/>
            <w:gridSpan w:val="6"/>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securities to be issued upon exercise of outstanding options and rights</w:t>
            </w:r>
          </w:p>
        </w:tc>
        <w:tc>
          <w:tcPr>
            <w:tcW w:w="2291" w:type="dxa"/>
            <w:gridSpan w:val="6"/>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Weighted-average exercise price of outstanding options ($)</w:t>
            </w:r>
          </w:p>
        </w:tc>
        <w:tc>
          <w:tcPr>
            <w:tcW w:w="3236" w:type="dxa"/>
            <w:gridSpan w:val="6"/>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Number of securities remaining available for future issuance under equity compensation plans (excluding securities reflected in </w:t>
              <w:br/>
              <w:t>column (a))</w:t>
            </w:r>
          </w:p>
        </w:tc>
      </w:tr>
      <w:tr>
        <w:trPr/>
        <w:tc>
          <w:tcPr>
            <w:tcW w:w="2184" w:type="dxa"/>
            <w:gridSpan w:val="3"/>
            <w:vMerge w:val="continue"/>
            <w:tcBorders>
              <w:left w:val="single" w:sz="2" w:space="0" w:color="3C3C3C"/>
            </w:tcBorders>
            <w:shd w:fill="3C3C3C" w:val="clear"/>
            <w:tcMar>
              <w:top w:w="0" w:type="dxa"/>
              <w:left w:w="110" w:type="dxa"/>
              <w:bottom w:w="0" w:type="dxa"/>
              <w:right w:w="0" w:type="dxa"/>
            </w:tcMar>
            <w:vAlign w:val="center"/>
          </w:tcPr>
          <w:p>
            <w:pPr>
              <w:pStyle w:val="Normal"/>
              <w:bidi w:val="0"/>
              <w:jc w:val="left"/>
              <w:rPr/>
            </w:pPr>
            <w:r>
              <w:rPr/>
            </w:r>
          </w:p>
        </w:tc>
        <w:tc>
          <w:tcPr>
            <w:tcW w:w="2494" w:type="dxa"/>
            <w:gridSpan w:val="6"/>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(a)</w:t>
            </w:r>
          </w:p>
        </w:tc>
        <w:tc>
          <w:tcPr>
            <w:tcW w:w="2291" w:type="dxa"/>
            <w:gridSpan w:val="6"/>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(b)</w:t>
            </w:r>
          </w:p>
        </w:tc>
        <w:tc>
          <w:tcPr>
            <w:tcW w:w="3236" w:type="dxa"/>
            <w:gridSpan w:val="6"/>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(c)</w:t>
            </w:r>
          </w:p>
        </w:tc>
      </w:tr>
      <w:tr>
        <w:trPr/>
        <w:tc>
          <w:tcPr>
            <w:tcW w:w="218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Equity compensation plans approved by security holders</w:t>
            </w:r>
          </w:p>
        </w:tc>
        <w:tc>
          <w:tcPr>
            <w:tcW w:w="1437"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5,441,518</w:t>
            </w:r>
          </w:p>
        </w:tc>
        <w:tc>
          <w:tcPr>
            <w:tcW w:w="1057" w:type="dxa"/>
            <w:gridSpan w:val="3"/>
            <w:tcBorders/>
            <w:shd w:fill="FAF6E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(1)</w:t>
            </w:r>
          </w:p>
        </w:tc>
        <w:tc>
          <w:tcPr>
            <w:tcW w:w="1143"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64.17</w:t>
            </w:r>
          </w:p>
        </w:tc>
        <w:tc>
          <w:tcPr>
            <w:tcW w:w="1148" w:type="dxa"/>
            <w:gridSpan w:val="3"/>
            <w:tcBorders/>
            <w:shd w:fill="FAF6E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(2)</w:t>
            </w:r>
          </w:p>
        </w:tc>
        <w:tc>
          <w:tcPr>
            <w:tcW w:w="1694"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8,775,972</w:t>
            </w:r>
          </w:p>
        </w:tc>
        <w:tc>
          <w:tcPr>
            <w:tcW w:w="1542" w:type="dxa"/>
            <w:gridSpan w:val="3"/>
            <w:tcBorders>
              <w:right w:val="single" w:sz="2" w:space="0" w:color="929292"/>
            </w:tcBorders>
            <w:shd w:fill="FAF6EF" w:val="clear"/>
            <w:tcMar>
              <w:top w:w="0" w:type="dxa"/>
              <w:left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2"/>
              </w:rPr>
            </w:pPr>
            <w:r>
              <w:rPr>
                <w:rFonts w:ascii="Avenir Next LT Pro;sans-serif" w:hAnsi="Avenir Next LT Pro;sans-serif"/>
                <w:b w:val="false"/>
                <w:color w:val="000000"/>
                <w:sz w:val="12"/>
              </w:rPr>
              <w:t>(3)</w:t>
            </w:r>
          </w:p>
        </w:tc>
      </w:tr>
      <w:tr>
        <w:trPr/>
        <w:tc>
          <w:tcPr>
            <w:tcW w:w="2184" w:type="dxa"/>
            <w:gridSpan w:val="3"/>
            <w:tcBorders>
              <w:left w:val="single" w:sz="2" w:space="0" w:color="929292"/>
              <w:right w:val="single" w:sz="2" w:space="0" w:color="929292"/>
            </w:tcBorders>
            <w:shd w:fill="FFFFFF" w:val="clear"/>
            <w:tcMar>
              <w:top w:w="0" w:type="dxa"/>
              <w:left w:w="110" w:type="dxa"/>
              <w:bottom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Equity compensation plans not approved by security holders</w:t>
            </w:r>
          </w:p>
        </w:tc>
        <w:tc>
          <w:tcPr>
            <w:tcW w:w="2494" w:type="dxa"/>
            <w:gridSpan w:val="6"/>
            <w:tcBorders>
              <w:bottom w:val="single" w:sz="8" w:space="0" w:color="3C3C3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2291" w:type="dxa"/>
            <w:gridSpan w:val="6"/>
            <w:tcBorders>
              <w:left w:val="single" w:sz="2" w:space="0" w:color="929292"/>
              <w:bottom w:val="single" w:sz="8" w:space="0" w:color="3C3C3C"/>
            </w:tcBorders>
            <w:shd w:fill="FFFFFF" w:val="clear"/>
            <w:tcMar>
              <w:top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694"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N/A</w:t>
            </w:r>
          </w:p>
        </w:tc>
        <w:tc>
          <w:tcPr>
            <w:tcW w:w="1542" w:type="dxa"/>
            <w:gridSpan w:val="3"/>
            <w:tcBorders>
              <w:right w:val="single" w:sz="2"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color w:val="000000"/>
                <w:sz w:val="18"/>
              </w:rPr>
            </w:pPr>
            <w:r>
              <w:rPr>
                <w:rFonts w:ascii="Avenir Next LT Pro;sans-serif" w:hAnsi="Avenir Next LT Pro;sans-serif"/>
                <w:b/>
                <w:color w:val="000000"/>
                <w:sz w:val="18"/>
              </w:rPr>
              <w:t>Total</w:t>
            </w:r>
          </w:p>
        </w:tc>
        <w:tc>
          <w:tcPr>
            <w:tcW w:w="2494" w:type="dxa"/>
            <w:gridSpan w:val="6"/>
            <w:tcBorders>
              <w:top w:val="single" w:sz="8" w:space="0" w:color="3C3C3C"/>
              <w:left w:val="single" w:sz="2" w:space="0" w:color="929292"/>
              <w:bottom w:val="double" w:sz="8" w:space="0" w:color="3C3C3C"/>
            </w:tcBorders>
            <w:shd w:fill="FAF6EF" w:val="clear"/>
            <w:tcMar>
              <w:top w:w="3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5,441,518</w:t>
            </w:r>
          </w:p>
        </w:tc>
        <w:tc>
          <w:tcPr>
            <w:tcW w:w="2291" w:type="dxa"/>
            <w:gridSpan w:val="6"/>
            <w:tcBorders>
              <w:top w:val="single" w:sz="8" w:space="0" w:color="3C3C3C"/>
              <w:left w:val="single" w:sz="2" w:space="0" w:color="929292"/>
              <w:bottom w:val="double" w:sz="8" w:space="0" w:color="3C3C3C"/>
            </w:tcBorders>
            <w:shd w:fill="FAF6EF" w:val="clear"/>
            <w:tcMar>
              <w:top w:w="3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$64.17</w:t>
            </w:r>
          </w:p>
        </w:tc>
        <w:tc>
          <w:tcPr>
            <w:tcW w:w="1694" w:type="dxa"/>
            <w:gridSpan w:val="3"/>
            <w:tcBorders>
              <w:top w:val="single" w:sz="8" w:space="0" w:color="3C3C3C"/>
              <w:left w:val="single" w:sz="2" w:space="0" w:color="929292"/>
              <w:bottom w:val="double" w:sz="8" w:space="0" w:color="3C3C3C"/>
            </w:tcBorders>
            <w:shd w:fill="FAF6EF" w:val="clear"/>
            <w:tcMar>
              <w:top w:w="3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8,775,972</w:t>
            </w:r>
          </w:p>
        </w:tc>
        <w:tc>
          <w:tcPr>
            <w:tcW w:w="1542" w:type="dxa"/>
            <w:gridSpan w:val="3"/>
            <w:tcBorders>
              <w:top w:val="single" w:sz="8" w:space="0" w:color="3C3C3C"/>
              <w:bottom w:val="double" w:sz="8" w:space="0" w:color="3C3C3C"/>
              <w:right w:val="single" w:sz="2" w:space="0" w:color="929292"/>
            </w:tcBorders>
            <w:shd w:fill="FAF6E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venir Next LT Pro;sans-serif" w:hAnsi="Avenir Next LT Pro;sans-serif"/>
          <w:b/>
          <w:color w:val="000000"/>
          <w:sz w:val="24"/>
        </w:rPr>
      </w:pPr>
      <w:r>
        <w:rPr>
          <w:rFonts w:ascii="Avenir Next LT Pro;sans-serif" w:hAnsi="Avenir Next LT Pro;sans-serif"/>
          <w:b/>
          <w:color w:val="000000"/>
          <w:sz w:val="24"/>
        </w:rPr>
        <w:t>________</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1Includes (i) an aggregate of 2,475 shares of common stock to be issued upon exercise of options granted under the 2011 Plan and (ii) 5,439,043 shares of our common stock issuable upon settlement of RSUs granted under the 2021 Plan.</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2Because RSUs do not have an exercise price, 5,439,043 shares of common stock issuable upon settlement of RSUs granted under the 2021 Plan are not included in the calculation of weighted-average exercise price.</w:t>
      </w:r>
    </w:p>
    <w:p>
      <w:pPr>
        <w:pStyle w:val="TextBody"/>
        <w:bidi w:val="0"/>
        <w:spacing w:lineRule="auto" w:line="288" w:before="60" w:after="60"/>
        <w:ind w:left="0" w:right="0" w:hanging="270"/>
        <w:jc w:val="both"/>
        <w:rPr>
          <w:rFonts w:ascii="Avenir Next LT Pro;sans-serif" w:hAnsi="Avenir Next LT Pro;sans-serif"/>
          <w:b w:val="false"/>
          <w:color w:val="7D7D7D"/>
          <w:sz w:val="16"/>
        </w:rPr>
      </w:pPr>
      <w:r>
        <w:rPr>
          <w:rFonts w:ascii="Avenir Next LT Pro;sans-serif" w:hAnsi="Avenir Next LT Pro;sans-serif"/>
          <w:b w:val="false"/>
          <w:color w:val="7D7D7D"/>
          <w:sz w:val="16"/>
        </w:rPr>
        <w:t xml:space="preserve">3Includes 5,978,943 shares of common stock available for issuance under the 2021 Plan and 2,797,029 shares of common stock available for future purchase under the ESPP. The number of shares of common stock reserved for issuance under the ESPP automatically increases on each January 1, by the lesser of (i) 700,000 shares of common stock or (ii) 1.0% of the total number of shares of common stock outstanding on December 31 of the preceding calendar year, as determined by the Board. </w:t>
      </w:r>
    </w:p>
    <w:p>
      <w:pPr>
        <w:pStyle w:val="TextBody"/>
        <w:bidi w:val="0"/>
        <w:spacing w:before="60" w:after="6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0"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Transactions with Related Persons</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Policy and Procedures for Review of Related Party Transactions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Audit Committee Charter provides that the Audit Committee will review and approve all related party transactions. This review covers any material transaction, arrangement or relationship, or any series of similar transactions, arrangements or relationships, in which we were or are to be a participant, and a related party had or will have a direct or indirect material interest, including, purchases of goods or services by or from the related party or entities in which the related party has a material interest, indebtedness, guarantees of indebtedness and employment by us of a related party.</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Certain Transactions with or Involving Related Persons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Except as disclosed below, since January 1, 2025, we have not been a party to any transactions in which the amount involved exceeded $120,000 and in which any of our executive officers, directors or holders of more than 5% of our capital stock, or any member of the immediate family of any of the above persons, had or will have a direct or indirect material interest, other than compensation arrangements with directors and executive officers, which are described where required under the “Executive Compensation” section of this proxy statement.</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Mr. Rodgers was appointed as the CEO of SunPower Inc. (formerly Complete Solaria, Inc.) in April 2024, and we had an existing business relationship with SunPower prior to his appointment. All agreements were entered into within the ordinary course of business. Since January 1, 2025, we had received payments from SunPower of approximately $634,000. Mr. Rodgers was not involved in the negotiations of any existing agreements and does not have a direct financial interest in any transactions.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In September 2025, we invested $6.3 million in cash to purchase convertible notes with an aggregate principal amount of $7.0 million issued by SunPower, on the same terms as other investors. The notes bear an interest rate of 7% per annum and mature on July 1, 2029. The initial conversion rate is 467.8363 shares of SunPower common stock per $1,000 principal amount of notes (equivalent to a conversion price of approximately $2.14 per share). The terms of the transaction were reviewed and approved by our Audit Committee and were determined to be on an arm’s-length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Delinquent Section 16(a) Reports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members of the Board, our executive officers and persons who hold more than 10% of our outstanding common stock are subject to the reporting requirements of Section 16(a) of the Exchange Act, which requires them to file reports of ownership and changes in ownership with the SEC. To our knowledge, based solely upon a review of such reports that were filed with the SEC and written representations that no other reports were required to be filed in 2025, we believe that all required reports were timely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Householding of Proxy Materials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year, a number of brokers with account holders who are Enphase stockholders will be “householding” our proxy materials. A single Notice of Internet Availability of Proxy Materials (“Notice”)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or Enphase. Direct your written request to: Corporate Secretary, Enphase Energy, Inc., 47281 Bayside Parkway, Fremont, CA 94538 or call our Corporate Secretary at 1-707-774-7000. A separate copy of the Notice will be delivered promptly in response to any such request. Stockholders who currently receive multiple copies of the Notices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1"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Other Matters</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9" w:type="dxa"/>
        <w:jc w:val="left"/>
        <w:tblInd w:w="0" w:type="dxa"/>
        <w:tblLayout w:type="fixed"/>
        <w:tblCellMar>
          <w:top w:w="28" w:type="dxa"/>
          <w:left w:w="28" w:type="dxa"/>
          <w:bottom w:w="28" w:type="dxa"/>
          <w:right w:w="28" w:type="dxa"/>
        </w:tblCellMar>
      </w:tblPr>
      <w:tblGrid>
        <w:gridCol w:w="124"/>
        <w:gridCol w:w="109"/>
        <w:gridCol w:w="109"/>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66" w:type="dxa"/>
        <w:jc w:val="left"/>
        <w:tblInd w:w="0" w:type="dxa"/>
        <w:tblLayout w:type="fixed"/>
        <w:tblCellMar>
          <w:top w:w="28" w:type="dxa"/>
          <w:left w:w="28" w:type="dxa"/>
          <w:bottom w:w="28" w:type="dxa"/>
          <w:right w:w="28" w:type="dxa"/>
        </w:tblCellMar>
      </w:tblPr>
      <w:tblGrid>
        <w:gridCol w:w="661"/>
        <w:gridCol w:w="582"/>
        <w:gridCol w:w="586"/>
        <w:gridCol w:w="1154"/>
        <w:gridCol w:w="1154"/>
        <w:gridCol w:w="1157"/>
        <w:gridCol w:w="109"/>
        <w:gridCol w:w="109"/>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76375" cy="638175"/>
                  <wp:effectExtent l="0" t="0" r="0" b="0"/>
                  <wp:docPr id="15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8" descr=""/>
                          <pic:cNvPicPr>
                            <a:picLocks noChangeAspect="1" noChangeArrowheads="1"/>
                          </pic:cNvPicPr>
                        </pic:nvPicPr>
                        <pic:blipFill>
                          <a:blip r:embed="rId69"/>
                          <a:stretch>
                            <a:fillRect/>
                          </a:stretch>
                        </pic:blipFill>
                        <pic:spPr bwMode="auto">
                          <a:xfrm>
                            <a:off x="0" y="0"/>
                            <a:ext cx="1476375" cy="638175"/>
                          </a:xfrm>
                          <a:prstGeom prst="rect">
                            <a:avLst/>
                          </a:prstGeom>
                        </pic:spPr>
                      </pic:pic>
                    </a:graphicData>
                  </a:graphic>
                </wp:inline>
              </w:drawing>
            </w:r>
            <w:bookmarkStart w:id="67" w:name="i-68"/>
            <w:bookmarkEnd w:id="6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Badrinarayanan Kothandaraman</w:t>
            </w:r>
          </w:p>
          <w:p>
            <w:pPr>
              <w:pStyle w:val="TableContents"/>
              <w:bidi w:val="0"/>
              <w:spacing w:lineRule="auto" w:line="240" w:before="0" w:after="4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Fremont, California</w:t>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April 1, 2026</w:t>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lineRule="auto" w:line="336" w:before="0" w:after="180"/>
        <w:jc w:val="both"/>
        <w:rPr>
          <w:rFonts w:ascii="Avenir Next LT Pro;sans-serif" w:hAnsi="Avenir Next LT Pro;sans-serif"/>
          <w:b/>
          <w:color w:val="000000"/>
          <w:sz w:val="18"/>
        </w:rPr>
      </w:pPr>
      <w:r>
        <w:rPr>
          <w:rFonts w:ascii="Avenir Next LT Pro;sans-serif" w:hAnsi="Avenir Next LT Pro;sans-serif"/>
          <w:b/>
          <w:color w:val="000000"/>
          <w:sz w:val="18"/>
        </w:rPr>
        <w:t>A copy of our Annual Report to the Securities and Exchange Commission on Form 10-K for the fiscal year ended December 31, 2025 is available without charge upon written request to: Corporate Secretary, Enphase Energy, Inc., 47281 Bayside Parkway, Fremont, CA 94538.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3"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78</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Questions and Answers About These Proxy Materials and Voting</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Why did I receive a notice regarding the availability of proxy materials on the internet?</w:t>
      </w:r>
    </w:p>
    <w:p>
      <w:pPr>
        <w:pStyle w:val="TextBody"/>
        <w:bidi w:val="0"/>
        <w:spacing w:lineRule="auto" w:line="336" w:before="0" w:after="120"/>
        <w:jc w:val="both"/>
        <w:rPr/>
      </w:pPr>
      <w:r>
        <w:rPr>
          <w:rFonts w:ascii="Avenir Next LT Pro;sans-serif" w:hAnsi="Avenir Next LT Pro;sans-serif"/>
          <w:b w:val="false"/>
          <w:color w:val="000000"/>
          <w:sz w:val="18"/>
        </w:rPr>
        <w:t xml:space="preserve">Under rules adopted by the SEC, Enphase Energy, Inc. (sometimes referred to in this proxy statement as “Enphase,” the “Company,” “we,” “our,” or “us”) has elected to provide access to our proxy materials over the internet. We are sending a Notice to our stockholders of record in connection with the solicitation of proxies by the Board for use at the Annual Meeting. All stockholders will have the ability to access the proxy materials at </w:t>
      </w:r>
      <w:r>
        <w:rPr>
          <w:rFonts w:ascii="Avenir Next LT Pro;sans-serif" w:hAnsi="Avenir Next LT Pro;sans-serif"/>
          <w:b w:val="false"/>
          <w:i/>
          <w:color w:val="000000"/>
          <w:sz w:val="18"/>
        </w:rPr>
        <w:t>www.proxyvote.com</w:t>
      </w:r>
      <w:r>
        <w:rPr>
          <w:color w:val="000000"/>
        </w:rPr>
        <w:t xml:space="preserve"> </w:t>
      </w:r>
      <w:r>
        <w:rPr>
          <w:rFonts w:ascii="Avenir Next LT Pro;sans-serif" w:hAnsi="Avenir Next LT Pro;sans-serif"/>
          <w:b w:val="false"/>
          <w:color w:val="000000"/>
          <w:sz w:val="18"/>
        </w:rPr>
        <w:t>or request a printed set of proxy materials. Instructions on how to access the proxy materials over the internet or to request a printed copy may be found in the Notice.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intend to mail the Notice on or about April 1, 2026 to all stockholders of record entitled to vote at the Annual Meeting.</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Will I receive any other proxy materials by mail?</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do not expect to send any proxy materials by mail unless requested.</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How do I attend the Annual Meeting?</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You are invited to attend the Annual Meeting if you were a stockholder of record or a beneficial owner as of the close of business on the Record Date. The meeting will be held on Wednesday, May 13, 2026 at 9:00 a.m. Pacific Time at our principal office located at 47281 Bayside Parkway, Fremont, CA 94538. If you are a stockholder of record, please bring a form of personal identification to be admitted to the meeting. If your shares are held in the name of your broker, trustee or other nominee, you must obtain a legal proxy issued in your name from the broker, trustee or other nominee that holds your shares, together with a form of personal identification, to be admitted to the meeting. The Annual Meeting will begin promptly at 9:00 a.m. Pacific Time. Information on how to vote prior to the Annual Meeting and in person at the Annual Meeting is discussed below.</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After the conclusion of the formal portion of the Annual Meeting there will be a brief recess. The CEO will then give a presentation beginning at approximately 9:30 am Pacific Time that can be accessed:</w:t>
      </w:r>
    </w:p>
    <w:p>
      <w:pPr>
        <w:pStyle w:val="TextBody"/>
        <w:bidi w:val="0"/>
        <w:spacing w:lineRule="auto" w:line="336" w:before="0" w:after="120"/>
        <w:ind w:left="0" w:right="0" w:hanging="180"/>
        <w:jc w:val="left"/>
        <w:rPr/>
      </w:pPr>
      <w:r>
        <w:rPr>
          <w:color w:val="000000"/>
        </w:rPr>
        <w:t>•</w:t>
      </w:r>
      <w:r>
        <w:rPr>
          <w:rFonts w:ascii="Avenir Next LT Pro;sans-serif" w:hAnsi="Avenir Next LT Pro;sans-serif"/>
          <w:b w:val="false"/>
          <w:color w:val="000000"/>
          <w:sz w:val="18"/>
        </w:rPr>
        <w:t xml:space="preserve">by internet at </w:t>
      </w:r>
      <w:r>
        <w:rPr>
          <w:rFonts w:ascii="Avenir Next LT Pro;sans-serif" w:hAnsi="Avenir Next LT Pro;sans-serif"/>
          <w:b w:val="false"/>
          <w:i/>
          <w:color w:val="000000"/>
          <w:sz w:val="18"/>
        </w:rPr>
        <w:t>https://link.enphase.com/ENPHMeeting2026</w:t>
      </w:r>
      <w:r>
        <w:rPr>
          <w:color w:val="000000"/>
        </w:rPr>
        <w:t xml:space="preserve"> </w:t>
      </w:r>
      <w:r>
        <w:rPr>
          <w:rFonts w:ascii="Avenir Next LT Pro;sans-serif" w:hAnsi="Avenir Next LT Pro;sans-serif"/>
          <w:b w:val="false"/>
          <w:color w:val="000000"/>
          <w:sz w:val="18"/>
        </w:rPr>
        <w:t>(please register in advance); or</w:t>
      </w:r>
    </w:p>
    <w:p>
      <w:pPr>
        <w:pStyle w:val="TextBody"/>
        <w:bidi w:val="0"/>
        <w:spacing w:lineRule="auto" w:line="336" w:before="0" w:after="180"/>
        <w:ind w:left="0" w:right="0" w:hanging="180"/>
        <w:jc w:val="both"/>
        <w:rPr/>
      </w:pPr>
      <w:r>
        <w:rPr>
          <w:color w:val="000000"/>
        </w:rPr>
        <w:t>•</w:t>
      </w:r>
      <w:r>
        <w:rPr>
          <w:rFonts w:ascii="Avenir Next LT Pro;sans-serif" w:hAnsi="Avenir Next LT Pro;sans-serif"/>
          <w:b w:val="false"/>
          <w:color w:val="000000"/>
          <w:sz w:val="18"/>
        </w:rPr>
        <w:t xml:space="preserve">by telephone at 1 (209) 425-4021 with meeting ID: 395 276 906#. For international numbers, please visit the following web address for local numbers at </w:t>
      </w:r>
      <w:r>
        <w:rPr>
          <w:rFonts w:ascii="Avenir Next LT Pro;sans-serif" w:hAnsi="Avenir Next LT Pro;sans-serif"/>
          <w:b w:val="false"/>
          <w:i/>
          <w:color w:val="000000"/>
          <w:sz w:val="18"/>
        </w:rPr>
        <w:t xml:space="preserve">https://link.enphase.com/IntlNumbersENPH </w:t>
      </w:r>
      <w:r>
        <w:rPr>
          <w:rFonts w:ascii="Avenir Next LT Pro;sans-serif" w:hAnsi="Avenir Next LT Pro;sans-serif"/>
          <w:b w:val="false"/>
          <w:color w:val="000000"/>
          <w:sz w:val="18"/>
        </w:rPr>
        <w:t>with the same meeting ID: 395 276 906#.</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What if I cannot attend the Annual Meeting?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You may vote your shares electronically before the meeting by internet, by proxy or by telephone as described below. You do not need to attend the Annual Meeting to vote if you submitted your vote via proxy, by internet or by telephone in advance of the Annual Meeting.</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Who can vote at the Annual Meeting?</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Only stockholders of record at the close of business on March 19, 2026, the Record Date, will be entitled to vote at the Annual Meeting. On the Record Date, there were 131,783,945 shares of common stock outstanding and entitled to vote.</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the ten days prior to the Annual Meeting, a list of stockholders of record will be available at our headquarters at 47281 Bayside Parkway, Fremont, CA 94538 for examination by any stockholder for any purpose germane to the Annual Meeting.</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 xml:space="preserve">Stockholder of Record: Shares Registered in Your Name </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on March 19, 2026, your shares were registered directly in your name with our transfer agent, Equiniti Trust Company, LLC, then you are a stockholder of record. As a stockholder of record, you may vote by internet before the Annual Meeting, by telephone or by proxy. As a stockholder of record, you may also vote in person at the meeting or vote by proxy. To vote in person, please bring the enclosed proxy card and proof of identification. Whether or not you plan to attend the meeting, we urge you to fill out and return the proxy card or vote by internet or by telephone before the Annual Meeting to ensure your vote is counted.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4"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79</w:t>
                      </w:r>
                    </w:p>
                  </w:txbxContent>
                </v:textbox>
                <w10:wrap type="none"/>
              </v:rect>
            </w:pict>
          </mc:Fallback>
        </mc:AlternateContent>
      </w:r>
    </w:p>
    <w:p>
      <w:pPr>
        <w:pStyle w:val="TextBody"/>
        <w:bidi w:val="0"/>
        <w:spacing w:before="0" w:after="0"/>
        <w:jc w:val="left"/>
        <w:rPr/>
      </w:pPr>
      <w:r>
        <w:rPr/>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Beneficial Owner: Shares Registered in the Name of a Bank, Broker or Other Nominee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on March 19, 2026, your shares were held, not in your name, but rather in an account at a bank, broker or other nominee, then you are the beneficial owner of shares held in “street name” and the Notice is being forwarded to you by that organization. Simply follow the voting instructions in such Notice to ensure that your vote is counted. The organization holding your account is considered to be the stockholder of record for purposes of voting at the Annual Meeting. As a beneficial owner, you have the right to direct your bank, broker or other nominee regarding how to vote the shares in your account. You are also invited to attend the Annual Meeting in person. Shares held beneficially in street name may be voted in person at the Annual Meeting only if you obtain a legal proxy issued in your name from the bank, broker or other nominee that holds your shares, giving you the right to vote the shares at the Annual Meeting together with a form of personal identification. Otherwise, you will not be permitted to vote at the Annual Meeting.</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What am I voting on?</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There are four matters scheduled for a vote:</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Election of our three nominees as Class II directors to serve until the 2029 Annual Meeting of Stockholders or until their successors have been elected and qualified;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Approval, on an advisory basis, of the compensation of our named executive officers, as disclosed in this proxy statement;</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Approval of an amendment and restatement of the Enphase Energy, Inc. 2021 Equity Incentive Plan to increase the number of shares of common stock authorized for issuance thereunder by 2,000,000 shares; and</w:t>
      </w:r>
    </w:p>
    <w:p>
      <w:pPr>
        <w:pStyle w:val="TextBody"/>
        <w:bidi w:val="0"/>
        <w:spacing w:lineRule="auto" w:line="336" w:before="0" w:after="180"/>
        <w:ind w:left="0" w:right="0" w:hanging="180"/>
        <w:jc w:val="left"/>
        <w:rPr/>
      </w:pPr>
      <w:r>
        <w:rPr>
          <w:color w:val="000000"/>
        </w:rPr>
        <w:t>•</w:t>
      </w:r>
      <w:r>
        <w:rPr>
          <w:rFonts w:ascii="Avenir Next LT Pro;sans-serif" w:hAnsi="Avenir Next LT Pro;sans-serif"/>
          <w:b w:val="false"/>
          <w:color w:val="000000"/>
          <w:sz w:val="18"/>
        </w:rPr>
        <w:t>Ratification of the selection of Deloitte &amp; Touche LLP as our independent registered public accounting firm for the fiscal year ending December 31, 2026.</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What if another matter is properly brought before the meeting?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How do I vote?</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You may vote “FOR” the nominees to the Board, or you may “Withhold” your vote for one or both nominees. For each other matter to be voted on, you may vote “FOR” or “AGAINST” or abstain from voting.</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procedures for voting are:</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Stockholder of Record: Shares Registered in Your Name</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you are a stockholder of record, you may vote by internet before the Annual Meeting, by telephone or by proxy. Whether or not you plan to attend the Annual Meeting, we urge you to vote by proxy to ensure your vote is counted.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To vote through the internet:</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 xml:space="preserve">Before the Annual Meeting, go to </w:t>
      </w:r>
      <w:r>
        <w:rPr>
          <w:rFonts w:ascii="Avenir Next LT Pro;sans-serif" w:hAnsi="Avenir Next LT Pro;sans-serif"/>
          <w:b w:val="false"/>
          <w:i/>
          <w:color w:val="000000"/>
          <w:sz w:val="18"/>
        </w:rPr>
        <w:t>www.proxyvote.com</w:t>
      </w:r>
      <w:r>
        <w:rPr>
          <w:color w:val="000000"/>
        </w:rPr>
        <w:t xml:space="preserve"> </w:t>
      </w:r>
      <w:r>
        <w:rPr>
          <w:rFonts w:ascii="Avenir Next LT Pro;sans-serif" w:hAnsi="Avenir Next LT Pro;sans-serif"/>
          <w:b w:val="false"/>
          <w:color w:val="000000"/>
          <w:sz w:val="18"/>
        </w:rPr>
        <w:t>to complete an electronic proxy card. You will need the 16-digit control number included in the Notice or your proxy card or on the instructions that accompanied your proxy materials. Your vote must be received by 8:59 p.m. Pacific Time (11:59 Eastern Time) on May 12, 2026 to be counted.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 xml:space="preserve">To vote over the telephone before the Annual Meeting, dial toll-free 1-800-690-6903 using a touch-tone phone and follow the recorded instructions. You will need the 16-digit control number included in the Notice or your proxy card or on the instructions that accompanied your proxy materials. Your vote must be received by 8:59 p.m. Pacific Time (11:59 Eastern Time) on May 12, 2026 to be counted. </w:t>
      </w:r>
    </w:p>
    <w:p>
      <w:pPr>
        <w:pStyle w:val="TextBody"/>
        <w:bidi w:val="0"/>
        <w:spacing w:lineRule="auto" w:line="336" w:before="0" w:after="180"/>
        <w:ind w:left="0" w:right="0" w:hanging="180"/>
        <w:jc w:val="left"/>
        <w:rPr/>
      </w:pPr>
      <w:r>
        <w:rPr>
          <w:color w:val="000000"/>
        </w:rPr>
        <w:t>•</w:t>
      </w:r>
      <w:r>
        <w:rPr>
          <w:rFonts w:ascii="Avenir Next LT Pro;sans-serif" w:hAnsi="Avenir Next LT Pro;sans-serif"/>
          <w:b w:val="false"/>
          <w:color w:val="000000"/>
          <w:sz w:val="18"/>
        </w:rPr>
        <w:t xml:space="preserve">To vote by mail, you must request printed copies of the proxy materials by mail and then fill out the proxy card and send it back in the envelope provided. If we receive your signed proxy card before the Annual Meeting, we will vote your shares as you direct. </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Beneficial Owner: Shares Registered in the Name of Bank, Broker or Other Nominee</w:t>
      </w:r>
    </w:p>
    <w:p>
      <w:pPr>
        <w:pStyle w:val="TextBody"/>
        <w:bidi w:val="0"/>
        <w:spacing w:lineRule="auto" w:line="336" w:before="0" w:after="2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If you are a beneficial owner of shares registered in the name of your bank, broker or other nominee, you should have received a Notice containing voting instructions from that organization rather than from Enphase. Simply follow the voting instructions in the Notice to ensure that your vote is 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5"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3088"/>
        <w:gridCol w:w="3088"/>
        <w:gridCol w:w="3096"/>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AF6EF" w:val="clear"/>
            <w:tcMar>
              <w:top w:w="0" w:type="dxa"/>
              <w:left w:w="0" w:type="dxa"/>
              <w:bottom w:w="0" w:type="dxa"/>
              <w:right w:w="0" w:type="dxa"/>
            </w:tcMar>
            <w:vAlign w:val="center"/>
          </w:tcPr>
          <w:p>
            <w:pPr>
              <w:pStyle w:val="TableContents"/>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We provide internet and telephone proxy voting before the Annual Meeting to allow you to vote your shares online or by telephone, with procedures designed to ensure the authenticity and correctness of your proxy vote instructions. However, you must bear any costs associated with your internet access, such as usage charges from internet access providers.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How many votes do I have?</w:t>
      </w:r>
    </w:p>
    <w:p>
      <w:pPr>
        <w:pStyle w:val="TextBody"/>
        <w:bidi w:val="0"/>
        <w:spacing w:lineRule="auto" w:line="336"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On each matter to be voted upon, you have one vote for each share of common stock you own as of March 19, 2026. </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What are “broker non-votes”?</w:t>
      </w:r>
    </w:p>
    <w:p>
      <w:pPr>
        <w:pStyle w:val="TextBody"/>
        <w:bidi w:val="0"/>
        <w:spacing w:lineRule="auto" w:line="336"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Broker non-votes occur when a beneficial owner of shares held in “street name” does not give instructions to the broker or nominee holding the shares as to how to vote on matters deemed “non-routine” under the rules of the New York Stock Exchange (NYSE).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These un-voted shares are counted as “broker non-votes.” Proposal 1 (election of the three nominees for director); Proposal 2 (advisory vote on compensation of named executive officers); and Proposal 3 (approval of an amendment and restatement of the 2021 Plan to increase the number of shares of common stock authorized thereunder) are considered “non-routine” matters under NYSE rules, and we therefore expect broker non-votes to exist in connection with those proposals. Proposal 4 (ratification of the selection of our independent registered public accounting firm) is considered a “routine” matter.</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If I return a proxy card or otherwise vote without giving specific voting instructions, what happens?</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Stockholder of Record: Shares Registered in Your Name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you are a stockholder of record and you return a signed and dated proxy card or otherwise vote without marking voting selections, your shares will be voted, as follows: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FOR” the election of the three Class II nominees named in this proxy statement to serve on the Board;</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 xml:space="preserve">FOR” the approval, on an advisory basis, of the compensation of our named executive officers; </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FOR” the approval of an amendment and restatement of the Enphase Energy, Inc. 2021 Equity Incentive Plan to increase the number of shares of common stock authorized for issuance thereunder by 2,000,000 shares; and</w:t>
      </w:r>
    </w:p>
    <w:p>
      <w:pPr>
        <w:pStyle w:val="TextBody"/>
        <w:bidi w:val="0"/>
        <w:spacing w:lineRule="auto" w:line="336" w:before="0" w:after="120"/>
        <w:ind w:left="0" w:right="0" w:hanging="180"/>
        <w:jc w:val="left"/>
        <w:rPr/>
      </w:pPr>
      <w:r>
        <w:rPr>
          <w:color w:val="000000"/>
        </w:rPr>
        <w:t>•“</w:t>
      </w:r>
      <w:r>
        <w:rPr>
          <w:rFonts w:ascii="Avenir Next LT Pro;sans-serif" w:hAnsi="Avenir Next LT Pro;sans-serif"/>
          <w:b w:val="false"/>
          <w:color w:val="000000"/>
          <w:sz w:val="18"/>
        </w:rPr>
        <w:t xml:space="preserve">FOR” the ratification of the selection of Deloitte &amp; Touche LLP as our independent registered public accounting firm for the fiscal year ending December 31, 2026. </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any other matter is properly presented at the meeting, your proxyholder (one of the individuals named on your proxy card) will vote your shares using his or her best judgment.</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Beneficial Owner: Shares Registered in the Name of Bank, Broker or Other Nominee</w:t>
      </w:r>
    </w:p>
    <w:p>
      <w:pPr>
        <w:pStyle w:val="TextBody"/>
        <w:bidi w:val="0"/>
        <w:spacing w:lineRule="auto" w:line="336" w:before="0" w:after="16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you are a beneficial owner of shares registered in the name of your bank, broker or other nominee, and you do not provide the bank, broker or other nominee that holds your shares with specific voting instructions, the bank, broker or other nominee may vote your shares “FOR” matters considered “routine,” as noted in the section above on “broker non-votes.”</w:t>
      </w:r>
    </w:p>
    <w:p>
      <w:pPr>
        <w:pStyle w:val="TextBody"/>
        <w:bidi w:val="0"/>
        <w:spacing w:lineRule="auto" w:line="336" w:before="0" w:after="160"/>
        <w:jc w:val="both"/>
        <w:rPr>
          <w:rFonts w:ascii="Avenir Next LT Pro;sans-serif" w:hAnsi="Avenir Next LT Pro;sans-serif"/>
          <w:b/>
          <w:color w:val="000000"/>
          <w:sz w:val="18"/>
        </w:rPr>
      </w:pPr>
      <w:r>
        <w:rPr>
          <w:rFonts w:ascii="Avenir Next LT Pro;sans-serif" w:hAnsi="Avenir Next LT Pro;sans-serif"/>
          <w:b/>
          <w:color w:val="000000"/>
          <w:sz w:val="18"/>
        </w:rPr>
        <w:t>As a reminder, if you are a beneficial owner of shares held in street name, in order to ensure your shares are voted in the way you prefer, you must provide voting instructions to your bank, broker or other nominee by the deadline provided in the materials you receive from your bank, broker or other nominee.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6"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Avenir Next LT Pro;sans-serif" w:hAnsi="Avenir Next LT Pro;sans-serif"/>
          <w:b/>
          <w:i/>
          <w:color w:val="000000"/>
          <w:sz w:val="20"/>
        </w:rPr>
      </w:pPr>
      <w:r>
        <w:rPr>
          <w:rFonts w:ascii="Avenir Next LT Pro;sans-serif" w:hAnsi="Avenir Next LT Pro;sans-serif"/>
          <w:b/>
          <w:i/>
          <w:color w:val="000000"/>
          <w:sz w:val="20"/>
        </w:rPr>
        <w:t>Who is paying for this proxy solicitation?</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banks, brokerage firms and other nominees for the cost of forwarding proxy materials to beneficial owners. We have engaged the services of Alliance Advisors, LLC, 200 Broadacres Drive, Bloomfield, New Jersey 07003, as our proxy solicitor to aid in the solicitation of proxies from certain banks, brokers and other nominees and other institutional owners. The fees for this service are estimated to be $22,500 plus expenses.</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What does it mean if I receive more than one Notice?</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you receive more than one Notice, your shares may be registered in more than one name or in different accounts. Please follow the voting instructions on the Notices to ensure that all of your shares are voted.</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Can I change my vote after submitting my proxy?</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Stockholder of Record: Shares Registered in Your Name</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Yes. You can revoke your proxy at any time before the final vote at the meeting. If you are the record holder of your shares, you may revoke your proxy in any one of the following ways: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You may request and submit another properly completed proxy card with a later date.</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You may grant a subsequent proxy by telephone or online. You will need the 16-digit control number included in the Notice or your proxy card or on the instructions that accompanied your proxy materials.</w:t>
      </w:r>
    </w:p>
    <w:p>
      <w:pPr>
        <w:pStyle w:val="TextBody"/>
        <w:bidi w:val="0"/>
        <w:spacing w:lineRule="auto" w:line="336" w:before="0" w:after="60"/>
        <w:ind w:left="0" w:right="0" w:hanging="180"/>
        <w:jc w:val="left"/>
        <w:rPr/>
      </w:pPr>
      <w:r>
        <w:rPr>
          <w:color w:val="000000"/>
        </w:rPr>
        <w:t>•</w:t>
      </w:r>
      <w:r>
        <w:rPr>
          <w:rFonts w:ascii="Avenir Next LT Pro;sans-serif" w:hAnsi="Avenir Next LT Pro;sans-serif"/>
          <w:b w:val="false"/>
          <w:color w:val="000000"/>
          <w:sz w:val="18"/>
        </w:rPr>
        <w:t>You may send a timely written notice that you are revoking your proxy to Enphase’s Corporate Secretary at 47281 Bayside Parkway, Fremont, CA 94538.</w:t>
      </w:r>
    </w:p>
    <w:p>
      <w:pPr>
        <w:pStyle w:val="TextBody"/>
        <w:bidi w:val="0"/>
        <w:spacing w:lineRule="auto" w:line="336" w:before="0" w:after="120"/>
        <w:ind w:left="0" w:right="0" w:hanging="180"/>
        <w:jc w:val="left"/>
        <w:rPr/>
      </w:pPr>
      <w:r>
        <w:rPr>
          <w:color w:val="000000"/>
        </w:rPr>
        <w:t>•</w:t>
      </w:r>
      <w:r>
        <w:rPr>
          <w:rFonts w:ascii="Avenir Next LT Pro;sans-serif" w:hAnsi="Avenir Next LT Pro;sans-serif"/>
          <w:b w:val="false"/>
          <w:color w:val="000000"/>
          <w:sz w:val="18"/>
        </w:rPr>
        <w:t>You may attend the Annual Meeting and vote in person. To vote in person, please bring the enclosed proxy card and proof of identification. Simply attending the meeting will not, by itself, revoke your proxy.</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Your most current proxy card or telephone or online proxy timely provided to us is the one that is counted.</w:t>
      </w:r>
    </w:p>
    <w:p>
      <w:pPr>
        <w:pStyle w:val="TextBody"/>
        <w:bidi w:val="0"/>
        <w:spacing w:lineRule="auto" w:line="336" w:before="0" w:after="120"/>
        <w:jc w:val="left"/>
        <w:rPr>
          <w:rFonts w:ascii="Avenir Next LT Pro;sans-serif" w:hAnsi="Avenir Next LT Pro;sans-serif"/>
          <w:b/>
          <w:color w:val="E86100"/>
          <w:sz w:val="18"/>
        </w:rPr>
      </w:pPr>
      <w:r>
        <w:rPr>
          <w:rFonts w:ascii="Avenir Next LT Pro;sans-serif" w:hAnsi="Avenir Next LT Pro;sans-serif"/>
          <w:b/>
          <w:color w:val="E86100"/>
          <w:sz w:val="18"/>
        </w:rPr>
        <w:t>Beneficial Owner: Shares Registered in the Name of Bank, Broker or Other Nominee</w:t>
      </w:r>
    </w:p>
    <w:p>
      <w:pPr>
        <w:pStyle w:val="TextBody"/>
        <w:bidi w:val="0"/>
        <w:spacing w:lineRule="auto" w:line="336" w:before="0" w:after="18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If your shares are held by your bank, broker or other nominee, you should follow the instructions provided by your bank, broker or other nominee.</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When are stockholder proposals due for next year’s annual meeting?</w:t>
      </w:r>
    </w:p>
    <w:p>
      <w:pPr>
        <w:pStyle w:val="TextBody"/>
        <w:bidi w:val="0"/>
        <w:spacing w:lineRule="auto" w:line="336" w:before="0" w:after="2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To be considered for inclusion in next year’s proxy materials, your proposal must be submitted in writing to and received by our Corporate Secretary at 47281 Bayside Parkway, Fremont, CA 94538 by December 2, 2026, and must comply with all requirements of Rule 14a-8 promulgated under the Exchange Act. If you wish to submit a proposal that is not to be included in next year’s proxy materials, but that may be considered at the 2027 Annual Meeting of Stockholders, you must do so in writing following the above instructions not earlier than the close of business on January 13, 2027 and not later than the close of business on February 12, 2027. We advise you to review our Bylaws, which contain additional requirements about advance notice of stockholder proposals and director nominations, including the different notice submission date requirements in the event the 2027 Annual Meeting of Stockholders is held more than 30 days before or after May 13, 2027. The section titled “Nominating and Corporate Governance Committee” in this proxy statement provides additional information on the director nomination process. In addition to satisfying the deadlines in the advance notice provisions of our Bylaws, a stockholder who intends to solicit proxies in support of nominees submitted under these advance notice provisions must provide the notice required under Rule 14a-19 to our Corporate Secretary no later than March 15, 2027; provided that, in the event the 2027 Annual Meeting of Stockholders is held more than 30 days before or after May 13, 2027, such notice must be provided by the later of 60 days prior to the date of the 2027 Annual Meeting of Stockholders or 10 days following the day on which we first publicly announce the date of the 2027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7"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How many votes are needed to approve each proposal?</w:t>
      </w:r>
    </w:p>
    <w:tbl>
      <w:tblPr>
        <w:tblW w:w="10205" w:type="dxa"/>
        <w:jc w:val="left"/>
        <w:tblInd w:w="0" w:type="dxa"/>
        <w:tblLayout w:type="fixed"/>
        <w:tblCellMar>
          <w:top w:w="28" w:type="dxa"/>
          <w:left w:w="28" w:type="dxa"/>
          <w:bottom w:w="28" w:type="dxa"/>
          <w:right w:w="28" w:type="dxa"/>
        </w:tblCellMar>
      </w:tblPr>
      <w:tblGrid>
        <w:gridCol w:w="355"/>
        <w:gridCol w:w="312"/>
        <w:gridCol w:w="314"/>
        <w:gridCol w:w="109"/>
        <w:gridCol w:w="109"/>
        <w:gridCol w:w="109"/>
        <w:gridCol w:w="1174"/>
        <w:gridCol w:w="673"/>
        <w:gridCol w:w="675"/>
        <w:gridCol w:w="109"/>
        <w:gridCol w:w="109"/>
        <w:gridCol w:w="109"/>
        <w:gridCol w:w="1154"/>
        <w:gridCol w:w="868"/>
        <w:gridCol w:w="871"/>
        <w:gridCol w:w="109"/>
        <w:gridCol w:w="109"/>
        <w:gridCol w:w="109"/>
        <w:gridCol w:w="428"/>
        <w:gridCol w:w="428"/>
        <w:gridCol w:w="429"/>
        <w:gridCol w:w="109"/>
        <w:gridCol w:w="109"/>
        <w:gridCol w:w="109"/>
        <w:gridCol w:w="354"/>
        <w:gridCol w:w="354"/>
        <w:gridCol w:w="508"/>
      </w:tblGrid>
      <w:tr>
        <w:trPr/>
        <w:tc>
          <w:tcPr>
            <w:tcW w:w="3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3C3C3C"/>
            </w:tcBorders>
            <w:shd w:fill="3C3C3C" w:val="clear"/>
            <w:tcMar>
              <w:top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Proposal Number</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Proposal Description</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Vote Required for Approval</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Effect of Abstentions</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right w:val="single" w:sz="2" w:space="0" w:color="3C3C3C"/>
            </w:tcBorders>
            <w:shd w:fill="3C3C3C" w:val="clear"/>
            <w:tcMar>
              <w:top w:w="0" w:type="dxa"/>
              <w:left w:w="0" w:type="dxa"/>
              <w:bottom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Effect of Broker Non-Votes</w:t>
            </w:r>
          </w:p>
        </w:tc>
      </w:tr>
      <w:tr>
        <w:trPr/>
        <w:tc>
          <w:tcPr>
            <w:tcW w:w="98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1</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Election of Class II Nominees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Nominees receiving the most “FOR” votes will be elected; withheld votes will have no effect. Note, however, that our Corporate Governance Guidelines require that any nominee in an uncontested election who receives a greater number of votes "withhold" from his or her election than votes "for" such election shall submit an offer of resignation to the Nominating and Corporate Governance Committee.</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Not applicable</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 effect</w:t>
            </w:r>
          </w:p>
        </w:tc>
      </w:tr>
      <w:tr>
        <w:trPr/>
        <w:tc>
          <w:tcPr>
            <w:tcW w:w="98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Advisory approval of 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color w:val="000000"/>
              </w:rPr>
            </w:pPr>
            <w:r>
              <w:rPr>
                <w:color w:val="000000"/>
              </w:rPr>
              <w:t>“</w:t>
            </w:r>
            <w:r>
              <w:rPr>
                <w:rFonts w:ascii="Avenir Next LT Pro;sans-serif" w:hAnsi="Avenir Next LT Pro;sans-serif"/>
                <w:b w:val="false"/>
                <w:color w:val="000000"/>
                <w:sz w:val="18"/>
              </w:rPr>
              <w:t>FOR” votes from the holders of a majority of shares present in person or represented by proxy at the Annual Meeting and entitled to vote generally on the subject matter. However, this proposal is advisory and non-binding upon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 effect</w:t>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Approval of an Amendment and Restatement of the Enphase Energy, Inc. 2021 Equity Incentive Plan to increase the number of shares of common stock authorized for issuance thereunder by 2,000,000 shares</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shd w:fill="FAF6EF" w:val="clear"/>
            <w:tcMar>
              <w:top w:w="0" w:type="dxa"/>
              <w:left w:w="110" w:type="dxa"/>
              <w:bottom w:w="0" w:type="dxa"/>
              <w:right w:w="0" w:type="dxa"/>
            </w:tcMar>
            <w:vAlign w:val="center"/>
          </w:tcPr>
          <w:p>
            <w:pPr>
              <w:pStyle w:val="TableContents"/>
              <w:bidi w:val="0"/>
              <w:spacing w:lineRule="auto" w:line="288" w:before="0" w:after="60"/>
              <w:jc w:val="left"/>
              <w:rPr>
                <w:color w:val="000000"/>
              </w:rPr>
            </w:pPr>
            <w:r>
              <w:rPr>
                <w:color w:val="000000"/>
              </w:rPr>
              <w:t>“</w:t>
            </w:r>
            <w:r>
              <w:rPr>
                <w:rFonts w:ascii="Avenir Next LT Pro;sans-serif" w:hAnsi="Avenir Next LT Pro;sans-serif"/>
                <w:b w:val="false"/>
                <w:color w:val="000000"/>
                <w:sz w:val="18"/>
              </w:rPr>
              <w:t>FOR” votes from the holders of a majority of the total votes cast in person or represented by proxy at the Annual Meeting and entitled to vote generally on the subject matter.</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 effect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 effect</w:t>
            </w:r>
          </w:p>
        </w:tc>
      </w:tr>
      <w:tr>
        <w:trPr/>
        <w:tc>
          <w:tcPr>
            <w:tcW w:w="981"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shd w:fill="FAF6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shd w:fill="FAF6E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Ratification of the selection of Deloitte &amp; Touche LLP as our independent registered public accounting firm for the fiscal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left w:val="single" w:sz="2" w:space="0" w:color="929292"/>
            </w:tcBorders>
            <w:tcMar>
              <w:top w:w="0" w:type="dxa"/>
              <w:left w:w="110" w:type="dxa"/>
              <w:bottom w:w="0" w:type="dxa"/>
              <w:right w:w="0" w:type="dxa"/>
            </w:tcMar>
            <w:vAlign w:val="center"/>
          </w:tcPr>
          <w:p>
            <w:pPr>
              <w:pStyle w:val="TableContents"/>
              <w:bidi w:val="0"/>
              <w:spacing w:lineRule="auto" w:line="288" w:before="0" w:after="60"/>
              <w:jc w:val="left"/>
              <w:rPr>
                <w:color w:val="000000"/>
              </w:rPr>
            </w:pPr>
            <w:r>
              <w:rPr>
                <w:color w:val="000000"/>
              </w:rPr>
              <w:t>“</w:t>
            </w:r>
            <w:r>
              <w:rPr>
                <w:rFonts w:ascii="Avenir Next LT Pro;sans-serif" w:hAnsi="Avenir Next LT Pro;sans-serif"/>
                <w:b w:val="false"/>
                <w:color w:val="000000"/>
                <w:sz w:val="18"/>
              </w:rPr>
              <w:t>FOR” votes from the holders of a majority of shares present in person or represented by proxy at the Annual Meeting and entitled to vote generally on the subject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left w:val="single" w:sz="2" w:space="0" w:color="929292"/>
            </w:tcBorders>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2" w:space="0" w:color="929292"/>
              <w:right w:val="single" w:sz="2" w:space="0" w:color="929292"/>
            </w:tcBorders>
            <w:tcMar>
              <w:top w:w="0" w:type="dxa"/>
              <w:bottom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Not applicable</w:t>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What is the quorum requirement?</w:t>
      </w:r>
    </w:p>
    <w:p>
      <w:pPr>
        <w:pStyle w:val="TextBody"/>
        <w:bidi w:val="0"/>
        <w:spacing w:lineRule="auto" w:line="336" w:before="0" w:after="1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 quorum of stockholders is necessary to hold a valid meeting. A quorum will be present if stockholders holding at least a majority of the outstanding shares entitled to vote are present at the Annual Meeting or represented by proxy. On the Record Date, there were 131,783,945 shares outstanding and entitled to vote. Thus, the holders of 65,891,973 shares must be present in person or represented by proxy at the meeting to have a quorum.</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Abstentions and broker non-votes will be counted towards the quorum requirement. If there is no quorum, the holders of a majority of shares present in person during the Annual Meeting or represented by proxy may adjourn the meeting to another date.</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How can I find out the results of the voting at the Annual Meeting?</w:t>
      </w:r>
    </w:p>
    <w:p>
      <w:pPr>
        <w:pStyle w:val="TextBody"/>
        <w:bidi w:val="0"/>
        <w:spacing w:lineRule="auto" w:line="336" w:before="0" w:after="18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w:t>
        <w:noBreakHyphen/>
        <w:t>K to publish preliminary results and, within four business days after the final results are known to us, file an additional Form 8-K to publish the final results.</w:t>
      </w:r>
    </w:p>
    <w:p>
      <w:pPr>
        <w:pStyle w:val="TextBody"/>
        <w:bidi w:val="0"/>
        <w:spacing w:lineRule="auto" w:line="288" w:before="0" w:after="120"/>
        <w:jc w:val="left"/>
        <w:rPr>
          <w:rFonts w:ascii="Avenir Next LT Pro;sans-serif" w:hAnsi="Avenir Next LT Pro;sans-serif"/>
          <w:b/>
          <w:i/>
          <w:color w:val="000000"/>
          <w:sz w:val="20"/>
        </w:rPr>
      </w:pPr>
      <w:r>
        <w:rPr>
          <w:rFonts w:ascii="Avenir Next LT Pro;sans-serif" w:hAnsi="Avenir Next LT Pro;sans-serif"/>
          <w:b/>
          <w:i/>
          <w:color w:val="000000"/>
          <w:sz w:val="20"/>
        </w:rPr>
        <w:t>Who should I contact if I have any questions?</w:t>
      </w:r>
    </w:p>
    <w:p>
      <w:pPr>
        <w:pStyle w:val="TextBody"/>
        <w:bidi w:val="0"/>
        <w:spacing w:lineRule="auto" w:line="336" w:before="0" w:after="2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you have any questions about the Annual Meeting, our proxy materials or your ownership of our common stock, please contact our Corporate Secretary, at 47281 Bayside Parkway, Fremont, CA 94538, USA, or telephone at 1-707-774-7000.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8"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xml:space="preserve">| 2026 Proxy Statement | </w:t>
                      </w:r>
                      <w:r>
                        <w:rPr>
                          <w:rFonts w:ascii="Arial;sans-serif" w:hAnsi="Arial;sans-serif"/>
                          <w:b w:val="false"/>
                          <w:color w:val="6D6D6D"/>
                          <w:sz w:val="14"/>
                        </w:rPr>
                        <w:t>83</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300"/>
        <w:jc w:val="left"/>
        <w:rPr>
          <w:rFonts w:ascii="Avenir Next LT Pro;sans-serif" w:hAnsi="Avenir Next LT Pro;sans-serif"/>
          <w:b/>
          <w:color w:val="000000"/>
          <w:sz w:val="48"/>
        </w:rPr>
      </w:pPr>
      <w:r>
        <w:rPr>
          <w:rFonts w:ascii="Avenir Next LT Pro;sans-serif" w:hAnsi="Avenir Next LT Pro;sans-serif"/>
          <w:b/>
          <w:color w:val="000000"/>
          <w:sz w:val="48"/>
        </w:rPr>
        <w:t>Appendix A</w:t>
      </w:r>
    </w:p>
    <w:p>
      <w:pPr>
        <w:pStyle w:val="TextBody"/>
        <w:bidi w:val="0"/>
        <w:spacing w:lineRule="auto" w:line="288" w:before="300" w:after="240"/>
        <w:jc w:val="left"/>
        <w:rPr>
          <w:rFonts w:ascii="Avenir Next LT Pro;sans-serif" w:hAnsi="Avenir Next LT Pro;sans-serif"/>
          <w:b/>
          <w:color w:val="000000"/>
          <w:sz w:val="36"/>
        </w:rPr>
      </w:pPr>
      <w:r>
        <w:rPr>
          <w:rFonts w:ascii="Avenir Next LT Pro;sans-serif" w:hAnsi="Avenir Next LT Pro;sans-serif"/>
          <w:b/>
          <w:color w:val="000000"/>
          <w:sz w:val="36"/>
        </w:rPr>
        <w:t>Enphase Energy, Inc.</w:t>
      </w:r>
    </w:p>
    <w:p>
      <w:pPr>
        <w:pStyle w:val="TextBody"/>
        <w:bidi w:val="0"/>
        <w:spacing w:lineRule="auto" w:line="288" w:before="240" w:after="120"/>
        <w:jc w:val="left"/>
        <w:rPr>
          <w:rFonts w:ascii="Avenir Next LT Pro;sans-serif" w:hAnsi="Avenir Next LT Pro;sans-serif"/>
          <w:b/>
          <w:color w:val="000000"/>
          <w:sz w:val="24"/>
        </w:rPr>
      </w:pPr>
      <w:r>
        <w:rPr>
          <w:rFonts w:ascii="Avenir Next LT Pro;sans-serif" w:hAnsi="Avenir Next LT Pro;sans-serif"/>
          <w:b/>
          <w:color w:val="000000"/>
          <w:sz w:val="24"/>
        </w:rPr>
        <w:t>Reconciliation of GAAP Financial Measures to Non-GAAP Financial Measures</w:t>
        <w:br/>
        <w:t>(In thousands, except percentages and per share amounts)</w:t>
      </w:r>
    </w:p>
    <w:tbl>
      <w:tblPr>
        <w:tblW w:w="10205" w:type="dxa"/>
        <w:jc w:val="left"/>
        <w:tblInd w:w="0" w:type="dxa"/>
        <w:tblLayout w:type="fixed"/>
        <w:tblCellMar>
          <w:top w:w="28" w:type="dxa"/>
          <w:left w:w="28" w:type="dxa"/>
          <w:bottom w:w="28" w:type="dxa"/>
          <w:right w:w="28" w:type="dxa"/>
        </w:tblCellMar>
      </w:tblPr>
      <w:tblGrid>
        <w:gridCol w:w="1176"/>
        <w:gridCol w:w="714"/>
        <w:gridCol w:w="556"/>
        <w:gridCol w:w="109"/>
        <w:gridCol w:w="109"/>
        <w:gridCol w:w="109"/>
        <w:gridCol w:w="375"/>
        <w:gridCol w:w="375"/>
        <w:gridCol w:w="376"/>
        <w:gridCol w:w="109"/>
        <w:gridCol w:w="109"/>
        <w:gridCol w:w="109"/>
        <w:gridCol w:w="375"/>
        <w:gridCol w:w="375"/>
        <w:gridCol w:w="376"/>
        <w:gridCol w:w="109"/>
        <w:gridCol w:w="109"/>
        <w:gridCol w:w="109"/>
        <w:gridCol w:w="375"/>
        <w:gridCol w:w="375"/>
        <w:gridCol w:w="376"/>
        <w:gridCol w:w="109"/>
        <w:gridCol w:w="109"/>
        <w:gridCol w:w="109"/>
        <w:gridCol w:w="375"/>
        <w:gridCol w:w="375"/>
        <w:gridCol w:w="376"/>
        <w:gridCol w:w="109"/>
        <w:gridCol w:w="109"/>
        <w:gridCol w:w="109"/>
        <w:gridCol w:w="375"/>
        <w:gridCol w:w="375"/>
        <w:gridCol w:w="376"/>
        <w:gridCol w:w="109"/>
        <w:gridCol w:w="109"/>
        <w:gridCol w:w="109"/>
        <w:gridCol w:w="167"/>
      </w:tblGrid>
      <w:tr>
        <w:trPr/>
        <w:tc>
          <w:tcPr>
            <w:tcW w:w="117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27"/>
            <w:tcBorders>
              <w:top w:val="single" w:sz="2" w:space="0" w:color="3C3C3C"/>
            </w:tcBorders>
            <w:tcMar>
              <w:top w:w="3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3C3C3C"/>
                <w:sz w:val="16"/>
              </w:rPr>
            </w:pPr>
            <w:r>
              <w:rPr>
                <w:rFonts w:ascii="Avenir Next LT Pro;sans-serif" w:hAnsi="Avenir Next LT Pro;sans-serif"/>
                <w:b/>
                <w:color w:val="3C3C3C"/>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3C3C3C"/>
            </w:tcBorders>
            <w:shd w:fill="3C3C3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December 31, 2025</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December 31, 2024</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December 31, 2023</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December 31, 2022</w:t>
            </w:r>
          </w:p>
        </w:tc>
        <w:tc>
          <w:tcPr>
            <w:tcW w:w="327" w:type="dxa"/>
            <w:gridSpan w:val="3"/>
            <w:tcBorders/>
            <w:shd w:fill="3C3C3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3C3C3C" w:val="clear"/>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FFFFFF"/>
                <w:sz w:val="16"/>
              </w:rPr>
            </w:pPr>
            <w:r>
              <w:rPr>
                <w:rFonts w:ascii="Avenir Next LT Pro;sans-serif" w:hAnsi="Avenir Next LT Pro;sans-serif"/>
                <w:b/>
                <w:color w:val="FFFFFF"/>
                <w:sz w:val="16"/>
              </w:rPr>
              <w:t>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 xml:space="preserve">Gross margin (GAAP) </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46.6%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47.3%</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46.2%</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41.8%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Acquisition related expenses and amortization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0.3</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0.3</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Gross margin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48.2%</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48.9%</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47.1%</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42.6%</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Net income (GAAP)</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$172,133</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$102,658</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$438,936</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$397,362</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$145,449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213,502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211,093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212,857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216,802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114,286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Acquisition related expenses and amortization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17,866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20,380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22,897</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22,845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10,936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Restructuring and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Non-cash interest expense</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4,164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8,650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8,380</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8,169</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44,387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Loss on partial settlement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56,497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Non-GAAP income tax adjustment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(24,955)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(34,891)</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(85,544)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(31,241)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Net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$389,840</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$321,044</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$613,241</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$647,424</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$340,314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Net cash provided by operating activities (GAAP)</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$136,540</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$513,693</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$696,780</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$744,817</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$352,028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(40,639)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(33,604)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(110,401)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(46,443)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(52,258)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Deemed repayment of convertible Notes due 2024 and Notes due 2025 attributable to accreted debt discount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15,718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Free cash flow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$95,901</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$480,089</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$586,379</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$698,374</w:t>
            </w:r>
          </w:p>
        </w:tc>
        <w:tc>
          <w:tcPr>
            <w:tcW w:w="327" w:type="dxa"/>
            <w:gridSpan w:val="3"/>
            <w:tcBorders>
              <w:top w:val="single" w:sz="8" w:space="0" w:color="49494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tcBorders>
            <w:shd w:fill="FFFFF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$315,488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Net income per share, diluted (GAAP)</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$1.29</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$0.75</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$3.08</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$2.77</w:t>
            </w:r>
          </w:p>
        </w:tc>
        <w:tc>
          <w:tcPr>
            <w:tcW w:w="327" w:type="dxa"/>
            <w:gridSpan w:val="3"/>
            <w:tcBorders>
              <w:top w:val="double" w:sz="8" w:space="0" w:color="494949"/>
            </w:tcBorders>
            <w:shd w:fill="FAF6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494949"/>
              <w:left w:val="single" w:sz="2" w:space="0" w:color="929292"/>
            </w:tcBorders>
            <w:shd w:fill="FAF6EF" w:val="clear"/>
            <w:tcMar>
              <w:top w:w="3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Acquisition related expenses and amortization</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0.15</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Restructuring and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Non-recurring debt prepayment fees and non-cash interest </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0.04</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Loss on partial settlement of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FFFF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left w:val="single" w:sz="2" w:space="0" w:color="929292"/>
            </w:tcBorders>
            <w:shd w:fill="FAF6EF" w:val="clear"/>
            <w:tcMar>
              <w:top w:w="0" w:type="dxa"/>
              <w:left w:w="260" w:type="dxa"/>
              <w:bottom w:w="0" w:type="dxa"/>
              <w:right w:w="0" w:type="dxa"/>
            </w:tcMar>
            <w:vAlign w:val="center"/>
          </w:tcPr>
          <w:p>
            <w:pPr>
              <w:pStyle w:val="TableContents"/>
              <w:bidi w:val="0"/>
              <w:spacing w:lineRule="auto" w:line="288" w:before="0" w:after="6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Non-GAAP income tax adjustment</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(0.18)</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(0.26)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(0.57)</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0.06</w:t>
            </w:r>
          </w:p>
        </w:tc>
        <w:tc>
          <w:tcPr>
            <w:tcW w:w="327" w:type="dxa"/>
            <w:gridSpan w:val="3"/>
            <w:tcBorders/>
            <w:shd w:fill="FAF6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left w:val="single" w:sz="2" w:space="0" w:color="929292"/>
            </w:tcBorders>
            <w:shd w:fill="FAF6EF" w:val="clear"/>
            <w:tcMar>
              <w:top w:w="0" w:type="dxa"/>
              <w:bottom w:w="0" w:type="dxa"/>
              <w:right w:w="0" w:type="dxa"/>
            </w:tcMar>
            <w:vAlign w:val="center"/>
          </w:tcPr>
          <w:p>
            <w:pPr>
              <w:pStyle w:val="TableContents"/>
              <w:bidi w:val="0"/>
              <w:spacing w:lineRule="auto" w:line="288" w:before="0" w:after="6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2446" w:type="dxa"/>
            <w:gridSpan w:val="3"/>
            <w:tcBorders>
              <w:left w:val="single" w:sz="2" w:space="0" w:color="929292"/>
            </w:tcBorders>
            <w:shd w:fill="FFFFFF" w:val="clear"/>
            <w:tcMar>
              <w:top w:w="0" w:type="dxa"/>
              <w:left w:w="380" w:type="dxa"/>
              <w:bottom w:w="0" w:type="dxa"/>
              <w:right w:w="0" w:type="dxa"/>
            </w:tcMar>
            <w:vAlign w:val="center"/>
          </w:tcPr>
          <w:p>
            <w:pPr>
              <w:pStyle w:val="TableContents"/>
              <w:bidi w:val="0"/>
              <w:spacing w:lineRule="auto" w:line="288" w:before="0" w:after="60"/>
              <w:ind w:left="0" w:right="0" w:hanging="270"/>
              <w:jc w:val="left"/>
              <w:rPr>
                <w:rFonts w:ascii="Avenir Next LT Pro;sans-serif" w:hAnsi="Avenir Next LT Pro;sans-serif"/>
                <w:b/>
                <w:color w:val="000000"/>
                <w:sz w:val="18"/>
              </w:rPr>
            </w:pPr>
            <w:r>
              <w:rPr>
                <w:rFonts w:ascii="Avenir Next LT Pro;sans-serif" w:hAnsi="Avenir Next LT Pro;sans-serif"/>
                <w:b/>
                <w:color w:val="000000"/>
                <w:sz w:val="18"/>
              </w:rPr>
              <w:t>Net income per share, diluted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bottom w:val="double" w:sz="8" w:space="0" w:color="494949"/>
            </w:tcBorders>
            <w:shd w:fill="FFFFF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$2.96</w:t>
            </w:r>
          </w:p>
        </w:tc>
        <w:tc>
          <w:tcPr>
            <w:tcW w:w="327" w:type="dxa"/>
            <w:gridSpan w:val="3"/>
            <w:tcBorders>
              <w:top w:val="single" w:sz="8" w:space="0" w:color="494949"/>
              <w:bottom w:val="double" w:sz="8" w:space="0" w:color="494949"/>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bottom w:val="double" w:sz="8" w:space="0" w:color="494949"/>
            </w:tcBorders>
            <w:shd w:fill="FFFFF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$2.37</w:t>
            </w:r>
          </w:p>
        </w:tc>
        <w:tc>
          <w:tcPr>
            <w:tcW w:w="327" w:type="dxa"/>
            <w:gridSpan w:val="3"/>
            <w:tcBorders>
              <w:top w:val="single" w:sz="8" w:space="0" w:color="494949"/>
              <w:bottom w:val="double" w:sz="8" w:space="0" w:color="494949"/>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bottom w:val="double" w:sz="8" w:space="0" w:color="494949"/>
            </w:tcBorders>
            <w:shd w:fill="FFFFF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$4.41</w:t>
            </w:r>
          </w:p>
        </w:tc>
        <w:tc>
          <w:tcPr>
            <w:tcW w:w="327" w:type="dxa"/>
            <w:gridSpan w:val="3"/>
            <w:tcBorders>
              <w:top w:val="single" w:sz="8" w:space="0" w:color="494949"/>
              <w:bottom w:val="double" w:sz="8" w:space="0" w:color="494949"/>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bottom w:val="double" w:sz="8" w:space="0" w:color="494949"/>
            </w:tcBorders>
            <w:shd w:fill="FFFFF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$4.62</w:t>
            </w:r>
          </w:p>
        </w:tc>
        <w:tc>
          <w:tcPr>
            <w:tcW w:w="327" w:type="dxa"/>
            <w:gridSpan w:val="3"/>
            <w:tcBorders>
              <w:top w:val="single" w:sz="8" w:space="0" w:color="494949"/>
              <w:bottom w:val="double" w:sz="8" w:space="0" w:color="494949"/>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494949"/>
              <w:left w:val="single" w:sz="2" w:space="0" w:color="929292"/>
              <w:bottom w:val="double" w:sz="8" w:space="0" w:color="494949"/>
            </w:tcBorders>
            <w:shd w:fill="FFFFFF" w:val="clear"/>
            <w:tcMar>
              <w:top w:w="30" w:type="dxa"/>
              <w:bottom w:w="30" w:type="dxa"/>
              <w:right w:w="0" w:type="dxa"/>
            </w:tcMar>
            <w:vAlign w:val="center"/>
          </w:tcPr>
          <w:p>
            <w:pPr>
              <w:pStyle w:val="TableContents"/>
              <w:bidi w:val="0"/>
              <w:spacing w:lineRule="auto" w:line="288" w:before="0" w:after="60"/>
              <w:jc w:val="center"/>
              <w:rPr>
                <w:rFonts w:ascii="Avenir Next LT Pro;sans-serif" w:hAnsi="Avenir Next LT Pro;sans-serif"/>
                <w:b/>
                <w:color w:val="000000"/>
                <w:sz w:val="18"/>
              </w:rPr>
            </w:pPr>
            <w:r>
              <w:rPr>
                <w:rFonts w:ascii="Avenir Next LT Pro;sans-serif" w:hAnsi="Avenir Next LT Pro;sans-serif"/>
                <w:b/>
                <w:color w:val="000000"/>
                <w:sz w:val="18"/>
              </w:rPr>
              <w:t>$2.41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9"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A</w:t>
                            </w:r>
                            <w:r>
                              <w:rPr>
                                <w:rFonts w:ascii="Arial;sans-serif" w:hAnsi="Arial;sans-serif"/>
                                <w:b w:val="false"/>
                                <w:color w:val="6D6D6D"/>
                                <w:sz w:val="1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A</w:t>
                      </w:r>
                      <w:r>
                        <w:rPr>
                          <w:rFonts w:ascii="Arial;sans-serif" w:hAnsi="Arial;sans-serif"/>
                          <w:b w:val="false"/>
                          <w:color w:val="6D6D6D"/>
                          <w:sz w:val="14"/>
                        </w:rPr>
                        <w:t>-1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300"/>
        <w:jc w:val="left"/>
        <w:rPr>
          <w:rFonts w:ascii="Avenir Next LT Pro;sans-serif" w:hAnsi="Avenir Next LT Pro;sans-serif"/>
          <w:b/>
          <w:color w:val="000000"/>
          <w:sz w:val="48"/>
        </w:rPr>
      </w:pPr>
      <w:r>
        <w:rPr>
          <w:rFonts w:ascii="Avenir Next LT Pro;sans-serif" w:hAnsi="Avenir Next LT Pro;sans-serif"/>
          <w:b/>
          <w:color w:val="000000"/>
          <w:sz w:val="48"/>
        </w:rPr>
        <w:t>Appendix B</w:t>
      </w:r>
    </w:p>
    <w:p>
      <w:pPr>
        <w:pStyle w:val="TextBody"/>
        <w:bidi w:val="0"/>
        <w:spacing w:lineRule="auto" w:line="288" w:before="300" w:after="240"/>
        <w:jc w:val="center"/>
        <w:rPr>
          <w:rFonts w:ascii="Avenir Next LT Pro;sans-serif" w:hAnsi="Avenir Next LT Pro;sans-serif"/>
          <w:b/>
          <w:color w:val="000000"/>
          <w:sz w:val="36"/>
        </w:rPr>
      </w:pPr>
      <w:r>
        <w:rPr>
          <w:rFonts w:ascii="Avenir Next LT Pro;sans-serif" w:hAnsi="Avenir Next LT Pro;sans-serif"/>
          <w:b/>
          <w:color w:val="000000"/>
          <w:sz w:val="36"/>
        </w:rPr>
        <w:t xml:space="preserve">Enphase Energy, Inc. Amended and Restated </w:t>
        <w:br/>
        <w:t>2021 Equity Incentive Plan</w:t>
      </w:r>
    </w:p>
    <w:p>
      <w:pPr>
        <w:pStyle w:val="TextBody"/>
        <w:bidi w:val="0"/>
        <w:spacing w:lineRule="auto" w:line="288" w:before="0" w:after="0"/>
        <w:jc w:val="center"/>
        <w:rPr>
          <w:rFonts w:ascii="Avenir Next LT Pro;sans-serif" w:hAnsi="Avenir Next LT Pro;sans-serif"/>
          <w:b/>
          <w:color w:val="000000"/>
          <w:sz w:val="24"/>
        </w:rPr>
      </w:pPr>
      <w:r>
        <w:rPr>
          <w:rFonts w:ascii="Avenir Next LT Pro;sans-serif" w:hAnsi="Avenir Next LT Pro;sans-serif"/>
          <w:b/>
          <w:color w:val="000000"/>
          <w:sz w:val="24"/>
        </w:rPr>
        <w:t>Adopted by the Board of Directors: March 25, 2021</w:t>
      </w:r>
    </w:p>
    <w:p>
      <w:pPr>
        <w:pStyle w:val="TextBody"/>
        <w:bidi w:val="0"/>
        <w:spacing w:lineRule="auto" w:line="288" w:before="0" w:after="0"/>
        <w:jc w:val="center"/>
        <w:rPr/>
      </w:pPr>
      <w:r>
        <w:rPr>
          <w:rFonts w:ascii="Avenir Next LT Pro;sans-serif" w:hAnsi="Avenir Next LT Pro;sans-serif"/>
          <w:b/>
          <w:color w:val="000000"/>
          <w:sz w:val="24"/>
        </w:rPr>
        <w:t xml:space="preserve">Approved by the Stockholders: </w:t>
      </w:r>
      <w:r>
        <w:rPr>
          <w:rFonts w:ascii="Avenir Next LT Pro;sans-serif" w:hAnsi="Avenir Next LT Pro;sans-serif"/>
          <w:b/>
          <w:color w:val="000000"/>
          <w:sz w:val="24"/>
          <w:shd w:fill="FFFFFF" w:val="clear"/>
        </w:rPr>
        <w:t>May 19</w:t>
      </w:r>
      <w:r>
        <w:rPr>
          <w:rFonts w:ascii="Avenir Next LT Pro;sans-serif" w:hAnsi="Avenir Next LT Pro;sans-serif"/>
          <w:b/>
          <w:color w:val="000000"/>
          <w:sz w:val="24"/>
        </w:rPr>
        <w:t>, 2021</w:t>
        <w:br/>
        <w:t>Amended by the Board of Directors: March 31, 2025</w:t>
        <w:br/>
        <w:t>Approved by the Stockholders: May 14, 2025</w:t>
      </w:r>
    </w:p>
    <w:p>
      <w:pPr>
        <w:pStyle w:val="TextBody"/>
        <w:bidi w:val="0"/>
        <w:spacing w:lineRule="auto" w:line="288" w:before="0" w:after="0"/>
        <w:jc w:val="center"/>
        <w:rPr>
          <w:rFonts w:ascii="Avenir Next LT Pro;sans-serif" w:hAnsi="Avenir Next LT Pro;sans-serif"/>
          <w:b/>
          <w:color w:val="000000"/>
          <w:sz w:val="24"/>
        </w:rPr>
      </w:pPr>
      <w:r>
        <w:rPr>
          <w:rFonts w:ascii="Avenir Next LT Pro;sans-serif" w:hAnsi="Avenir Next LT Pro;sans-serif"/>
          <w:b/>
          <w:color w:val="000000"/>
          <w:sz w:val="24"/>
        </w:rPr>
        <w:t>Amended by the Board of Directors: March 30, 2026</w:t>
        <w:br/>
        <w:t>Approved by the Stockholders: May ●, 2026</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1.    General.</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Prior Plan.</w:t>
      </w:r>
      <w:r>
        <w:rPr>
          <w:color w:val="000000"/>
        </w:rPr>
        <w:t xml:space="preserve"> </w:t>
      </w:r>
      <w:r>
        <w:rPr>
          <w:rFonts w:ascii="Avenir Next LT Pro;sans-serif" w:hAnsi="Avenir Next LT Pro;sans-serif"/>
          <w:b w:val="false"/>
          <w:color w:val="000000"/>
          <w:sz w:val="18"/>
        </w:rPr>
        <w:t xml:space="preserve">As of the Original Effective Date: (i) no additional awards may be granted under the Prior Plan; and (ii) all Prior Plan Awards will remain subject to the terms of the Prior Plan, except that any Prior Plan Returning Shares will become available for issuance pursuant to Awards granted under this Plan. All Awards granted under this Plan will be subject to the terms of this Plan. </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Eligible Award Recipients.</w:t>
      </w:r>
      <w:r>
        <w:rPr>
          <w:color w:val="000000"/>
        </w:rPr>
        <w:t xml:space="preserve"> </w:t>
      </w:r>
      <w:r>
        <w:rPr>
          <w:rFonts w:ascii="Avenir Next LT Pro;sans-serif" w:hAnsi="Avenir Next LT Pro;sans-serif"/>
          <w:b w:val="false"/>
          <w:color w:val="000000"/>
          <w:sz w:val="18"/>
        </w:rPr>
        <w:t>Subject to Section 4, Employees, Directors and Consultants are eligible to receive Awards.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    Available Awards.</w:t>
      </w:r>
      <w:r>
        <w:rPr>
          <w:color w:val="000000"/>
        </w:rPr>
        <w:t xml:space="preserve"> </w:t>
      </w:r>
      <w:r>
        <w:rPr>
          <w:rFonts w:ascii="Avenir Next LT Pro;sans-serif" w:hAnsi="Avenir Next LT Pro;sans-serif"/>
          <w:b w:val="false"/>
          <w:color w:val="000000"/>
          <w:sz w:val="18"/>
        </w:rPr>
        <w:t>The Plan provides for the grant of the following types of Awards: (i) Incentive Stock Options; (ii) Nonstatutory Stock Options; (iii) Stock Appreciation Rights; (iv) Restricted Stock Awards; (v) Restricted Stock Unit Awards; (vi) Performance Stock Awards; and (vii) Other Stock Awards.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    Purpose.</w:t>
      </w:r>
      <w:r>
        <w:rPr>
          <w:color w:val="000000"/>
        </w:rPr>
        <w:t xml:space="preserve"> </w:t>
      </w:r>
      <w:r>
        <w:rPr>
          <w:rFonts w:ascii="Avenir Next LT Pro;sans-serif" w:hAnsi="Avenir Next LT Pro;sans-serif"/>
          <w:b w:val="false"/>
          <w:color w:val="000000"/>
          <w:sz w:val="18"/>
        </w:rPr>
        <w:t>The Plan, through the granting of Awards, is intended to help the Company and any Affiliate secure and retain the services of eligible award recipients, provide incentives for such persons to exert maximum efforts for the success of the Company and any Affiliate, and provide a means by which such persons may benefit from increases in value of the Common Stock.</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2.    Administration.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Administration by Board.</w:t>
      </w:r>
      <w:r>
        <w:rPr>
          <w:color w:val="000000"/>
        </w:rPr>
        <w:t xml:space="preserve"> </w:t>
      </w:r>
      <w:r>
        <w:rPr>
          <w:rFonts w:ascii="Avenir Next LT Pro;sans-serif" w:hAnsi="Avenir Next LT Pro;sans-serif"/>
          <w:b w:val="false"/>
          <w:color w:val="000000"/>
          <w:sz w:val="18"/>
        </w:rPr>
        <w:t>The Board will administer the Plan. The Board may delegate administration of the Plan to a Committee or Committees, as provided in Section 2(c).</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Powers of Board.</w:t>
      </w:r>
      <w:r>
        <w:rPr>
          <w:color w:val="000000"/>
        </w:rPr>
        <w:t xml:space="preserve"> </w:t>
      </w:r>
      <w:r>
        <w:rPr>
          <w:rFonts w:ascii="Avenir Next LT Pro;sans-serif" w:hAnsi="Avenir Next LT Pro;sans-serif"/>
          <w:b w:val="false"/>
          <w:color w:val="000000"/>
          <w:sz w:val="18"/>
        </w:rPr>
        <w:t>The Board will have the power, subject to, and within the limitations of, the express provisions of the Plan:</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 xml:space="preserve">To determine (A) who will be granted Awards, (B) when and how each Award will be granted, (C) what type of Award will be granted, (D) the provisions of each Award (which need not be identical), including when a Participant will be permitted to exercise or otherwise receive cash or Common Stock under the Award, (E) the number of shares of Common Stock subject to, or the cash value of, an Award, and (F) the Fair Market Value applicable to an Award. </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w:t>
      </w:r>
      <w:r>
        <w:rPr>
          <w:rFonts w:ascii="Avenir Next LT Pro;sans-serif" w:hAnsi="Avenir Next LT Pro;sans-serif"/>
          <w:b w:val="false"/>
          <w:color w:val="000000"/>
          <w:sz w:val="18"/>
        </w:rPr>
        <w:t>To settle all controversies regarding the Plan and Awards granted under it.</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(iv)    </w:t>
      </w:r>
      <w:r>
        <w:rPr>
          <w:rFonts w:ascii="Avenir Next LT Pro;sans-serif" w:hAnsi="Avenir Next LT Pro;sans-serif"/>
          <w:b w:val="false"/>
          <w:color w:val="000000"/>
          <w:sz w:val="18"/>
        </w:rPr>
        <w:t xml:space="preserve">To accelerate, in whole or in part, the time at which an Award may be exercised or vest (or at which cash or shares of Common Stock may be issued in settlement thereof). </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    </w:t>
      </w:r>
      <w:r>
        <w:rPr>
          <w:rFonts w:ascii="Avenir Next LT Pro;sans-serif" w:hAnsi="Avenir Next LT Pro;sans-serif"/>
          <w:b w:val="false"/>
          <w:color w:val="000000"/>
          <w:sz w:val="18"/>
        </w:rPr>
        <w:t>To suspend or terminate the Plan at any time. Except as otherwise provided in the Plan (including Section 2(b)(viii)) or an Award Agreement, suspension or termination of the Plan will not materially impair a Participant’s rights under an outstanding Award without his or her written consent.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0"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(vi)    </w:t>
      </w:r>
      <w:r>
        <w:rPr>
          <w:rFonts w:ascii="Avenir Next LT Pro;sans-serif" w:hAnsi="Avenir Next LT Pro;sans-serif"/>
          <w:b w:val="false"/>
          <w:color w:val="000000"/>
          <w:sz w:val="18"/>
        </w:rPr>
        <w:t xml:space="preserve">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or (E) materially expands the types of Awards available for issuance under the Plan. Except as otherwise provided in the Plan (including Section 2(b)(viii)) or an Award Agreement, no amendment of the Plan will materially impair a Participant’s rights under an outstanding Award without his or her written consent. </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(vii)    </w:t>
      </w:r>
      <w:r>
        <w:rPr>
          <w:rFonts w:ascii="Avenir Next LT Pro;sans-serif" w:hAnsi="Avenir Next LT Pro;sans-serif"/>
          <w:b w:val="false"/>
          <w:color w:val="000000"/>
          <w:sz w:val="18"/>
        </w:rPr>
        <w:t>To submit any amendment to the Plan for stockholder approval, including, but not limited to, amendments to the Plan intended to satisfy the requirements of (A) Section 422 of the Code regarding incentive stock options or (B) Rule 16b-3.</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(viii)    </w:t>
      </w:r>
      <w:r>
        <w:rPr>
          <w:rFonts w:ascii="Avenir Next LT Pro;sans-serif" w:hAnsi="Avenir Next LT Pro;sans-serif"/>
          <w:b w:val="false"/>
          <w:color w:val="000000"/>
          <w:sz w:val="18"/>
        </w:rPr>
        <w:t xml:space="preserve">To approve forms of Award Agreements for use under the Plan and to amend the terms of any one or more outstanding Awards, including, but not limited to, amendments to provide terms more favorable to the Participant than previously provided in the Award Agreement, subject to any specified limits in the Plan that are not subject to Board discretion; </w:t>
      </w:r>
      <w:r>
        <w:rPr>
          <w:rFonts w:ascii="Avenir Next LT Pro;sans-serif" w:hAnsi="Avenir Next LT Pro;sans-serif"/>
          <w:b w:val="false"/>
          <w:i/>
          <w:color w:val="000000"/>
          <w:sz w:val="18"/>
        </w:rPr>
        <w:t>provided, however,</w:t>
      </w:r>
      <w:r>
        <w:rPr>
          <w:color w:val="000000"/>
        </w:rPr>
        <w:t xml:space="preserve"> </w:t>
      </w:r>
      <w:r>
        <w:rPr>
          <w:rFonts w:ascii="Avenir Next LT Pro;sans-serif" w:hAnsi="Avenir Next LT Pro;sans-serif"/>
          <w:b w:val="false"/>
          <w:color w:val="000000"/>
          <w:sz w:val="18"/>
        </w:rPr>
        <w:t>that except as otherwise provided in the Plan (including this Section 2(b)(viii)) or an Award Agreement, no amendment of an outstanding Award will materially impair a Participant’s rights under such Award without his or her written consent.</w:t>
      </w:r>
    </w:p>
    <w:p>
      <w:pPr>
        <w:pStyle w:val="TextBody"/>
        <w:bidi w:val="0"/>
        <w:spacing w:lineRule="auto" w:line="288" w:before="0" w:after="240"/>
        <w:ind w:left="0" w:right="0" w:firstLine="7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Notwithstanding the foregoing or anything in the Plan to the contrary, unless prohibited by applicable law, the Board may amend the terms of any outstanding Award or the Plan, or may suspend or terminate the Plan,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or the Plan into compliance with, Section 409A of the Code, or (D) to comply with other applicable laws or listing requirements.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(ix)    </w:t>
      </w:r>
      <w:r>
        <w:rPr>
          <w:rFonts w:ascii="Avenir Next LT Pro;sans-serif" w:hAnsi="Avenir Next LT Pro;sans-serif"/>
          <w:b w:val="false"/>
          <w:color w:val="000000"/>
          <w:sz w:val="18"/>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(x)    </w:t>
      </w:r>
      <w:r>
        <w:rPr>
          <w:rFonts w:ascii="Avenir Next LT Pro;sans-serif" w:hAnsi="Avenir Next LT Pro;sans-serif"/>
          <w:b w:val="false"/>
          <w:color w:val="000000"/>
          <w:sz w:val="18"/>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lineRule="auto" w:line="288" w:before="0" w:after="240"/>
        <w:ind w:left="0" w:right="0" w:firstLine="720"/>
        <w:jc w:val="both"/>
        <w:rPr>
          <w:rFonts w:ascii="Avenir Next LT Pro;sans-serif" w:hAnsi="Avenir Next LT Pro;sans-serif"/>
          <w:b/>
          <w:color w:val="000000"/>
          <w:sz w:val="18"/>
        </w:rPr>
      </w:pPr>
      <w:r>
        <w:rPr>
          <w:rFonts w:ascii="Avenir Next LT Pro;sans-serif" w:hAnsi="Avenir Next LT Pro;sans-serif"/>
          <w:b/>
          <w:color w:val="000000"/>
          <w:sz w:val="18"/>
        </w:rPr>
        <w:t>(c)    Delegation to Committee.</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General.</w:t>
      </w:r>
      <w:r>
        <w:rPr>
          <w:color w:val="000000"/>
        </w:rPr>
        <w:t xml:space="preserve"> </w:t>
      </w:r>
      <w:r>
        <w:rPr>
          <w:rFonts w:ascii="Avenir Next LT Pro;sans-serif" w:hAnsi="Avenir Next LT Pro;sans-serif"/>
          <w:b w:val="false"/>
          <w:color w:val="000000"/>
          <w:sz w:val="18"/>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Rule 16b-3 Compliance.</w:t>
      </w:r>
      <w:r>
        <w:rPr>
          <w:color w:val="000000"/>
        </w:rPr>
        <w:t xml:space="preserve"> </w:t>
      </w:r>
      <w:r>
        <w:rPr>
          <w:rFonts w:ascii="Avenir Next LT Pro;sans-serif" w:hAnsi="Avenir Next LT Pro;sans-serif"/>
          <w:b w:val="false"/>
          <w:color w:val="000000"/>
          <w:sz w:val="18"/>
        </w:rPr>
        <w:t>The Committee may consist solely of two or more Non-Employee Directors in accordance with Rule 16b-3.</w:t>
      </w:r>
    </w:p>
    <w:p>
      <w:pPr>
        <w:pStyle w:val="TextBody"/>
        <w:bidi w:val="0"/>
        <w:spacing w:lineRule="auto" w:line="288" w:before="0" w:after="220"/>
        <w:ind w:left="0" w:right="0" w:firstLine="720"/>
        <w:jc w:val="both"/>
        <w:rPr/>
      </w:pPr>
      <w:r>
        <w:rPr>
          <w:rFonts w:ascii="Avenir Next LT Pro;sans-serif" w:hAnsi="Avenir Next LT Pro;sans-serif"/>
          <w:b/>
          <w:color w:val="000000"/>
          <w:sz w:val="18"/>
        </w:rPr>
        <w:t xml:space="preserve">(d)    Delegation to Other Person or Body. </w:t>
      </w:r>
      <w:r>
        <w:rPr>
          <w:rFonts w:ascii="Avenir Next LT Pro;sans-serif" w:hAnsi="Avenir Next LT Pro;sans-serif"/>
          <w:b w:val="false"/>
          <w:color w:val="000000"/>
          <w:sz w:val="18"/>
        </w:rPr>
        <w:t>The Board or any Committee may delegate to one (1) or more persons or bodies the authority to do one or more of the following to the extent permitted by applicable law: (1) designate recipients, other than Officers, of Awards, provided that no person or body may be delegated authority to grant an Award to themself; (2) determine the number of shares of Common Stock subject to such Awards; and (3) determine the terms of such Awards; </w:t>
      </w:r>
      <w:r>
        <w:rPr>
          <w:rFonts w:ascii="Avenir Next LT Pro;sans-serif" w:hAnsi="Avenir Next LT Pro;sans-serif"/>
          <w:b w:val="false"/>
          <w:i/>
          <w:color w:val="000000"/>
          <w:sz w:val="18"/>
        </w:rPr>
        <w:t>provided, however,</w:t>
      </w:r>
      <w:r>
        <w:rPr>
          <w:color w:val="000000"/>
        </w:rPr>
        <w:t> </w:t>
      </w:r>
      <w:r>
        <w:rPr>
          <w:rFonts w:ascii="Avenir Next LT Pro;sans-serif" w:hAnsi="Avenir Next LT Pro;sans-serif"/>
          <w:b w:val="false"/>
          <w:color w:val="000000"/>
          <w:sz w:val="18"/>
        </w:rPr>
        <w:t xml:space="preserve">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1"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Committee, with any modifications necessary to incorporate or reflect the terms of such Award. Notwithstanding anything to the contrary in this Section 2(d), neither the Board nor any Committee may delegate to any person or body (who is not a Director or that is not comprised solely of Directors, respectively) the authority to determine the Fair Market Value of the Common Stock pursuant to Section 13(x)(iii) below.</w:t>
      </w:r>
    </w:p>
    <w:p>
      <w:pPr>
        <w:pStyle w:val="TextBody"/>
        <w:bidi w:val="0"/>
        <w:spacing w:lineRule="auto" w:line="288" w:before="0" w:after="220"/>
        <w:ind w:left="0" w:right="0" w:firstLine="720"/>
        <w:jc w:val="both"/>
        <w:rPr/>
      </w:pPr>
      <w:r>
        <w:rPr>
          <w:rFonts w:ascii="Avenir Next LT Pro;sans-serif" w:hAnsi="Avenir Next LT Pro;sans-serif"/>
          <w:b/>
          <w:color w:val="000000"/>
          <w:sz w:val="18"/>
        </w:rPr>
        <w:t>(e)    Effect of Board’s Decision.</w:t>
      </w:r>
      <w:r>
        <w:rPr>
          <w:color w:val="000000"/>
        </w:rPr>
        <w:t xml:space="preserve"> </w:t>
      </w:r>
      <w:r>
        <w:rPr>
          <w:rFonts w:ascii="Avenir Next LT Pro;sans-serif" w:hAnsi="Avenir Next LT Pro;sans-serif"/>
          <w:b w:val="false"/>
          <w:color w:val="000000"/>
          <w:sz w:val="18"/>
        </w:rPr>
        <w:t>All determinations, interpretations and constructions made by the Board in good faith will not be subject to review by any person and will be final, binding and conclusive on all persons.</w:t>
      </w:r>
    </w:p>
    <w:p>
      <w:pPr>
        <w:pStyle w:val="TextBody"/>
        <w:bidi w:val="0"/>
        <w:spacing w:lineRule="auto" w:line="288" w:before="0" w:after="220"/>
        <w:ind w:left="0" w:right="0" w:firstLine="720"/>
        <w:jc w:val="both"/>
        <w:rPr/>
      </w:pPr>
      <w:r>
        <w:rPr>
          <w:rFonts w:ascii="Avenir Next LT Pro;sans-serif" w:hAnsi="Avenir Next LT Pro;sans-serif"/>
          <w:b/>
          <w:color w:val="000000"/>
          <w:sz w:val="18"/>
        </w:rPr>
        <w:t>(f)    Cancellation and Re-Grant of Awards.</w:t>
      </w:r>
      <w:r>
        <w:rPr>
          <w:color w:val="000000"/>
        </w:rPr>
        <w:t xml:space="preserve"> </w:t>
      </w:r>
      <w:r>
        <w:rPr>
          <w:rFonts w:ascii="Avenir Next LT Pro;sans-serif" w:hAnsi="Avenir Next LT Pro;sans-serif"/>
          <w:b w:val="false"/>
          <w:color w:val="000000"/>
          <w:sz w:val="18"/>
        </w:rPr>
        <w:t>Neither the Board nor any Committee will have the authority to (i) reduce the exercise or strike price of any outstanding Option or SAR or (ii) cancel any outstanding Option or SAR that has an exercise or strike price (per share) greater than the then-current Fair Market Value of the Common Stock in exchange for cash or other Awards under the Plan, unless the stockholders of the Company have approved such an action within 12 months prior to such an event.</w:t>
      </w:r>
    </w:p>
    <w:p>
      <w:pPr>
        <w:pStyle w:val="TextBody"/>
        <w:bidi w:val="0"/>
        <w:spacing w:lineRule="auto" w:line="288" w:before="0" w:after="220"/>
        <w:ind w:left="0" w:right="0" w:firstLine="720"/>
        <w:jc w:val="both"/>
        <w:rPr/>
      </w:pPr>
      <w:r>
        <w:rPr>
          <w:rFonts w:ascii="Avenir Next LT Pro;sans-serif" w:hAnsi="Avenir Next LT Pro;sans-serif"/>
          <w:b/>
          <w:color w:val="000000"/>
          <w:sz w:val="18"/>
        </w:rPr>
        <w:t>(g)    Dividends and Dividend Equivalents.</w:t>
      </w:r>
      <w:r>
        <w:rPr>
          <w:color w:val="000000"/>
        </w:rPr>
        <w:t xml:space="preserve"> </w:t>
      </w:r>
      <w:r>
        <w:rPr>
          <w:rFonts w:ascii="Avenir Next LT Pro;sans-serif" w:hAnsi="Avenir Next LT Pro;sans-serif"/>
          <w:b w:val="false"/>
          <w:color w:val="000000"/>
          <w:sz w:val="18"/>
        </w:rPr>
        <w:t xml:space="preserve">Dividends or dividend equivalents may be paid or credited, as applicable, with respect to any shares of Common Stock subject to an Award, as determined by the Board and contained in the applicable Award Agreement;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pStyle w:val="TextBody"/>
        <w:bidi w:val="0"/>
        <w:spacing w:lineRule="auto" w:line="288" w:before="0" w:after="220"/>
        <w:jc w:val="both"/>
        <w:rPr>
          <w:rFonts w:ascii="Avenir Next LT Pro;sans-serif" w:hAnsi="Avenir Next LT Pro;sans-serif"/>
          <w:b/>
          <w:color w:val="000000"/>
          <w:sz w:val="18"/>
        </w:rPr>
      </w:pPr>
      <w:r>
        <w:rPr>
          <w:rFonts w:ascii="Avenir Next LT Pro;sans-serif" w:hAnsi="Avenir Next LT Pro;sans-serif"/>
          <w:b/>
          <w:color w:val="000000"/>
          <w:sz w:val="18"/>
        </w:rPr>
        <w:t>3.    Shares Subject to the Plan.</w:t>
      </w:r>
    </w:p>
    <w:p>
      <w:pPr>
        <w:pStyle w:val="TextBody"/>
        <w:bidi w:val="0"/>
        <w:spacing w:lineRule="auto" w:line="288" w:before="0" w:after="220"/>
        <w:ind w:left="0" w:right="0" w:firstLine="720"/>
        <w:jc w:val="both"/>
        <w:rPr>
          <w:rFonts w:ascii="Avenir Next LT Pro;sans-serif" w:hAnsi="Avenir Next LT Pro;sans-serif"/>
          <w:b/>
          <w:color w:val="000000"/>
          <w:sz w:val="18"/>
        </w:rPr>
      </w:pPr>
      <w:r>
        <w:rPr>
          <w:rFonts w:ascii="Avenir Next LT Pro;sans-serif" w:hAnsi="Avenir Next LT Pro;sans-serif"/>
          <w:b/>
          <w:color w:val="000000"/>
          <w:sz w:val="18"/>
        </w:rPr>
        <w:t>(a)    Share Reserve.</w:t>
      </w:r>
    </w:p>
    <w:p>
      <w:pPr>
        <w:pStyle w:val="TextBody"/>
        <w:bidi w:val="0"/>
        <w:spacing w:lineRule="auto" w:line="288" w:before="0" w:after="22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Subject to Section 9(a) relating to Capitalization Adjustments, the aggregate number of shares of Common Stock that may be issued pursuant to Awards from and after the Effective Date (the “</w:t>
      </w:r>
      <w:r>
        <w:rPr>
          <w:rFonts w:ascii="Avenir Next LT Pro;sans-serif" w:hAnsi="Avenir Next LT Pro;sans-serif"/>
          <w:b/>
          <w:i/>
          <w:color w:val="000000"/>
          <w:sz w:val="18"/>
        </w:rPr>
        <w:t>Share Reserve</w:t>
      </w:r>
      <w:r>
        <w:rPr>
          <w:color w:val="000000"/>
        </w:rPr>
        <w:t>”</w:t>
      </w:r>
      <w:r>
        <w:rPr>
          <w:rFonts w:ascii="Avenir Next LT Pro;sans-serif" w:hAnsi="Avenir Next LT Pro;sans-serif"/>
          <w:b w:val="false"/>
          <w:color w:val="000000"/>
          <w:sz w:val="18"/>
        </w:rPr>
        <w:t>) will not exceed the sum of (A) 15,100,456 shares and (B) the Prior Plan Returning Shares, if any, as such shares become available for issuance under this Plan from time to time.</w:t>
      </w:r>
    </w:p>
    <w:p>
      <w:pPr>
        <w:pStyle w:val="TextBody"/>
        <w:bidi w:val="0"/>
        <w:spacing w:lineRule="auto" w:line="288" w:before="0" w:after="22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For clarity, the Share Reserve is a limit on the number of shares of Common Stock that may be issued pursuant to the Plan. Accordingly, this Section 3(a) does not limit the granting of Awards except as provided in Section 7(a). Shares may be issued in connection with a merger or acquisition as permitted by Nasdaq Listing Rule 5635(c) or, if applicable, NYSE Listed Company Manual Section 303A.08, NYSE American Company Guide Section 711 or other applicable rule, and such issuance will not reduce the number of shares available for issuance under the Plan.</w:t>
      </w:r>
    </w:p>
    <w:p>
      <w:pPr>
        <w:pStyle w:val="TextBody"/>
        <w:bidi w:val="0"/>
        <w:spacing w:lineRule="auto" w:line="288" w:before="0" w:after="220"/>
        <w:ind w:left="0" w:right="0" w:firstLine="720"/>
        <w:jc w:val="both"/>
        <w:rPr>
          <w:rFonts w:ascii="Avenir Next LT Pro;sans-serif" w:hAnsi="Avenir Next LT Pro;sans-serif"/>
          <w:b/>
          <w:color w:val="000000"/>
          <w:sz w:val="18"/>
        </w:rPr>
      </w:pPr>
      <w:r>
        <w:rPr>
          <w:rFonts w:ascii="Avenir Next LT Pro;sans-serif" w:hAnsi="Avenir Next LT Pro;sans-serif"/>
          <w:b/>
          <w:color w:val="000000"/>
          <w:sz w:val="18"/>
        </w:rPr>
        <w:t>(b)    Operation of Share Reserve.</w:t>
      </w:r>
    </w:p>
    <w:p>
      <w:pPr>
        <w:pStyle w:val="TextBody"/>
        <w:bidi w:val="0"/>
        <w:spacing w:lineRule="auto" w:line="288" w:before="0" w:after="220"/>
        <w:ind w:left="0" w:right="0" w:firstLine="1440"/>
        <w:jc w:val="both"/>
        <w:rPr/>
      </w:pPr>
      <w:r>
        <w:rPr>
          <w:rFonts w:ascii="Avenir Next LT Pro;sans-serif" w:hAnsi="Avenir Next LT Pro;sans-serif"/>
          <w:b/>
          <w:color w:val="000000"/>
          <w:sz w:val="18"/>
        </w:rPr>
        <w:t>(i)    No Reduction to Share Reserve.</w:t>
      </w:r>
      <w:r>
        <w:rPr>
          <w:color w:val="000000"/>
        </w:rPr>
        <w:t xml:space="preserve"> </w:t>
      </w:r>
      <w:r>
        <w:rPr>
          <w:rFonts w:ascii="Avenir Next LT Pro;sans-serif" w:hAnsi="Avenir Next LT Pro;sans-serif"/>
          <w:b w:val="false"/>
          <w:color w:val="000000"/>
          <w:sz w:val="18"/>
        </w:rPr>
        <w:t>The Share Reserve will not be reduced by any of the following shares of Common Stock and such shares will remain available for issuance under the Plan: (A) any shares subject to an Award that are not issued because such Award or any portion thereof expires or otherwise terminates without all of the shares covered by such Award having been issued; and (B) any shares subject to an Award that are not issued because such Award or any portion thereof is settled in cash.</w:t>
      </w:r>
    </w:p>
    <w:p>
      <w:pPr>
        <w:pStyle w:val="TextBody"/>
        <w:bidi w:val="0"/>
        <w:spacing w:lineRule="auto" w:line="288" w:before="0" w:after="220"/>
        <w:ind w:left="0" w:right="0" w:firstLine="1440"/>
        <w:jc w:val="both"/>
        <w:rPr/>
      </w:pPr>
      <w:r>
        <w:rPr>
          <w:rFonts w:ascii="Avenir Next LT Pro;sans-serif" w:hAnsi="Avenir Next LT Pro;sans-serif"/>
          <w:b/>
          <w:color w:val="000000"/>
          <w:sz w:val="18"/>
        </w:rPr>
        <w:t xml:space="preserve">(ii)    Shares Available for Subsequent Issuance. </w:t>
      </w:r>
      <w:r>
        <w:rPr>
          <w:rFonts w:ascii="Avenir Next LT Pro;sans-serif" w:hAnsi="Avenir Next LT Pro;sans-serif"/>
          <w:b w:val="false"/>
          <w:color w:val="000000"/>
          <w:sz w:val="18"/>
        </w:rPr>
        <w:t xml:space="preserve">The following shares of Common Stock will revert to the Share Reserve and become available again for issuance under the Plan: (A) any shares issued pursuant to an Award that are forfeited back to or repurchased by the Company because of the failure to meet a contingency or condition required for the vesting of such shares; (B) any shares that are reacquired or withheld (or not issued) by the Company to satisfy the purchase price of a Full Value Award granted under the Plan; and (C) any shares that are reacquired or withheld (or not issued) by the Company to satisfy a tax withholding obligation in connection with a Full Value Award granted under the Plan. </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 xml:space="preserve">(iii)    Shares Not Available for Subsequent Issuance. </w:t>
      </w:r>
      <w:r>
        <w:rPr>
          <w:rFonts w:ascii="Avenir Next LT Pro;sans-serif" w:hAnsi="Avenir Next LT Pro;sans-serif"/>
          <w:b w:val="false"/>
          <w:color w:val="000000"/>
          <w:sz w:val="18"/>
        </w:rPr>
        <w:t>The following shares of Common Stock will not revert to the Share Reserve or become available again for issuance under the Plan: (A) any shares that are reacquired or withheld (or not issued) by the Company to satisfy the exercise or strike price of an Appreciation Award granted under the Plan or the Prior Plan (including any shares subject to such Appreciation Award that are not delivered because such Appreciation Award is exercised through a reduction of shares subject to such Appreciation Award (</w:t>
      </w:r>
      <w:r>
        <w:rPr>
          <w:rFonts w:ascii="Avenir Next LT Pro;sans-serif" w:hAnsi="Avenir Next LT Pro;sans-serif"/>
          <w:b w:val="false"/>
          <w:i/>
          <w:color w:val="000000"/>
          <w:sz w:val="18"/>
        </w:rPr>
        <w:t>i.e</w:t>
      </w:r>
      <w:r>
        <w:rPr>
          <w:rFonts w:ascii="Avenir Next LT Pro;sans-serif" w:hAnsi="Avenir Next LT Pro;sans-serif"/>
          <w:b w:val="false"/>
          <w:color w:val="000000"/>
          <w:sz w:val="18"/>
        </w:rPr>
        <w:t>., “net exercised”)); (B) any shares that are reacquired or withheld (or not issued) by the Company to satisfy a tax withholding obligation in connection with an Appreciation Award granted under the Plan or the Prior Plan; (C) any shares repurchased by the Company on the open market with the proceeds of the exercise or strike price of an Appreciation Award granted under the Plan or the Prior Plan; and (D) in the event that a Stock Appreciation Right granted under the Plan or a stock appreciation right granted under the Prior Plan is settled in shares of Common Stock, the gross number of shares of Common Stock subject to such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2"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(c)    Incentive Stock Option Limit. </w:t>
      </w:r>
      <w:r>
        <w:rPr>
          <w:rFonts w:ascii="Avenir Next LT Pro;sans-serif" w:hAnsi="Avenir Next LT Pro;sans-serif"/>
          <w:b w:val="false"/>
          <w:color w:val="000000"/>
          <w:sz w:val="18"/>
        </w:rPr>
        <w:t>Subject to the Share Reserve and Section 9(a) relating to Capitalization Adjustments, the aggregate maximum number of shares of Common Stock that may be issued pursuant to the exercise of Incentive Stock Options will be 30,000,000 shares.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    Source of Shares.</w:t>
      </w:r>
      <w:r>
        <w:rPr>
          <w:color w:val="000000"/>
        </w:rPr>
        <w:t xml:space="preserve"> </w:t>
      </w:r>
      <w:r>
        <w:rPr>
          <w:rFonts w:ascii="Avenir Next LT Pro;sans-serif" w:hAnsi="Avenir Next LT Pro;sans-serif"/>
          <w:b w:val="false"/>
          <w:color w:val="000000"/>
          <w:sz w:val="18"/>
        </w:rPr>
        <w:t>The stock issuable under the Plan will be shares of authorized but unissued or reacquired Common Stock, including shares repurchased by the Company on the open market or otherwise.</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4.    Eligibility.</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Eligibility for Specific Awards.</w:t>
      </w:r>
      <w:r>
        <w:rPr>
          <w:color w:val="000000"/>
        </w:rPr>
        <w:t xml:space="preserve"> </w:t>
      </w:r>
      <w:r>
        <w:rPr>
          <w:rFonts w:ascii="Avenir Next LT Pro;sans-serif" w:hAnsi="Avenir Next LT Pro;sans-serif"/>
          <w:b w:val="false"/>
          <w:color w:val="000000"/>
          <w:sz w:val="18"/>
        </w:rPr>
        <w:t xml:space="preserve">Incentive Stock Options may be granted only to employees of the Company or a “parent corporation” or “subsidiary corporation” thereof (as such terms are defined in Sections 424(e) and 424(f) of the Code). Awards other than Incentive Stock Options may be granted to Employees, Directors and Consultants;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Awards may not be granted to Employees, Directors and Consultants who are providing Continuous Service only to any “parent” of the Company, as such term is defined in Rule 405, unless (i) the stock underlying such Awards is treated as “service recipient stock” under Section 409A of the Code (for example, because the Awards are granted pursuant to a corporate transaction such as a spin off transaction) or (ii) the Company, in consultation with its legal counsel, has determined that such Awards are otherwise exempt from or alternatively comply with Section 409A of the Code.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Ten Percent Stockholders.</w:t>
      </w:r>
      <w:r>
        <w:rPr>
          <w:color w:val="000000"/>
        </w:rPr>
        <w:t xml:space="preserve"> </w:t>
      </w:r>
      <w:r>
        <w:rPr>
          <w:rFonts w:ascii="Avenir Next LT Pro;sans-serif" w:hAnsi="Avenir Next LT Pro;sans-serif"/>
          <w:b w:val="false"/>
          <w:color w:val="000000"/>
          <w:sz w:val="18"/>
        </w:rPr>
        <w:t>A Ten Percent Stockholder will not be granted an Incentive Stock Option unless the exercise price (per share) of such Option is at least 110% of the Fair Market Value of the Common Stock on the date of grant of such Option and the Option is not exercisable after the expiration of five years from the date of grant.</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5.    Provisions Relating to Options and Stock Appreciation Rights.</w:t>
      </w:r>
    </w:p>
    <w:p>
      <w:pPr>
        <w:pStyle w:val="TextBody"/>
        <w:bidi w:val="0"/>
        <w:spacing w:lineRule="auto" w:line="288" w:before="0" w:after="240"/>
        <w:ind w:left="0" w:right="0" w:firstLine="720"/>
        <w:jc w:val="both"/>
        <w:rPr/>
      </w:pPr>
      <w:r>
        <w:rPr>
          <w:rFonts w:ascii="Avenir Next LT Pro;sans-serif" w:hAnsi="Avenir Next LT Pro;sans-serif"/>
          <w:b w:val="false"/>
          <w:color w:val="000000"/>
          <w:sz w:val="18"/>
        </w:rPr>
        <w:t xml:space="preserve">Each Option or SAR Agreement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terms and conditions of separate Option or SAR Agreements need not be identical;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each Award Agreement will conform to (through incorporation of the provisions hereof by reference in the applicable Award Agreement or otherwise) the substance of each of the following provisions: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Term.</w:t>
      </w:r>
      <w:r>
        <w:rPr>
          <w:color w:val="000000"/>
        </w:rPr>
        <w:t xml:space="preserve"> </w:t>
      </w:r>
      <w:r>
        <w:rPr>
          <w:rFonts w:ascii="Avenir Next LT Pro;sans-serif" w:hAnsi="Avenir Next LT Pro;sans-serif"/>
          <w:b w:val="false"/>
          <w:color w:val="000000"/>
          <w:sz w:val="18"/>
        </w:rPr>
        <w:t>Subject to the provisions of Section 4(b) regarding Ten Percent Stockholders, no Option or SAR will be exercisable after the expiration of 10 years from the date of its grant or such shorter period specified in the Award Agreement.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Exercise or Strike Price.</w:t>
      </w:r>
      <w:r>
        <w:rPr>
          <w:color w:val="000000"/>
        </w:rPr>
        <w:t xml:space="preserve"> </w:t>
      </w:r>
      <w:r>
        <w:rPr>
          <w:rFonts w:ascii="Avenir Next LT Pro;sans-serif" w:hAnsi="Avenir Next LT Pro;sans-serif"/>
          <w:b w:val="false"/>
          <w:color w:val="000000"/>
          <w:sz w:val="18"/>
        </w:rPr>
        <w:t>Subject to the provisions of Section 4(b) regarding Ten Percent Stockholders, the exercise or strike price (per share) of each Option or SAR will be not less than 100% of the Fair Market Value of the Common Stock on the date the Award is granted. Notwithstanding the foregoing, an Option or SAR may be granted with an exercise or strike price (per share) less than 100% of the Fair Market Value of the Common Stock on the date the Award is granted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    Payment of Exercise Price for Options.</w:t>
      </w:r>
      <w:r>
        <w:rPr>
          <w:color w:val="000000"/>
        </w:rPr>
        <w:t xml:space="preserve"> </w:t>
      </w:r>
      <w:r>
        <w:rPr>
          <w:rFonts w:ascii="Avenir Next LT Pro;sans-serif" w:hAnsi="Avenir Next LT Pro;sans-serif"/>
          <w:b w:val="false"/>
          <w:color w:val="000000"/>
          <w:sz w:val="18"/>
        </w:rPr>
        <w:t>The exercise price of an Option may be paid, to the extent permitted by applicable law and as determined by the Board in its sole discretion, by one or more of the methods of payment set forth below that are specified in the Option Agreement. The Board has the authority to grant Options that do not permit all of the following methods of payment (or that otherwise restrict the ability to utilize certain methods) and to grant Options that require the consent of the Company to utilize a particular method of payment.</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By cash (including electronic funds transfers), check, bank draft or money order payable to the Company;</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w:t>
      </w:r>
      <w:r>
        <w:rPr>
          <w:rFonts w:ascii="Avenir Next LT Pro;sans-serif" w:hAnsi="Avenir Next LT Pro;sans-serif"/>
          <w:b w:val="false"/>
          <w:color w:val="000000"/>
          <w:sz w:val="18"/>
        </w:rPr>
        <w:t>By delivery to the Company (either by actual delivery or attestation) of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3"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(iv)    </w:t>
      </w:r>
      <w:r>
        <w:rPr>
          <w:rFonts w:ascii="Avenir Next LT Pro;sans-serif" w:hAnsi="Avenir Next LT Pro;sans-serif"/>
          <w:b w:val="false"/>
          <w:color w:val="000000"/>
          <w:sz w:val="18"/>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    </w:t>
      </w:r>
      <w:r>
        <w:rPr>
          <w:rFonts w:ascii="Avenir Next LT Pro;sans-serif" w:hAnsi="Avenir Next LT Pro;sans-serif"/>
          <w:b w:val="false"/>
          <w:color w:val="000000"/>
          <w:sz w:val="18"/>
        </w:rPr>
        <w:t>In any other form of legal consideration that may be acceptable to the Board and specified in the applicable Award Agreement.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    Exercise and Payment of a SAR.</w:t>
      </w:r>
      <w:r>
        <w:rPr>
          <w:color w:val="000000"/>
        </w:rPr>
        <w:t xml:space="preserve"> </w:t>
      </w:r>
      <w:r>
        <w:rPr>
          <w:rFonts w:ascii="Avenir Next LT Pro;sans-serif" w:hAnsi="Avenir Next LT Pro;sans-serif"/>
          <w:b w:val="false"/>
          <w:color w:val="000000"/>
          <w:sz w:val="18"/>
        </w:rPr>
        <w:t>To exercise any outstanding SAR, the Participant must provide written notice of 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(e)    Transferability of Options and SARs.</w:t>
      </w:r>
      <w:r>
        <w:rPr>
          <w:color w:val="000000"/>
        </w:rPr>
        <w:t xml:space="preserve"> </w:t>
      </w:r>
      <w:r>
        <w:rPr>
          <w:rFonts w:ascii="Avenir Next LT Pro;sans-serif" w:hAnsi="Avenir Next LT Pro;sans-serif"/>
          <w:b w:val="false"/>
          <w:color w:val="000000"/>
          <w:sz w:val="18"/>
        </w:rPr>
        <w:t>The Board may, in its sole discretion, impose such limitations on the transferability of Options and SARs as the Board will determine. In the absence of such a determination by the Board to the contrary, the restrictions set forth in this Section 5(e) on the transferability of Options and SARs will apply. Notwithstanding the foregoing or anything in the Plan or an Award Agreement to the contrary, no Option or SAR may be transferred to any financial institution without prior stockholder approval.</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Restrictions on Transfer.</w:t>
      </w:r>
      <w:r>
        <w:rPr>
          <w:color w:val="000000"/>
        </w:rPr>
        <w:t xml:space="preserve"> </w:t>
      </w:r>
      <w:r>
        <w:rPr>
          <w:rFonts w:ascii="Avenir Next LT Pro;sans-serif" w:hAnsi="Avenir Next LT Pro;sans-serif"/>
          <w:b w:val="false"/>
          <w:color w:val="000000"/>
          <w:sz w:val="18"/>
        </w:rPr>
        <w:t>An Option or SAR will not be transferable, except by will or by the laws of descent and distribution (and pursuant to Sections 5(e)(ii) and 5(e)(iii) below), and will be exercisable during the lifetime of the Participant only by the Participant. Subject to the foregoing paragraph, the Board may, in its sole discretion, permit transfer of the Option or SAR in a manner that is not prohibited by applicable tax and securities laws. Except as explicitly provided in the Plan, neither an Option nor a SAR may be transferred for consideration.</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Domestic Relations Orders.</w:t>
      </w:r>
      <w:r>
        <w:rPr>
          <w:color w:val="000000"/>
        </w:rPr>
        <w:t xml:space="preserve"> </w:t>
      </w:r>
      <w:r>
        <w:rPr>
          <w:rFonts w:ascii="Avenir Next LT Pro;sans-serif" w:hAnsi="Avenir Next LT Pro;sans-serif"/>
          <w:b w:val="false"/>
          <w:color w:val="000000"/>
          <w:sz w:val="18"/>
        </w:rPr>
        <w:t>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Beneficiary Designation.</w:t>
      </w:r>
      <w:r>
        <w:rPr>
          <w:color w:val="000000"/>
        </w:rPr>
        <w:t xml:space="preserve"> </w:t>
      </w:r>
      <w:r>
        <w:rPr>
          <w:rFonts w:ascii="Avenir Next LT Pro;sans-serif" w:hAnsi="Avenir Next LT Pro;sans-serif"/>
          <w:b w:val="false"/>
          <w:color w:val="000000"/>
          <w:sz w:val="18"/>
        </w:rPr>
        <w:t>Subject to the approval of the Board or a duly authorized Officer,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(f)    Vesting.</w:t>
      </w:r>
      <w:r>
        <w:rPr>
          <w:color w:val="000000"/>
        </w:rPr>
        <w:t xml:space="preserve"> </w:t>
      </w:r>
      <w:r>
        <w:rPr>
          <w:rFonts w:ascii="Avenir Next LT Pro;sans-serif" w:hAnsi="Avenir Next LT Pro;sans-serif"/>
          <w:b w:val="false"/>
          <w:color w:val="000000"/>
          <w:sz w:val="18"/>
        </w:rPr>
        <w:t>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(g)    Termination of Continuous Service.</w:t>
      </w:r>
      <w:r>
        <w:rPr>
          <w:color w:val="000000"/>
        </w:rPr>
        <w:t xml:space="preserve"> </w:t>
      </w:r>
      <w:r>
        <w:rPr>
          <w:rFonts w:ascii="Avenir Next LT Pro;sans-serif" w:hAnsi="Avenir Next LT Pro;sans-serif"/>
          <w:b w:val="false"/>
          <w:color w:val="000000"/>
          <w:sz w:val="18"/>
        </w:rPr>
        <w:t>Except as otherwise provided in the applicable Award Agreement or other written agreement between a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that is three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period, the Option or SAR (as applicable) will terminate.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4"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(h)    Extension of Termination Date.</w:t>
      </w:r>
      <w:r>
        <w:rPr>
          <w:color w:val="000000"/>
        </w:rPr>
        <w:t xml:space="preserve"> </w:t>
      </w:r>
      <w:r>
        <w:rPr>
          <w:rFonts w:ascii="Avenir Next LT Pro;sans-serif" w:hAnsi="Avenir Next LT Pro;sans-serif"/>
          <w:b w:val="false"/>
          <w:color w:val="000000"/>
          <w:sz w:val="18"/>
        </w:rPr>
        <w:t>Except as otherwise provided in the applicable Award Agreement or other written agreement between a Participant and the Company or an Affiliate,</w:t>
      </w:r>
      <w:r>
        <w:rPr>
          <w:color w:val="000000"/>
        </w:rPr>
        <w:t xml:space="preserve"> </w:t>
      </w:r>
      <w:r>
        <w:rPr>
          <w:rFonts w:ascii="Avenir Next LT Pro;sans-serif" w:hAnsi="Avenir Next LT Pro;sans-serif"/>
          <w:b w:val="false"/>
          <w:color w:val="000000"/>
          <w:sz w:val="18"/>
        </w:rPr>
        <w:t>if the exercise of an Option or SAR following the termination of a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except as otherwise provided in the applicable Award Agreement or other written agreement between a Participant and the Company or an Affiliate, if the sale of any Common Stock received upon exercise of an Option or SAR following the termination of a Participant’s Continuous Service (other than for Cause) would violate the Company’s insider trading policy, then the Option or SAR will terminate on the earlier of (i) the expiration of a total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(i)    Disability of Participant.</w:t>
      </w:r>
      <w:r>
        <w:rPr>
          <w:color w:val="000000"/>
        </w:rPr>
        <w:t xml:space="preserve"> </w:t>
      </w:r>
      <w:r>
        <w:rPr>
          <w:rFonts w:ascii="Avenir Next LT Pro;sans-serif" w:hAnsi="Avenir Next LT Pro;sans-serif"/>
          <w:b w:val="false"/>
          <w:color w:val="000000"/>
          <w:sz w:val="18"/>
        </w:rPr>
        <w:t>Except as otherwise provided in the applicable Award Agreement or other written agreement between a 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that is 18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period, the Option or SAR (as applicable) will terminate.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(j)    Death of Participant.</w:t>
      </w:r>
      <w:r>
        <w:rPr>
          <w:color w:val="000000"/>
        </w:rPr>
        <w:t xml:space="preserve"> </w:t>
      </w:r>
      <w:r>
        <w:rPr>
          <w:rFonts w:ascii="Avenir Next LT Pro;sans-serif" w:hAnsi="Avenir Next LT Pro;sans-serif"/>
          <w:b w:val="false"/>
          <w:color w:val="000000"/>
          <w:sz w:val="18"/>
        </w:rPr>
        <w:t>Except as otherwise provided in the applicable Award Agreement or other written agreement between a Participant and the Company or an Affiliate, if (i) a Participant’s Continuous Service terminates as a result of the Participant’s death, or (ii) a Participant dies within the period (if any) specified in the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that is 18 months following the date of death (or such longer or shorter period specified in the Award Agreement), and (ii) the expiration of the term of the Option or SAR as set forth in the Award Agreement. If, after the Participant’s death, the Option or SAR (as applicable) is not exercised within the applicable time period, the Option or SAR (as applicable) will terminate.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(k)    Termination for Cause.</w:t>
      </w:r>
      <w:r>
        <w:rPr>
          <w:color w:val="000000"/>
        </w:rPr>
        <w:t xml:space="preserve"> </w:t>
      </w:r>
      <w:r>
        <w:rPr>
          <w:rFonts w:ascii="Avenir Next LT Pro;sans-serif" w:hAnsi="Avenir Next LT Pro;sans-serif"/>
          <w:b w:val="false"/>
          <w:color w:val="000000"/>
          <w:sz w:val="18"/>
        </w:rPr>
        <w:t>Except as explicitly provided otherwise in the applicable Award Agreement or other individual written agreement between a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(l)    Non-Exempt Employees.</w:t>
      </w:r>
      <w:r>
        <w:rPr>
          <w:color w:val="000000"/>
        </w:rPr>
        <w:t xml:space="preserve"> </w:t>
      </w:r>
      <w:r>
        <w:rPr>
          <w:rFonts w:ascii="Avenir Next LT Pro;sans-serif" w:hAnsi="Avenir Next LT Pro;sans-serif"/>
          <w:b w:val="false"/>
          <w:color w:val="000000"/>
          <w:sz w:val="18"/>
        </w:rPr>
        <w:t>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written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5(l) will apply to all Awards and are hereby incorporated by reference into such Award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5"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6.    Provisions of Awards Other than Options and SARs.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Restricted Stock Awards.</w:t>
      </w:r>
      <w:r>
        <w:rPr>
          <w:color w:val="000000"/>
        </w:rPr>
        <w:t xml:space="preserve"> </w:t>
      </w:r>
      <w:r>
        <w:rPr>
          <w:rFonts w:ascii="Avenir Next LT Pro;sans-serif" w:hAnsi="Avenir Next LT Pro;sans-serif"/>
          <w:b w:val="false"/>
          <w:color w:val="000000"/>
          <w:sz w:val="18"/>
        </w:rPr>
        <w:t xml:space="preserve">Each Restricted Stock Award Agreement will be in such form and will contain such 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separate Restricted Stock Award Agreements need not be identical;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each Restricted Stock Award Agreement will conform to (through incorporation of the provisions hereof by reference in the applicable Award Agreement or otherwise) the substance of each of the following provisions: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Consideration.</w:t>
      </w:r>
      <w:r>
        <w:rPr>
          <w:color w:val="000000"/>
        </w:rPr>
        <w:t xml:space="preserve"> </w:t>
      </w:r>
      <w:r>
        <w:rPr>
          <w:rFonts w:ascii="Avenir Next LT Pro;sans-serif" w:hAnsi="Avenir Next LT Pro;sans-serif"/>
          <w:b w:val="false"/>
          <w:color w:val="000000"/>
          <w:sz w:val="18"/>
        </w:rPr>
        <w:t>A Restricted Stock Award may be awarded in consideration for (A) cash (including electronic funds transfers),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 xml:space="preserve">(ii)    Vesting. </w:t>
      </w:r>
      <w:r>
        <w:rPr>
          <w:rFonts w:ascii="Avenir Next LT Pro;sans-serif" w:hAnsi="Avenir Next LT Pro;sans-serif"/>
          <w:b w:val="false"/>
          <w:color w:val="000000"/>
          <w:sz w:val="18"/>
        </w:rPr>
        <w:t>Shares of Common Stock awarded under a Restricted Stock Award Agreement may be subject to forfeiture to or repurchase by the Company in accordance with a vesting schedule to be determined by the Board.</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Termination of Continuous Service.</w:t>
      </w:r>
      <w:r>
        <w:rPr>
          <w:color w:val="000000"/>
        </w:rPr>
        <w:t xml:space="preserve"> </w:t>
      </w:r>
      <w:r>
        <w:rPr>
          <w:rFonts w:ascii="Avenir Next LT Pro;sans-serif" w:hAnsi="Avenir Next LT Pro;sans-serif"/>
          <w:b w:val="false"/>
          <w:color w:val="000000"/>
          <w:sz w:val="18"/>
        </w:rPr>
        <w:t>If a Participant’s Continuous Service terminates, the Company may receive through a forfeiture condition or a repurchase right any or all of the shares of Common Stock held by the Participant that have not vested as of the date of such termination under the terms of the Participant’s Restricted Stock Award Agreement.</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(iv)    Transferability.</w:t>
      </w:r>
      <w:r>
        <w:rPr>
          <w:color w:val="000000"/>
        </w:rPr>
        <w:t xml:space="preserve"> </w:t>
      </w:r>
      <w:r>
        <w:rPr>
          <w:rFonts w:ascii="Avenir Next LT Pro;sans-serif" w:hAnsi="Avenir Next LT Pro;sans-serif"/>
          <w:b w:val="false"/>
          <w:color w:val="000000"/>
          <w:sz w:val="18"/>
        </w:rPr>
        <w:t>Rights to acquire shares of Common Stock under a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(b)    Restricted Stock Unit Awards. </w:t>
      </w:r>
      <w:r>
        <w:rPr>
          <w:rFonts w:ascii="Avenir Next LT Pro;sans-serif" w:hAnsi="Avenir Next LT Pro;sans-serif"/>
          <w:b w:val="false"/>
          <w:color w:val="000000"/>
          <w:sz w:val="18"/>
        </w:rPr>
        <w:t xml:space="preserve">Each Restricted Stock Unit Award Agreement will be in such form and will contain such terms and conditions as the Board deems appropriate. The terms and conditions of separate Restricted Stock Unit Award Agreements need not be identical;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each Restricted Stock Unit Award Agreement will conform to (through incorporation of the provisions hereof by reference in the applicable Award Agreement or otherwise) the substance of each of the following provisions: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Consideration.</w:t>
      </w:r>
      <w:r>
        <w:rPr>
          <w:color w:val="000000"/>
        </w:rPr>
        <w:t xml:space="preserve"> </w:t>
      </w:r>
      <w:r>
        <w:rPr>
          <w:rFonts w:ascii="Avenir Next LT Pro;sans-serif" w:hAnsi="Avenir Next LT Pro;sans-serif"/>
          <w:b w:val="false"/>
          <w:color w:val="000000"/>
          <w:sz w:val="18"/>
        </w:rPr>
        <w:t>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 xml:space="preserve">(ii)    Vesting. </w:t>
      </w:r>
      <w:r>
        <w:rPr>
          <w:rFonts w:ascii="Avenir Next LT Pro;sans-serif" w:hAnsi="Avenir Next LT Pro;sans-serif"/>
          <w:b w:val="false"/>
          <w:color w:val="000000"/>
          <w:sz w:val="18"/>
        </w:rPr>
        <w:t>At the time of the grant of a Restricted Stock Unit Award, the Board may impose such restrictions on or conditions to the vesting of the Restricted Stock Unit Award as it, in its sole discretion, deems appropriate.</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Payment.</w:t>
      </w:r>
      <w:r>
        <w:rPr>
          <w:color w:val="000000"/>
        </w:rPr>
        <w:t xml:space="preserve"> </w:t>
      </w:r>
      <w:r>
        <w:rPr>
          <w:rFonts w:ascii="Avenir Next LT Pro;sans-serif" w:hAnsi="Avenir Next LT Pro;sans-serif"/>
          <w:b w:val="false"/>
          <w:color w:val="000000"/>
          <w:sz w:val="18"/>
        </w:rPr>
        <w:t>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 xml:space="preserve">(iv)    Additional Restrictions. </w:t>
      </w:r>
      <w:r>
        <w:rPr>
          <w:rFonts w:ascii="Avenir Next LT Pro;sans-serif" w:hAnsi="Avenir Next LT Pro;sans-serif"/>
          <w:b w:val="false"/>
          <w:color w:val="000000"/>
          <w:sz w:val="18"/>
        </w:rPr>
        <w:t>At the time of the grant of a Restricted Stock Unit Award, the Board, as it deems appropriate, may impose such restrictions or conditions that delay the delivery of the shares of Common Stock (or their cash equivalent) subject to the Restricted Stock Unit Award to a time after the vesting of the Restricted Stock Unit Award.</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 xml:space="preserve">(v)    Termination of Continuous Service. </w:t>
      </w:r>
      <w:r>
        <w:rPr>
          <w:rFonts w:ascii="Avenir Next LT Pro;sans-serif" w:hAnsi="Avenir Next LT Pro;sans-serif"/>
          <w:b w:val="false"/>
          <w:color w:val="000000"/>
          <w:sz w:val="18"/>
        </w:rPr>
        <w:t>Except as otherwise provided in the applicable Restricted Stock Unit Award Agreement or other written agreement between a Participant and the Company or an Affiliate, if a Participant’s Continuous Service terminates, any portion of the Participant’s Restricted Stock Unit Award that has not vested as of the date of such termination will be forfeited upon such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6"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Avenir Next LT Pro;sans-serif" w:hAnsi="Avenir Next LT Pro;sans-serif"/>
          <w:b/>
          <w:color w:val="000000"/>
          <w:sz w:val="18"/>
        </w:rPr>
      </w:pPr>
      <w:r>
        <w:rPr>
          <w:rFonts w:ascii="Avenir Next LT Pro;sans-serif" w:hAnsi="Avenir Next LT Pro;sans-serif"/>
          <w:b/>
          <w:color w:val="000000"/>
          <w:sz w:val="18"/>
        </w:rPr>
        <w:t>(c)    Performance Stock Awards.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General.</w:t>
      </w:r>
      <w:r>
        <w:rPr>
          <w:color w:val="000000"/>
        </w:rPr>
        <w:t xml:space="preserve"> </w:t>
      </w:r>
      <w:r>
        <w:rPr>
          <w:rFonts w:ascii="Avenir Next LT Pro;sans-serif" w:hAnsi="Avenir Next LT Pro;sans-serif"/>
          <w:b w:val="false"/>
          <w:color w:val="000000"/>
          <w:sz w:val="18"/>
        </w:rPr>
        <w:t>A Performance Stock Award is an Award that is payable (including that may be granted, vest or be exercised) contingent upon the attainment during a Performance Period of specified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Award Agreement, the Board may determine that cash may be used in payment of Performance Stock Awards.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Board Discretion.</w:t>
      </w:r>
      <w:r>
        <w:rPr>
          <w:color w:val="000000"/>
        </w:rPr>
        <w:t xml:space="preserve"> </w:t>
      </w:r>
      <w:r>
        <w:rPr>
          <w:rFonts w:ascii="Avenir Next LT Pro;sans-serif" w:hAnsi="Avenir Next LT Pro;sans-serif"/>
          <w:b w:val="false"/>
          <w:color w:val="000000"/>
          <w:sz w:val="18"/>
        </w:rPr>
        <w:t xml:space="preserve">With respect to any Performance Stock Award, the Board retains the discretion to (A) reduce or eliminate the compensation or economic benefit due upon the attainment of any Performance Goals on the basis of any considerations as the Board, in its sole discretion, may determine and (B) define the manner of calculating the Performance Criteria it selects to use for a Performance Period. </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(d)    Other Stock Awards. </w:t>
      </w:r>
      <w:r>
        <w:rPr>
          <w:rFonts w:ascii="Avenir Next LT Pro;sans-serif" w:hAnsi="Avenir Next LT Pro;sans-serif"/>
          <w:b w:val="false"/>
          <w:color w:val="000000"/>
          <w:sz w:val="18"/>
        </w:rPr>
        <w:t>Other forms of Awards valued in whole or in part by reference to, or otherwise based on, Common Stock, including the appreciation in value thereof may be granted either alone or in addition to Awards granted under Section 5 and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7.    Covenants of the Company.</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Availability of Shares.</w:t>
      </w:r>
      <w:r>
        <w:rPr>
          <w:color w:val="000000"/>
        </w:rPr>
        <w:t xml:space="preserve"> </w:t>
      </w:r>
      <w:r>
        <w:rPr>
          <w:rFonts w:ascii="Avenir Next LT Pro;sans-serif" w:hAnsi="Avenir Next LT Pro;sans-serif"/>
          <w:b w:val="false"/>
          <w:color w:val="000000"/>
          <w:sz w:val="18"/>
        </w:rPr>
        <w:t>The Company will keep available at all times the number of shares of Common Stock reasonably required to satisfy then-outstanding Awards.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Securities Law Compliance.</w:t>
      </w:r>
      <w:r>
        <w:rPr>
          <w:color w:val="000000"/>
        </w:rPr>
        <w:t xml:space="preserve"> </w:t>
      </w:r>
      <w:r>
        <w:rPr>
          <w:rFonts w:ascii="Avenir Next LT Pro;sans-serif" w:hAnsi="Avenir Next LT Pro;sans-serif"/>
          <w:b w:val="false"/>
          <w:color w:val="000000"/>
          <w:sz w:val="18"/>
        </w:rPr>
        <w:t xml:space="preserve">The Company will seek to obtain from each regulatory commission or agency having jurisdiction over the Plan the authority required to grant Awards and to issue and sell shares of Common Stock upon exercise of the Awards;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(c)    No Obligation to Notify or Minimize Taxes. </w:t>
      </w:r>
      <w:r>
        <w:rPr>
          <w:rFonts w:ascii="Avenir Next LT Pro;sans-serif" w:hAnsi="Avenir Next LT Pro;sans-serif"/>
          <w:b w:val="false"/>
          <w:color w:val="000000"/>
          <w:sz w:val="18"/>
        </w:rPr>
        <w:t>The Company will have no duty or obligation to any Participant to advise such holder as to the time or manner of exercising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8.    Miscellaneous.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(a)    Use of Proceeds from Sales of Common Stock. </w:t>
      </w:r>
      <w:r>
        <w:rPr>
          <w:rFonts w:ascii="Avenir Next LT Pro;sans-serif" w:hAnsi="Avenir Next LT Pro;sans-serif"/>
          <w:b w:val="false"/>
          <w:color w:val="000000"/>
          <w:sz w:val="18"/>
        </w:rPr>
        <w:t>Proceeds from the sale of shares of Common Stock issued pursuant to Awards will constitute general funds of the Company.</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Corporate Action Constituting Grant of Awards.</w:t>
      </w:r>
      <w:r>
        <w:rPr>
          <w:color w:val="000000"/>
        </w:rPr>
        <w:t xml:space="preserve"> </w:t>
      </w:r>
      <w:r>
        <w:rPr>
          <w:rFonts w:ascii="Avenir Next LT Pro;sans-serif" w:hAnsi="Avenir Next LT Pro;sans-serif"/>
          <w:b w:val="false"/>
          <w:color w:val="000000"/>
          <w:sz w:val="18"/>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w:t>
      </w:r>
      <w:r>
        <w:rPr>
          <w:rFonts w:ascii="Avenir Next LT Pro;sans-serif" w:hAnsi="Avenir Next LT Pro;sans-serif"/>
          <w:b w:val="false"/>
          <w:i/>
          <w:color w:val="000000"/>
          <w:sz w:val="18"/>
        </w:rPr>
        <w:t>e.g</w:t>
      </w:r>
      <w:r>
        <w:rPr>
          <w:rFonts w:ascii="Avenir Next LT Pro;sans-serif" w:hAnsi="Avenir Next LT Pro;sans-serif"/>
          <w:b w:val="false"/>
          <w:color w:val="000000"/>
          <w:sz w:val="18"/>
        </w:rPr>
        <w:t>., Board consents, resolutions or minutes) documenting the corporate action constituting the grant contain terms (</w:t>
      </w:r>
      <w:r>
        <w:rPr>
          <w:rFonts w:ascii="Avenir Next LT Pro;sans-serif" w:hAnsi="Avenir Next LT Pro;sans-serif"/>
          <w:b w:val="false"/>
          <w:i/>
          <w:color w:val="000000"/>
          <w:sz w:val="18"/>
        </w:rPr>
        <w:t>e.g</w:t>
      </w:r>
      <w:r>
        <w:rPr>
          <w:rFonts w:ascii="Avenir Next LT Pro;sans-serif" w:hAnsi="Avenir Next LT Pro;sans-serif"/>
          <w:b w:val="false"/>
          <w:color w:val="000000"/>
          <w:sz w:val="18"/>
        </w:rPr>
        <w:t xml:space="preserve">.,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 </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    Stockholder Rights.</w:t>
      </w:r>
      <w:r>
        <w:rPr>
          <w:color w:val="000000"/>
        </w:rPr>
        <w:t xml:space="preserve"> </w:t>
      </w:r>
      <w:r>
        <w:rPr>
          <w:rFonts w:ascii="Avenir Next LT Pro;sans-serif" w:hAnsi="Avenir Next LT Pro;sans-serif"/>
          <w:b w:val="false"/>
          <w:color w:val="000000"/>
          <w:sz w:val="18"/>
        </w:rPr>
        <w:t>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7"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    No Employment or Other Service Rights.</w:t>
      </w:r>
      <w:r>
        <w:rPr>
          <w:color w:val="000000"/>
        </w:rPr>
        <w:t xml:space="preserve"> </w:t>
      </w:r>
      <w:r>
        <w:rPr>
          <w:rFonts w:ascii="Avenir Next LT Pro;sans-serif" w:hAnsi="Avenir Next LT Pro;sans-serif"/>
          <w:b w:val="false"/>
          <w:color w:val="000000"/>
          <w:sz w:val="18"/>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Director pursuant to the bylaws of the Company or an Affiliate, or (iii) the service of a Consultant pursuant to the terms of such Consultant’s agreement with the Company or an Affiliate, and any applicable provisions of the corporate law of the state in which the Company or the Affiliate is incorporated, as the case may be.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(e)    Change in Time Commitment.</w:t>
      </w:r>
      <w:r>
        <w:rPr>
          <w:color w:val="000000"/>
        </w:rPr>
        <w:t xml:space="preserve"> </w:t>
      </w:r>
      <w:r>
        <w:rPr>
          <w:rFonts w:ascii="Avenir Next LT Pro;sans-serif" w:hAnsi="Avenir Next LT Pro;sans-serif"/>
          <w:b w:val="false"/>
          <w:color w:val="000000"/>
          <w:sz w:val="18"/>
        </w:rPr>
        <w:t>In the event a Participant’s regular level of time commitment in the performance of his or her services for the Company or any Affiliate is reduced (for example, and without limitation, if the Participant is an Employee and has a change in status from a full-time Employee to a part-time Employee or takes an extended leave of absence) after the date of grant of any Award to the Participant, the Board has the right in its sole discretion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(f)    Incentive Stock Option Limitation.</w:t>
      </w:r>
      <w:r>
        <w:rPr>
          <w:color w:val="000000"/>
        </w:rPr>
        <w:t xml:space="preserve"> </w:t>
      </w:r>
      <w:r>
        <w:rPr>
          <w:rFonts w:ascii="Avenir Next LT Pro;sans-serif" w:hAnsi="Avenir Next LT Pro;sans-serif"/>
          <w:b w:val="false"/>
          <w:color w:val="000000"/>
          <w:sz w:val="18"/>
        </w:rPr>
        <w:t>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(g)    Investment Assurances.</w:t>
      </w:r>
      <w:r>
        <w:rPr>
          <w:color w:val="000000"/>
        </w:rPr>
        <w:t xml:space="preserve"> </w:t>
      </w:r>
      <w:r>
        <w:rPr>
          <w:rFonts w:ascii="Avenir Next LT Pro;sans-serif" w:hAnsi="Avenir Next LT Pro;sans-serif"/>
          <w:b w:val="false"/>
          <w:color w:val="000000"/>
          <w:sz w:val="18"/>
        </w:rPr>
        <w:t>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(h)    Withholding Obligations.</w:t>
      </w:r>
      <w:r>
        <w:rPr>
          <w:color w:val="000000"/>
        </w:rPr>
        <w:t xml:space="preserve"> </w:t>
      </w:r>
      <w:r>
        <w:rPr>
          <w:rFonts w:ascii="Avenir Next LT Pro;sans-serif" w:hAnsi="Avenir Next LT Pro;sans-serif"/>
          <w:b w:val="false"/>
          <w:color w:val="000000"/>
          <w:sz w:val="18"/>
        </w:rPr>
        <w:t>Unless prohibited by the terms of an Award Agreement, the Company may, in its sole discretion, satisfy any federal, state, local or foreign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or (v) by such other method as may be set forth in the Award Agreement.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(i)    Electronic Delivery.</w:t>
      </w:r>
      <w:r>
        <w:rPr>
          <w:color w:val="000000"/>
        </w:rPr>
        <w:t xml:space="preserve"> </w:t>
      </w:r>
      <w:r>
        <w:rPr>
          <w:rFonts w:ascii="Avenir Next LT Pro;sans-serif" w:hAnsi="Avenir Next LT Pro;sans-serif"/>
          <w:b w:val="false"/>
          <w:color w:val="000000"/>
          <w:sz w:val="18"/>
        </w:rPr>
        <w:t>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(j)    Deferrals.</w:t>
      </w:r>
      <w:r>
        <w:rPr>
          <w:color w:val="000000"/>
        </w:rPr>
        <w:t xml:space="preserve"> </w:t>
      </w:r>
      <w:r>
        <w:rPr>
          <w:rFonts w:ascii="Avenir Next LT Pro;sans-serif" w:hAnsi="Avenir Next LT Pro;sans-serif"/>
          <w:b w:val="false"/>
          <w:color w:val="000000"/>
          <w:sz w:val="18"/>
        </w:rPr>
        <w:t>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8"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(k)    Section 409A. </w:t>
      </w:r>
      <w:r>
        <w:rPr>
          <w:rFonts w:ascii="Avenir Next LT Pro;sans-serif" w:hAnsi="Avenir Next LT Pro;sans-serif"/>
          <w:b w:val="false"/>
          <w:color w:val="000000"/>
          <w:sz w:val="18"/>
        </w:rPr>
        <w:t>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with Section 409A of the Code,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under such Award that is due because of a “separation from service” (as defined in Section 409A of the Code without regard to alternative definitions thereunder) will be issued or paid before the date that is six months and one day following the date of such Participant’s “separation from service” or, if earlier, the date of the Participant’s death, unless such distribution or payment may be made in a manner that complies with Section 409A of the Code, and any amounts so deferred will be paid in a lump sum on the day after such six-month period elapses, with the balance paid thereafter on the original schedule.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(l)    Clawback/Recovery.</w:t>
      </w:r>
      <w:r>
        <w:rPr>
          <w:color w:val="000000"/>
        </w:rPr>
        <w:t xml:space="preserve"> </w:t>
      </w:r>
      <w:r>
        <w:rPr>
          <w:rFonts w:ascii="Avenir Next LT Pro;sans-serif" w:hAnsi="Avenir Next LT Pro;sans-serif"/>
          <w:b w:val="false"/>
          <w:color w:val="000000"/>
          <w:sz w:val="18"/>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other clawback policy that the Company adopts.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9.    Adjustments upon Changes in Common Stock; Other Corporate Events.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Capitalization Adjustments.</w:t>
      </w:r>
      <w:r>
        <w:rPr>
          <w:color w:val="000000"/>
        </w:rPr>
        <w:t xml:space="preserve"> </w:t>
      </w:r>
      <w:r>
        <w:rPr>
          <w:rFonts w:ascii="Avenir Next LT Pro;sans-serif" w:hAnsi="Avenir Next LT Pro;sans-serif"/>
          <w:b w:val="false"/>
          <w:color w:val="000000"/>
          <w:sz w:val="18"/>
        </w:rPr>
        <w:t>In the event of a Capitalization Adjustment,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Awards. The Board will make such adjustments and its determination will be final, binding and conclusive.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Dissolution or Liquidation.</w:t>
      </w:r>
      <w:r>
        <w:rPr>
          <w:color w:val="000000"/>
        </w:rPr>
        <w:t xml:space="preserve"> </w:t>
      </w:r>
      <w:r>
        <w:rPr>
          <w:rFonts w:ascii="Avenir Next LT Pro;sans-serif" w:hAnsi="Avenir Next LT Pro;sans-serif"/>
          <w:b w:val="false"/>
          <w:color w:val="000000"/>
          <w:sz w:val="18"/>
        </w:rPr>
        <w:t xml:space="preserve">Except as otherwise provided in the applicable Award Agreement or other written agreement between a Participant and the Company or an Affiliate, in the event of a dissolution or liquidation of the Company, all outstanding Awards (other than Awards consisting of vested and outstanding shares of Common Stock not subject to the Company’s right of repurchase or a forfeiture condition) will terminate immediately prior to the completion of such dissolution or liquidation, and the shares of Common Stock subject to the Company’s right of repurchase or a forfeiture condition may be repurchased or reacquired by the Company notwithstanding the fact that the holder of such Award is providing Continuous Service;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the Board may, in its sole discretion,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    Corporate Transaction.</w:t>
      </w:r>
      <w:r>
        <w:rPr>
          <w:color w:val="000000"/>
        </w:rPr>
        <w:t xml:space="preserve"> </w:t>
      </w:r>
      <w:r>
        <w:rPr>
          <w:rFonts w:ascii="Avenir Next LT Pro;sans-serif" w:hAnsi="Avenir Next LT Pro;sans-serif"/>
          <w:b w:val="false"/>
          <w:color w:val="000000"/>
          <w:sz w:val="18"/>
        </w:rPr>
        <w:t>The provisions of this Section 9(c) will apply to each outstanding Award in the event of a Corporate Transaction unless otherwise provided in the instrument evidencing the Award, in any other written agreement between a Participant and the Company or an Affiliate, or in any director compensation policy of the Company, or unless otherwise expressly provided by the Board at the time of grant of an Award. In the event of a Corporate Transaction, then, notwithstanding any other provision of the Plan, the Board will take one or more of the following actions with respect to outstanding Awards, contingent upon the closing or completion of such Corporate Transaction:</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such Corporate Transaction);</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9"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w:t>
      </w:r>
      <w:r>
        <w:rPr>
          <w:rFonts w:ascii="Avenir Next LT Pro;sans-serif" w:hAnsi="Avenir Next LT Pro;sans-serif"/>
          <w:b w:val="false"/>
          <w:color w:val="000000"/>
          <w:sz w:val="18"/>
        </w:rPr>
        <w:t>accelerate the vesting (and exercisability, if applicable), in whole or in part, of the Award to a date prior to the effective time of such Corporate Transaction as the Board will determine (or, if the Board does not determine such a date, to the date that is five days prior to the effective time of such Corporate Transaction), with such Award terminating if not exercised (if applicable) prior to the effective time of such Corporate Transaction in accordance with the exercise procedures determined by the Board;</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(iv)    </w:t>
      </w:r>
      <w:r>
        <w:rPr>
          <w:rFonts w:ascii="Avenir Next LT Pro;sans-serif" w:hAnsi="Avenir Next LT Pro;sans-serif"/>
          <w:b w:val="false"/>
          <w:color w:val="000000"/>
          <w:sz w:val="18"/>
        </w:rPr>
        <w:t>arrange for the lapse of any reacquisition or repurchase rights held by the Company with respect to the Award;</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    </w:t>
      </w:r>
      <w:r>
        <w:rPr>
          <w:rFonts w:ascii="Avenir Next LT Pro;sans-serif" w:hAnsi="Avenir Next LT Pro;sans-serif"/>
          <w:b w:val="false"/>
          <w:color w:val="000000"/>
          <w:sz w:val="18"/>
        </w:rPr>
        <w:t>cancel or arrange for the cancellation of the Award, to the extent not vested or not exercised prior to the effective time of such Corporate Transaction, in exchange for such cash consideration, if any, as the Board, in its sole discretion, may consider appropriate; or</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(vi)    </w:t>
      </w:r>
      <w:r>
        <w:rPr>
          <w:rFonts w:ascii="Avenir Next LT Pro;sans-serif" w:hAnsi="Avenir Next LT Pro;sans-serif"/>
          <w:b w:val="false"/>
          <w:color w:val="000000"/>
          <w:sz w:val="18"/>
        </w:rPr>
        <w:t>make a payment, in such form as may be determined by the Board, equal to the excess, if any, of (A) the value of the property the Participant would have received upon the exercise of the Award immediately prior to the effective time of such Corporate Transaction, over (B) any exercise price payable by the Participant in connection with such exercise. For clarity, such payment may be zero if the value of such property is equal to or less than the exercise price. Payments under this Section 9(c)(vi) may be delayed to the same extent that payment of consideration to the holders of the Common Stock in connection with such Corporate Transaction is delayed as a result of escrows, earn outs, holdbacks or any other contingencies.</w:t>
      </w:r>
    </w:p>
    <w:p>
      <w:pPr>
        <w:pStyle w:val="TextBody"/>
        <w:bidi w:val="0"/>
        <w:spacing w:lineRule="auto" w:line="288" w:before="0" w:after="24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For clarity, in the event of a Corporate Transaction, the Board need not take the same action or actions with respect to all Awards or portions thereof or with respect to all Participants.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    Change in Control.</w:t>
      </w:r>
      <w:r>
        <w:rPr>
          <w:color w:val="000000"/>
        </w:rPr>
        <w:t xml:space="preserve"> </w:t>
      </w:r>
      <w:r>
        <w:rPr>
          <w:rFonts w:ascii="Avenir Next LT Pro;sans-serif" w:hAnsi="Avenir Next LT Pro;sans-serif"/>
          <w:b w:val="false"/>
          <w:color w:val="000000"/>
          <w:sz w:val="18"/>
        </w:rPr>
        <w:t>An Award may be subject to additional acceleration of vesting and exercisability upon or after a Change in Control as may be provided in the Award Agreement for such Award, in any other written agreement or plan between the Company or any Affiliate and the Participant, or in any director compensation policy of the Company, but in the absence of such provision, no such acceleration will occur.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 xml:space="preserve">(e)    Parachute Payments. </w:t>
      </w:r>
      <w:r>
        <w:rPr>
          <w:rFonts w:ascii="Avenir Next LT Pro;sans-serif" w:hAnsi="Avenir Next LT Pro;sans-serif"/>
          <w:b w:val="false"/>
          <w:color w:val="000000"/>
          <w:sz w:val="18"/>
        </w:rPr>
        <w:t>Except as otherwise provided in the applicable Award Agreement or other written agreement between a Participant and the Company or an Affiliate, if any payment or benefit the Participant would receive pursuant to a Change in Control from the Company or otherwise (“</w:t>
      </w:r>
      <w:r>
        <w:rPr>
          <w:rFonts w:ascii="Avenir Next LT Pro;sans-serif" w:hAnsi="Avenir Next LT Pro;sans-serif"/>
          <w:b/>
          <w:i/>
          <w:color w:val="000000"/>
          <w:sz w:val="18"/>
        </w:rPr>
        <w:t>Payment</w:t>
      </w:r>
      <w:r>
        <w:rPr>
          <w:color w:val="000000"/>
        </w:rPr>
        <w:t>”</w:t>
      </w:r>
      <w:r>
        <w:rPr>
          <w:rFonts w:ascii="Avenir Next LT Pro;sans-serif" w:hAnsi="Avenir Next LT Pro;sans-serif"/>
          <w:b w:val="false"/>
          <w:color w:val="000000"/>
          <w:sz w:val="18"/>
        </w:rPr>
        <w:t>) would (i) constitute a “parachute payment” within the meaning of Section 280G of the Code, and (ii) but for this sentence, be subject to the excise tax imposed by Section 4999 of the Code (the “</w:t>
      </w:r>
      <w:r>
        <w:rPr>
          <w:rFonts w:ascii="Avenir Next LT Pro;sans-serif" w:hAnsi="Avenir Next LT Pro;sans-serif"/>
          <w:b/>
          <w:i/>
          <w:color w:val="000000"/>
          <w:sz w:val="18"/>
        </w:rPr>
        <w:t>Excise Tax</w:t>
      </w:r>
      <w:r>
        <w:rPr>
          <w:color w:val="000000"/>
        </w:rPr>
        <w:t>”</w:t>
      </w:r>
      <w:r>
        <w:rPr>
          <w:rFonts w:ascii="Avenir Next LT Pro;sans-serif" w:hAnsi="Avenir Next LT Pro;sans-serif"/>
          <w:b w:val="false"/>
          <w:color w:val="000000"/>
          <w:sz w:val="18"/>
        </w:rPr>
        <w:t>), then such Payment will be equal to the Reduced Amount. The “</w:t>
      </w:r>
      <w:r>
        <w:rPr>
          <w:rFonts w:ascii="Avenir Next LT Pro;sans-serif" w:hAnsi="Avenir Next LT Pro;sans-serif"/>
          <w:b/>
          <w:i/>
          <w:color w:val="000000"/>
          <w:sz w:val="18"/>
        </w:rPr>
        <w:t>Reduced Amount</w:t>
      </w:r>
      <w:r>
        <w:rPr>
          <w:color w:val="000000"/>
        </w:rPr>
        <w:t xml:space="preserve">” </w:t>
      </w:r>
      <w:r>
        <w:rPr>
          <w:rFonts w:ascii="Avenir Next LT Pro;sans-serif" w:hAnsi="Avenir Next LT Pro;sans-serif"/>
          <w:b w:val="false"/>
          <w:color w:val="000000"/>
          <w:sz w:val="18"/>
        </w:rPr>
        <w:t>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Participant’s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following order: (A) reduction of cash payments; (B) cancellation of accelerated vesting of equity awards other than stock options; (C) cancellation of accelerated vesting of stock options; and (D) reduction of other benefits paid to the Participant. Within any such category of payments and benefits (that is, (A), (B), (C) or (D)), a reduction will occur first with respect to amounts that are not “deferred compensation” within the meaning of Section 409A of the Code and then with respect to amounts that are. In the event that acceleration of compensation from a Participant’s equity awards is to be reduced, such acceleration of vesting will be canceled, subject to the immediately preceding sentence, in the reverse order of the date of grant. The accounting firm engaged by the Company for general audit purposes as of the day prior to the effective date of the Change in Control will perform the foregoing calculations. If the accounting firm so engaged by the Company is serving as accountant or auditor for the individual, entity or group effecting the Change in Control, the Company will appoint a nationally recognized accounting firm to make the determinations required hereunder. The Company will bear all expenses with respect to the determinations by such accounting firm required to be made hereunder. The accounting firm engaged to make the determinations hereunder will provide its calculations, together with detailed supporting documentation, to the Participant and the Company within 15 calendar days after the date on which the Participant’s right to a Payment is triggered (if requested at that time by the Participant or the Company) or such other time as reasonably requested by the Participant or the Company. Any good faith determinations of the accounting firm made hereunder will be final, binding and conclusive upon the Participant and the Company.</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10.    Termination or Suspension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Termination or Suspension.</w:t>
      </w:r>
      <w:r>
        <w:rPr>
          <w:color w:val="000000"/>
        </w:rPr>
        <w:t xml:space="preserve"> </w:t>
      </w:r>
      <w:r>
        <w:rPr>
          <w:rFonts w:ascii="Avenir Next LT Pro;sans-serif" w:hAnsi="Avenir Next LT Pro;sans-serif"/>
          <w:b w:val="false"/>
          <w:color w:val="000000"/>
          <w:sz w:val="18"/>
        </w:rPr>
        <w:t>The Board may suspend or terminate the Plan at any time. No Incentive Stock Option may be granted after</w:t>
      </w:r>
      <w:r>
        <w:rPr>
          <w:color w:val="000000"/>
        </w:rPr>
        <w:t xml:space="preserve"> </w:t>
      </w:r>
      <w:r>
        <w:rPr>
          <w:rFonts w:ascii="Avenir Next LT Pro;sans-serif" w:hAnsi="Avenir Next LT Pro;sans-serif"/>
          <w:b w:val="false"/>
          <w:color w:val="000000"/>
          <w:sz w:val="18"/>
        </w:rPr>
        <w:t>the tenth anniversary of the earlier of (i) the Adoption Date or (ii) the Effective Date. No Awards may be granted under the Plan while the Plan is suspended or after it is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0"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No Impairment of Rights.</w:t>
      </w:r>
      <w:r>
        <w:rPr>
          <w:color w:val="000000"/>
        </w:rPr>
        <w:t xml:space="preserve"> </w:t>
      </w:r>
      <w:r>
        <w:rPr>
          <w:rFonts w:ascii="Avenir Next LT Pro;sans-serif" w:hAnsi="Avenir Next LT Pro;sans-serif"/>
          <w:b w:val="false"/>
          <w:color w:val="000000"/>
          <w:sz w:val="18"/>
        </w:rPr>
        <w:t>Suspension or termination of the Plan will not materially impair rights and obligations under any Award granted while the Plan is in effect except with the written consent of the affected Participant or as otherwise permitted in the Plan (including Section 2(b)(viii)) or an Award Agreement.</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11.    Effective Date of Plan.</w:t>
      </w:r>
    </w:p>
    <w:p>
      <w:pPr>
        <w:pStyle w:val="TextBody"/>
        <w:bidi w:val="0"/>
        <w:spacing w:lineRule="auto" w:line="288" w:before="0" w:after="240"/>
        <w:ind w:left="0" w:right="0" w:firstLine="7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This Plan, as amended and restated hereby, will become effective on the Effective Date.</w:t>
      </w:r>
    </w:p>
    <w:p>
      <w:pPr>
        <w:pStyle w:val="TextBody"/>
        <w:bidi w:val="0"/>
        <w:spacing w:lineRule="auto" w:line="288" w:before="0" w:after="240"/>
        <w:jc w:val="both"/>
        <w:rPr>
          <w:rFonts w:ascii="Avenir Next LT Pro;sans-serif" w:hAnsi="Avenir Next LT Pro;sans-serif"/>
          <w:b/>
          <w:color w:val="000000"/>
          <w:sz w:val="18"/>
        </w:rPr>
      </w:pPr>
      <w:r>
        <w:rPr>
          <w:rFonts w:ascii="Avenir Next LT Pro;sans-serif" w:hAnsi="Avenir Next LT Pro;sans-serif"/>
          <w:b/>
          <w:color w:val="000000"/>
          <w:sz w:val="18"/>
        </w:rPr>
        <w:t>12.    Choice of Law.</w:t>
      </w:r>
    </w:p>
    <w:p>
      <w:pPr>
        <w:pStyle w:val="TextBody"/>
        <w:bidi w:val="0"/>
        <w:spacing w:lineRule="auto" w:line="288" w:before="0" w:after="240"/>
        <w:ind w:left="0" w:right="0" w:firstLine="7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The laws of the State of Delaware will govern all questions concerning the construction, validity and interpretation of this Plan, without regard to that state’s conflict of laws rules.</w:t>
      </w:r>
    </w:p>
    <w:p>
      <w:pPr>
        <w:pStyle w:val="TextBody"/>
        <w:bidi w:val="0"/>
        <w:spacing w:lineRule="auto" w:line="288" w:before="0" w:after="240"/>
        <w:jc w:val="both"/>
        <w:rPr/>
      </w:pPr>
      <w:r>
        <w:rPr>
          <w:rFonts w:ascii="Avenir Next LT Pro;sans-serif" w:hAnsi="Avenir Next LT Pro;sans-serif"/>
          <w:b/>
          <w:color w:val="000000"/>
          <w:sz w:val="18"/>
        </w:rPr>
        <w:t xml:space="preserve">13.    Definitions. </w:t>
      </w:r>
      <w:r>
        <w:rPr>
          <w:rFonts w:ascii="Avenir Next LT Pro;sans-serif" w:hAnsi="Avenir Next LT Pro;sans-serif"/>
          <w:b w:val="false"/>
          <w:color w:val="000000"/>
          <w:sz w:val="18"/>
        </w:rPr>
        <w:t>As used in the Plan, the following definitions will apply to the capitalized terms indicated below:</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    </w:t>
      </w:r>
      <w:r>
        <w:rPr>
          <w:color w:val="000000"/>
        </w:rPr>
        <w:t>“</w:t>
      </w:r>
      <w:r>
        <w:rPr>
          <w:rFonts w:ascii="Avenir Next LT Pro;sans-serif" w:hAnsi="Avenir Next LT Pro;sans-serif"/>
          <w:b/>
          <w:i/>
          <w:color w:val="000000"/>
          <w:sz w:val="18"/>
        </w:rPr>
        <w:t>Adoption Date</w:t>
      </w:r>
      <w:r>
        <w:rPr>
          <w:color w:val="000000"/>
        </w:rPr>
        <w:t xml:space="preserve">” </w:t>
      </w:r>
      <w:r>
        <w:rPr>
          <w:rFonts w:ascii="Avenir Next LT Pro;sans-serif" w:hAnsi="Avenir Next LT Pro;sans-serif"/>
          <w:b w:val="false"/>
          <w:color w:val="000000"/>
          <w:sz w:val="18"/>
        </w:rPr>
        <w:t>means March 31, 2025, which is the date the Plan, as amended and restated hereby, was adopted by the Board.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    </w:t>
      </w:r>
      <w:r>
        <w:rPr>
          <w:color w:val="000000"/>
        </w:rPr>
        <w:t>“</w:t>
      </w:r>
      <w:r>
        <w:rPr>
          <w:rFonts w:ascii="Avenir Next LT Pro;sans-serif" w:hAnsi="Avenir Next LT Pro;sans-serif"/>
          <w:b/>
          <w:i/>
          <w:color w:val="000000"/>
          <w:sz w:val="18"/>
        </w:rPr>
        <w:t>Affiliate</w:t>
      </w:r>
      <w:r>
        <w:rPr>
          <w:color w:val="000000"/>
        </w:rPr>
        <w:t xml:space="preserve">” </w:t>
      </w:r>
      <w:r>
        <w:rPr>
          <w:rFonts w:ascii="Avenir Next LT Pro;sans-serif" w:hAnsi="Avenir Next LT Pro;sans-serif"/>
          <w:b w:val="false"/>
          <w:color w:val="000000"/>
          <w:sz w:val="18"/>
        </w:rPr>
        <w:t>means, at the time of determination, any “parent” or “subsidiary” of the Company as such terms are defined in Rule 405. The Board will have the authority to determine the time or times at which “parent” or “subsidiary” status is determined within the foregoing definition.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    </w:t>
      </w:r>
      <w:r>
        <w:rPr>
          <w:color w:val="000000"/>
        </w:rPr>
        <w:t>“</w:t>
      </w:r>
      <w:r>
        <w:rPr>
          <w:rFonts w:ascii="Avenir Next LT Pro;sans-serif" w:hAnsi="Avenir Next LT Pro;sans-serif"/>
          <w:b/>
          <w:i/>
          <w:color w:val="000000"/>
          <w:sz w:val="18"/>
        </w:rPr>
        <w:t>Appreciation Award</w:t>
      </w:r>
      <w:r>
        <w:rPr>
          <w:color w:val="000000"/>
        </w:rPr>
        <w:t xml:space="preserve">” </w:t>
      </w:r>
      <w:r>
        <w:rPr>
          <w:rFonts w:ascii="Avenir Next LT Pro;sans-serif" w:hAnsi="Avenir Next LT Pro;sans-serif"/>
          <w:b w:val="false"/>
          <w:color w:val="000000"/>
          <w:sz w:val="18"/>
        </w:rPr>
        <w:t>means (i) a stock option or stock appreciation right granted under the Prior Plan or (ii) an Option or Stock Appreciation Right, in each case with respect to which the exercise or strike price (per share) is at least 100% of the Fair Market Value of the Common Stock subject to the stock option or stock appreciation right, or Option or Stock Appreciation Right, as applicable, on the date of grant.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    </w:t>
      </w:r>
      <w:r>
        <w:rPr>
          <w:color w:val="000000"/>
        </w:rPr>
        <w:t>“</w:t>
      </w:r>
      <w:r>
        <w:rPr>
          <w:rFonts w:ascii="Avenir Next LT Pro;sans-serif" w:hAnsi="Avenir Next LT Pro;sans-serif"/>
          <w:b/>
          <w:i/>
          <w:color w:val="000000"/>
          <w:sz w:val="18"/>
        </w:rPr>
        <w:t>Award</w:t>
      </w:r>
      <w:r>
        <w:rPr>
          <w:color w:val="000000"/>
        </w:rPr>
        <w:t xml:space="preserve">” </w:t>
      </w:r>
      <w:r>
        <w:rPr>
          <w:rFonts w:ascii="Avenir Next LT Pro;sans-serif" w:hAnsi="Avenir Next LT Pro;sans-serif"/>
          <w:b w:val="false"/>
          <w:color w:val="000000"/>
          <w:sz w:val="18"/>
        </w:rPr>
        <w:t>means an Incentive Stock Option, a Nonstatutory Stock Option, a Stock Appreciation Right, a Restricted Stock Award, a Restricted Stock Unit Award, a Performance Stock Award or any Other Stock Award.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(e)    </w:t>
      </w:r>
      <w:r>
        <w:rPr>
          <w:color w:val="000000"/>
        </w:rPr>
        <w:t>“</w:t>
      </w:r>
      <w:r>
        <w:rPr>
          <w:rFonts w:ascii="Avenir Next LT Pro;sans-serif" w:hAnsi="Avenir Next LT Pro;sans-serif"/>
          <w:b/>
          <w:i/>
          <w:color w:val="000000"/>
          <w:sz w:val="18"/>
        </w:rPr>
        <w:t>Award Agreement</w:t>
      </w:r>
      <w:r>
        <w:rPr>
          <w:color w:val="000000"/>
        </w:rPr>
        <w:t xml:space="preserve">” </w:t>
      </w:r>
      <w:r>
        <w:rPr>
          <w:rFonts w:ascii="Avenir Next LT Pro;sans-serif" w:hAnsi="Avenir Next LT Pro;sans-serif"/>
          <w:b w:val="false"/>
          <w:color w:val="000000"/>
          <w:sz w:val="18"/>
        </w:rPr>
        <w:t>means a written agreement between the Company and a Participant evidencing the terms and conditions of an Award.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(f)    </w:t>
      </w:r>
      <w:r>
        <w:rPr>
          <w:color w:val="000000"/>
        </w:rPr>
        <w:t>“</w:t>
      </w:r>
      <w:r>
        <w:rPr>
          <w:rFonts w:ascii="Avenir Next LT Pro;sans-serif" w:hAnsi="Avenir Next LT Pro;sans-serif"/>
          <w:b/>
          <w:i/>
          <w:color w:val="000000"/>
          <w:sz w:val="18"/>
        </w:rPr>
        <w:t>Board</w:t>
      </w:r>
      <w:r>
        <w:rPr>
          <w:color w:val="000000"/>
        </w:rPr>
        <w:t xml:space="preserve">” </w:t>
      </w:r>
      <w:r>
        <w:rPr>
          <w:rFonts w:ascii="Avenir Next LT Pro;sans-serif" w:hAnsi="Avenir Next LT Pro;sans-serif"/>
          <w:b w:val="false"/>
          <w:color w:val="000000"/>
          <w:sz w:val="18"/>
        </w:rPr>
        <w:t>means the Board of Directors of the Company.</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(g)    </w:t>
      </w:r>
      <w:r>
        <w:rPr>
          <w:color w:val="000000"/>
        </w:rPr>
        <w:t>“</w:t>
      </w:r>
      <w:r>
        <w:rPr>
          <w:rFonts w:ascii="Avenir Next LT Pro;sans-serif" w:hAnsi="Avenir Next LT Pro;sans-serif"/>
          <w:b/>
          <w:i/>
          <w:color w:val="000000"/>
          <w:sz w:val="18"/>
        </w:rPr>
        <w:t>Capitalization Adjustment</w:t>
      </w:r>
      <w:r>
        <w:rPr>
          <w:color w:val="000000"/>
        </w:rPr>
        <w:t xml:space="preserve">” </w:t>
      </w:r>
      <w:r>
        <w:rPr>
          <w:rFonts w:ascii="Avenir Next LT Pro;sans-serif" w:hAnsi="Avenir Next LT Pro;sans-serif"/>
          <w:b w:val="false"/>
          <w:color w:val="000000"/>
          <w:sz w:val="18"/>
        </w:rPr>
        <w:t>means any change that is made in, or other events that occur with respect to, the Common Stock subject to the Plan or subject to any Award after the Original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will not be treated as a Capitalization Adjustment.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(h)    </w:t>
      </w:r>
      <w:r>
        <w:rPr>
          <w:color w:val="000000"/>
        </w:rPr>
        <w:t>“</w:t>
      </w:r>
      <w:r>
        <w:rPr>
          <w:rFonts w:ascii="Avenir Next LT Pro;sans-serif" w:hAnsi="Avenir Next LT Pro;sans-serif"/>
          <w:b/>
          <w:i/>
          <w:color w:val="000000"/>
          <w:sz w:val="18"/>
        </w:rPr>
        <w:t>Cause</w:t>
      </w:r>
      <w:r>
        <w:rPr>
          <w:color w:val="000000"/>
        </w:rPr>
        <w:t xml:space="preserve">” </w:t>
      </w:r>
      <w:r>
        <w:rPr>
          <w:rFonts w:ascii="Avenir Next LT Pro;sans-serif" w:hAnsi="Avenir Next LT Pro;sans-serif"/>
          <w:b w:val="false"/>
          <w:color w:val="000000"/>
          <w:sz w:val="18"/>
        </w:rPr>
        <w:t>will have the meaning ascribed to such term in any written agreement between a Participant and the Company or an Affiliate defining such term and, in the absence of such agreement, such term means, with respect to a Participant, the occurrence of one or more of the following events that has a material negative impact on the business or reputation of the Company or an Affiliate: (i) any willful, material violation by the Participant of any law or regulation applicable to the business of the Company or an Affiliate; (ii) the Participant’s conviction for, or guilty plea to, a felony or a crime involving moral turpitude, or any willful perpetration by the Participant of a common law fraud; (iii) the Participant’s commission of an act of personal dishonesty which involves personal profit in connection with the Company, an Affiliate, or any other entity having a business relationship with the Company or an Affiliate; (iv) any material breach by the Participant of any provision of any agreement or understanding between the Company or an Affiliate and the Participant regarding the terms of the Participant’s service as an employee, officer, director or consultant to the Company or an Affiliate, including without limitation, the willful and continued failure or refusal of the Participant to perform the material duties required of the Participant as an employee, officer, director or consultant to the Company or an Affiliate, other than as a result of having a Disability, or a breach of any applicable invention assignment and confidentiality agreement or similar agreement between the Company or an Affiliate and the Participant; (v) the Participant’s disregard of the policies of the Company or an Affiliate so as to cause loss, damage or injury to the property, reputation or employees of the Company or an Affiliate; or (vi) any other misconduct by the Participant which is materially injurious to the financial condition or business reputation of, or is otherwise materially injurious to, the Company or an Affiliate. The determination that a termination of a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the Participant will have no effect upon any determination of the rights or obligations of the Company or the Participant for any other purpose.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1"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(i)    </w:t>
      </w:r>
      <w:r>
        <w:rPr>
          <w:color w:val="000000"/>
        </w:rPr>
        <w:t>“</w:t>
      </w:r>
      <w:r>
        <w:rPr>
          <w:rFonts w:ascii="Avenir Next LT Pro;sans-serif" w:hAnsi="Avenir Next LT Pro;sans-serif"/>
          <w:b/>
          <w:i/>
          <w:color w:val="000000"/>
          <w:sz w:val="18"/>
        </w:rPr>
        <w:t>Change in Control</w:t>
      </w:r>
      <w:r>
        <w:rPr>
          <w:color w:val="000000"/>
        </w:rPr>
        <w:t xml:space="preserve">” </w:t>
      </w:r>
      <w:r>
        <w:rPr>
          <w:rFonts w:ascii="Avenir Next LT Pro;sans-serif" w:hAnsi="Avenir Next LT Pro;sans-serif"/>
          <w:b w:val="false"/>
          <w:color w:val="000000"/>
          <w:sz w:val="18"/>
        </w:rPr>
        <w:t>means the occurrence, in a single transaction or in a series of related transactions, of any one or more of the following events: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venir Next LT Pro;sans-serif" w:hAnsi="Avenir Next LT Pro;sans-serif"/>
          <w:b/>
          <w:i/>
          <w:color w:val="000000"/>
          <w:sz w:val="18"/>
        </w:rPr>
        <w:t>Subject Person</w:t>
      </w:r>
      <w:r>
        <w:rPr>
          <w:color w:val="000000"/>
        </w:rPr>
        <w:t>”</w:t>
      </w:r>
      <w:r>
        <w:rPr>
          <w:rFonts w:ascii="Avenir Next LT Pro;sans-serif" w:hAnsi="Avenir Next LT Pro;sans-serif"/>
          <w:b w:val="false"/>
          <w:color w:val="000000"/>
          <w:sz w:val="18"/>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w:t>
      </w:r>
      <w:r>
        <w:rPr>
          <w:rFonts w:ascii="Avenir Next LT Pro;sans-serif" w:hAnsi="Avenir Next LT Pro;sans-serif"/>
          <w:b w:val="false"/>
          <w:color w:val="000000"/>
          <w:sz w:val="18"/>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(iv)    </w:t>
      </w:r>
      <w:r>
        <w:rPr>
          <w:rFonts w:ascii="Avenir Next LT Pro;sans-serif" w:hAnsi="Avenir Next LT Pro;sans-serif"/>
          <w:b w:val="false"/>
          <w:color w:val="000000"/>
          <w:sz w:val="18"/>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(v)    </w:t>
      </w:r>
      <w:r>
        <w:rPr>
          <w:rFonts w:ascii="Avenir Next LT Pro;sans-serif" w:hAnsi="Avenir Next LT Pro;sans-serif"/>
          <w:b w:val="false"/>
          <w:color w:val="000000"/>
          <w:sz w:val="18"/>
        </w:rPr>
        <w:t>individuals who, on the Original Adoption Date, are members of the Board (the “</w:t>
      </w:r>
      <w:r>
        <w:rPr>
          <w:rFonts w:ascii="Avenir Next LT Pro;sans-serif" w:hAnsi="Avenir Next LT Pro;sans-serif"/>
          <w:b/>
          <w:i/>
          <w:color w:val="000000"/>
          <w:sz w:val="18"/>
        </w:rPr>
        <w:t>Incumbent Board</w:t>
      </w:r>
      <w:r>
        <w:rPr>
          <w:color w:val="000000"/>
        </w:rPr>
        <w:t>”</w:t>
      </w:r>
      <w:r>
        <w:rPr>
          <w:rFonts w:ascii="Avenir Next LT Pro;sans-serif" w:hAnsi="Avenir Next LT Pro;sans-serif"/>
          <w:b w:val="false"/>
          <w:color w:val="000000"/>
          <w:sz w:val="18"/>
        </w:rPr>
        <w:t xml:space="preserve">) cease for any reason to constitute at least a majority of the members of the Board;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288" w:before="0" w:after="240"/>
        <w:ind w:left="0" w:right="0" w:firstLine="720"/>
        <w:jc w:val="both"/>
        <w:rPr/>
      </w:pPr>
      <w:r>
        <w:rPr>
          <w:rFonts w:ascii="Avenir Next LT Pro;sans-serif" w:hAnsi="Avenir Next LT Pro;sans-serif"/>
          <w:b w:val="false"/>
          <w:color w:val="000000"/>
          <w:sz w:val="18"/>
        </w:rPr>
        <w:t xml:space="preserve">Notwithstanding the foregoing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a Participant and the Company or an Affiliate will supersede the foregoing definition with respect to Awards subject to such agreement; </w:t>
      </w:r>
      <w:r>
        <w:rPr>
          <w:rFonts w:ascii="Avenir Next LT Pro;sans-serif" w:hAnsi="Avenir Next LT Pro;sans-serif"/>
          <w:b w:val="false"/>
          <w:i/>
          <w:color w:val="000000"/>
          <w:sz w:val="18"/>
        </w:rPr>
        <w:t>provided, however</w:t>
      </w:r>
      <w:r>
        <w:rPr>
          <w:rFonts w:ascii="Avenir Next LT Pro;sans-serif" w:hAnsi="Avenir Next LT Pro;sans-serif"/>
          <w:b w:val="false"/>
          <w:color w:val="000000"/>
          <w:sz w:val="18"/>
        </w:rPr>
        <w:t xml:space="preserve">, that (1) if no definition of Change in Control (or any analogous term) is set forth in such an individual written agreement, the foregoing definition will apply; and (2) no Change in Control (or any analogous term) will be deemed to occur with respect to Awards subject to such an individual written agreement without a requirement that the Change in Control (or any analogous term) actually occur. </w:t>
      </w:r>
    </w:p>
    <w:p>
      <w:pPr>
        <w:pStyle w:val="TextBody"/>
        <w:bidi w:val="0"/>
        <w:spacing w:lineRule="auto" w:line="288" w:before="0" w:after="240"/>
        <w:ind w:left="0" w:right="0" w:firstLine="720"/>
        <w:jc w:val="both"/>
        <w:rPr>
          <w:rFonts w:ascii="Avenir Next LT Pro;sans-serif" w:hAnsi="Avenir Next LT Pro;sans-serif"/>
          <w:b w:val="false"/>
          <w:color w:val="000000"/>
          <w:sz w:val="18"/>
        </w:rPr>
      </w:pPr>
      <w:r>
        <w:rPr>
          <w:rFonts w:ascii="Avenir Next LT Pro;sans-serif" w:hAnsi="Avenir Next LT Pro;sans-serif"/>
          <w:b w:val="false"/>
          <w:color w:val="000000"/>
          <w:sz w:val="18"/>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The Board may, in its sole discretion and without a Participant’s consent, amend the definition of “Change in Control” to conform to the definition of a “change in control event” under Section 409A of the Code and the regulations thereunder.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(j)    </w:t>
      </w:r>
      <w:r>
        <w:rPr>
          <w:color w:val="000000"/>
        </w:rPr>
        <w:t>“</w:t>
      </w:r>
      <w:r>
        <w:rPr>
          <w:rFonts w:ascii="Avenir Next LT Pro;sans-serif" w:hAnsi="Avenir Next LT Pro;sans-serif"/>
          <w:b/>
          <w:i/>
          <w:color w:val="000000"/>
          <w:sz w:val="18"/>
        </w:rPr>
        <w:t>Code</w:t>
      </w:r>
      <w:r>
        <w:rPr>
          <w:color w:val="000000"/>
        </w:rPr>
        <w:t xml:space="preserve">” </w:t>
      </w:r>
      <w:r>
        <w:rPr>
          <w:rFonts w:ascii="Avenir Next LT Pro;sans-serif" w:hAnsi="Avenir Next LT Pro;sans-serif"/>
          <w:b w:val="false"/>
          <w:color w:val="000000"/>
          <w:sz w:val="18"/>
        </w:rPr>
        <w:t>means the Internal Revenue Code of 1986, as amended, including any applicable regulations and guidance thereunder.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(k)    </w:t>
      </w:r>
      <w:r>
        <w:rPr>
          <w:color w:val="000000"/>
        </w:rPr>
        <w:t>“</w:t>
      </w:r>
      <w:r>
        <w:rPr>
          <w:rFonts w:ascii="Avenir Next LT Pro;sans-serif" w:hAnsi="Avenir Next LT Pro;sans-serif"/>
          <w:b/>
          <w:i/>
          <w:color w:val="000000"/>
          <w:sz w:val="18"/>
        </w:rPr>
        <w:t>Committee</w:t>
      </w:r>
      <w:r>
        <w:rPr>
          <w:color w:val="000000"/>
        </w:rPr>
        <w:t xml:space="preserve">” </w:t>
      </w:r>
      <w:r>
        <w:rPr>
          <w:rFonts w:ascii="Avenir Next LT Pro;sans-serif" w:hAnsi="Avenir Next LT Pro;sans-serif"/>
          <w:b w:val="false"/>
          <w:color w:val="000000"/>
          <w:sz w:val="18"/>
        </w:rPr>
        <w:t>means a committee of one or more Directors to whom authority has been delegated by the Board in accordance with Section 2(c).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2"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(l)    </w:t>
      </w:r>
      <w:r>
        <w:rPr>
          <w:color w:val="000000"/>
        </w:rPr>
        <w:t>“</w:t>
      </w:r>
      <w:r>
        <w:rPr>
          <w:rFonts w:ascii="Avenir Next LT Pro;sans-serif" w:hAnsi="Avenir Next LT Pro;sans-serif"/>
          <w:b/>
          <w:i/>
          <w:color w:val="000000"/>
          <w:sz w:val="18"/>
        </w:rPr>
        <w:t>Common Stock</w:t>
      </w:r>
      <w:r>
        <w:rPr>
          <w:color w:val="000000"/>
        </w:rPr>
        <w:t xml:space="preserve">” </w:t>
      </w:r>
      <w:r>
        <w:rPr>
          <w:rFonts w:ascii="Avenir Next LT Pro;sans-serif" w:hAnsi="Avenir Next LT Pro;sans-serif"/>
          <w:b w:val="false"/>
          <w:color w:val="000000"/>
          <w:sz w:val="18"/>
        </w:rPr>
        <w:t>means the common stock of the Company.</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(m)    </w:t>
      </w:r>
      <w:r>
        <w:rPr>
          <w:color w:val="000000"/>
        </w:rPr>
        <w:t>“</w:t>
      </w:r>
      <w:r>
        <w:rPr>
          <w:rFonts w:ascii="Avenir Next LT Pro;sans-serif" w:hAnsi="Avenir Next LT Pro;sans-serif"/>
          <w:b/>
          <w:i/>
          <w:color w:val="000000"/>
          <w:sz w:val="18"/>
        </w:rPr>
        <w:t>Company</w:t>
      </w:r>
      <w:r>
        <w:rPr>
          <w:color w:val="000000"/>
        </w:rPr>
        <w:t xml:space="preserve">” </w:t>
      </w:r>
      <w:r>
        <w:rPr>
          <w:rFonts w:ascii="Avenir Next LT Pro;sans-serif" w:hAnsi="Avenir Next LT Pro;sans-serif"/>
          <w:b w:val="false"/>
          <w:color w:val="000000"/>
          <w:sz w:val="18"/>
        </w:rPr>
        <w:t>means Enphase Energy, Inc., a Delaware corporation.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(n)    </w:t>
      </w:r>
      <w:r>
        <w:rPr>
          <w:color w:val="000000"/>
        </w:rPr>
        <w:t>“</w:t>
      </w:r>
      <w:r>
        <w:rPr>
          <w:rFonts w:ascii="Avenir Next LT Pro;sans-serif" w:hAnsi="Avenir Next LT Pro;sans-serif"/>
          <w:b/>
          <w:i/>
          <w:color w:val="000000"/>
          <w:sz w:val="18"/>
        </w:rPr>
        <w:t>Consultant</w:t>
      </w:r>
      <w:r>
        <w:rPr>
          <w:color w:val="000000"/>
        </w:rPr>
        <w:t xml:space="preserve">” </w:t>
      </w:r>
      <w:r>
        <w:rPr>
          <w:rFonts w:ascii="Avenir Next LT Pro;sans-serif" w:hAnsi="Avenir Next LT Pro;sans-serif"/>
          <w:b w:val="false"/>
          <w:color w:val="000000"/>
          <w:sz w:val="18"/>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(o)    </w:t>
      </w:r>
      <w:r>
        <w:rPr>
          <w:color w:val="000000"/>
        </w:rPr>
        <w:t>“</w:t>
      </w:r>
      <w:r>
        <w:rPr>
          <w:rFonts w:ascii="Avenir Next LT Pro;sans-serif" w:hAnsi="Avenir Next LT Pro;sans-serif"/>
          <w:b/>
          <w:i/>
          <w:color w:val="000000"/>
          <w:sz w:val="18"/>
        </w:rPr>
        <w:t>Continuous Service</w:t>
      </w:r>
      <w:r>
        <w:rPr>
          <w:color w:val="000000"/>
        </w:rPr>
        <w:t xml:space="preserve">” </w:t>
      </w:r>
      <w:r>
        <w:rPr>
          <w:rFonts w:ascii="Avenir Next LT Pro;sans-serif" w:hAnsi="Avenir Next LT Pro;sans-serif"/>
          <w:b w:val="false"/>
          <w:color w:val="000000"/>
          <w:sz w:val="18"/>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venir Next LT Pro;sans-serif" w:hAnsi="Avenir Next LT Pro;sans-serif"/>
          <w:b w:val="false"/>
          <w:i/>
          <w:color w:val="000000"/>
          <w:sz w:val="18"/>
        </w:rPr>
        <w:t>provided, however,</w:t>
      </w:r>
      <w:r>
        <w:rPr>
          <w:color w:val="000000"/>
        </w:rPr>
        <w:t xml:space="preserve"> </w:t>
      </w:r>
      <w:r>
        <w:rPr>
          <w:rFonts w:ascii="Avenir Next LT Pro;sans-serif" w:hAnsi="Avenir Next LT Pro;sans-serif"/>
          <w:b w:val="false"/>
          <w:color w:val="000000"/>
          <w:sz w:val="18"/>
        </w:rPr>
        <w:t>that</w:t>
      </w:r>
      <w:r>
        <w:rPr>
          <w:color w:val="000000"/>
        </w:rPr>
        <w:t xml:space="preserve"> </w:t>
      </w:r>
      <w:r>
        <w:rPr>
          <w:rFonts w:ascii="Avenir Next LT Pro;sans-serif" w:hAnsi="Avenir Next LT Pro;sans-serif"/>
          <w:b w:val="false"/>
          <w:color w:val="000000"/>
          <w:sz w:val="18"/>
        </w:rPr>
        <w:t>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or Affiliate’s leave of absence policy, in the written terms of any leave of absence agreement or policy applicable to the Participant, or as otherwise required by law.</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(p)    </w:t>
      </w:r>
      <w:r>
        <w:rPr>
          <w:color w:val="000000"/>
        </w:rPr>
        <w:t>“</w:t>
      </w:r>
      <w:r>
        <w:rPr>
          <w:rFonts w:ascii="Avenir Next LT Pro;sans-serif" w:hAnsi="Avenir Next LT Pro;sans-serif"/>
          <w:b/>
          <w:i/>
          <w:color w:val="000000"/>
          <w:sz w:val="18"/>
        </w:rPr>
        <w:t>Corporate Transaction</w:t>
      </w:r>
      <w:r>
        <w:rPr>
          <w:color w:val="000000"/>
        </w:rPr>
        <w:t xml:space="preserve">” </w:t>
      </w:r>
      <w:r>
        <w:rPr>
          <w:rFonts w:ascii="Avenir Next LT Pro;sans-serif" w:hAnsi="Avenir Next LT Pro;sans-serif"/>
          <w:b w:val="false"/>
          <w:color w:val="000000"/>
          <w:sz w:val="18"/>
        </w:rPr>
        <w:t>means the occurrence, in a single transaction or in a series of related transactions, of any one or more of the following events: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the consummation of a sale</w:t>
      </w:r>
      <w:r>
        <w:rPr>
          <w:color w:val="000000"/>
        </w:rPr>
        <w:t xml:space="preserve"> </w:t>
      </w:r>
      <w:r>
        <w:rPr>
          <w:rFonts w:ascii="Avenir Next LT Pro;sans-serif" w:hAnsi="Avenir Next LT Pro;sans-serif"/>
          <w:b w:val="false"/>
          <w:color w:val="000000"/>
          <w:sz w:val="18"/>
        </w:rPr>
        <w:t>or other disposition of all or substantially all, as determined by the Board, in its sole discretion, of the consolidated assets of the Company and its Subsidiaries;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the consummation of a sale or other disposition of at least 90% of the outstanding securities of the Company;</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w:t>
      </w:r>
      <w:r>
        <w:rPr>
          <w:rFonts w:ascii="Avenir Next LT Pro;sans-serif" w:hAnsi="Avenir Next LT Pro;sans-serif"/>
          <w:b w:val="false"/>
          <w:color w:val="000000"/>
          <w:sz w:val="18"/>
        </w:rPr>
        <w:t>the consummation of a merger, consolidation or similar transaction following which the Company is not the surviving corporation; or</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(iv)    </w:t>
      </w:r>
      <w:r>
        <w:rPr>
          <w:rFonts w:ascii="Avenir Next LT Pro;sans-serif" w:hAnsi="Avenir Next LT Pro;sans-serif"/>
          <w:b w:val="false"/>
          <w:color w:val="000000"/>
          <w:sz w:val="18"/>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88" w:before="0" w:after="240"/>
        <w:jc w:val="both"/>
        <w:rPr>
          <w:color w:val="000000"/>
        </w:rPr>
      </w:pPr>
      <w:r>
        <w:rPr>
          <w:color w:val="000000"/>
        </w:rPr>
        <w:t>    </w:t>
      </w:r>
      <w:r>
        <w:rPr>
          <w:rFonts w:ascii="Avenir Next LT Pro;sans-serif" w:hAnsi="Avenir Next LT Pro;sans-serif"/>
          <w:b w:val="false"/>
          <w:color w:val="000000"/>
          <w:sz w:val="18"/>
        </w:rPr>
        <w:t>If required for compliance with Section 409A of the Code, in no event will an event be deemed a Corporate Transaction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The Board may, in its sole discretion and without a Participant’s consent, amend the definition of “Corporate Transaction” to conform to the definition of a “change in control event” under Section 409A of the Code and the regulations thereunder.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(q)    </w:t>
      </w:r>
      <w:r>
        <w:rPr>
          <w:color w:val="000000"/>
        </w:rPr>
        <w:t>“</w:t>
      </w:r>
      <w:r>
        <w:rPr>
          <w:rFonts w:ascii="Avenir Next LT Pro;sans-serif" w:hAnsi="Avenir Next LT Pro;sans-serif"/>
          <w:b/>
          <w:i/>
          <w:color w:val="000000"/>
          <w:sz w:val="18"/>
        </w:rPr>
        <w:t>Director</w:t>
      </w:r>
      <w:r>
        <w:rPr>
          <w:color w:val="000000"/>
        </w:rPr>
        <w:t xml:space="preserve">” </w:t>
      </w:r>
      <w:r>
        <w:rPr>
          <w:rFonts w:ascii="Avenir Next LT Pro;sans-serif" w:hAnsi="Avenir Next LT Pro;sans-serif"/>
          <w:b w:val="false"/>
          <w:color w:val="000000"/>
          <w:sz w:val="18"/>
        </w:rPr>
        <w:t>means a member of the Board.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(r)    </w:t>
      </w:r>
      <w:r>
        <w:rPr>
          <w:color w:val="000000"/>
        </w:rPr>
        <w:t>“</w:t>
      </w:r>
      <w:r>
        <w:rPr>
          <w:rFonts w:ascii="Avenir Next LT Pro;sans-serif" w:hAnsi="Avenir Next LT Pro;sans-serif"/>
          <w:b/>
          <w:i/>
          <w:color w:val="000000"/>
          <w:sz w:val="18"/>
        </w:rPr>
        <w:t>Disability</w:t>
      </w:r>
      <w:r>
        <w:rPr>
          <w:color w:val="000000"/>
        </w:rPr>
        <w:t xml:space="preserve">” </w:t>
      </w:r>
      <w:r>
        <w:rPr>
          <w:rFonts w:ascii="Avenir Next LT Pro;sans-serif" w:hAnsi="Avenir Next LT Pro;sans-serif"/>
          <w:b w:val="false"/>
          <w:color w:val="000000"/>
          <w:sz w:val="18"/>
        </w:rPr>
        <w:t>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(s)    </w:t>
      </w:r>
      <w:r>
        <w:rPr>
          <w:color w:val="000000"/>
        </w:rPr>
        <w:t>“</w:t>
      </w:r>
      <w:r>
        <w:rPr>
          <w:rFonts w:ascii="Avenir Next LT Pro;sans-serif" w:hAnsi="Avenir Next LT Pro;sans-serif"/>
          <w:b/>
          <w:i/>
          <w:color w:val="000000"/>
          <w:sz w:val="18"/>
        </w:rPr>
        <w:t>Effective Date</w:t>
      </w:r>
      <w:r>
        <w:rPr>
          <w:color w:val="000000"/>
        </w:rPr>
        <w:t xml:space="preserve">” </w:t>
      </w:r>
      <w:r>
        <w:rPr>
          <w:rFonts w:ascii="Avenir Next LT Pro;sans-serif" w:hAnsi="Avenir Next LT Pro;sans-serif"/>
          <w:b w:val="false"/>
          <w:color w:val="000000"/>
          <w:sz w:val="18"/>
        </w:rPr>
        <w:t>means the effective date of this Plan (as amended and restated hereby), which is the date of the Annual Meeting of Stockholders of the Company held in 2025, provided that this Plan is approved by the Company’s stockholders at such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3"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(t)    </w:t>
      </w:r>
      <w:r>
        <w:rPr>
          <w:color w:val="000000"/>
        </w:rPr>
        <w:t>“</w:t>
      </w:r>
      <w:r>
        <w:rPr>
          <w:rFonts w:ascii="Avenir Next LT Pro;sans-serif" w:hAnsi="Avenir Next LT Pro;sans-serif"/>
          <w:b/>
          <w:i/>
          <w:color w:val="000000"/>
          <w:sz w:val="18"/>
        </w:rPr>
        <w:t>Employee</w:t>
      </w:r>
      <w:r>
        <w:rPr>
          <w:color w:val="000000"/>
        </w:rPr>
        <w:t xml:space="preserve">” </w:t>
      </w:r>
      <w:r>
        <w:rPr>
          <w:rFonts w:ascii="Avenir Next LT Pro;sans-serif" w:hAnsi="Avenir Next LT Pro;sans-serif"/>
          <w:b w:val="false"/>
          <w:color w:val="000000"/>
          <w:sz w:val="18"/>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(u)    </w:t>
      </w:r>
      <w:r>
        <w:rPr>
          <w:color w:val="000000"/>
        </w:rPr>
        <w:t>“</w:t>
      </w:r>
      <w:r>
        <w:rPr>
          <w:rFonts w:ascii="Avenir Next LT Pro;sans-serif" w:hAnsi="Avenir Next LT Pro;sans-serif"/>
          <w:b/>
          <w:i/>
          <w:color w:val="000000"/>
          <w:sz w:val="18"/>
        </w:rPr>
        <w:t>Entity</w:t>
      </w:r>
      <w:r>
        <w:rPr>
          <w:color w:val="000000"/>
        </w:rPr>
        <w:t xml:space="preserve">” </w:t>
      </w:r>
      <w:r>
        <w:rPr>
          <w:rFonts w:ascii="Avenir Next LT Pro;sans-serif" w:hAnsi="Avenir Next LT Pro;sans-serif"/>
          <w:b w:val="false"/>
          <w:color w:val="000000"/>
          <w:sz w:val="18"/>
        </w:rPr>
        <w:t>means a corporation, partnership, limited liability company or other entity.</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(v)    </w:t>
      </w:r>
      <w:r>
        <w:rPr>
          <w:color w:val="000000"/>
        </w:rPr>
        <w:t>“</w:t>
      </w:r>
      <w:r>
        <w:rPr>
          <w:rFonts w:ascii="Avenir Next LT Pro;sans-serif" w:hAnsi="Avenir Next LT Pro;sans-serif"/>
          <w:b/>
          <w:i/>
          <w:color w:val="000000"/>
          <w:sz w:val="18"/>
        </w:rPr>
        <w:t>Exchange Act</w:t>
      </w:r>
      <w:r>
        <w:rPr>
          <w:color w:val="000000"/>
        </w:rPr>
        <w:t xml:space="preserve">” </w:t>
      </w:r>
      <w:r>
        <w:rPr>
          <w:rFonts w:ascii="Avenir Next LT Pro;sans-serif" w:hAnsi="Avenir Next LT Pro;sans-serif"/>
          <w:b w:val="false"/>
          <w:color w:val="000000"/>
          <w:sz w:val="18"/>
        </w:rPr>
        <w:t>means the Securities Exchange Act of 1934, as amended, and the rules and regulations promulgated thereunder.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(w)    </w:t>
      </w:r>
      <w:r>
        <w:rPr>
          <w:color w:val="000000"/>
        </w:rPr>
        <w:t>“</w:t>
      </w:r>
      <w:r>
        <w:rPr>
          <w:rFonts w:ascii="Avenir Next LT Pro;sans-serif" w:hAnsi="Avenir Next LT Pro;sans-serif"/>
          <w:b/>
          <w:i/>
          <w:color w:val="000000"/>
          <w:sz w:val="18"/>
        </w:rPr>
        <w:t>Exchange Act Person</w:t>
      </w:r>
      <w:r>
        <w:rPr>
          <w:color w:val="000000"/>
        </w:rPr>
        <w:t xml:space="preserve">” </w:t>
      </w:r>
      <w:r>
        <w:rPr>
          <w:rFonts w:ascii="Avenir Next LT Pro;sans-serif" w:hAnsi="Avenir Next LT Pro;sans-serif"/>
          <w:b w:val="false"/>
          <w:color w:val="000000"/>
          <w:sz w:val="18"/>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Original Effective Date, is the Owner, directly or indirectly, of securities of the Company representing more than fifty percent 50% of the combined voting power of the Company’s then outstanding securities.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(x)    </w:t>
      </w:r>
      <w:r>
        <w:rPr>
          <w:color w:val="000000"/>
        </w:rPr>
        <w:t>“</w:t>
      </w:r>
      <w:r>
        <w:rPr>
          <w:rFonts w:ascii="Avenir Next LT Pro;sans-serif" w:hAnsi="Avenir Next LT Pro;sans-serif"/>
          <w:b/>
          <w:i/>
          <w:color w:val="000000"/>
          <w:sz w:val="18"/>
        </w:rPr>
        <w:t>Fair Market Value</w:t>
      </w:r>
      <w:r>
        <w:rPr>
          <w:color w:val="000000"/>
        </w:rPr>
        <w:t xml:space="preserve">” </w:t>
      </w:r>
      <w:r>
        <w:rPr>
          <w:rFonts w:ascii="Avenir Next LT Pro;sans-serif" w:hAnsi="Avenir Next LT Pro;sans-serif"/>
          <w:b w:val="false"/>
          <w:color w:val="000000"/>
          <w:sz w:val="18"/>
        </w:rPr>
        <w:t>means, as of any date, the value of the Common Stock determined as follows: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    </w:t>
      </w:r>
      <w:r>
        <w:rPr>
          <w:rFonts w:ascii="Avenir Next LT Pro;sans-serif" w:hAnsi="Avenir Next LT Pro;sans-serif"/>
          <w:b w:val="false"/>
          <w:color w:val="000000"/>
          <w:sz w:val="18"/>
        </w:rPr>
        <w:t>Unless otherwise provided by the Board, if the Common Stock is listed on any established stock exchange or traded on any established market, then the Fair Market Value of a share of Common Stock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    </w:t>
      </w:r>
      <w:r>
        <w:rPr>
          <w:rFonts w:ascii="Avenir Next LT Pro;sans-serif" w:hAnsi="Avenir Next LT Pro;sans-serif"/>
          <w:b w:val="false"/>
          <w:color w:val="000000"/>
          <w:sz w:val="18"/>
        </w:rPr>
        <w:t>Unless otherwise provided by the Board, if there is no closing sales price for the Common Stock on the date of determination, then the Fair Market Value of a share of Common Stock will be the closing sales price for such stock on the last preceding date for which such quotation exists.</w:t>
      </w:r>
    </w:p>
    <w:p>
      <w:pPr>
        <w:pStyle w:val="TextBody"/>
        <w:bidi w:val="0"/>
        <w:spacing w:lineRule="auto" w:line="288" w:before="0" w:after="240"/>
        <w:ind w:left="0" w:right="0" w:firstLine="1440"/>
        <w:jc w:val="both"/>
        <w:rPr/>
      </w:pPr>
      <w:r>
        <w:rPr>
          <w:rFonts w:ascii="Avenir Next LT Pro;sans-serif" w:hAnsi="Avenir Next LT Pro;sans-serif"/>
          <w:b/>
          <w:color w:val="000000"/>
          <w:sz w:val="18"/>
        </w:rPr>
        <w:t>(iii)    </w:t>
      </w:r>
      <w:r>
        <w:rPr>
          <w:rFonts w:ascii="Avenir Next LT Pro;sans-serif" w:hAnsi="Avenir Next LT Pro;sans-serif"/>
          <w:b w:val="false"/>
          <w:color w:val="000000"/>
          <w:sz w:val="18"/>
        </w:rPr>
        <w:t xml:space="preserve">In the absence of such markets for the Common Stock, the Fair Market Value of a share of Common Stock will be determined by the Board in good faith and in a manner that complies with Sections 409A and 422 of the Code. </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(y)    </w:t>
      </w:r>
      <w:r>
        <w:rPr>
          <w:color w:val="000000"/>
        </w:rPr>
        <w:t>“</w:t>
      </w:r>
      <w:r>
        <w:rPr>
          <w:rFonts w:ascii="Avenir Next LT Pro;sans-serif" w:hAnsi="Avenir Next LT Pro;sans-serif"/>
          <w:b/>
          <w:i/>
          <w:color w:val="000000"/>
          <w:sz w:val="18"/>
        </w:rPr>
        <w:t>Full Value Award</w:t>
      </w:r>
      <w:r>
        <w:rPr>
          <w:color w:val="000000"/>
        </w:rPr>
        <w:t xml:space="preserve">” </w:t>
      </w:r>
      <w:r>
        <w:rPr>
          <w:rFonts w:ascii="Avenir Next LT Pro;sans-serif" w:hAnsi="Avenir Next LT Pro;sans-serif"/>
          <w:b w:val="false"/>
          <w:color w:val="000000"/>
          <w:sz w:val="18"/>
        </w:rPr>
        <w:t>means (i) a stock award granted under the Prior Plan or (ii) an Award, in each case that is not an Appreciation Award.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(z)    </w:t>
      </w:r>
      <w:r>
        <w:rPr>
          <w:color w:val="000000"/>
        </w:rPr>
        <w:t>“</w:t>
      </w:r>
      <w:r>
        <w:rPr>
          <w:rFonts w:ascii="Avenir Next LT Pro;sans-serif" w:hAnsi="Avenir Next LT Pro;sans-serif"/>
          <w:b/>
          <w:i/>
          <w:color w:val="000000"/>
          <w:sz w:val="18"/>
        </w:rPr>
        <w:t>Incentive Stock Option</w:t>
      </w:r>
      <w:r>
        <w:rPr>
          <w:color w:val="000000"/>
        </w:rPr>
        <w:t xml:space="preserve">” </w:t>
      </w:r>
      <w:r>
        <w:rPr>
          <w:rFonts w:ascii="Avenir Next LT Pro;sans-serif" w:hAnsi="Avenir Next LT Pro;sans-serif"/>
          <w:b w:val="false"/>
          <w:color w:val="000000"/>
          <w:sz w:val="18"/>
        </w:rPr>
        <w:t>means an option granted pursuant to Section 5 that is intended to be, and that qualifies as, an “incentive stock option” within the meaning of Section 422 of the Code.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(aa)    </w:t>
      </w:r>
      <w:r>
        <w:rPr>
          <w:color w:val="000000"/>
        </w:rPr>
        <w:t>“</w:t>
      </w:r>
      <w:r>
        <w:rPr>
          <w:rFonts w:ascii="Avenir Next LT Pro;sans-serif" w:hAnsi="Avenir Next LT Pro;sans-serif"/>
          <w:b/>
          <w:i/>
          <w:color w:val="000000"/>
          <w:sz w:val="18"/>
        </w:rPr>
        <w:t>Non-Employee Director</w:t>
      </w:r>
      <w:r>
        <w:rPr>
          <w:color w:val="000000"/>
        </w:rPr>
        <w:t xml:space="preserve">” </w:t>
      </w:r>
      <w:r>
        <w:rPr>
          <w:rFonts w:ascii="Avenir Next LT Pro;sans-serif" w:hAnsi="Avenir Next LT Pro;sans-serif"/>
          <w:b w:val="false"/>
          <w:color w:val="000000"/>
          <w:sz w:val="18"/>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venir Next LT Pro;sans-serif" w:hAnsi="Avenir Next LT Pro;sans-serif"/>
          <w:b/>
          <w:i/>
          <w:color w:val="000000"/>
          <w:sz w:val="18"/>
        </w:rPr>
        <w:t>Regulation S-K</w:t>
      </w:r>
      <w:r>
        <w:rPr>
          <w:color w:val="000000"/>
        </w:rPr>
        <w:t>”</w:t>
      </w:r>
      <w:r>
        <w:rPr>
          <w:rFonts w:ascii="Avenir Next LT Pro;sans-serif" w:hAnsi="Avenir Next LT Pro;sans-serif"/>
          <w:b w:val="false"/>
          <w:color w:val="000000"/>
          <w:sz w:val="18"/>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(bb)    </w:t>
      </w:r>
      <w:r>
        <w:rPr>
          <w:color w:val="000000"/>
        </w:rPr>
        <w:t>“</w:t>
      </w:r>
      <w:r>
        <w:rPr>
          <w:rFonts w:ascii="Avenir Next LT Pro;sans-serif" w:hAnsi="Avenir Next LT Pro;sans-serif"/>
          <w:b/>
          <w:i/>
          <w:color w:val="000000"/>
          <w:sz w:val="18"/>
        </w:rPr>
        <w:t>Nonstatutory Stock Option</w:t>
      </w:r>
      <w:r>
        <w:rPr>
          <w:color w:val="000000"/>
        </w:rPr>
        <w:t xml:space="preserve">” </w:t>
      </w:r>
      <w:r>
        <w:rPr>
          <w:rFonts w:ascii="Avenir Next LT Pro;sans-serif" w:hAnsi="Avenir Next LT Pro;sans-serif"/>
          <w:b w:val="false"/>
          <w:color w:val="000000"/>
          <w:sz w:val="18"/>
        </w:rPr>
        <w:t>means an option granted pursuant to Section 5 that does not qualify as an Incentive Stock Option.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(cc)    </w:t>
      </w:r>
      <w:r>
        <w:rPr>
          <w:color w:val="000000"/>
        </w:rPr>
        <w:t>“</w:t>
      </w:r>
      <w:r>
        <w:rPr>
          <w:rFonts w:ascii="Avenir Next LT Pro;sans-serif" w:hAnsi="Avenir Next LT Pro;sans-serif"/>
          <w:b/>
          <w:i/>
          <w:color w:val="000000"/>
          <w:sz w:val="18"/>
        </w:rPr>
        <w:t>Officer</w:t>
      </w:r>
      <w:r>
        <w:rPr>
          <w:color w:val="000000"/>
        </w:rPr>
        <w:t xml:space="preserve">” </w:t>
      </w:r>
      <w:r>
        <w:rPr>
          <w:rFonts w:ascii="Avenir Next LT Pro;sans-serif" w:hAnsi="Avenir Next LT Pro;sans-serif"/>
          <w:b w:val="false"/>
          <w:color w:val="000000"/>
          <w:sz w:val="18"/>
        </w:rPr>
        <w:t>means a person who is an officer of the Company within the meaning of Section 16 of the Exchange Act.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(dd)    </w:t>
      </w:r>
      <w:r>
        <w:rPr>
          <w:color w:val="000000"/>
        </w:rPr>
        <w:t>“</w:t>
      </w:r>
      <w:r>
        <w:rPr>
          <w:rFonts w:ascii="Avenir Next LT Pro;sans-serif" w:hAnsi="Avenir Next LT Pro;sans-serif"/>
          <w:b/>
          <w:i/>
          <w:color w:val="000000"/>
          <w:sz w:val="18"/>
        </w:rPr>
        <w:t>Option</w:t>
      </w:r>
      <w:r>
        <w:rPr>
          <w:color w:val="000000"/>
        </w:rPr>
        <w:t xml:space="preserve">” </w:t>
      </w:r>
      <w:r>
        <w:rPr>
          <w:rFonts w:ascii="Avenir Next LT Pro;sans-serif" w:hAnsi="Avenir Next LT Pro;sans-serif"/>
          <w:b w:val="false"/>
          <w:color w:val="000000"/>
          <w:sz w:val="18"/>
        </w:rPr>
        <w:t>means an Incentive Stock Option or a Nonstatutory Stock Option to purchase shares of Common Stock granted pursuant to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(ee)    </w:t>
      </w:r>
      <w:r>
        <w:rPr>
          <w:color w:val="000000"/>
        </w:rPr>
        <w:t>“</w:t>
      </w:r>
      <w:r>
        <w:rPr>
          <w:rFonts w:ascii="Avenir Next LT Pro;sans-serif" w:hAnsi="Avenir Next LT Pro;sans-serif"/>
          <w:b/>
          <w:i/>
          <w:color w:val="000000"/>
          <w:sz w:val="18"/>
        </w:rPr>
        <w:t>Option Agreement</w:t>
      </w:r>
      <w:r>
        <w:rPr>
          <w:color w:val="000000"/>
        </w:rPr>
        <w:t xml:space="preserve">” </w:t>
      </w:r>
      <w:r>
        <w:rPr>
          <w:rFonts w:ascii="Avenir Next LT Pro;sans-serif" w:hAnsi="Avenir Next LT Pro;sans-serif"/>
          <w:b w:val="false"/>
          <w:color w:val="000000"/>
          <w:sz w:val="18"/>
        </w:rPr>
        <w:t>means a written agreement between the Company and a holder of an Option evidencing the terms and conditions of an Option grant. Each Option Agreement will be subject to the terms and conditions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(ff)    </w:t>
      </w:r>
      <w:r>
        <w:rPr>
          <w:color w:val="000000"/>
        </w:rPr>
        <w:t>“</w:t>
      </w:r>
      <w:r>
        <w:rPr>
          <w:rFonts w:ascii="Avenir Next LT Pro;sans-serif" w:hAnsi="Avenir Next LT Pro;sans-serif"/>
          <w:b/>
          <w:i/>
          <w:color w:val="000000"/>
          <w:sz w:val="18"/>
        </w:rPr>
        <w:t>Original Adoption Date</w:t>
      </w:r>
      <w:r>
        <w:rPr>
          <w:color w:val="000000"/>
        </w:rPr>
        <w:t xml:space="preserve">” </w:t>
      </w:r>
      <w:r>
        <w:rPr>
          <w:rFonts w:ascii="Avenir Next LT Pro;sans-serif" w:hAnsi="Avenir Next LT Pro;sans-serif"/>
          <w:b w:val="false"/>
          <w:color w:val="000000"/>
          <w:sz w:val="18"/>
        </w:rPr>
        <w:t>means March 25, 2021, which is the date the Plan was originally adopted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4"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(gg)    </w:t>
      </w:r>
      <w:r>
        <w:rPr>
          <w:color w:val="000000"/>
        </w:rPr>
        <w:t>“</w:t>
      </w:r>
      <w:r>
        <w:rPr>
          <w:rFonts w:ascii="Avenir Next LT Pro;sans-serif" w:hAnsi="Avenir Next LT Pro;sans-serif"/>
          <w:b/>
          <w:i/>
          <w:color w:val="000000"/>
          <w:sz w:val="18"/>
        </w:rPr>
        <w:t>Original Effective Date</w:t>
      </w:r>
      <w:r>
        <w:rPr>
          <w:color w:val="000000"/>
        </w:rPr>
        <w:t xml:space="preserve">” </w:t>
      </w:r>
      <w:r>
        <w:rPr>
          <w:rFonts w:ascii="Avenir Next LT Pro;sans-serif" w:hAnsi="Avenir Next LT Pro;sans-serif"/>
          <w:b w:val="false"/>
          <w:color w:val="000000"/>
          <w:sz w:val="18"/>
        </w:rPr>
        <w:t>means May 19, 2021.</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(hh)    </w:t>
      </w:r>
      <w:r>
        <w:rPr>
          <w:color w:val="000000"/>
        </w:rPr>
        <w:t>“</w:t>
      </w:r>
      <w:r>
        <w:rPr>
          <w:rFonts w:ascii="Avenir Next LT Pro;sans-serif" w:hAnsi="Avenir Next LT Pro;sans-serif"/>
          <w:b/>
          <w:i/>
          <w:color w:val="000000"/>
          <w:sz w:val="18"/>
        </w:rPr>
        <w:t>Other Stock Award</w:t>
      </w:r>
      <w:r>
        <w:rPr>
          <w:color w:val="000000"/>
        </w:rPr>
        <w:t xml:space="preserve">” </w:t>
      </w:r>
      <w:r>
        <w:rPr>
          <w:rFonts w:ascii="Avenir Next LT Pro;sans-serif" w:hAnsi="Avenir Next LT Pro;sans-serif"/>
          <w:b w:val="false"/>
          <w:color w:val="000000"/>
          <w:sz w:val="18"/>
        </w:rPr>
        <w:t>means an award based in whole or in part by reference to the Common Stock which is granted pursuant to the terms and conditions of Section 6(d).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(ii)    </w:t>
      </w:r>
      <w:r>
        <w:rPr>
          <w:color w:val="000000"/>
        </w:rPr>
        <w:t>“</w:t>
      </w:r>
      <w:r>
        <w:rPr>
          <w:rFonts w:ascii="Avenir Next LT Pro;sans-serif" w:hAnsi="Avenir Next LT Pro;sans-serif"/>
          <w:b/>
          <w:i/>
          <w:color w:val="000000"/>
          <w:sz w:val="18"/>
        </w:rPr>
        <w:t>Other Stock Award Agreement</w:t>
      </w:r>
      <w:r>
        <w:rPr>
          <w:color w:val="000000"/>
        </w:rPr>
        <w:t xml:space="preserve">” </w:t>
      </w:r>
      <w:r>
        <w:rPr>
          <w:rFonts w:ascii="Avenir Next LT Pro;sans-serif" w:hAnsi="Avenir Next LT Pro;sans-serif"/>
          <w:b w:val="false"/>
          <w:color w:val="000000"/>
          <w:sz w:val="18"/>
        </w:rPr>
        <w:t>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(jj)    </w:t>
      </w:r>
      <w:r>
        <w:rPr>
          <w:color w:val="000000"/>
        </w:rPr>
        <w:t>“</w:t>
      </w:r>
      <w:r>
        <w:rPr>
          <w:rFonts w:ascii="Avenir Next LT Pro;sans-serif" w:hAnsi="Avenir Next LT Pro;sans-serif"/>
          <w:b/>
          <w:i/>
          <w:color w:val="000000"/>
          <w:sz w:val="18"/>
        </w:rPr>
        <w:t>Own,</w:t>
      </w:r>
      <w:r>
        <w:rPr>
          <w:color w:val="000000"/>
        </w:rPr>
        <w:t>” “</w:t>
      </w:r>
      <w:r>
        <w:rPr>
          <w:rFonts w:ascii="Avenir Next LT Pro;sans-serif" w:hAnsi="Avenir Next LT Pro;sans-serif"/>
          <w:b/>
          <w:i/>
          <w:color w:val="000000"/>
          <w:sz w:val="18"/>
        </w:rPr>
        <w:t>Owned,</w:t>
      </w:r>
      <w:r>
        <w:rPr>
          <w:color w:val="000000"/>
        </w:rPr>
        <w:t>” “</w:t>
      </w:r>
      <w:r>
        <w:rPr>
          <w:rFonts w:ascii="Avenir Next LT Pro;sans-serif" w:hAnsi="Avenir Next LT Pro;sans-serif"/>
          <w:b/>
          <w:i/>
          <w:color w:val="000000"/>
          <w:sz w:val="18"/>
        </w:rPr>
        <w:t>Owner,</w:t>
      </w:r>
      <w:r>
        <w:rPr>
          <w:color w:val="000000"/>
        </w:rPr>
        <w:t>” “</w:t>
      </w:r>
      <w:r>
        <w:rPr>
          <w:rFonts w:ascii="Avenir Next LT Pro;sans-serif" w:hAnsi="Avenir Next LT Pro;sans-serif"/>
          <w:b/>
          <w:i/>
          <w:color w:val="000000"/>
          <w:sz w:val="18"/>
        </w:rPr>
        <w:t>Ownership</w:t>
      </w:r>
      <w:r>
        <w:rPr>
          <w:color w:val="000000"/>
        </w:rPr>
        <w:t xml:space="preserve">” </w:t>
      </w:r>
      <w:r>
        <w:rPr>
          <w:rFonts w:ascii="Avenir Next LT Pro;sans-serif" w:hAnsi="Avenir Next LT Pro;sans-serif"/>
          <w:b w:val="false"/>
          <w:color w:val="000000"/>
          <w:sz w:val="18"/>
        </w:rPr>
        <w:t>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(kk)    </w:t>
      </w:r>
      <w:r>
        <w:rPr>
          <w:color w:val="000000"/>
        </w:rPr>
        <w:t>“</w:t>
      </w:r>
      <w:r>
        <w:rPr>
          <w:rFonts w:ascii="Avenir Next LT Pro;sans-serif" w:hAnsi="Avenir Next LT Pro;sans-serif"/>
          <w:b/>
          <w:i/>
          <w:color w:val="000000"/>
          <w:sz w:val="18"/>
        </w:rPr>
        <w:t>Participant</w:t>
      </w:r>
      <w:r>
        <w:rPr>
          <w:color w:val="000000"/>
        </w:rPr>
        <w:t xml:space="preserve">” </w:t>
      </w:r>
      <w:r>
        <w:rPr>
          <w:rFonts w:ascii="Avenir Next LT Pro;sans-serif" w:hAnsi="Avenir Next LT Pro;sans-serif"/>
          <w:b w:val="false"/>
          <w:color w:val="000000"/>
          <w:sz w:val="18"/>
        </w:rPr>
        <w:t>means a person to whom an Award is granted pursuant to the Plan or, if applicable, such other person who holds an outstanding Award.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(ll)    </w:t>
      </w:r>
      <w:r>
        <w:rPr>
          <w:color w:val="000000"/>
        </w:rPr>
        <w:t>“</w:t>
      </w:r>
      <w:r>
        <w:rPr>
          <w:rFonts w:ascii="Avenir Next LT Pro;sans-serif" w:hAnsi="Avenir Next LT Pro;sans-serif"/>
          <w:b/>
          <w:i/>
          <w:color w:val="000000"/>
          <w:sz w:val="18"/>
        </w:rPr>
        <w:t>Performance Criteria</w:t>
      </w:r>
      <w:r>
        <w:rPr>
          <w:color w:val="000000"/>
        </w:rPr>
        <w:t xml:space="preserve">” </w:t>
      </w:r>
      <w:r>
        <w:rPr>
          <w:rFonts w:ascii="Avenir Next LT Pro;sans-serif" w:hAnsi="Avenir Next LT Pro;sans-serif"/>
          <w:b w:val="false"/>
          <w:color w:val="000000"/>
          <w:sz w:val="18"/>
        </w:rPr>
        <w:t>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growth of net income or operating income; (xxxi) billings; and (xxxii) any other measures of performance selected by the Board. Partial achievement of the specified criteria may result in the payment or vesting corresponding to the degree of achievement as specified in the applicable Award Agreement.</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(mm)    </w:t>
      </w:r>
      <w:r>
        <w:rPr>
          <w:color w:val="000000"/>
        </w:rPr>
        <w:t>“</w:t>
      </w:r>
      <w:r>
        <w:rPr>
          <w:rFonts w:ascii="Avenir Next LT Pro;sans-serif" w:hAnsi="Avenir Next LT Pro;sans-serif"/>
          <w:b/>
          <w:i/>
          <w:color w:val="000000"/>
          <w:sz w:val="18"/>
        </w:rPr>
        <w:t>Performance Goals</w:t>
      </w:r>
      <w:r>
        <w:rPr>
          <w:color w:val="000000"/>
        </w:rPr>
        <w:t xml:space="preserve">” </w:t>
      </w:r>
      <w:r>
        <w:rPr>
          <w:rFonts w:ascii="Avenir Next LT Pro;sans-serif" w:hAnsi="Avenir Next LT Pro;sans-serif"/>
          <w:b w:val="false"/>
          <w:color w:val="000000"/>
          <w:sz w:val="18"/>
        </w:rPr>
        <w:t>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to make appropriate adjustments in the method of calculating the attainment of Performance Goals for a Performance Period as follows: (i) to exclude restructuring and/or other nonrecurring charges; (ii) to exclude exchange rate effects, as applicable, for non-U.S. dollar denominated Performance Goals;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and (vi) to make other appropriate adjustments selected by the Board.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(nn)    </w:t>
      </w:r>
      <w:r>
        <w:rPr>
          <w:color w:val="000000"/>
        </w:rPr>
        <w:t>“</w:t>
      </w:r>
      <w:r>
        <w:rPr>
          <w:rFonts w:ascii="Avenir Next LT Pro;sans-serif" w:hAnsi="Avenir Next LT Pro;sans-serif"/>
          <w:b/>
          <w:i/>
          <w:color w:val="000000"/>
          <w:sz w:val="18"/>
        </w:rPr>
        <w:t>Performance Period</w:t>
      </w:r>
      <w:r>
        <w:rPr>
          <w:color w:val="000000"/>
        </w:rPr>
        <w:t xml:space="preserve">” </w:t>
      </w:r>
      <w:r>
        <w:rPr>
          <w:rFonts w:ascii="Avenir Next LT Pro;sans-serif" w:hAnsi="Avenir Next LT Pro;sans-serif"/>
          <w:b w:val="false"/>
          <w:color w:val="000000"/>
          <w:sz w:val="18"/>
        </w:rPr>
        <w:t>means the period of time selected by the Board over which the attainment of one or more Performance Goals will be measured for the purpose of determining a Participant’s right to and the payment of a Performance Stock Award. Performance Periods may be of varying and overlapping duration, at the sole discretion of the Board.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(oo)    </w:t>
      </w:r>
      <w:r>
        <w:rPr>
          <w:color w:val="000000"/>
        </w:rPr>
        <w:t>“</w:t>
      </w:r>
      <w:r>
        <w:rPr>
          <w:rFonts w:ascii="Avenir Next LT Pro;sans-serif" w:hAnsi="Avenir Next LT Pro;sans-serif"/>
          <w:b/>
          <w:i/>
          <w:color w:val="000000"/>
          <w:sz w:val="18"/>
        </w:rPr>
        <w:t>Performance Stock Award</w:t>
      </w:r>
      <w:r>
        <w:rPr>
          <w:color w:val="000000"/>
        </w:rPr>
        <w:t xml:space="preserve">” </w:t>
      </w:r>
      <w:r>
        <w:rPr>
          <w:rFonts w:ascii="Avenir Next LT Pro;sans-serif" w:hAnsi="Avenir Next LT Pro;sans-serif"/>
          <w:b w:val="false"/>
          <w:color w:val="000000"/>
          <w:sz w:val="18"/>
        </w:rPr>
        <w:t>means an Award granted under the terms and conditions of Section 6(c).</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(pp)    </w:t>
      </w:r>
      <w:r>
        <w:rPr>
          <w:color w:val="000000"/>
        </w:rPr>
        <w:t>“</w:t>
      </w:r>
      <w:r>
        <w:rPr>
          <w:rFonts w:ascii="Avenir Next LT Pro;sans-serif" w:hAnsi="Avenir Next LT Pro;sans-serif"/>
          <w:b/>
          <w:i/>
          <w:color w:val="000000"/>
          <w:sz w:val="18"/>
        </w:rPr>
        <w:t>Plan</w:t>
      </w:r>
      <w:r>
        <w:rPr>
          <w:color w:val="000000"/>
        </w:rPr>
        <w:t xml:space="preserve">” </w:t>
      </w:r>
      <w:r>
        <w:rPr>
          <w:rFonts w:ascii="Avenir Next LT Pro;sans-serif" w:hAnsi="Avenir Next LT Pro;sans-serif"/>
          <w:b w:val="false"/>
          <w:color w:val="000000"/>
          <w:sz w:val="18"/>
        </w:rPr>
        <w:t>means this Enphase Energy, Inc. 2021 Equity Incentive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(qq)    </w:t>
      </w:r>
      <w:r>
        <w:rPr>
          <w:color w:val="000000"/>
        </w:rPr>
        <w:t>“</w:t>
      </w:r>
      <w:r>
        <w:rPr>
          <w:rFonts w:ascii="Avenir Next LT Pro;sans-serif" w:hAnsi="Avenir Next LT Pro;sans-serif"/>
          <w:b/>
          <w:i/>
          <w:color w:val="000000"/>
          <w:sz w:val="18"/>
        </w:rPr>
        <w:t>Prior Plan</w:t>
      </w:r>
      <w:r>
        <w:rPr>
          <w:color w:val="000000"/>
        </w:rPr>
        <w:t xml:space="preserve">” </w:t>
      </w:r>
      <w:r>
        <w:rPr>
          <w:rFonts w:ascii="Avenir Next LT Pro;sans-serif" w:hAnsi="Avenir Next LT Pro;sans-serif"/>
          <w:b w:val="false"/>
          <w:color w:val="000000"/>
          <w:sz w:val="18"/>
        </w:rPr>
        <w:t>means the Enphase Energy, Inc. 2011 Equity Incentive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(rr)    </w:t>
      </w:r>
      <w:r>
        <w:rPr>
          <w:color w:val="000000"/>
        </w:rPr>
        <w:t>“</w:t>
      </w:r>
      <w:r>
        <w:rPr>
          <w:rFonts w:ascii="Avenir Next LT Pro;sans-serif" w:hAnsi="Avenir Next LT Pro;sans-serif"/>
          <w:b/>
          <w:i/>
          <w:color w:val="000000"/>
          <w:sz w:val="18"/>
        </w:rPr>
        <w:t>Prior Plan Award</w:t>
      </w:r>
      <w:r>
        <w:rPr>
          <w:color w:val="000000"/>
        </w:rPr>
        <w:t xml:space="preserve">” </w:t>
      </w:r>
      <w:r>
        <w:rPr>
          <w:rFonts w:ascii="Avenir Next LT Pro;sans-serif" w:hAnsi="Avenir Next LT Pro;sans-serif"/>
          <w:b w:val="false"/>
          <w:color w:val="000000"/>
          <w:sz w:val="18"/>
        </w:rPr>
        <w:t>means an award granted under the Prior Plan that is outstanding as of the Original Effective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Avenir Next LT Pro;sans-serif" w:hAnsi="Avenir Next LT Pro;sans-serif"/>
          <w:b/>
          <w:color w:val="000000"/>
          <w:sz w:val="18"/>
        </w:rPr>
        <w:t>(ss)    </w:t>
      </w:r>
      <w:r>
        <w:rPr>
          <w:color w:val="000000"/>
        </w:rPr>
        <w:t>“</w:t>
      </w:r>
      <w:r>
        <w:rPr>
          <w:rFonts w:ascii="Avenir Next LT Pro;sans-serif" w:hAnsi="Avenir Next LT Pro;sans-serif"/>
          <w:b/>
          <w:i/>
          <w:color w:val="000000"/>
          <w:sz w:val="18"/>
        </w:rPr>
        <w:t>Prior Plan Returning Shares</w:t>
      </w:r>
      <w:r>
        <w:rPr>
          <w:color w:val="000000"/>
        </w:rPr>
        <w:t xml:space="preserve">” </w:t>
      </w:r>
      <w:r>
        <w:rPr>
          <w:rFonts w:ascii="Avenir Next LT Pro;sans-serif" w:hAnsi="Avenir Next LT Pro;sans-serif"/>
          <w:b w:val="false"/>
          <w:color w:val="000000"/>
          <w:sz w:val="18"/>
        </w:rPr>
        <w:t>means: (i) any shares of Common Stock subject to a Prior Plan Award that on or following the Original Effective Date are not issued because such Prior Plan Award or any portion thereof expires or otherwise terminates without all of the shares covered by such Prior Plan Award having been issued; (ii) any shares of Common Stock subject to a Prior Plan Award that on or following the Original Effective Date are not issued because such Prior Plan Award or any portion thereof is settled in cash; (iii) any shares of Common Stock issued pursuant to a Prior Plan Award that on or following the Original Effective Date are forfeited back to or repurchased by the Company because of the failure to meet a contingency or condition required for the vesting of such shares; (iv) any shares of Common Stock that on or following the Original Effective Date are reacquired or withheld (or not issued) by the Company to satisfy the purchase price of a Prior Plan Award that is a Full Value Award; and (v) any shares of Common Stock that on or following the Original Effective Date are reacquired or withheld (or not issued) by the Company to satisfy a tax withholding obligation in connection with a Prior Plan Award that is a Full Value Award.</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(tt)    </w:t>
      </w:r>
      <w:r>
        <w:rPr>
          <w:color w:val="000000"/>
        </w:rPr>
        <w:t>“</w:t>
      </w:r>
      <w:r>
        <w:rPr>
          <w:rFonts w:ascii="Avenir Next LT Pro;sans-serif" w:hAnsi="Avenir Next LT Pro;sans-serif"/>
          <w:b/>
          <w:i/>
          <w:color w:val="000000"/>
          <w:sz w:val="18"/>
        </w:rPr>
        <w:t>Restricted Stock Award</w:t>
      </w:r>
      <w:r>
        <w:rPr>
          <w:color w:val="000000"/>
        </w:rPr>
        <w:t xml:space="preserve">” </w:t>
      </w:r>
      <w:r>
        <w:rPr>
          <w:rFonts w:ascii="Avenir Next LT Pro;sans-serif" w:hAnsi="Avenir Next LT Pro;sans-serif"/>
          <w:b w:val="false"/>
          <w:color w:val="000000"/>
          <w:sz w:val="18"/>
        </w:rPr>
        <w:t>means an award of shares of Common Stock which is granted pursuant to the terms and conditions of Section 6(a).</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(uu)    </w:t>
      </w:r>
      <w:r>
        <w:rPr>
          <w:color w:val="000000"/>
        </w:rPr>
        <w:t>“</w:t>
      </w:r>
      <w:r>
        <w:rPr>
          <w:rFonts w:ascii="Avenir Next LT Pro;sans-serif" w:hAnsi="Avenir Next LT Pro;sans-serif"/>
          <w:b/>
          <w:i/>
          <w:color w:val="000000"/>
          <w:sz w:val="18"/>
        </w:rPr>
        <w:t>Restricted Stock Award Agreement</w:t>
      </w:r>
      <w:r>
        <w:rPr>
          <w:color w:val="000000"/>
        </w:rPr>
        <w:t xml:space="preserve">” </w:t>
      </w:r>
      <w:r>
        <w:rPr>
          <w:rFonts w:ascii="Avenir Next LT Pro;sans-serif" w:hAnsi="Avenir Next LT Pro;sans-serif"/>
          <w:b w:val="false"/>
          <w:color w:val="000000"/>
          <w:sz w:val="18"/>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(vv)    </w:t>
      </w:r>
      <w:r>
        <w:rPr>
          <w:color w:val="000000"/>
        </w:rPr>
        <w:t>“</w:t>
      </w:r>
      <w:r>
        <w:rPr>
          <w:rFonts w:ascii="Avenir Next LT Pro;sans-serif" w:hAnsi="Avenir Next LT Pro;sans-serif"/>
          <w:b/>
          <w:i/>
          <w:color w:val="000000"/>
          <w:sz w:val="18"/>
        </w:rPr>
        <w:t>Restricted Stock Unit Award</w:t>
      </w:r>
      <w:r>
        <w:rPr>
          <w:color w:val="000000"/>
        </w:rPr>
        <w:t xml:space="preserve">” </w:t>
      </w:r>
      <w:r>
        <w:rPr>
          <w:rFonts w:ascii="Avenir Next LT Pro;sans-serif" w:hAnsi="Avenir Next LT Pro;sans-serif"/>
          <w:b w:val="false"/>
          <w:color w:val="000000"/>
          <w:sz w:val="18"/>
        </w:rPr>
        <w:t>means a right to receive shares of Common Stock which is granted pursuant to the terms and conditions of Section 6(b).</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(ww)    </w:t>
      </w:r>
      <w:r>
        <w:rPr>
          <w:color w:val="000000"/>
        </w:rPr>
        <w:t>“</w:t>
      </w:r>
      <w:r>
        <w:rPr>
          <w:rFonts w:ascii="Avenir Next LT Pro;sans-serif" w:hAnsi="Avenir Next LT Pro;sans-serif"/>
          <w:b/>
          <w:i/>
          <w:color w:val="000000"/>
          <w:sz w:val="18"/>
        </w:rPr>
        <w:t>Restricted Stock Unit Award Agreement</w:t>
      </w:r>
      <w:r>
        <w:rPr>
          <w:color w:val="000000"/>
        </w:rPr>
        <w:t xml:space="preserve">” </w:t>
      </w:r>
      <w:r>
        <w:rPr>
          <w:rFonts w:ascii="Avenir Next LT Pro;sans-serif" w:hAnsi="Avenir Next LT Pro;sans-serif"/>
          <w:b w:val="false"/>
          <w:color w:val="000000"/>
          <w:sz w:val="18"/>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(xx)    </w:t>
      </w:r>
      <w:r>
        <w:rPr>
          <w:color w:val="000000"/>
        </w:rPr>
        <w:t>“</w:t>
      </w:r>
      <w:r>
        <w:rPr>
          <w:rFonts w:ascii="Avenir Next LT Pro;sans-serif" w:hAnsi="Avenir Next LT Pro;sans-serif"/>
          <w:b/>
          <w:i/>
          <w:color w:val="000000"/>
          <w:sz w:val="18"/>
        </w:rPr>
        <w:t>Rule 16b-3</w:t>
      </w:r>
      <w:r>
        <w:rPr>
          <w:color w:val="000000"/>
        </w:rPr>
        <w:t xml:space="preserve">” </w:t>
      </w:r>
      <w:r>
        <w:rPr>
          <w:rFonts w:ascii="Avenir Next LT Pro;sans-serif" w:hAnsi="Avenir Next LT Pro;sans-serif"/>
          <w:b w:val="false"/>
          <w:color w:val="000000"/>
          <w:sz w:val="18"/>
        </w:rPr>
        <w:t>means Rule 16b-3 promulgated under the Exchange Act or any successor to Rule 16b-3, as in effect from time to time.</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(yy)    </w:t>
      </w:r>
      <w:r>
        <w:rPr>
          <w:color w:val="000000"/>
        </w:rPr>
        <w:t>“</w:t>
      </w:r>
      <w:r>
        <w:rPr>
          <w:rFonts w:ascii="Avenir Next LT Pro;sans-serif" w:hAnsi="Avenir Next LT Pro;sans-serif"/>
          <w:b/>
          <w:i/>
          <w:color w:val="000000"/>
          <w:sz w:val="18"/>
        </w:rPr>
        <w:t>Rule 405</w:t>
      </w:r>
      <w:r>
        <w:rPr>
          <w:color w:val="000000"/>
        </w:rPr>
        <w:t xml:space="preserve">” </w:t>
      </w:r>
      <w:r>
        <w:rPr>
          <w:rFonts w:ascii="Avenir Next LT Pro;sans-serif" w:hAnsi="Avenir Next LT Pro;sans-serif"/>
          <w:b w:val="false"/>
          <w:color w:val="000000"/>
          <w:sz w:val="18"/>
        </w:rPr>
        <w:t xml:space="preserve">means Rule 405 promulgated under the Securities Act. </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(zz)    </w:t>
      </w:r>
      <w:r>
        <w:rPr>
          <w:color w:val="000000"/>
        </w:rPr>
        <w:t>“</w:t>
      </w:r>
      <w:r>
        <w:rPr>
          <w:rFonts w:ascii="Avenir Next LT Pro;sans-serif" w:hAnsi="Avenir Next LT Pro;sans-serif"/>
          <w:b/>
          <w:i/>
          <w:color w:val="000000"/>
          <w:sz w:val="18"/>
        </w:rPr>
        <w:t>Securities Act</w:t>
      </w:r>
      <w:r>
        <w:rPr>
          <w:color w:val="000000"/>
        </w:rPr>
        <w:t xml:space="preserve">” </w:t>
      </w:r>
      <w:r>
        <w:rPr>
          <w:rFonts w:ascii="Avenir Next LT Pro;sans-serif" w:hAnsi="Avenir Next LT Pro;sans-serif"/>
          <w:b w:val="false"/>
          <w:color w:val="000000"/>
          <w:sz w:val="18"/>
        </w:rPr>
        <w:t>means the Securities Act of 1933, as amended, and the rules and regulations promulgated thereunder.</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(aaa)    </w:t>
      </w:r>
      <w:r>
        <w:rPr>
          <w:color w:val="000000"/>
        </w:rPr>
        <w:t>“</w:t>
      </w:r>
      <w:r>
        <w:rPr>
          <w:rFonts w:ascii="Avenir Next LT Pro;sans-serif" w:hAnsi="Avenir Next LT Pro;sans-serif"/>
          <w:b/>
          <w:i/>
          <w:color w:val="000000"/>
          <w:sz w:val="18"/>
        </w:rPr>
        <w:t>Stock Appreciation Right</w:t>
      </w:r>
      <w:r>
        <w:rPr>
          <w:color w:val="000000"/>
        </w:rPr>
        <w:t xml:space="preserve">” </w:t>
      </w:r>
      <w:r>
        <w:rPr>
          <w:rFonts w:ascii="Avenir Next LT Pro;sans-serif" w:hAnsi="Avenir Next LT Pro;sans-serif"/>
          <w:b w:val="false"/>
          <w:color w:val="000000"/>
          <w:sz w:val="18"/>
        </w:rPr>
        <w:t>or “</w:t>
      </w:r>
      <w:r>
        <w:rPr>
          <w:rFonts w:ascii="Avenir Next LT Pro;sans-serif" w:hAnsi="Avenir Next LT Pro;sans-serif"/>
          <w:b/>
          <w:i/>
          <w:color w:val="000000"/>
          <w:sz w:val="18"/>
        </w:rPr>
        <w:t>SAR</w:t>
      </w:r>
      <w:r>
        <w:rPr>
          <w:color w:val="000000"/>
        </w:rPr>
        <w:t xml:space="preserve">” </w:t>
      </w:r>
      <w:r>
        <w:rPr>
          <w:rFonts w:ascii="Avenir Next LT Pro;sans-serif" w:hAnsi="Avenir Next LT Pro;sans-serif"/>
          <w:b w:val="false"/>
          <w:color w:val="000000"/>
          <w:sz w:val="18"/>
        </w:rPr>
        <w:t>means a right to receive the appreciation on Common Stock that is granted pursuant to the terms and conditions of Section 5.</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(bbb)    </w:t>
      </w:r>
      <w:r>
        <w:rPr>
          <w:color w:val="000000"/>
        </w:rPr>
        <w:t>“</w:t>
      </w:r>
      <w:r>
        <w:rPr>
          <w:rFonts w:ascii="Avenir Next LT Pro;sans-serif" w:hAnsi="Avenir Next LT Pro;sans-serif"/>
          <w:b/>
          <w:i/>
          <w:color w:val="000000"/>
          <w:sz w:val="18"/>
        </w:rPr>
        <w:t>Stock Appreciation Right Agreement</w:t>
      </w:r>
      <w:r>
        <w:rPr>
          <w:color w:val="000000"/>
        </w:rPr>
        <w:t xml:space="preserve">” </w:t>
      </w:r>
      <w:r>
        <w:rPr>
          <w:rFonts w:ascii="Avenir Next LT Pro;sans-serif" w:hAnsi="Avenir Next LT Pro;sans-serif"/>
          <w:b w:val="false"/>
          <w:color w:val="000000"/>
          <w:sz w:val="18"/>
        </w:rPr>
        <w:t>or “</w:t>
      </w:r>
      <w:r>
        <w:rPr>
          <w:rFonts w:ascii="Avenir Next LT Pro;sans-serif" w:hAnsi="Avenir Next LT Pro;sans-serif"/>
          <w:b/>
          <w:i/>
          <w:color w:val="000000"/>
          <w:sz w:val="18"/>
        </w:rPr>
        <w:t>SAR Agreement</w:t>
      </w:r>
      <w:r>
        <w:rPr>
          <w:color w:val="000000"/>
        </w:rPr>
        <w:t xml:space="preserve">” </w:t>
      </w:r>
      <w:r>
        <w:rPr>
          <w:rFonts w:ascii="Avenir Next LT Pro;sans-serif" w:hAnsi="Avenir Next LT Pro;sans-serif"/>
          <w:b w:val="false"/>
          <w:color w:val="000000"/>
          <w:sz w:val="18"/>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(ccc)    </w:t>
      </w:r>
      <w:r>
        <w:rPr>
          <w:color w:val="000000"/>
        </w:rPr>
        <w:t>“</w:t>
      </w:r>
      <w:r>
        <w:rPr>
          <w:rFonts w:ascii="Avenir Next LT Pro;sans-serif" w:hAnsi="Avenir Next LT Pro;sans-serif"/>
          <w:b/>
          <w:i/>
          <w:color w:val="000000"/>
          <w:sz w:val="18"/>
        </w:rPr>
        <w:t>Subsidiary</w:t>
      </w:r>
      <w:r>
        <w:rPr>
          <w:color w:val="000000"/>
        </w:rPr>
        <w:t xml:space="preserve">” </w:t>
      </w:r>
      <w:r>
        <w:rPr>
          <w:rFonts w:ascii="Avenir Next LT Pro;sans-serif" w:hAnsi="Avenir Next LT Pro;sans-serif"/>
          <w:b w:val="false"/>
          <w:color w:val="000000"/>
          <w:sz w:val="18"/>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288" w:before="0" w:after="240"/>
        <w:ind w:left="0" w:right="0" w:firstLine="720"/>
        <w:jc w:val="both"/>
        <w:rPr/>
      </w:pPr>
      <w:r>
        <w:rPr>
          <w:rFonts w:ascii="Avenir Next LT Pro;sans-serif" w:hAnsi="Avenir Next LT Pro;sans-serif"/>
          <w:b/>
          <w:color w:val="000000"/>
          <w:sz w:val="18"/>
        </w:rPr>
        <w:t>(ddd)    </w:t>
      </w:r>
      <w:r>
        <w:rPr>
          <w:color w:val="000000"/>
        </w:rPr>
        <w:t>“</w:t>
      </w:r>
      <w:r>
        <w:rPr>
          <w:rFonts w:ascii="Avenir Next LT Pro;sans-serif" w:hAnsi="Avenir Next LT Pro;sans-serif"/>
          <w:b/>
          <w:i/>
          <w:color w:val="000000"/>
          <w:sz w:val="18"/>
        </w:rPr>
        <w:t>Ten Percent Stockholder</w:t>
      </w:r>
      <w:r>
        <w:rPr>
          <w:color w:val="000000"/>
        </w:rPr>
        <w:t xml:space="preserve">” </w:t>
      </w:r>
      <w:r>
        <w:rPr>
          <w:rFonts w:ascii="Avenir Next LT Pro;sans-serif" w:hAnsi="Avenir Next LT Pro;sans-serif"/>
          <w:b w:val="false"/>
          <w:color w:val="000000"/>
          <w:sz w:val="18"/>
        </w:rPr>
        <w:t>means a person who Owns (or is deemed to Own pursuant to Section 424(d) of the Code) stock possessing more than 10% of the total combined voting power of all classes of stock of the Company or any Affiliate.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6"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F37321"/>
                          <w:sz w:val="14"/>
                        </w:rPr>
                        <w:t>Enphase Energy, Inc.</w:t>
                      </w:r>
                      <w:r>
                        <w:rPr>
                          <w:color w:val="5F6062"/>
                        </w:rPr>
                        <w:t xml:space="preserve"> </w:t>
                      </w:r>
                      <w:r>
                        <w:rPr>
                          <w:rFonts w:ascii="Arial;sans-serif" w:hAnsi="Arial;sans-serif"/>
                          <w:b w:val="false"/>
                          <w:color w:val="5F6062"/>
                          <w:sz w:val="14"/>
                        </w:rPr>
                        <w:t>| 2026 Proxy Statement | B</w:t>
                      </w:r>
                      <w:r>
                        <w:rPr>
                          <w:rFonts w:ascii="Arial;sans-serif" w:hAnsi="Arial;sans-serif"/>
                          <w:b w:val="false"/>
                          <w:color w:val="6D6D6D"/>
                          <w:sz w:val="14"/>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7315200" cy="9458325"/>
            <wp:effectExtent l="0" t="0" r="0" b="0"/>
            <wp:docPr id="1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9" descr=""/>
                    <pic:cNvPicPr>
                      <a:picLocks noChangeAspect="1" noChangeArrowheads="1"/>
                    </pic:cNvPicPr>
                  </pic:nvPicPr>
                  <pic:blipFill>
                    <a:blip r:embed="rId70"/>
                    <a:stretch>
                      <a:fillRect/>
                    </a:stretch>
                  </pic:blipFill>
                  <pic:spPr bwMode="auto">
                    <a:xfrm>
                      <a:off x="0" y="0"/>
                      <a:ext cx="7315200" cy="9458325"/>
                    </a:xfrm>
                    <a:prstGeom prst="rect">
                      <a:avLst/>
                    </a:prstGeom>
                  </pic:spPr>
                </pic:pic>
              </a:graphicData>
            </a:graphic>
          </wp:inline>
        </w:drawing>
      </w:r>
      <w:bookmarkStart w:id="68" w:name="i-69"/>
      <w:bookmarkEnd w:id="6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17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0" descr=""/>
                    <pic:cNvPicPr>
                      <a:picLocks noChangeAspect="1" noChangeArrowheads="1"/>
                    </pic:cNvPicPr>
                  </pic:nvPicPr>
                  <pic:blipFill>
                    <a:blip r:embed="rId71"/>
                    <a:stretch>
                      <a:fillRect/>
                    </a:stretch>
                  </pic:blipFill>
                  <pic:spPr bwMode="auto">
                    <a:xfrm>
                      <a:off x="0" y="0"/>
                      <a:ext cx="7543800" cy="9753600"/>
                    </a:xfrm>
                    <a:prstGeom prst="rect">
                      <a:avLst/>
                    </a:prstGeom>
                  </pic:spPr>
                </pic:pic>
              </a:graphicData>
            </a:graphic>
          </wp:inline>
        </w:drawing>
      </w:r>
      <w:bookmarkStart w:id="69" w:name="i-70"/>
      <w:bookmarkEnd w:id="69"/>
    </w:p>
    <w:p>
      <w:pPr>
        <w:pStyle w:val="TextBody"/>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venir Next LT Pro">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1.jpeg"/><Relationship Id="rId6" Type="http://schemas.openxmlformats.org/officeDocument/2006/relationships/image" Target="media/image4.gif"/><Relationship Id="rId7" Type="http://schemas.openxmlformats.org/officeDocument/2006/relationships/image" Target="media/image4.gif"/><Relationship Id="rId8" Type="http://schemas.openxmlformats.org/officeDocument/2006/relationships/image" Target="media/image4.gif"/><Relationship Id="rId9" Type="http://schemas.openxmlformats.org/officeDocument/2006/relationships/image" Target="media/image4.gif"/><Relationship Id="rId10" Type="http://schemas.openxmlformats.org/officeDocument/2006/relationships/image" Target="media/image5.gif"/><Relationship Id="rId11" Type="http://schemas.openxmlformats.org/officeDocument/2006/relationships/image" Target="media/image6.gif"/><Relationship Id="rId12" Type="http://schemas.openxmlformats.org/officeDocument/2006/relationships/image" Target="media/image7.gif"/><Relationship Id="rId13" Type="http://schemas.openxmlformats.org/officeDocument/2006/relationships/image" Target="media/image8.gif"/><Relationship Id="rId14" Type="http://schemas.openxmlformats.org/officeDocument/2006/relationships/image" Target="media/image9.jpeg"/><Relationship Id="rId15" Type="http://schemas.openxmlformats.org/officeDocument/2006/relationships/image" Target="media/image10.gif"/><Relationship Id="rId16" Type="http://schemas.openxmlformats.org/officeDocument/2006/relationships/image" Target="media/image11.gif"/><Relationship Id="rId17" Type="http://schemas.openxmlformats.org/officeDocument/2006/relationships/image" Target="media/image12.gif"/><Relationship Id="rId18" Type="http://schemas.openxmlformats.org/officeDocument/2006/relationships/image" Target="media/image13.gif"/><Relationship Id="rId19" Type="http://schemas.openxmlformats.org/officeDocument/2006/relationships/image" Target="media/image14.gif"/><Relationship Id="rId20" Type="http://schemas.openxmlformats.org/officeDocument/2006/relationships/image" Target="media/image15.gif"/><Relationship Id="rId21" Type="http://schemas.openxmlformats.org/officeDocument/2006/relationships/image" Target="media/image16.gif"/><Relationship Id="rId22" Type="http://schemas.openxmlformats.org/officeDocument/2006/relationships/image" Target="media/image17.gif"/><Relationship Id="rId23" Type="http://schemas.openxmlformats.org/officeDocument/2006/relationships/image" Target="media/image18.gif"/><Relationship Id="rId24" Type="http://schemas.openxmlformats.org/officeDocument/2006/relationships/image" Target="media/image19.gif"/><Relationship Id="rId25" Type="http://schemas.openxmlformats.org/officeDocument/2006/relationships/image" Target="media/image20.gif"/><Relationship Id="rId26" Type="http://schemas.openxmlformats.org/officeDocument/2006/relationships/image" Target="media/image21.gif"/><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gif"/><Relationship Id="rId30" Type="http://schemas.openxmlformats.org/officeDocument/2006/relationships/image" Target="media/image25.gif"/><Relationship Id="rId31" Type="http://schemas.openxmlformats.org/officeDocument/2006/relationships/image" Target="media/image26.gif"/><Relationship Id="rId32" Type="http://schemas.openxmlformats.org/officeDocument/2006/relationships/image" Target="media/image27.gif"/><Relationship Id="rId33" Type="http://schemas.openxmlformats.org/officeDocument/2006/relationships/image" Target="media/image28.gif"/><Relationship Id="rId34" Type="http://schemas.openxmlformats.org/officeDocument/2006/relationships/image" Target="media/image29.gif"/><Relationship Id="rId35" Type="http://schemas.openxmlformats.org/officeDocument/2006/relationships/image" Target="media/image30.gif"/><Relationship Id="rId36" Type="http://schemas.openxmlformats.org/officeDocument/2006/relationships/image" Target="media/image31.gif"/><Relationship Id="rId37" Type="http://schemas.openxmlformats.org/officeDocument/2006/relationships/image" Target="media/image32.gif"/><Relationship Id="rId38" Type="http://schemas.openxmlformats.org/officeDocument/2006/relationships/image" Target="media/image33.gif"/><Relationship Id="rId39" Type="http://schemas.openxmlformats.org/officeDocument/2006/relationships/image" Target="media/image34.gif"/><Relationship Id="rId40" Type="http://schemas.openxmlformats.org/officeDocument/2006/relationships/image" Target="media/image35.gif"/><Relationship Id="rId41" Type="http://schemas.openxmlformats.org/officeDocument/2006/relationships/image" Target="media/image36.gif"/><Relationship Id="rId42" Type="http://schemas.openxmlformats.org/officeDocument/2006/relationships/image" Target="media/image37.gif"/><Relationship Id="rId43" Type="http://schemas.openxmlformats.org/officeDocument/2006/relationships/image" Target="media/image38.gif"/><Relationship Id="rId44" Type="http://schemas.openxmlformats.org/officeDocument/2006/relationships/image" Target="media/image39.gif"/><Relationship Id="rId45" Type="http://schemas.openxmlformats.org/officeDocument/2006/relationships/image" Target="media/image40.gif"/><Relationship Id="rId46" Type="http://schemas.openxmlformats.org/officeDocument/2006/relationships/image" Target="media/image41.gif"/><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gif"/><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24.gif"/><Relationship Id="rId56" Type="http://schemas.openxmlformats.org/officeDocument/2006/relationships/image" Target="media/image25.gif"/><Relationship Id="rId57" Type="http://schemas.openxmlformats.org/officeDocument/2006/relationships/image" Target="media/image26.gif"/><Relationship Id="rId58" Type="http://schemas.openxmlformats.org/officeDocument/2006/relationships/image" Target="media/image27.gif"/><Relationship Id="rId59" Type="http://schemas.openxmlformats.org/officeDocument/2006/relationships/image" Target="media/image28.gif"/><Relationship Id="rId60" Type="http://schemas.openxmlformats.org/officeDocument/2006/relationships/image" Target="media/image29.gif"/><Relationship Id="rId61" Type="http://schemas.openxmlformats.org/officeDocument/2006/relationships/image" Target="media/image30.gif"/><Relationship Id="rId62" Type="http://schemas.openxmlformats.org/officeDocument/2006/relationships/image" Target="media/image27.gif"/><Relationship Id="rId63" Type="http://schemas.openxmlformats.org/officeDocument/2006/relationships/image" Target="media/image50.gif"/><Relationship Id="rId64" Type="http://schemas.openxmlformats.org/officeDocument/2006/relationships/image" Target="media/image51.jpeg"/><Relationship Id="rId65" Type="http://schemas.openxmlformats.org/officeDocument/2006/relationships/image" Target="media/image52.jpeg"/><Relationship Id="rId66" Type="http://schemas.openxmlformats.org/officeDocument/2006/relationships/image" Target="media/image53.jpeg"/><Relationship Id="rId67" Type="http://schemas.openxmlformats.org/officeDocument/2006/relationships/image" Target="media/image54.jpeg"/><Relationship Id="rId68" Type="http://schemas.openxmlformats.org/officeDocument/2006/relationships/image" Target="media/image55.jpeg"/><Relationship Id="rId69" Type="http://schemas.openxmlformats.org/officeDocument/2006/relationships/image" Target="media/image9.jpeg"/><Relationship Id="rId70" Type="http://schemas.openxmlformats.org/officeDocument/2006/relationships/image" Target="media/image56.jpeg"/><Relationship Id="rId71" Type="http://schemas.openxmlformats.org/officeDocument/2006/relationships/image" Target="media/image57.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59067</Words>
  <Characters>314104</Characters>
  <CharactersWithSpaces>371122</CharactersWithSpaces>
  <Paragraphs>2944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