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287655</wp:posOffset>
            </wp:positionV>
            <wp:extent cx="7253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698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219075</wp:posOffset>
            </wp:positionV>
            <wp:extent cx="7253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6985"/>
                    </a:xfrm>
                    <a:prstGeom prst="rect">
                      <a:avLst/>
                    </a:prstGeom>
                    <a:noFill/>
                  </pic:spPr>
                </pic:pic>
              </a:graphicData>
            </a:graphic>
          </wp:anchor>
        </w:drawing>
        <w:t>UNITED STATES</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224155</wp:posOffset>
            </wp:positionV>
            <wp:extent cx="29286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8620" cy="698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262255</wp:posOffset>
            </wp:positionV>
            <wp:extent cx="29286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862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0"/>
        <w:spacing w:after="0"/>
        <w:rPr>
          <w:sz w:val="20"/>
          <w:szCs w:val="20"/>
          <w:color w:val="auto"/>
        </w:rPr>
      </w:pPr>
      <w:r>
        <w:rPr>
          <w:rFonts w:ascii="Arial" w:cs="Arial" w:eastAsia="Arial" w:hAnsi="Arial"/>
          <w:sz w:val="9"/>
          <w:szCs w:val="9"/>
          <w:color w:val="auto"/>
        </w:rPr>
        <w:t>(Mark One)</w:t>
      </w:r>
    </w:p>
    <w:p>
      <w:pPr>
        <w:spacing w:after="0" w:line="29" w:lineRule="exact"/>
        <w:rPr>
          <w:sz w:val="24"/>
          <w:szCs w:val="24"/>
          <w:color w:val="auto"/>
        </w:rPr>
      </w:pPr>
    </w:p>
    <w:p>
      <w:pPr>
        <w:ind w:left="4520" w:right="4500" w:hanging="4099"/>
        <w:spacing w:after="0" w:line="388" w:lineRule="auto"/>
        <w:tabs>
          <w:tab w:leader="none" w:pos="963"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175" w:lineRule="exact"/>
        <w:rPr>
          <w:sz w:val="24"/>
          <w:szCs w:val="24"/>
          <w:color w:val="auto"/>
        </w:rPr>
      </w:pPr>
    </w:p>
    <w:p>
      <w:pPr>
        <w:ind w:left="960" w:hanging="539"/>
        <w:spacing w:after="0"/>
        <w:tabs>
          <w:tab w:leader="none" w:pos="960"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3400" w:type="dxa"/>
        <w:tblCellMar>
          <w:top w:w="0" w:type="dxa"/>
          <w:left w:w="0" w:type="dxa"/>
          <w:bottom w:w="0" w:type="dxa"/>
          <w:right w:w="0" w:type="dxa"/>
        </w:tblCellMar>
      </w:tblPr>
      <w:tr>
        <w:trPr>
          <w:trHeight w:val="126"/>
        </w:trPr>
        <w:tc>
          <w:tcPr>
            <w:tcW w:w="2880" w:type="dxa"/>
            <w:vAlign w:val="bottom"/>
          </w:tcPr>
          <w:p>
            <w:pPr>
              <w:ind w:left="1040"/>
              <w:spacing w:after="0"/>
              <w:rPr>
                <w:sz w:val="20"/>
                <w:szCs w:val="20"/>
                <w:color w:val="auto"/>
              </w:rPr>
            </w:pPr>
            <w:r>
              <w:rPr>
                <w:rFonts w:ascii="Arial" w:cs="Arial" w:eastAsia="Arial" w:hAnsi="Arial"/>
                <w:sz w:val="11"/>
                <w:szCs w:val="11"/>
                <w:b w:val="1"/>
                <w:bCs w:val="1"/>
                <w:color w:val="auto"/>
              </w:rPr>
              <w:t>For the transition period from</w:t>
            </w:r>
          </w:p>
        </w:tc>
        <w:tc>
          <w:tcPr>
            <w:tcW w:w="1720" w:type="dxa"/>
            <w:vAlign w:val="bottom"/>
          </w:tcPr>
          <w:p>
            <w:pPr>
              <w:ind w:left="220"/>
              <w:spacing w:after="0"/>
              <w:rPr>
                <w:sz w:val="20"/>
                <w:szCs w:val="20"/>
                <w:color w:val="auto"/>
              </w:rPr>
            </w:pPr>
            <w:r>
              <w:rPr>
                <w:rFonts w:ascii="Arial" w:cs="Arial" w:eastAsia="Arial" w:hAnsi="Arial"/>
                <w:sz w:val="11"/>
                <w:szCs w:val="11"/>
                <w:b w:val="1"/>
                <w:bCs w:val="1"/>
                <w:color w:val="auto"/>
              </w:rPr>
              <w:t>to</w:t>
            </w:r>
          </w:p>
        </w:tc>
      </w:tr>
      <w:tr>
        <w:trPr>
          <w:trHeight w:val="152"/>
        </w:trPr>
        <w:tc>
          <w:tcPr>
            <w:tcW w:w="4600" w:type="dxa"/>
            <w:vAlign w:val="bottom"/>
            <w:gridSpan w:val="2"/>
          </w:tcPr>
          <w:p>
            <w:pPr>
              <w:ind w:left="1340"/>
              <w:spacing w:after="0"/>
              <w:rPr>
                <w:sz w:val="20"/>
                <w:szCs w:val="20"/>
                <w:color w:val="auto"/>
              </w:rPr>
            </w:pPr>
            <w:r>
              <w:rPr>
                <w:rFonts w:ascii="Arial" w:cs="Arial" w:eastAsia="Arial" w:hAnsi="Arial"/>
                <w:sz w:val="11"/>
                <w:szCs w:val="11"/>
                <w:b w:val="1"/>
                <w:bCs w:val="1"/>
                <w:color w:val="auto"/>
              </w:rPr>
              <w:t>Commission File Number: 001-35480</w:t>
            </w:r>
          </w:p>
        </w:tc>
      </w:tr>
      <w:tr>
        <w:trPr>
          <w:trHeight w:val="95"/>
        </w:trPr>
        <w:tc>
          <w:tcPr>
            <w:tcW w:w="28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61595</wp:posOffset>
            </wp:positionV>
            <wp:extent cx="1546860" cy="260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6860" cy="26035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3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20" w:type="dxa"/>
            <w:vAlign w:val="bottom"/>
            <w:gridSpan w:val="3"/>
          </w:tcPr>
          <w:p>
            <w:pPr>
              <w:jc w:val="center"/>
              <w:ind w:right="900"/>
              <w:spacing w:after="0"/>
              <w:rPr>
                <w:sz w:val="20"/>
                <w:szCs w:val="20"/>
                <w:color w:val="auto"/>
              </w:rPr>
            </w:pPr>
            <w:r>
              <w:rPr>
                <w:rFonts w:ascii="Arial" w:cs="Arial" w:eastAsia="Arial" w:hAnsi="Arial"/>
                <w:sz w:val="20"/>
                <w:szCs w:val="20"/>
                <w:b w:val="1"/>
                <w:bCs w:val="1"/>
                <w:color w:val="auto"/>
                <w:w w:val="99"/>
              </w:rPr>
              <w:t>Enphase Energy, Inc.</w:t>
            </w:r>
          </w:p>
        </w:tc>
        <w:tc>
          <w:tcPr>
            <w:tcW w:w="36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104"/>
        </w:trPr>
        <w:tc>
          <w:tcPr>
            <w:tcW w:w="3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3"/>
          </w:tcPr>
          <w:p>
            <w:pPr>
              <w:jc w:val="center"/>
              <w:ind w:right="880"/>
              <w:spacing w:after="0"/>
              <w:rPr>
                <w:sz w:val="20"/>
                <w:szCs w:val="20"/>
                <w:color w:val="auto"/>
              </w:rPr>
            </w:pPr>
            <w:r>
              <w:rPr>
                <w:rFonts w:ascii="Arial" w:cs="Arial" w:eastAsia="Arial" w:hAnsi="Arial"/>
                <w:sz w:val="9"/>
                <w:szCs w:val="9"/>
                <w:color w:val="auto"/>
                <w:w w:val="95"/>
              </w:rPr>
              <w:t>(Exact name of registrant as specified in its charter)</w:t>
            </w:r>
          </w:p>
        </w:tc>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r>
      <w:tr>
        <w:trPr>
          <w:trHeight w:val="200"/>
        </w:trPr>
        <w:tc>
          <w:tcPr>
            <w:tcW w:w="34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r>
      <w:tr>
        <w:trPr>
          <w:trHeight w:val="305"/>
        </w:trPr>
        <w:tc>
          <w:tcPr>
            <w:tcW w:w="4020" w:type="dxa"/>
            <w:vAlign w:val="bottom"/>
            <w:gridSpan w:val="2"/>
          </w:tcPr>
          <w:p>
            <w:pPr>
              <w:jc w:val="center"/>
              <w:ind w:left="1468"/>
              <w:spacing w:after="0"/>
              <w:rPr>
                <w:sz w:val="20"/>
                <w:szCs w:val="20"/>
                <w:color w:val="auto"/>
              </w:rPr>
            </w:pPr>
            <w:r>
              <w:rPr>
                <w:rFonts w:ascii="Arial" w:cs="Arial" w:eastAsia="Arial" w:hAnsi="Arial"/>
                <w:sz w:val="11"/>
                <w:szCs w:val="11"/>
                <w:b w:val="1"/>
                <w:bCs w:val="1"/>
                <w:color w:val="auto"/>
              </w:rPr>
              <w:t>Delaware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20" w:type="dxa"/>
            <w:vAlign w:val="bottom"/>
            <w:gridSpan w:val="2"/>
          </w:tcPr>
          <w:p>
            <w:pPr>
              <w:jc w:val="right"/>
              <w:ind w:right="2448"/>
              <w:spacing w:after="0"/>
              <w:rPr>
                <w:sz w:val="20"/>
                <w:szCs w:val="20"/>
                <w:color w:val="auto"/>
              </w:rPr>
            </w:pPr>
            <w:r>
              <w:rPr>
                <w:rFonts w:ascii="Arial" w:cs="Arial" w:eastAsia="Arial" w:hAnsi="Arial"/>
                <w:sz w:val="11"/>
                <w:szCs w:val="11"/>
                <w:b w:val="1"/>
                <w:bCs w:val="1"/>
                <w:color w:val="auto"/>
              </w:rPr>
              <w:t>20-4645388</w:t>
            </w:r>
          </w:p>
        </w:tc>
      </w:tr>
      <w:tr>
        <w:trPr>
          <w:trHeight w:val="132"/>
        </w:trPr>
        <w:tc>
          <w:tcPr>
            <w:tcW w:w="4020" w:type="dxa"/>
            <w:vAlign w:val="bottom"/>
            <w:gridSpan w:val="2"/>
          </w:tcPr>
          <w:p>
            <w:pPr>
              <w:jc w:val="center"/>
              <w:ind w:left="1468"/>
              <w:spacing w:after="0"/>
              <w:rPr>
                <w:sz w:val="20"/>
                <w:szCs w:val="20"/>
                <w:color w:val="auto"/>
              </w:rPr>
            </w:pPr>
            <w:r>
              <w:rPr>
                <w:rFonts w:ascii="Arial" w:cs="Arial" w:eastAsia="Arial" w:hAnsi="Arial"/>
                <w:sz w:val="9"/>
                <w:szCs w:val="9"/>
                <w:color w:val="auto"/>
                <w:w w:val="95"/>
              </w:rPr>
              <w:t>(State or other jurisdiction of incorporation or organization)</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20" w:type="dxa"/>
            <w:vAlign w:val="bottom"/>
            <w:gridSpan w:val="2"/>
          </w:tcPr>
          <w:p>
            <w:pPr>
              <w:jc w:val="center"/>
              <w:ind w:right="1728"/>
              <w:spacing w:after="0"/>
              <w:rPr>
                <w:sz w:val="20"/>
                <w:szCs w:val="20"/>
                <w:color w:val="auto"/>
              </w:rPr>
            </w:pPr>
            <w:r>
              <w:rPr>
                <w:rFonts w:ascii="Arial" w:cs="Arial" w:eastAsia="Arial" w:hAnsi="Arial"/>
                <w:sz w:val="9"/>
                <w:szCs w:val="9"/>
                <w:color w:val="auto"/>
                <w:w w:val="95"/>
              </w:rPr>
              <w:t>(I.R.S. Employer Identification No.)</w:t>
            </w:r>
          </w:p>
        </w:tc>
      </w:tr>
      <w:tr>
        <w:trPr>
          <w:trHeight w:val="212"/>
        </w:trPr>
        <w:tc>
          <w:tcPr>
            <w:tcW w:w="3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3"/>
          </w:tcPr>
          <w:p>
            <w:pPr>
              <w:jc w:val="center"/>
              <w:ind w:right="900"/>
              <w:spacing w:after="0"/>
              <w:rPr>
                <w:sz w:val="20"/>
                <w:szCs w:val="20"/>
                <w:color w:val="auto"/>
              </w:rPr>
            </w:pPr>
            <w:r>
              <w:rPr>
                <w:rFonts w:ascii="Arial" w:cs="Arial" w:eastAsia="Arial" w:hAnsi="Arial"/>
                <w:sz w:val="11"/>
                <w:szCs w:val="11"/>
                <w:b w:val="1"/>
                <w:bCs w:val="1"/>
                <w:color w:val="auto"/>
              </w:rPr>
              <w:t>47281 Bayside Parkway</w:t>
            </w:r>
          </w:p>
        </w:tc>
        <w:tc>
          <w:tcPr>
            <w:tcW w:w="36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37"/>
        </w:trPr>
        <w:tc>
          <w:tcPr>
            <w:tcW w:w="3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gridSpan w:val="3"/>
          </w:tcPr>
          <w:p>
            <w:pPr>
              <w:jc w:val="center"/>
              <w:ind w:right="880"/>
              <w:spacing w:after="0"/>
              <w:rPr>
                <w:sz w:val="20"/>
                <w:szCs w:val="20"/>
                <w:color w:val="auto"/>
              </w:rPr>
            </w:pPr>
            <w:r>
              <w:rPr>
                <w:rFonts w:ascii="Arial" w:cs="Arial" w:eastAsia="Arial" w:hAnsi="Arial"/>
                <w:sz w:val="11"/>
                <w:szCs w:val="11"/>
                <w:b w:val="1"/>
                <w:bCs w:val="1"/>
                <w:color w:val="auto"/>
              </w:rPr>
              <w:t>Fremont, CA 94538</w:t>
            </w:r>
          </w:p>
        </w:tc>
        <w:tc>
          <w:tcPr>
            <w:tcW w:w="360" w:type="dxa"/>
            <w:vAlign w:val="bottom"/>
          </w:tcPr>
          <w:p>
            <w:pPr>
              <w:spacing w:after="0"/>
              <w:rPr>
                <w:sz w:val="11"/>
                <w:szCs w:val="11"/>
                <w:color w:val="auto"/>
              </w:rPr>
            </w:pPr>
          </w:p>
        </w:tc>
        <w:tc>
          <w:tcPr>
            <w:tcW w:w="3460" w:type="dxa"/>
            <w:vAlign w:val="bottom"/>
          </w:tcPr>
          <w:p>
            <w:pPr>
              <w:spacing w:after="0"/>
              <w:rPr>
                <w:sz w:val="11"/>
                <w:szCs w:val="11"/>
                <w:color w:val="auto"/>
              </w:rPr>
            </w:pPr>
          </w:p>
        </w:tc>
      </w:tr>
      <w:tr>
        <w:trPr>
          <w:trHeight w:val="104"/>
        </w:trPr>
        <w:tc>
          <w:tcPr>
            <w:tcW w:w="3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40" w:type="dxa"/>
            <w:vAlign w:val="bottom"/>
            <w:gridSpan w:val="4"/>
          </w:tcPr>
          <w:p>
            <w:pPr>
              <w:jc w:val="center"/>
              <w:ind w:right="760"/>
              <w:spacing w:after="0"/>
              <w:rPr>
                <w:sz w:val="20"/>
                <w:szCs w:val="20"/>
                <w:color w:val="auto"/>
              </w:rPr>
            </w:pPr>
            <w:r>
              <w:rPr>
                <w:rFonts w:ascii="Arial" w:cs="Arial" w:eastAsia="Arial" w:hAnsi="Arial"/>
                <w:sz w:val="9"/>
                <w:szCs w:val="9"/>
                <w:color w:val="auto"/>
                <w:w w:val="95"/>
              </w:rPr>
              <w:t>(Address of principal executive offices, including zip code)</w:t>
            </w:r>
          </w:p>
        </w:tc>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r>
      <w:tr>
        <w:trPr>
          <w:trHeight w:val="230"/>
        </w:trPr>
        <w:tc>
          <w:tcPr>
            <w:tcW w:w="3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80" w:type="dxa"/>
            <w:vAlign w:val="bottom"/>
            <w:gridSpan w:val="3"/>
          </w:tcPr>
          <w:p>
            <w:pPr>
              <w:jc w:val="center"/>
              <w:ind w:left="506"/>
              <w:spacing w:after="0"/>
              <w:rPr>
                <w:sz w:val="20"/>
                <w:szCs w:val="20"/>
                <w:color w:val="auto"/>
              </w:rPr>
            </w:pPr>
            <w:r>
              <w:rPr>
                <w:rFonts w:ascii="Arial" w:cs="Arial" w:eastAsia="Arial" w:hAnsi="Arial"/>
                <w:sz w:val="13"/>
                <w:szCs w:val="13"/>
                <w:b w:val="1"/>
                <w:bCs w:val="1"/>
                <w:color w:val="auto"/>
                <w:w w:val="98"/>
              </w:rPr>
              <w:t>(707) 774-7000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104"/>
        </w:trPr>
        <w:tc>
          <w:tcPr>
            <w:tcW w:w="3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3"/>
          </w:tcPr>
          <w:p>
            <w:pPr>
              <w:jc w:val="center"/>
              <w:ind w:right="900"/>
              <w:spacing w:after="0"/>
              <w:rPr>
                <w:sz w:val="20"/>
                <w:szCs w:val="20"/>
                <w:color w:val="auto"/>
              </w:rPr>
            </w:pPr>
            <w:r>
              <w:rPr>
                <w:rFonts w:ascii="Arial" w:cs="Arial" w:eastAsia="Arial" w:hAnsi="Arial"/>
                <w:sz w:val="9"/>
                <w:szCs w:val="9"/>
                <w:color w:val="auto"/>
                <w:w w:val="95"/>
              </w:rPr>
              <w:t>(Registrant’s telephone number, including area code)</w:t>
            </w:r>
          </w:p>
        </w:tc>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r>
      <w:tr>
        <w:trPr>
          <w:trHeight w:val="187"/>
        </w:trPr>
        <w:tc>
          <w:tcPr>
            <w:tcW w:w="3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w w:val="98"/>
              </w:rPr>
              <w:t>Not Applicable</w:t>
            </w:r>
          </w:p>
        </w:tc>
        <w:tc>
          <w:tcPr>
            <w:tcW w:w="36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104"/>
        </w:trPr>
        <w:tc>
          <w:tcPr>
            <w:tcW w:w="3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20" w:type="dxa"/>
            <w:vAlign w:val="bottom"/>
            <w:gridSpan w:val="5"/>
          </w:tcPr>
          <w:p>
            <w:pPr>
              <w:jc w:val="center"/>
              <w:ind w:right="200"/>
              <w:spacing w:after="0"/>
              <w:rPr>
                <w:sz w:val="20"/>
                <w:szCs w:val="20"/>
                <w:color w:val="auto"/>
              </w:rPr>
            </w:pPr>
            <w:r>
              <w:rPr>
                <w:rFonts w:ascii="Arial" w:cs="Arial" w:eastAsia="Arial" w:hAnsi="Arial"/>
                <w:sz w:val="9"/>
                <w:szCs w:val="9"/>
                <w:color w:val="auto"/>
                <w:w w:val="95"/>
              </w:rPr>
              <w:t>(Former name, former address and former fiscal year, if changed since last report)</w:t>
            </w:r>
          </w:p>
        </w:tc>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r>
      <w:tr>
        <w:trPr>
          <w:trHeight w:val="103"/>
        </w:trPr>
        <w:tc>
          <w:tcPr>
            <w:tcW w:w="3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304"/>
        </w:trPr>
        <w:tc>
          <w:tcPr>
            <w:tcW w:w="4020" w:type="dxa"/>
            <w:vAlign w:val="bottom"/>
            <w:tcBorders>
              <w:bottom w:val="single" w:sz="8" w:color="auto"/>
            </w:tcBorders>
            <w:gridSpan w:val="2"/>
          </w:tcPr>
          <w:p>
            <w:pPr>
              <w:jc w:val="center"/>
              <w:ind w:left="528"/>
              <w:spacing w:after="0"/>
              <w:rPr>
                <w:sz w:val="20"/>
                <w:szCs w:val="20"/>
                <w:color w:val="auto"/>
              </w:rPr>
            </w:pPr>
            <w:r>
              <w:rPr>
                <w:rFonts w:ascii="Arial" w:cs="Arial" w:eastAsia="Arial" w:hAnsi="Arial"/>
                <w:sz w:val="10"/>
                <w:szCs w:val="10"/>
                <w:color w:val="auto"/>
                <w:w w:val="99"/>
              </w:rPr>
              <w:t>Title of each class</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Trading Symbol(s)</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948"/>
              <w:spacing w:after="0"/>
              <w:rPr>
                <w:sz w:val="20"/>
                <w:szCs w:val="20"/>
                <w:color w:val="auto"/>
              </w:rPr>
            </w:pPr>
            <w:r>
              <w:rPr>
                <w:rFonts w:ascii="Arial" w:cs="Arial" w:eastAsia="Arial" w:hAnsi="Arial"/>
                <w:sz w:val="10"/>
                <w:szCs w:val="10"/>
                <w:color w:val="auto"/>
              </w:rPr>
              <w:t>Name of each exchange on which registered</w:t>
            </w:r>
          </w:p>
        </w:tc>
      </w:tr>
      <w:tr>
        <w:trPr>
          <w:trHeight w:val="191"/>
        </w:trPr>
        <w:tc>
          <w:tcPr>
            <w:tcW w:w="4020" w:type="dxa"/>
            <w:vAlign w:val="bottom"/>
            <w:gridSpan w:val="2"/>
          </w:tcPr>
          <w:p>
            <w:pPr>
              <w:jc w:val="center"/>
              <w:ind w:left="528"/>
              <w:spacing w:after="0"/>
              <w:rPr>
                <w:sz w:val="20"/>
                <w:szCs w:val="20"/>
                <w:color w:val="auto"/>
              </w:rPr>
            </w:pPr>
            <w:r>
              <w:rPr>
                <w:rFonts w:ascii="Arial" w:cs="Arial" w:eastAsia="Arial" w:hAnsi="Arial"/>
                <w:sz w:val="11"/>
                <w:szCs w:val="11"/>
                <w:b w:val="1"/>
                <w:bCs w:val="1"/>
                <w:color w:val="auto"/>
                <w:w w:val="98"/>
              </w:rPr>
              <w:t>Common Stock, $0.00001 par value per share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3"/>
          </w:tcPr>
          <w:p>
            <w:pPr>
              <w:jc w:val="center"/>
              <w:ind w:right="740"/>
              <w:spacing w:after="0"/>
              <w:rPr>
                <w:sz w:val="20"/>
                <w:szCs w:val="20"/>
                <w:color w:val="auto"/>
              </w:rPr>
            </w:pPr>
            <w:r>
              <w:rPr>
                <w:rFonts w:ascii="Arial" w:cs="Arial" w:eastAsia="Arial" w:hAnsi="Arial"/>
                <w:sz w:val="11"/>
                <w:szCs w:val="11"/>
                <w:b w:val="1"/>
                <w:bCs w:val="1"/>
                <w:color w:val="auto"/>
                <w:w w:val="98"/>
              </w:rPr>
              <w:t>ENPH</w:t>
            </w:r>
          </w:p>
        </w:tc>
        <w:tc>
          <w:tcPr>
            <w:tcW w:w="360" w:type="dxa"/>
            <w:vAlign w:val="bottom"/>
          </w:tcPr>
          <w:p>
            <w:pPr>
              <w:spacing w:after="0"/>
              <w:rPr>
                <w:sz w:val="16"/>
                <w:szCs w:val="16"/>
                <w:color w:val="auto"/>
              </w:rPr>
            </w:pPr>
          </w:p>
        </w:tc>
        <w:tc>
          <w:tcPr>
            <w:tcW w:w="3460" w:type="dxa"/>
            <w:vAlign w:val="bottom"/>
          </w:tcPr>
          <w:p>
            <w:pPr>
              <w:jc w:val="center"/>
              <w:ind w:right="948"/>
              <w:spacing w:after="0"/>
              <w:rPr>
                <w:sz w:val="20"/>
                <w:szCs w:val="20"/>
                <w:color w:val="auto"/>
              </w:rPr>
            </w:pPr>
            <w:r>
              <w:rPr>
                <w:rFonts w:ascii="Arial" w:cs="Arial" w:eastAsia="Arial" w:hAnsi="Arial"/>
                <w:sz w:val="11"/>
                <w:szCs w:val="11"/>
                <w:b w:val="1"/>
                <w:bCs w:val="1"/>
                <w:color w:val="auto"/>
                <w:w w:val="98"/>
              </w:rPr>
              <w:t>NASDAQ Global Market</w:t>
            </w:r>
          </w:p>
        </w:tc>
      </w:tr>
    </w:tbl>
    <w:p>
      <w:pPr>
        <w:spacing w:after="0" w:line="101" w:lineRule="exact"/>
        <w:rPr>
          <w:sz w:val="24"/>
          <w:szCs w:val="24"/>
          <w:color w:val="auto"/>
        </w:rPr>
      </w:pPr>
    </w:p>
    <w:p>
      <w:pPr>
        <w:ind w:right="400"/>
        <w:spacing w:after="0" w:line="13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1"/>
          <w:szCs w:val="11"/>
          <w:color w:val="auto"/>
        </w:rPr>
        <w:t xml:space="preserve"> No </w:t>
      </w:r>
      <w:r>
        <w:rPr>
          <w:rFonts w:ascii="MS PGothic" w:cs="MS PGothic" w:eastAsia="MS PGothic" w:hAnsi="MS PGothic"/>
          <w:sz w:val="10"/>
          <w:szCs w:val="10"/>
          <w:color w:val="auto"/>
        </w:rPr>
        <w:t>☐</w:t>
      </w:r>
    </w:p>
    <w:p>
      <w:pPr>
        <w:spacing w:after="0" w:line="78" w:lineRule="exact"/>
        <w:rPr>
          <w:sz w:val="24"/>
          <w:szCs w:val="24"/>
          <w:color w:val="auto"/>
        </w:rPr>
      </w:pPr>
    </w:p>
    <w:p>
      <w:pPr>
        <w:ind w:right="40"/>
        <w:spacing w:after="0" w:line="13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1"/>
          <w:szCs w:val="11"/>
          <w:color w:val="auto"/>
        </w:rPr>
        <w:t xml:space="preserve"> No </w:t>
      </w:r>
      <w:r>
        <w:rPr>
          <w:rFonts w:ascii="MS PGothic" w:cs="MS PGothic" w:eastAsia="MS PGothic" w:hAnsi="MS PGothic"/>
          <w:sz w:val="10"/>
          <w:szCs w:val="10"/>
          <w:color w:val="auto"/>
        </w:rPr>
        <w:t>☐</w:t>
      </w:r>
    </w:p>
    <w:p>
      <w:pPr>
        <w:spacing w:after="0" w:line="78" w:lineRule="exact"/>
        <w:rPr>
          <w:sz w:val="24"/>
          <w:szCs w:val="24"/>
          <w:color w:val="auto"/>
        </w:rPr>
      </w:pPr>
    </w:p>
    <w:p>
      <w:pPr>
        <w:ind w:right="220"/>
        <w:spacing w:after="0" w:line="26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2120" w:type="dxa"/>
            <w:vAlign w:val="bottom"/>
            <w:vMerge w:val="restart"/>
          </w:tcPr>
          <w:p>
            <w:pPr>
              <w:spacing w:after="0"/>
              <w:rPr>
                <w:sz w:val="20"/>
                <w:szCs w:val="20"/>
                <w:color w:val="auto"/>
              </w:rPr>
            </w:pPr>
            <w:r>
              <w:rPr>
                <w:rFonts w:ascii="Arial" w:cs="Arial" w:eastAsia="Arial" w:hAnsi="Arial"/>
                <w:sz w:val="11"/>
                <w:szCs w:val="11"/>
                <w:color w:val="auto"/>
              </w:rPr>
              <w:t>Large accelerated filer</w:t>
            </w:r>
          </w:p>
        </w:tc>
        <w:tc>
          <w:tcPr>
            <w:tcW w:w="3520" w:type="dxa"/>
            <w:vAlign w:val="bottom"/>
          </w:tcPr>
          <w:p>
            <w:pPr>
              <w:ind w:left="104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vMerge w:val="restart"/>
          </w:tcPr>
          <w:p>
            <w:pPr>
              <w:ind w:left="2400"/>
              <w:spacing w:after="0"/>
              <w:rPr>
                <w:sz w:val="20"/>
                <w:szCs w:val="20"/>
                <w:color w:val="auto"/>
              </w:rPr>
            </w:pPr>
            <w:r>
              <w:rPr>
                <w:rFonts w:ascii="Arial" w:cs="Arial" w:eastAsia="Arial" w:hAnsi="Arial"/>
                <w:sz w:val="11"/>
                <w:szCs w:val="11"/>
                <w:color w:val="auto"/>
              </w:rPr>
              <w:t>Accelerated filer</w:t>
            </w:r>
          </w:p>
        </w:tc>
        <w:tc>
          <w:tcPr>
            <w:tcW w:w="1020" w:type="dxa"/>
            <w:vAlign w:val="bottom"/>
          </w:tcPr>
          <w:p>
            <w:pPr>
              <w:ind w:left="9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42"/>
        </w:trPr>
        <w:tc>
          <w:tcPr>
            <w:tcW w:w="2120" w:type="dxa"/>
            <w:vAlign w:val="bottom"/>
            <w:vMerge w:val="continue"/>
          </w:tcPr>
          <w:p>
            <w:pPr>
              <w:spacing w:after="0"/>
              <w:rPr>
                <w:sz w:val="3"/>
                <w:szCs w:val="3"/>
                <w:color w:val="auto"/>
              </w:rPr>
            </w:pPr>
          </w:p>
        </w:tc>
        <w:tc>
          <w:tcPr>
            <w:tcW w:w="3520" w:type="dxa"/>
            <w:vAlign w:val="bottom"/>
          </w:tcPr>
          <w:p>
            <w:pPr>
              <w:spacing w:after="0"/>
              <w:rPr>
                <w:sz w:val="3"/>
                <w:szCs w:val="3"/>
                <w:color w:val="auto"/>
              </w:rPr>
            </w:pPr>
          </w:p>
        </w:tc>
        <w:tc>
          <w:tcPr>
            <w:tcW w:w="46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120" w:type="dxa"/>
            <w:vAlign w:val="bottom"/>
            <w:vMerge w:val="restart"/>
          </w:tcPr>
          <w:p>
            <w:pPr>
              <w:spacing w:after="0"/>
              <w:rPr>
                <w:sz w:val="20"/>
                <w:szCs w:val="20"/>
                <w:color w:val="auto"/>
              </w:rPr>
            </w:pPr>
            <w:r>
              <w:rPr>
                <w:rFonts w:ascii="Arial" w:cs="Arial" w:eastAsia="Arial" w:hAnsi="Arial"/>
                <w:sz w:val="11"/>
                <w:szCs w:val="11"/>
                <w:color w:val="auto"/>
              </w:rPr>
              <w:t>Non-accelerated filer</w:t>
            </w:r>
          </w:p>
        </w:tc>
        <w:tc>
          <w:tcPr>
            <w:tcW w:w="3520" w:type="dxa"/>
            <w:vAlign w:val="bottom"/>
          </w:tcPr>
          <w:p>
            <w:pPr>
              <w:ind w:left="104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vMerge w:val="restart"/>
          </w:tcPr>
          <w:p>
            <w:pPr>
              <w:ind w:left="2400"/>
              <w:spacing w:after="0"/>
              <w:rPr>
                <w:sz w:val="20"/>
                <w:szCs w:val="20"/>
                <w:color w:val="auto"/>
              </w:rPr>
            </w:pPr>
            <w:r>
              <w:rPr>
                <w:rFonts w:ascii="Arial" w:cs="Arial" w:eastAsia="Arial" w:hAnsi="Arial"/>
                <w:sz w:val="11"/>
                <w:szCs w:val="11"/>
                <w:color w:val="auto"/>
              </w:rPr>
              <w:t>Smaller reporting company</w:t>
            </w:r>
          </w:p>
        </w:tc>
        <w:tc>
          <w:tcPr>
            <w:tcW w:w="1020" w:type="dxa"/>
            <w:vAlign w:val="bottom"/>
            <w:vMerge w:val="restart"/>
          </w:tcPr>
          <w:p>
            <w:pPr>
              <w:ind w:left="9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42"/>
        </w:trPr>
        <w:tc>
          <w:tcPr>
            <w:tcW w:w="2120" w:type="dxa"/>
            <w:vAlign w:val="bottom"/>
            <w:vMerge w:val="continue"/>
          </w:tcPr>
          <w:p>
            <w:pPr>
              <w:spacing w:after="0"/>
              <w:rPr>
                <w:sz w:val="3"/>
                <w:szCs w:val="3"/>
                <w:color w:val="auto"/>
              </w:rPr>
            </w:pPr>
          </w:p>
        </w:tc>
        <w:tc>
          <w:tcPr>
            <w:tcW w:w="3520" w:type="dxa"/>
            <w:vAlign w:val="bottom"/>
          </w:tcPr>
          <w:p>
            <w:pPr>
              <w:spacing w:after="0"/>
              <w:rPr>
                <w:sz w:val="3"/>
                <w:szCs w:val="3"/>
                <w:color w:val="auto"/>
              </w:rPr>
            </w:pPr>
          </w:p>
        </w:tc>
        <w:tc>
          <w:tcPr>
            <w:tcW w:w="460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21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00" w:type="dxa"/>
            <w:vAlign w:val="bottom"/>
          </w:tcPr>
          <w:p>
            <w:pPr>
              <w:ind w:left="2400"/>
              <w:spacing w:after="0"/>
              <w:rPr>
                <w:sz w:val="20"/>
                <w:szCs w:val="20"/>
                <w:color w:val="auto"/>
              </w:rPr>
            </w:pPr>
            <w:r>
              <w:rPr>
                <w:rFonts w:ascii="Arial" w:cs="Arial" w:eastAsia="Arial" w:hAnsi="Arial"/>
                <w:sz w:val="11"/>
                <w:szCs w:val="11"/>
                <w:color w:val="auto"/>
              </w:rPr>
              <w:t>Emerging growth company</w:t>
            </w:r>
          </w:p>
        </w:tc>
        <w:tc>
          <w:tcPr>
            <w:tcW w:w="1020" w:type="dxa"/>
            <w:vAlign w:val="bottom"/>
          </w:tcPr>
          <w:p>
            <w:pPr>
              <w:ind w:left="9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120"/>
        <w:spacing w:after="0" w:line="139"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5" w:lineRule="exact"/>
        <w:rPr>
          <w:sz w:val="24"/>
          <w:szCs w:val="24"/>
          <w:color w:val="auto"/>
        </w:rPr>
      </w:pPr>
    </w:p>
    <w:p>
      <w:pPr>
        <w:jc w:val="both"/>
        <w:ind w:right="4920"/>
        <w:spacing w:after="0" w:line="17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1"/>
          <w:szCs w:val="11"/>
          <w:color w:val="auto"/>
        </w:rPr>
        <w:t xml:space="preserve"> No </w:t>
      </w:r>
      <w:r>
        <w:rPr>
          <w:rFonts w:ascii="MS PGothic" w:cs="MS PGothic" w:eastAsia="MS PGothic" w:hAnsi="MS PGothic"/>
          <w:sz w:val="10"/>
          <w:szCs w:val="10"/>
          <w:color w:val="auto"/>
        </w:rPr>
        <w:t>☒</w:t>
      </w:r>
      <w:r>
        <w:rPr>
          <w:rFonts w:ascii="Arial" w:cs="Arial" w:eastAsia="Arial" w:hAnsi="Arial"/>
          <w:sz w:val="11"/>
          <w:szCs w:val="11"/>
          <w:color w:val="auto"/>
        </w:rPr>
        <w:t xml:space="preserve"> As of July 23, 2019, there were 121,974,905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129540</wp:posOffset>
            </wp:positionV>
            <wp:extent cx="7253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69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60960</wp:posOffset>
            </wp:positionV>
            <wp:extent cx="72536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6985"/>
                    </a:xfrm>
                    <a:prstGeom prst="rect">
                      <a:avLst/>
                    </a:prstGeom>
                    <a:noFill/>
                  </pic:spPr>
                </pic:pic>
              </a:graphicData>
            </a:graphic>
          </wp:anchor>
        </w:drawing>
      </w:r>
    </w:p>
    <w:p>
      <w:pPr>
        <w:sectPr>
          <w:pgSz w:w="11900" w:h="16838" w:orient="portrait"/>
          <w:cols w:equalWidth="0" w:num="1">
            <w:col w:w="11460"/>
          </w:cols>
          <w:pgMar w:left="220" w:top="569" w:right="21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4"/>
          <w:szCs w:val="14"/>
          <w:b w:val="1"/>
          <w:bCs w:val="1"/>
          <w:color w:val="auto"/>
        </w:rPr>
        <w:t>ENPHASE ENERGY, INC.</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FORM 10-Q FOR THE QUARTERLY PERIOD ENDED JUNE 30, 2019</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60" w:type="dxa"/>
            <w:vAlign w:val="bottom"/>
          </w:tcPr>
          <w:p>
            <w:pPr>
              <w:spacing w:after="0"/>
              <w:rPr>
                <w:sz w:val="13"/>
                <w:szCs w:val="13"/>
                <w:color w:val="auto"/>
              </w:rPr>
            </w:pPr>
          </w:p>
        </w:tc>
        <w:tc>
          <w:tcPr>
            <w:tcW w:w="9400" w:type="dxa"/>
            <w:vAlign w:val="bottom"/>
          </w:tcPr>
          <w:p>
            <w:pPr>
              <w:spacing w:after="0"/>
              <w:rPr>
                <w:sz w:val="13"/>
                <w:szCs w:val="13"/>
                <w:color w:val="auto"/>
              </w:rPr>
            </w:pPr>
          </w:p>
        </w:tc>
        <w:tc>
          <w:tcPr>
            <w:tcW w:w="12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Page</w:t>
            </w:r>
          </w:p>
        </w:tc>
      </w:tr>
      <w:tr>
        <w:trPr>
          <w:trHeight w:val="167"/>
        </w:trPr>
        <w:tc>
          <w:tcPr>
            <w:tcW w:w="760" w:type="dxa"/>
            <w:vAlign w:val="bottom"/>
          </w:tcPr>
          <w:p>
            <w:pPr>
              <w:spacing w:after="0"/>
              <w:rPr>
                <w:sz w:val="14"/>
                <w:szCs w:val="14"/>
                <w:color w:val="auto"/>
              </w:rPr>
            </w:pPr>
          </w:p>
        </w:tc>
        <w:tc>
          <w:tcPr>
            <w:tcW w:w="9400" w:type="dxa"/>
            <w:vAlign w:val="bottom"/>
          </w:tcPr>
          <w:p>
            <w:pPr>
              <w:ind w:left="3760"/>
              <w:spacing w:after="0"/>
              <w:rPr>
                <w:rFonts w:ascii="Arial" w:cs="Arial" w:eastAsia="Arial" w:hAnsi="Arial"/>
                <w:sz w:val="13"/>
                <w:szCs w:val="13"/>
                <w:b w:val="1"/>
                <w:bCs w:val="1"/>
                <w:color w:val="auto"/>
              </w:rPr>
            </w:pPr>
            <w:hyperlink w:anchor="page3">
              <w:r>
                <w:rPr>
                  <w:rFonts w:ascii="Arial" w:cs="Arial" w:eastAsia="Arial" w:hAnsi="Arial"/>
                  <w:sz w:val="13"/>
                  <w:szCs w:val="13"/>
                  <w:b w:val="1"/>
                  <w:bCs w:val="1"/>
                  <w:color w:val="auto"/>
                </w:rPr>
                <w:t>PART I. FINANCIAL INFORMATION</w:t>
              </w:r>
            </w:hyperlink>
          </w:p>
        </w:tc>
        <w:tc>
          <w:tcPr>
            <w:tcW w:w="1260" w:type="dxa"/>
            <w:vAlign w:val="bottom"/>
          </w:tcPr>
          <w:p>
            <w:pPr>
              <w:spacing w:after="0"/>
              <w:rPr>
                <w:sz w:val="14"/>
                <w:szCs w:val="14"/>
                <w:color w:val="auto"/>
              </w:rPr>
            </w:pPr>
          </w:p>
        </w:tc>
      </w:tr>
      <w:tr>
        <w:trPr>
          <w:trHeight w:val="463"/>
        </w:trPr>
        <w:tc>
          <w:tcPr>
            <w:tcW w:w="760" w:type="dxa"/>
            <w:vAlign w:val="bottom"/>
          </w:tcPr>
          <w:p>
            <w:pPr>
              <w:spacing w:after="0"/>
              <w:rPr>
                <w:sz w:val="20"/>
                <w:szCs w:val="20"/>
                <w:color w:val="auto"/>
              </w:rPr>
            </w:pPr>
            <w:r>
              <w:rPr>
                <w:rFonts w:ascii="Arial" w:cs="Arial" w:eastAsia="Arial" w:hAnsi="Arial"/>
                <w:sz w:val="13"/>
                <w:szCs w:val="13"/>
                <w:color w:val="auto"/>
              </w:rPr>
              <w:t>Item 1.</w:t>
            </w:r>
          </w:p>
        </w:tc>
        <w:tc>
          <w:tcPr>
            <w:tcW w:w="9400" w:type="dxa"/>
            <w:vAlign w:val="bottom"/>
          </w:tcPr>
          <w:p>
            <w:pPr>
              <w:ind w:left="280"/>
              <w:spacing w:after="0"/>
              <w:rPr>
                <w:rFonts w:ascii="Arial" w:cs="Arial" w:eastAsia="Arial" w:hAnsi="Arial"/>
                <w:sz w:val="13"/>
                <w:szCs w:val="13"/>
                <w:color w:val="auto"/>
              </w:rPr>
            </w:pPr>
            <w:hyperlink w:anchor="page3">
              <w:r>
                <w:rPr>
                  <w:rFonts w:ascii="Arial" w:cs="Arial" w:eastAsia="Arial" w:hAnsi="Arial"/>
                  <w:sz w:val="13"/>
                  <w:szCs w:val="13"/>
                  <w:color w:val="auto"/>
                </w:rPr>
                <w:t>Financial Statements (Unaudited)</w:t>
              </w:r>
            </w:hyperlink>
          </w:p>
        </w:tc>
        <w:tc>
          <w:tcPr>
            <w:tcW w:w="1260" w:type="dxa"/>
            <w:vAlign w:val="bottom"/>
          </w:tcPr>
          <w:p>
            <w:pPr>
              <w:jc w:val="right"/>
              <w:spacing w:after="0"/>
              <w:rPr>
                <w:rFonts w:ascii="Arial" w:cs="Arial" w:eastAsia="Arial" w:hAnsi="Arial"/>
                <w:sz w:val="13"/>
                <w:szCs w:val="13"/>
                <w:color w:val="auto"/>
              </w:rPr>
            </w:pPr>
            <w:hyperlink w:anchor="page3">
              <w:r>
                <w:rPr>
                  <w:rFonts w:ascii="Arial" w:cs="Arial" w:eastAsia="Arial" w:hAnsi="Arial"/>
                  <w:sz w:val="13"/>
                  <w:szCs w:val="13"/>
                  <w:color w:val="auto"/>
                </w:rPr>
                <w:t>1</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3">
              <w:r>
                <w:rPr>
                  <w:rFonts w:ascii="Arial" w:cs="Arial" w:eastAsia="Arial" w:hAnsi="Arial"/>
                  <w:sz w:val="13"/>
                  <w:szCs w:val="13"/>
                  <w:color w:val="auto"/>
                </w:rPr>
                <w:t>Condensed Consolidated Balance Sheets</w:t>
              </w:r>
            </w:hyperlink>
          </w:p>
        </w:tc>
        <w:tc>
          <w:tcPr>
            <w:tcW w:w="1260" w:type="dxa"/>
            <w:vAlign w:val="bottom"/>
          </w:tcPr>
          <w:p>
            <w:pPr>
              <w:jc w:val="right"/>
              <w:spacing w:after="0"/>
              <w:rPr>
                <w:rFonts w:ascii="Arial" w:cs="Arial" w:eastAsia="Arial" w:hAnsi="Arial"/>
                <w:sz w:val="13"/>
                <w:szCs w:val="13"/>
                <w:color w:val="auto"/>
              </w:rPr>
            </w:pPr>
            <w:hyperlink w:anchor="page3">
              <w:r>
                <w:rPr>
                  <w:rFonts w:ascii="Arial" w:cs="Arial" w:eastAsia="Arial" w:hAnsi="Arial"/>
                  <w:sz w:val="13"/>
                  <w:szCs w:val="13"/>
                  <w:color w:val="auto"/>
                </w:rPr>
                <w:t>1</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4">
              <w:r>
                <w:rPr>
                  <w:rFonts w:ascii="Arial" w:cs="Arial" w:eastAsia="Arial" w:hAnsi="Arial"/>
                  <w:sz w:val="13"/>
                  <w:szCs w:val="13"/>
                  <w:color w:val="auto"/>
                </w:rPr>
                <w:t>Condensed Consolidated Statements of Operations</w:t>
              </w:r>
            </w:hyperlink>
          </w:p>
        </w:tc>
        <w:tc>
          <w:tcPr>
            <w:tcW w:w="1260" w:type="dxa"/>
            <w:vAlign w:val="bottom"/>
          </w:tcPr>
          <w:p>
            <w:pPr>
              <w:jc w:val="right"/>
              <w:spacing w:after="0"/>
              <w:rPr>
                <w:rFonts w:ascii="Arial" w:cs="Arial" w:eastAsia="Arial" w:hAnsi="Arial"/>
                <w:sz w:val="13"/>
                <w:szCs w:val="13"/>
                <w:color w:val="auto"/>
              </w:rPr>
            </w:pPr>
            <w:hyperlink w:anchor="page4">
              <w:r>
                <w:rPr>
                  <w:rFonts w:ascii="Arial" w:cs="Arial" w:eastAsia="Arial" w:hAnsi="Arial"/>
                  <w:sz w:val="13"/>
                  <w:szCs w:val="13"/>
                  <w:color w:val="auto"/>
                </w:rPr>
                <w:t>2</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5">
              <w:r>
                <w:rPr>
                  <w:rFonts w:ascii="Arial" w:cs="Arial" w:eastAsia="Arial" w:hAnsi="Arial"/>
                  <w:sz w:val="13"/>
                  <w:szCs w:val="13"/>
                  <w:color w:val="auto"/>
                </w:rPr>
                <w:t>Condensed Consolidated Statements of Comprehensive Income (Loss)</w:t>
              </w:r>
            </w:hyperlink>
          </w:p>
        </w:tc>
        <w:tc>
          <w:tcPr>
            <w:tcW w:w="126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3</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6">
              <w:r>
                <w:rPr>
                  <w:rFonts w:ascii="Arial" w:cs="Arial" w:eastAsia="Arial" w:hAnsi="Arial"/>
                  <w:sz w:val="13"/>
                  <w:szCs w:val="13"/>
                  <w:color w:val="auto"/>
                </w:rPr>
                <w:t>Condensed Consolidated Statements of Stockholders’ Equity (Deficit)</w:t>
              </w:r>
            </w:hyperlink>
          </w:p>
        </w:tc>
        <w:tc>
          <w:tcPr>
            <w:tcW w:w="1260" w:type="dxa"/>
            <w:vAlign w:val="bottom"/>
          </w:tcPr>
          <w:p>
            <w:pPr>
              <w:jc w:val="right"/>
              <w:spacing w:after="0"/>
              <w:rPr>
                <w:rFonts w:ascii="Arial" w:cs="Arial" w:eastAsia="Arial" w:hAnsi="Arial"/>
                <w:sz w:val="13"/>
                <w:szCs w:val="13"/>
                <w:color w:val="auto"/>
              </w:rPr>
            </w:pPr>
            <w:hyperlink w:anchor="page6">
              <w:r>
                <w:rPr>
                  <w:rFonts w:ascii="Arial" w:cs="Arial" w:eastAsia="Arial" w:hAnsi="Arial"/>
                  <w:sz w:val="13"/>
                  <w:szCs w:val="13"/>
                  <w:color w:val="auto"/>
                </w:rPr>
                <w:t>4</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7">
              <w:r>
                <w:rPr>
                  <w:rFonts w:ascii="Arial" w:cs="Arial" w:eastAsia="Arial" w:hAnsi="Arial"/>
                  <w:sz w:val="13"/>
                  <w:szCs w:val="13"/>
                  <w:color w:val="auto"/>
                </w:rPr>
                <w:t>Condensed Consolidated Statements of Cash Flows</w:t>
              </w:r>
            </w:hyperlink>
          </w:p>
        </w:tc>
        <w:tc>
          <w:tcPr>
            <w:tcW w:w="1260" w:type="dxa"/>
            <w:vAlign w:val="bottom"/>
          </w:tcPr>
          <w:p>
            <w:pPr>
              <w:jc w:val="right"/>
              <w:spacing w:after="0"/>
              <w:rPr>
                <w:rFonts w:ascii="Arial" w:cs="Arial" w:eastAsia="Arial" w:hAnsi="Arial"/>
                <w:sz w:val="13"/>
                <w:szCs w:val="13"/>
                <w:color w:val="auto"/>
              </w:rPr>
            </w:pPr>
            <w:hyperlink w:anchor="page7">
              <w:r>
                <w:rPr>
                  <w:rFonts w:ascii="Arial" w:cs="Arial" w:eastAsia="Arial" w:hAnsi="Arial"/>
                  <w:sz w:val="13"/>
                  <w:szCs w:val="13"/>
                  <w:color w:val="auto"/>
                </w:rPr>
                <w:t>5</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8">
              <w:r>
                <w:rPr>
                  <w:rFonts w:ascii="Arial" w:cs="Arial" w:eastAsia="Arial" w:hAnsi="Arial"/>
                  <w:sz w:val="13"/>
                  <w:szCs w:val="13"/>
                  <w:color w:val="auto"/>
                </w:rPr>
                <w:t>Notes to Condensed Consolidated Financial Statements</w:t>
              </w:r>
            </w:hyperlink>
          </w:p>
        </w:tc>
        <w:tc>
          <w:tcPr>
            <w:tcW w:w="1260" w:type="dxa"/>
            <w:vAlign w:val="bottom"/>
          </w:tcPr>
          <w:p>
            <w:pPr>
              <w:jc w:val="right"/>
              <w:spacing w:after="0"/>
              <w:rPr>
                <w:rFonts w:ascii="Arial" w:cs="Arial" w:eastAsia="Arial" w:hAnsi="Arial"/>
                <w:sz w:val="13"/>
                <w:szCs w:val="13"/>
                <w:color w:val="auto"/>
              </w:rPr>
            </w:pPr>
            <w:hyperlink w:anchor="page8">
              <w:r>
                <w:rPr>
                  <w:rFonts w:ascii="Arial" w:cs="Arial" w:eastAsia="Arial" w:hAnsi="Arial"/>
                  <w:sz w:val="13"/>
                  <w:szCs w:val="13"/>
                  <w:color w:val="auto"/>
                </w:rPr>
                <w:t>6</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2.</w:t>
            </w:r>
          </w:p>
        </w:tc>
        <w:tc>
          <w:tcPr>
            <w:tcW w:w="9400" w:type="dxa"/>
            <w:vAlign w:val="bottom"/>
          </w:tcPr>
          <w:p>
            <w:pPr>
              <w:ind w:left="280"/>
              <w:spacing w:after="0"/>
              <w:rPr>
                <w:rFonts w:ascii="Arial" w:cs="Arial" w:eastAsia="Arial" w:hAnsi="Arial"/>
                <w:sz w:val="13"/>
                <w:szCs w:val="13"/>
                <w:color w:val="auto"/>
              </w:rPr>
            </w:pPr>
            <w:hyperlink w:anchor="page27">
              <w:r>
                <w:rPr>
                  <w:rFonts w:ascii="Arial" w:cs="Arial" w:eastAsia="Arial" w:hAnsi="Arial"/>
                  <w:sz w:val="13"/>
                  <w:szCs w:val="13"/>
                  <w:color w:val="auto"/>
                </w:rPr>
                <w:t>Management’s Discussion and Analysis of Financial Condition and Results of Operations</w:t>
              </w:r>
            </w:hyperlink>
          </w:p>
        </w:tc>
        <w:tc>
          <w:tcPr>
            <w:tcW w:w="1260" w:type="dxa"/>
            <w:vAlign w:val="bottom"/>
          </w:tcPr>
          <w:p>
            <w:pPr>
              <w:jc w:val="right"/>
              <w:spacing w:after="0"/>
              <w:rPr>
                <w:rFonts w:ascii="Arial" w:cs="Arial" w:eastAsia="Arial" w:hAnsi="Arial"/>
                <w:sz w:val="13"/>
                <w:szCs w:val="13"/>
                <w:color w:val="auto"/>
              </w:rPr>
            </w:pPr>
            <w:hyperlink w:anchor="page27">
              <w:r>
                <w:rPr>
                  <w:rFonts w:ascii="Arial" w:cs="Arial" w:eastAsia="Arial" w:hAnsi="Arial"/>
                  <w:sz w:val="13"/>
                  <w:szCs w:val="13"/>
                  <w:color w:val="auto"/>
                </w:rPr>
                <w:t>25</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3.</w:t>
            </w:r>
          </w:p>
        </w:tc>
        <w:tc>
          <w:tcPr>
            <w:tcW w:w="9400" w:type="dxa"/>
            <w:vAlign w:val="bottom"/>
          </w:tcPr>
          <w:p>
            <w:pPr>
              <w:ind w:left="280"/>
              <w:spacing w:after="0"/>
              <w:rPr>
                <w:rFonts w:ascii="Arial" w:cs="Arial" w:eastAsia="Arial" w:hAnsi="Arial"/>
                <w:sz w:val="13"/>
                <w:szCs w:val="13"/>
                <w:color w:val="auto"/>
              </w:rPr>
            </w:pPr>
            <w:hyperlink w:anchor="page35">
              <w:r>
                <w:rPr>
                  <w:rFonts w:ascii="Arial" w:cs="Arial" w:eastAsia="Arial" w:hAnsi="Arial"/>
                  <w:sz w:val="13"/>
                  <w:szCs w:val="13"/>
                  <w:color w:val="auto"/>
                </w:rPr>
                <w:t>Quantitative and Qualitative Disclosures About Market Risk</w:t>
              </w:r>
            </w:hyperlink>
          </w:p>
        </w:tc>
        <w:tc>
          <w:tcPr>
            <w:tcW w:w="1260" w:type="dxa"/>
            <w:vAlign w:val="bottom"/>
          </w:tcPr>
          <w:p>
            <w:pPr>
              <w:jc w:val="right"/>
              <w:spacing w:after="0"/>
              <w:rPr>
                <w:rFonts w:ascii="Arial" w:cs="Arial" w:eastAsia="Arial" w:hAnsi="Arial"/>
                <w:sz w:val="13"/>
                <w:szCs w:val="13"/>
                <w:color w:val="auto"/>
              </w:rPr>
            </w:pPr>
            <w:hyperlink w:anchor="page35">
              <w:r>
                <w:rPr>
                  <w:rFonts w:ascii="Arial" w:cs="Arial" w:eastAsia="Arial" w:hAnsi="Arial"/>
                  <w:sz w:val="13"/>
                  <w:szCs w:val="13"/>
                  <w:color w:val="auto"/>
                </w:rPr>
                <w:t>33</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4.</w:t>
            </w:r>
          </w:p>
        </w:tc>
        <w:tc>
          <w:tcPr>
            <w:tcW w:w="9400" w:type="dxa"/>
            <w:vAlign w:val="bottom"/>
          </w:tcPr>
          <w:p>
            <w:pPr>
              <w:ind w:left="280"/>
              <w:spacing w:after="0"/>
              <w:rPr>
                <w:rFonts w:ascii="Arial" w:cs="Arial" w:eastAsia="Arial" w:hAnsi="Arial"/>
                <w:sz w:val="13"/>
                <w:szCs w:val="13"/>
                <w:color w:val="auto"/>
              </w:rPr>
            </w:pPr>
            <w:hyperlink w:anchor="page35">
              <w:r>
                <w:rPr>
                  <w:rFonts w:ascii="Arial" w:cs="Arial" w:eastAsia="Arial" w:hAnsi="Arial"/>
                  <w:sz w:val="13"/>
                  <w:szCs w:val="13"/>
                  <w:color w:val="auto"/>
                </w:rPr>
                <w:t>Controls and Procedures</w:t>
              </w:r>
            </w:hyperlink>
          </w:p>
        </w:tc>
        <w:tc>
          <w:tcPr>
            <w:tcW w:w="1260" w:type="dxa"/>
            <w:vAlign w:val="bottom"/>
          </w:tcPr>
          <w:p>
            <w:pPr>
              <w:jc w:val="right"/>
              <w:spacing w:after="0"/>
              <w:rPr>
                <w:rFonts w:ascii="Arial" w:cs="Arial" w:eastAsia="Arial" w:hAnsi="Arial"/>
                <w:sz w:val="13"/>
                <w:szCs w:val="13"/>
                <w:color w:val="auto"/>
              </w:rPr>
            </w:pPr>
            <w:hyperlink w:anchor="page35">
              <w:r>
                <w:rPr>
                  <w:rFonts w:ascii="Arial" w:cs="Arial" w:eastAsia="Arial" w:hAnsi="Arial"/>
                  <w:sz w:val="13"/>
                  <w:szCs w:val="13"/>
                  <w:color w:val="auto"/>
                </w:rPr>
                <w:t>33</w:t>
              </w:r>
            </w:hyperlink>
          </w:p>
        </w:tc>
      </w:tr>
      <w:tr>
        <w:trPr>
          <w:trHeight w:val="431"/>
        </w:trPr>
        <w:tc>
          <w:tcPr>
            <w:tcW w:w="760" w:type="dxa"/>
            <w:vAlign w:val="bottom"/>
          </w:tcPr>
          <w:p>
            <w:pPr>
              <w:spacing w:after="0"/>
              <w:rPr>
                <w:sz w:val="24"/>
                <w:szCs w:val="24"/>
                <w:color w:val="auto"/>
              </w:rPr>
            </w:pPr>
          </w:p>
        </w:tc>
        <w:tc>
          <w:tcPr>
            <w:tcW w:w="9400" w:type="dxa"/>
            <w:vAlign w:val="bottom"/>
          </w:tcPr>
          <w:p>
            <w:pPr>
              <w:ind w:left="3860"/>
              <w:spacing w:after="0"/>
              <w:rPr>
                <w:rFonts w:ascii="Arial" w:cs="Arial" w:eastAsia="Arial" w:hAnsi="Arial"/>
                <w:sz w:val="13"/>
                <w:szCs w:val="13"/>
                <w:b w:val="1"/>
                <w:bCs w:val="1"/>
                <w:color w:val="auto"/>
              </w:rPr>
            </w:pPr>
            <w:hyperlink w:anchor="page36">
              <w:r>
                <w:rPr>
                  <w:rFonts w:ascii="Arial" w:cs="Arial" w:eastAsia="Arial" w:hAnsi="Arial"/>
                  <w:sz w:val="13"/>
                  <w:szCs w:val="13"/>
                  <w:b w:val="1"/>
                  <w:bCs w:val="1"/>
                  <w:color w:val="auto"/>
                </w:rPr>
                <w:t>PART II. OTHER INFORMATION</w:t>
              </w:r>
            </w:hyperlink>
          </w:p>
        </w:tc>
        <w:tc>
          <w:tcPr>
            <w:tcW w:w="1260" w:type="dxa"/>
            <w:vAlign w:val="bottom"/>
          </w:tcPr>
          <w:p>
            <w:pPr>
              <w:spacing w:after="0"/>
              <w:rPr>
                <w:sz w:val="24"/>
                <w:szCs w:val="24"/>
                <w:color w:val="auto"/>
              </w:rPr>
            </w:pPr>
          </w:p>
        </w:tc>
      </w:tr>
      <w:tr>
        <w:trPr>
          <w:trHeight w:val="453"/>
        </w:trPr>
        <w:tc>
          <w:tcPr>
            <w:tcW w:w="760" w:type="dxa"/>
            <w:vAlign w:val="bottom"/>
          </w:tcPr>
          <w:p>
            <w:pPr>
              <w:spacing w:after="0"/>
              <w:rPr>
                <w:sz w:val="20"/>
                <w:szCs w:val="20"/>
                <w:color w:val="auto"/>
              </w:rPr>
            </w:pPr>
            <w:r>
              <w:rPr>
                <w:rFonts w:ascii="Arial" w:cs="Arial" w:eastAsia="Arial" w:hAnsi="Arial"/>
                <w:sz w:val="13"/>
                <w:szCs w:val="13"/>
                <w:color w:val="auto"/>
              </w:rPr>
              <w:t>Item 1.</w:t>
            </w:r>
          </w:p>
        </w:tc>
        <w:tc>
          <w:tcPr>
            <w:tcW w:w="9400" w:type="dxa"/>
            <w:vAlign w:val="bottom"/>
          </w:tcPr>
          <w:p>
            <w:pPr>
              <w:ind w:left="280"/>
              <w:spacing w:after="0"/>
              <w:rPr>
                <w:rFonts w:ascii="Arial" w:cs="Arial" w:eastAsia="Arial" w:hAnsi="Arial"/>
                <w:sz w:val="13"/>
                <w:szCs w:val="13"/>
                <w:color w:val="auto"/>
              </w:rPr>
            </w:pPr>
            <w:hyperlink w:anchor="page36">
              <w:r>
                <w:rPr>
                  <w:rFonts w:ascii="Arial" w:cs="Arial" w:eastAsia="Arial" w:hAnsi="Arial"/>
                  <w:sz w:val="13"/>
                  <w:szCs w:val="13"/>
                  <w:color w:val="auto"/>
                </w:rPr>
                <w:t>Legal Proceedings</w:t>
              </w:r>
            </w:hyperlink>
          </w:p>
        </w:tc>
        <w:tc>
          <w:tcPr>
            <w:tcW w:w="1260" w:type="dxa"/>
            <w:vAlign w:val="bottom"/>
          </w:tcPr>
          <w:p>
            <w:pPr>
              <w:jc w:val="right"/>
              <w:spacing w:after="0"/>
              <w:rPr>
                <w:rFonts w:ascii="Arial" w:cs="Arial" w:eastAsia="Arial" w:hAnsi="Arial"/>
                <w:sz w:val="13"/>
                <w:szCs w:val="13"/>
                <w:color w:val="auto"/>
              </w:rPr>
            </w:pPr>
            <w:hyperlink w:anchor="page36">
              <w:r>
                <w:rPr>
                  <w:rFonts w:ascii="Arial" w:cs="Arial" w:eastAsia="Arial" w:hAnsi="Arial"/>
                  <w:sz w:val="13"/>
                  <w:szCs w:val="13"/>
                  <w:color w:val="auto"/>
                </w:rPr>
                <w:t>34</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1A.</w:t>
            </w:r>
          </w:p>
        </w:tc>
        <w:tc>
          <w:tcPr>
            <w:tcW w:w="9400" w:type="dxa"/>
            <w:vAlign w:val="bottom"/>
          </w:tcPr>
          <w:p>
            <w:pPr>
              <w:ind w:left="280"/>
              <w:spacing w:after="0"/>
              <w:rPr>
                <w:rFonts w:ascii="Arial" w:cs="Arial" w:eastAsia="Arial" w:hAnsi="Arial"/>
                <w:sz w:val="13"/>
                <w:szCs w:val="13"/>
                <w:color w:val="auto"/>
              </w:rPr>
            </w:pPr>
            <w:hyperlink w:anchor="page36">
              <w:r>
                <w:rPr>
                  <w:rFonts w:ascii="Arial" w:cs="Arial" w:eastAsia="Arial" w:hAnsi="Arial"/>
                  <w:sz w:val="13"/>
                  <w:szCs w:val="13"/>
                  <w:color w:val="auto"/>
                </w:rPr>
                <w:t>Risk Factors</w:t>
              </w:r>
            </w:hyperlink>
          </w:p>
        </w:tc>
        <w:tc>
          <w:tcPr>
            <w:tcW w:w="1260" w:type="dxa"/>
            <w:vAlign w:val="bottom"/>
          </w:tcPr>
          <w:p>
            <w:pPr>
              <w:jc w:val="right"/>
              <w:spacing w:after="0"/>
              <w:rPr>
                <w:rFonts w:ascii="Arial" w:cs="Arial" w:eastAsia="Arial" w:hAnsi="Arial"/>
                <w:sz w:val="13"/>
                <w:szCs w:val="13"/>
                <w:color w:val="auto"/>
              </w:rPr>
            </w:pPr>
            <w:hyperlink w:anchor="page36">
              <w:r>
                <w:rPr>
                  <w:rFonts w:ascii="Arial" w:cs="Arial" w:eastAsia="Arial" w:hAnsi="Arial"/>
                  <w:sz w:val="13"/>
                  <w:szCs w:val="13"/>
                  <w:color w:val="auto"/>
                </w:rPr>
                <w:t>34</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2.</w:t>
            </w:r>
          </w:p>
        </w:tc>
        <w:tc>
          <w:tcPr>
            <w:tcW w:w="9400" w:type="dxa"/>
            <w:vAlign w:val="bottom"/>
          </w:tcPr>
          <w:p>
            <w:pPr>
              <w:ind w:left="280"/>
              <w:spacing w:after="0"/>
              <w:rPr>
                <w:rFonts w:ascii="Arial" w:cs="Arial" w:eastAsia="Arial" w:hAnsi="Arial"/>
                <w:sz w:val="13"/>
                <w:szCs w:val="13"/>
                <w:color w:val="auto"/>
              </w:rPr>
            </w:pPr>
            <w:hyperlink w:anchor="page38">
              <w:r>
                <w:rPr>
                  <w:rFonts w:ascii="Arial" w:cs="Arial" w:eastAsia="Arial" w:hAnsi="Arial"/>
                  <w:sz w:val="13"/>
                  <w:szCs w:val="13"/>
                  <w:color w:val="auto"/>
                </w:rPr>
                <w:t>Unregistered Sales of Equity Securities and Use of Proceeds</w:t>
              </w:r>
            </w:hyperlink>
          </w:p>
        </w:tc>
        <w:tc>
          <w:tcPr>
            <w:tcW w:w="1260" w:type="dxa"/>
            <w:vAlign w:val="bottom"/>
          </w:tcPr>
          <w:p>
            <w:pPr>
              <w:jc w:val="right"/>
              <w:spacing w:after="0"/>
              <w:rPr>
                <w:rFonts w:ascii="Arial" w:cs="Arial" w:eastAsia="Arial" w:hAnsi="Arial"/>
                <w:sz w:val="13"/>
                <w:szCs w:val="13"/>
                <w:color w:val="auto"/>
              </w:rPr>
            </w:pPr>
            <w:hyperlink w:anchor="page38">
              <w:r>
                <w:rPr>
                  <w:rFonts w:ascii="Arial" w:cs="Arial" w:eastAsia="Arial" w:hAnsi="Arial"/>
                  <w:sz w:val="13"/>
                  <w:szCs w:val="13"/>
                  <w:color w:val="auto"/>
                </w:rPr>
                <w:t>36</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3.</w:t>
            </w:r>
          </w:p>
        </w:tc>
        <w:tc>
          <w:tcPr>
            <w:tcW w:w="9400" w:type="dxa"/>
            <w:vAlign w:val="bottom"/>
          </w:tcPr>
          <w:p>
            <w:pPr>
              <w:ind w:left="280"/>
              <w:spacing w:after="0"/>
              <w:rPr>
                <w:rFonts w:ascii="Arial" w:cs="Arial" w:eastAsia="Arial" w:hAnsi="Arial"/>
                <w:sz w:val="13"/>
                <w:szCs w:val="13"/>
                <w:color w:val="auto"/>
              </w:rPr>
            </w:pPr>
            <w:hyperlink w:anchor="page38">
              <w:r>
                <w:rPr>
                  <w:rFonts w:ascii="Arial" w:cs="Arial" w:eastAsia="Arial" w:hAnsi="Arial"/>
                  <w:sz w:val="13"/>
                  <w:szCs w:val="13"/>
                  <w:color w:val="auto"/>
                </w:rPr>
                <w:t>Defaults Upon Senior Securities</w:t>
              </w:r>
            </w:hyperlink>
          </w:p>
        </w:tc>
        <w:tc>
          <w:tcPr>
            <w:tcW w:w="1260" w:type="dxa"/>
            <w:vAlign w:val="bottom"/>
          </w:tcPr>
          <w:p>
            <w:pPr>
              <w:jc w:val="right"/>
              <w:spacing w:after="0"/>
              <w:rPr>
                <w:rFonts w:ascii="Arial" w:cs="Arial" w:eastAsia="Arial" w:hAnsi="Arial"/>
                <w:sz w:val="13"/>
                <w:szCs w:val="13"/>
                <w:color w:val="auto"/>
              </w:rPr>
            </w:pPr>
            <w:hyperlink w:anchor="page38">
              <w:r>
                <w:rPr>
                  <w:rFonts w:ascii="Arial" w:cs="Arial" w:eastAsia="Arial" w:hAnsi="Arial"/>
                  <w:sz w:val="13"/>
                  <w:szCs w:val="13"/>
                  <w:color w:val="auto"/>
                </w:rPr>
                <w:t>36</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4.</w:t>
            </w:r>
          </w:p>
        </w:tc>
        <w:tc>
          <w:tcPr>
            <w:tcW w:w="9400" w:type="dxa"/>
            <w:vAlign w:val="bottom"/>
          </w:tcPr>
          <w:p>
            <w:pPr>
              <w:ind w:left="280"/>
              <w:spacing w:after="0"/>
              <w:rPr>
                <w:rFonts w:ascii="Arial" w:cs="Arial" w:eastAsia="Arial" w:hAnsi="Arial"/>
                <w:sz w:val="13"/>
                <w:szCs w:val="13"/>
                <w:color w:val="auto"/>
              </w:rPr>
            </w:pPr>
            <w:hyperlink w:anchor="page38">
              <w:r>
                <w:rPr>
                  <w:rFonts w:ascii="Arial" w:cs="Arial" w:eastAsia="Arial" w:hAnsi="Arial"/>
                  <w:sz w:val="13"/>
                  <w:szCs w:val="13"/>
                  <w:color w:val="auto"/>
                </w:rPr>
                <w:t>Mine Safety Disclosures</w:t>
              </w:r>
            </w:hyperlink>
          </w:p>
        </w:tc>
        <w:tc>
          <w:tcPr>
            <w:tcW w:w="1260" w:type="dxa"/>
            <w:vAlign w:val="bottom"/>
          </w:tcPr>
          <w:p>
            <w:pPr>
              <w:jc w:val="right"/>
              <w:spacing w:after="0"/>
              <w:rPr>
                <w:rFonts w:ascii="Arial" w:cs="Arial" w:eastAsia="Arial" w:hAnsi="Arial"/>
                <w:sz w:val="13"/>
                <w:szCs w:val="13"/>
                <w:color w:val="auto"/>
              </w:rPr>
            </w:pPr>
            <w:hyperlink w:anchor="page38">
              <w:r>
                <w:rPr>
                  <w:rFonts w:ascii="Arial" w:cs="Arial" w:eastAsia="Arial" w:hAnsi="Arial"/>
                  <w:sz w:val="13"/>
                  <w:szCs w:val="13"/>
                  <w:color w:val="auto"/>
                </w:rPr>
                <w:t>36</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5.</w:t>
            </w:r>
          </w:p>
        </w:tc>
        <w:tc>
          <w:tcPr>
            <w:tcW w:w="9400" w:type="dxa"/>
            <w:vAlign w:val="bottom"/>
          </w:tcPr>
          <w:p>
            <w:pPr>
              <w:ind w:left="280"/>
              <w:spacing w:after="0"/>
              <w:rPr>
                <w:rFonts w:ascii="Arial" w:cs="Arial" w:eastAsia="Arial" w:hAnsi="Arial"/>
                <w:sz w:val="13"/>
                <w:szCs w:val="13"/>
                <w:color w:val="auto"/>
              </w:rPr>
            </w:pPr>
            <w:hyperlink w:anchor="page38">
              <w:r>
                <w:rPr>
                  <w:rFonts w:ascii="Arial" w:cs="Arial" w:eastAsia="Arial" w:hAnsi="Arial"/>
                  <w:sz w:val="13"/>
                  <w:szCs w:val="13"/>
                  <w:color w:val="auto"/>
                </w:rPr>
                <w:t>Other Information</w:t>
              </w:r>
            </w:hyperlink>
          </w:p>
        </w:tc>
        <w:tc>
          <w:tcPr>
            <w:tcW w:w="1260" w:type="dxa"/>
            <w:vAlign w:val="bottom"/>
          </w:tcPr>
          <w:p>
            <w:pPr>
              <w:jc w:val="right"/>
              <w:spacing w:after="0"/>
              <w:rPr>
                <w:rFonts w:ascii="Arial" w:cs="Arial" w:eastAsia="Arial" w:hAnsi="Arial"/>
                <w:sz w:val="13"/>
                <w:szCs w:val="13"/>
                <w:color w:val="auto"/>
              </w:rPr>
            </w:pPr>
            <w:hyperlink w:anchor="page38">
              <w:r>
                <w:rPr>
                  <w:rFonts w:ascii="Arial" w:cs="Arial" w:eastAsia="Arial" w:hAnsi="Arial"/>
                  <w:sz w:val="13"/>
                  <w:szCs w:val="13"/>
                  <w:color w:val="auto"/>
                </w:rPr>
                <w:t>36</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6.</w:t>
            </w:r>
          </w:p>
        </w:tc>
        <w:tc>
          <w:tcPr>
            <w:tcW w:w="9400" w:type="dxa"/>
            <w:vAlign w:val="bottom"/>
          </w:tcPr>
          <w:p>
            <w:pPr>
              <w:ind w:left="280"/>
              <w:spacing w:after="0"/>
              <w:rPr>
                <w:rFonts w:ascii="Arial" w:cs="Arial" w:eastAsia="Arial" w:hAnsi="Arial"/>
                <w:sz w:val="13"/>
                <w:szCs w:val="13"/>
                <w:color w:val="auto"/>
              </w:rPr>
            </w:pPr>
            <w:hyperlink w:anchor="page39">
              <w:r>
                <w:rPr>
                  <w:rFonts w:ascii="Arial" w:cs="Arial" w:eastAsia="Arial" w:hAnsi="Arial"/>
                  <w:sz w:val="13"/>
                  <w:szCs w:val="13"/>
                  <w:color w:val="auto"/>
                </w:rPr>
                <w:t>Exhibits</w:t>
              </w:r>
            </w:hyperlink>
          </w:p>
        </w:tc>
        <w:tc>
          <w:tcPr>
            <w:tcW w:w="1260" w:type="dxa"/>
            <w:vAlign w:val="bottom"/>
          </w:tcPr>
          <w:p>
            <w:pPr>
              <w:jc w:val="right"/>
              <w:spacing w:after="0"/>
              <w:rPr>
                <w:rFonts w:ascii="Arial" w:cs="Arial" w:eastAsia="Arial" w:hAnsi="Arial"/>
                <w:sz w:val="13"/>
                <w:szCs w:val="13"/>
                <w:color w:val="auto"/>
              </w:rPr>
            </w:pPr>
            <w:hyperlink w:anchor="page39">
              <w:r>
                <w:rPr>
                  <w:rFonts w:ascii="Arial" w:cs="Arial" w:eastAsia="Arial" w:hAnsi="Arial"/>
                  <w:sz w:val="13"/>
                  <w:szCs w:val="13"/>
                  <w:color w:val="auto"/>
                </w:rPr>
                <w:t>37</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40">
              <w:r>
                <w:rPr>
                  <w:rFonts w:ascii="Arial" w:cs="Arial" w:eastAsia="Arial" w:hAnsi="Arial"/>
                  <w:sz w:val="13"/>
                  <w:szCs w:val="13"/>
                  <w:color w:val="auto"/>
                </w:rPr>
                <w:t>Signature</w:t>
              </w:r>
            </w:hyperlink>
          </w:p>
        </w:tc>
        <w:tc>
          <w:tcPr>
            <w:tcW w:w="1260" w:type="dxa"/>
            <w:vAlign w:val="bottom"/>
          </w:tcPr>
          <w:p>
            <w:pPr>
              <w:jc w:val="right"/>
              <w:spacing w:after="0"/>
              <w:rPr>
                <w:rFonts w:ascii="Arial" w:cs="Arial" w:eastAsia="Arial" w:hAnsi="Arial"/>
                <w:sz w:val="13"/>
                <w:szCs w:val="13"/>
                <w:color w:val="auto"/>
              </w:rPr>
            </w:pPr>
            <w:hyperlink w:anchor="page40">
              <w:r>
                <w:rPr>
                  <w:rFonts w:ascii="Arial" w:cs="Arial" w:eastAsia="Arial" w:hAnsi="Arial"/>
                  <w:sz w:val="13"/>
                  <w:szCs w:val="13"/>
                  <w:color w:val="auto"/>
                </w:rPr>
                <w:t>38</w:t>
              </w:r>
            </w:hyperlink>
          </w:p>
        </w:tc>
      </w:tr>
    </w:tbl>
    <w:p>
      <w:pPr>
        <w:sectPr>
          <w:pgSz w:w="11900" w:h="16838" w:orient="portrait"/>
          <w:cols w:equalWidth="0" w:num="1">
            <w:col w:w="11420"/>
          </w:cols>
          <w:pgMar w:left="260" w:top="444" w:right="219" w:bottom="1440" w:gutter="0" w:footer="0" w:header="0"/>
        </w:sectPr>
      </w:pPr>
    </w:p>
    <w:bookmarkStart w:id="2" w:name="page3"/>
    <w:bookmarkEnd w:id="2"/>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 (Unaudited)</w:t>
      </w:r>
    </w:p>
    <w:p>
      <w:pPr>
        <w:spacing w:after="0" w:line="9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par value)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8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w:t>
            </w:r>
          </w:p>
        </w:tc>
        <w:tc>
          <w:tcPr>
            <w:tcW w:w="220" w:type="dxa"/>
            <w:vAlign w:val="bottom"/>
          </w:tcPr>
          <w:p>
            <w:pPr>
              <w:spacing w:after="0"/>
              <w:rPr>
                <w:sz w:val="11"/>
                <w:szCs w:val="11"/>
                <w:color w:val="auto"/>
              </w:rPr>
            </w:pPr>
          </w:p>
        </w:tc>
        <w:tc>
          <w:tcPr>
            <w:tcW w:w="1260" w:type="dxa"/>
            <w:vAlign w:val="bottom"/>
          </w:tcPr>
          <w:p>
            <w:pPr>
              <w:jc w:val="right"/>
              <w:ind w:right="323"/>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7"/>
        </w:trPr>
        <w:tc>
          <w:tcPr>
            <w:tcW w:w="83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1"/>
        </w:trPr>
        <w:tc>
          <w:tcPr>
            <w:tcW w:w="834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1"/>
                <w:szCs w:val="11"/>
                <w:b w:val="1"/>
                <w:bCs w:val="1"/>
                <w:color w:val="auto"/>
              </w:rPr>
              <w:t>ASSETS</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34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Cash and cash equivalents</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205,959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106,237</w:t>
            </w: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Accounts receivable, net</w:t>
            </w:r>
          </w:p>
        </w:tc>
        <w:tc>
          <w:tcPr>
            <w:tcW w:w="30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97,537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78,938</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Inventory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20,094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16,267</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Prepaid expenses and other assets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26,261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20,860</w:t>
            </w: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Total current assets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349,851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222,302</w:t>
            </w:r>
          </w:p>
        </w:tc>
        <w:tc>
          <w:tcPr>
            <w:tcW w:w="0" w:type="dxa"/>
            <w:vAlign w:val="bottom"/>
          </w:tcPr>
          <w:p>
            <w:pPr>
              <w:spacing w:after="0"/>
              <w:rPr>
                <w:sz w:val="1"/>
                <w:szCs w:val="1"/>
                <w:color w:val="auto"/>
              </w:rPr>
            </w:pPr>
          </w:p>
        </w:tc>
      </w:tr>
      <w:tr>
        <w:trPr>
          <w:trHeight w:val="211"/>
        </w:trPr>
        <w:tc>
          <w:tcPr>
            <w:tcW w:w="834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30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21,532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20,998</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 of use asset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12,304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834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30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32,943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35,306</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24,783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24,783</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40,105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36,548</w:t>
            </w:r>
          </w:p>
        </w:tc>
        <w:tc>
          <w:tcPr>
            <w:tcW w:w="0" w:type="dxa"/>
            <w:vAlign w:val="bottom"/>
          </w:tcPr>
          <w:p>
            <w:pPr>
              <w:spacing w:after="0"/>
              <w:rPr>
                <w:sz w:val="1"/>
                <w:szCs w:val="1"/>
                <w:color w:val="auto"/>
              </w:rPr>
            </w:pPr>
          </w:p>
        </w:tc>
      </w:tr>
      <w:tr>
        <w:trPr>
          <w:trHeight w:val="185"/>
        </w:trPr>
        <w:tc>
          <w:tcPr>
            <w:tcW w:w="8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Total assets</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481,518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339,937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960"/>
              <w:spacing w:after="0"/>
              <w:rPr>
                <w:sz w:val="20"/>
                <w:szCs w:val="20"/>
                <w:color w:val="auto"/>
              </w:rPr>
            </w:pPr>
            <w:r>
              <w:rPr>
                <w:rFonts w:ascii="Arial" w:cs="Arial" w:eastAsia="Arial" w:hAnsi="Arial"/>
                <w:sz w:val="11"/>
                <w:szCs w:val="11"/>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Accounts payable</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65,989</w:t>
            </w:r>
          </w:p>
        </w:tc>
        <w:tc>
          <w:tcPr>
            <w:tcW w:w="120" w:type="dxa"/>
            <w:vAlign w:val="bottom"/>
          </w:tcPr>
          <w:p>
            <w:pPr>
              <w:spacing w:after="0"/>
              <w:rPr>
                <w:sz w:val="18"/>
                <w:szCs w:val="18"/>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48,794</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Accrued 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29,010</w:t>
            </w: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Deferred revenues, current</w:t>
            </w:r>
          </w:p>
        </w:tc>
        <w:tc>
          <w:tcPr>
            <w:tcW w:w="30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33,577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33,119</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Warranty obligations, current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7,468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8,083</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Debt, current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3,043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28,155</w:t>
            </w: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Total current liabilities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143,613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147,161</w:t>
            </w:r>
          </w:p>
        </w:tc>
        <w:tc>
          <w:tcPr>
            <w:tcW w:w="0" w:type="dxa"/>
            <w:vAlign w:val="bottom"/>
          </w:tcPr>
          <w:p>
            <w:pPr>
              <w:spacing w:after="0"/>
              <w:rPr>
                <w:sz w:val="1"/>
                <w:szCs w:val="1"/>
                <w:color w:val="auto"/>
              </w:rPr>
            </w:pPr>
          </w:p>
        </w:tc>
      </w:tr>
      <w:tr>
        <w:trPr>
          <w:trHeight w:val="185"/>
        </w:trPr>
        <w:tc>
          <w:tcPr>
            <w:tcW w:w="8340" w:type="dxa"/>
            <w:vAlign w:val="bottom"/>
          </w:tcPr>
          <w:p>
            <w:pPr>
              <w:ind w:left="20"/>
              <w:spacing w:after="0"/>
              <w:rPr>
                <w:sz w:val="20"/>
                <w:szCs w:val="20"/>
                <w:color w:val="auto"/>
              </w:rPr>
            </w:pPr>
            <w:r>
              <w:rPr>
                <w:rFonts w:ascii="Arial" w:cs="Arial" w:eastAsia="Arial" w:hAnsi="Arial"/>
                <w:sz w:val="11"/>
                <w:szCs w:val="11"/>
                <w:color w:val="auto"/>
              </w:rPr>
              <w:t>Long-term liabilities:</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Deferred revenues, noncurrent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82,288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76,911</w:t>
            </w: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Warranty obligations, noncurrent</w:t>
            </w:r>
          </w:p>
        </w:tc>
        <w:tc>
          <w:tcPr>
            <w:tcW w:w="30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25,526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23,211</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Other 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12,930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3,250</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Debt, noncurrent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99,890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81,628</w:t>
            </w: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Total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364,247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332,161</w:t>
            </w:r>
          </w:p>
        </w:tc>
        <w:tc>
          <w:tcPr>
            <w:tcW w:w="0" w:type="dxa"/>
            <w:vAlign w:val="bottom"/>
          </w:tcPr>
          <w:p>
            <w:pPr>
              <w:spacing w:after="0"/>
              <w:rPr>
                <w:sz w:val="1"/>
                <w:szCs w:val="1"/>
                <w:color w:val="auto"/>
              </w:rPr>
            </w:pPr>
          </w:p>
        </w:tc>
      </w:tr>
      <w:tr>
        <w:trPr>
          <w:trHeight w:val="165"/>
        </w:trPr>
        <w:tc>
          <w:tcPr>
            <w:tcW w:w="8340" w:type="dxa"/>
            <w:vAlign w:val="bottom"/>
          </w:tcPr>
          <w:p>
            <w:pPr>
              <w:ind w:left="20"/>
              <w:spacing w:after="0"/>
              <w:rPr>
                <w:sz w:val="20"/>
                <w:szCs w:val="20"/>
                <w:color w:val="auto"/>
              </w:rPr>
            </w:pPr>
            <w:r>
              <w:rPr>
                <w:rFonts w:ascii="Arial" w:cs="Arial" w:eastAsia="Arial" w:hAnsi="Arial"/>
                <w:sz w:val="11"/>
                <w:szCs w:val="11"/>
                <w:color w:val="auto"/>
              </w:rPr>
              <w:t>Commitments and contingent liabilities (Note 9)</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Preferred stock, $0.00001 par value, 10,000 shares authorized; none issued and outstanding</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Common stock, $0.00001 par value, 150,000 shares and 150,000 shares authorized; and 121,950 shares and 107,035 shares issued and outstanding at</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3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June 30, 2019 and December 31, 2018, respectively</w:t>
            </w: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Additional paid-in capital</w:t>
            </w:r>
          </w:p>
        </w:tc>
        <w:tc>
          <w:tcPr>
            <w:tcW w:w="30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449,802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353,335</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Accumulated deficit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(332,946)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(346,302)</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Accumulated other comprehensive income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742</w:t>
            </w: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Total stockholders’ equity</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117,271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7,776</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w:t>
            </w: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481,518</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339,937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w:t>
      </w:r>
    </w:p>
    <w:p>
      <w:pPr>
        <w:sectPr>
          <w:pgSz w:w="11900" w:h="16838" w:orient="portrait"/>
          <w:cols w:equalWidth="0" w:num="1">
            <w:col w:w="11460"/>
          </w:cols>
          <w:pgMar w:left="220" w:top="254" w:right="219" w:bottom="1440" w:gutter="0" w:footer="0" w:header="0"/>
        </w:sectPr>
      </w:pPr>
    </w:p>
    <w:bookmarkStart w:id="3" w:name="page4"/>
    <w:bookmarkEnd w:id="3"/>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1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9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7"/>
              </w:rPr>
              <w:t>134,094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75,896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234,244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145,868</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88,775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53,195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155,586</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104,851</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45,319</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22,701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78,658</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41,017</w:t>
            </w: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Research and development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9,604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9,462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18,128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17,082</w:t>
            </w:r>
          </w:p>
        </w:tc>
        <w:tc>
          <w:tcPr>
            <w:tcW w:w="0" w:type="dxa"/>
            <w:vAlign w:val="bottom"/>
          </w:tcPr>
          <w:p>
            <w:pPr>
              <w:spacing w:after="0"/>
              <w:rPr>
                <w:sz w:val="1"/>
                <w:szCs w:val="1"/>
                <w:color w:val="auto"/>
              </w:rPr>
            </w:pPr>
          </w:p>
        </w:tc>
      </w:tr>
      <w:tr>
        <w:trPr>
          <w:trHeight w:val="208"/>
        </w:trPr>
        <w:tc>
          <w:tcPr>
            <w:tcW w:w="5160" w:type="dxa"/>
            <w:vAlign w:val="bottom"/>
          </w:tcPr>
          <w:p>
            <w:pPr>
              <w:ind w:left="300"/>
              <w:spacing w:after="0"/>
              <w:rPr>
                <w:sz w:val="20"/>
                <w:szCs w:val="20"/>
                <w:color w:val="auto"/>
              </w:rPr>
            </w:pPr>
            <w:r>
              <w:rPr>
                <w:rFonts w:ascii="Arial" w:cs="Arial" w:eastAsia="Arial" w:hAnsi="Arial"/>
                <w:sz w:val="13"/>
                <w:szCs w:val="13"/>
                <w:color w:val="auto"/>
              </w:rPr>
              <w:t>Sales and marketing</w:t>
            </w:r>
          </w:p>
        </w:tc>
        <w:tc>
          <w:tcPr>
            <w:tcW w:w="900" w:type="dxa"/>
            <w:vAlign w:val="bottom"/>
          </w:tcPr>
          <w:p>
            <w:pPr>
              <w:spacing w:after="0"/>
              <w:rPr>
                <w:sz w:val="18"/>
                <w:szCs w:val="18"/>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color w:val="auto"/>
              </w:rPr>
              <w:t>9,054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6,828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16,487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13,055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General and administrative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8,583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6,969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18,463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13,913</w:t>
            </w:r>
          </w:p>
        </w:tc>
        <w:tc>
          <w:tcPr>
            <w:tcW w:w="0" w:type="dxa"/>
            <w:vAlign w:val="bottom"/>
          </w:tcPr>
          <w:p>
            <w:pPr>
              <w:spacing w:after="0"/>
              <w:rPr>
                <w:sz w:val="1"/>
                <w:szCs w:val="1"/>
                <w:color w:val="auto"/>
              </w:rPr>
            </w:pPr>
          </w:p>
        </w:tc>
      </w:tr>
      <w:tr>
        <w:trPr>
          <w:trHeight w:val="208"/>
        </w:trPr>
        <w:tc>
          <w:tcPr>
            <w:tcW w:w="5160" w:type="dxa"/>
            <w:vAlign w:val="bottom"/>
          </w:tcPr>
          <w:p>
            <w:pPr>
              <w:ind w:left="300"/>
              <w:spacing w:after="0"/>
              <w:rPr>
                <w:sz w:val="20"/>
                <w:szCs w:val="20"/>
                <w:color w:val="auto"/>
              </w:rPr>
            </w:pPr>
            <w:r>
              <w:rPr>
                <w:rFonts w:ascii="Arial" w:cs="Arial" w:eastAsia="Arial" w:hAnsi="Arial"/>
                <w:sz w:val="13"/>
                <w:szCs w:val="13"/>
                <w:color w:val="auto"/>
              </w:rPr>
              <w:t>Restructuring charges</w:t>
            </w:r>
          </w:p>
        </w:tc>
        <w:tc>
          <w:tcPr>
            <w:tcW w:w="900" w:type="dxa"/>
            <w:vAlign w:val="bottom"/>
          </w:tcPr>
          <w:p>
            <w:pPr>
              <w:spacing w:after="0"/>
              <w:rPr>
                <w:sz w:val="18"/>
                <w:szCs w:val="18"/>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color w:val="auto"/>
              </w:rPr>
              <w:t>631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999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Total operating expenses</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27,872</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23,259</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54,077</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44,050</w:t>
            </w:r>
          </w:p>
        </w:tc>
        <w:tc>
          <w:tcPr>
            <w:tcW w:w="0" w:type="dxa"/>
            <w:vAlign w:val="bottom"/>
          </w:tcPr>
          <w:p>
            <w:pPr>
              <w:spacing w:after="0"/>
              <w:rPr>
                <w:sz w:val="1"/>
                <w:szCs w:val="1"/>
                <w:color w:val="auto"/>
              </w:rPr>
            </w:pPr>
          </w:p>
        </w:tc>
      </w:tr>
      <w:tr>
        <w:trPr>
          <w:trHeight w:val="196"/>
        </w:trPr>
        <w:tc>
          <w:tcPr>
            <w:tcW w:w="516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900" w:type="dxa"/>
            <w:vAlign w:val="bottom"/>
          </w:tcPr>
          <w:p>
            <w:pPr>
              <w:spacing w:after="0"/>
              <w:rPr>
                <w:sz w:val="17"/>
                <w:szCs w:val="17"/>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color w:val="auto"/>
              </w:rPr>
              <w:t>17,447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(558)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24,581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(3,033)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300"/>
              <w:spacing w:after="0"/>
              <w:rPr>
                <w:sz w:val="20"/>
                <w:szCs w:val="20"/>
                <w:color w:val="auto"/>
              </w:rPr>
            </w:pPr>
            <w:r>
              <w:rPr>
                <w:rFonts w:ascii="Arial" w:cs="Arial" w:eastAsia="Arial" w:hAnsi="Arial"/>
                <w:sz w:val="13"/>
                <w:szCs w:val="13"/>
                <w:color w:val="auto"/>
              </w:rPr>
              <w:t>Interest income</w:t>
            </w:r>
          </w:p>
        </w:tc>
        <w:tc>
          <w:tcPr>
            <w:tcW w:w="900" w:type="dxa"/>
            <w:vAlign w:val="bottom"/>
          </w:tcPr>
          <w:p>
            <w:pPr>
              <w:spacing w:after="0"/>
              <w:rPr>
                <w:sz w:val="18"/>
                <w:szCs w:val="18"/>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color w:val="auto"/>
              </w:rPr>
              <w:t>593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804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Interest expense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(4,809)</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Other expense, net</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(5,480)</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(572)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(5,961)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Total other expense, net</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(6,238)</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(2,841)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(10,259)</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(5,260)</w:t>
            </w:r>
          </w:p>
        </w:tc>
        <w:tc>
          <w:tcPr>
            <w:tcW w:w="0" w:type="dxa"/>
            <w:vAlign w:val="bottom"/>
          </w:tcPr>
          <w:p>
            <w:pPr>
              <w:spacing w:after="0"/>
              <w:rPr>
                <w:sz w:val="1"/>
                <w:szCs w:val="1"/>
                <w:color w:val="auto"/>
              </w:rPr>
            </w:pPr>
          </w:p>
        </w:tc>
      </w:tr>
      <w:tr>
        <w:trPr>
          <w:trHeight w:val="196"/>
        </w:trPr>
        <w:tc>
          <w:tcPr>
            <w:tcW w:w="516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900" w:type="dxa"/>
            <w:vAlign w:val="bottom"/>
          </w:tcPr>
          <w:p>
            <w:pPr>
              <w:spacing w:after="0"/>
              <w:rPr>
                <w:sz w:val="17"/>
                <w:szCs w:val="17"/>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color w:val="auto"/>
              </w:rPr>
              <w:t>11,209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(3,399)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14,322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(8,293)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9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10,618</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(3,738)</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13,383</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(8,866)</w:t>
            </w:r>
          </w:p>
        </w:tc>
        <w:tc>
          <w:tcPr>
            <w:tcW w:w="0" w:type="dxa"/>
            <w:vAlign w:val="bottom"/>
          </w:tcPr>
          <w:p>
            <w:pPr>
              <w:spacing w:after="0"/>
              <w:rPr>
                <w:sz w:val="1"/>
                <w:szCs w:val="1"/>
                <w:color w:val="auto"/>
              </w:rPr>
            </w:pPr>
          </w:p>
        </w:tc>
      </w:tr>
      <w:tr>
        <w:trPr>
          <w:trHeight w:val="19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Basic</w:t>
            </w:r>
          </w:p>
        </w:tc>
        <w:tc>
          <w:tcPr>
            <w:tcW w:w="9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0.09</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(0.04)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0.12</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66"/>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Diluted</w:t>
            </w:r>
          </w:p>
        </w:tc>
        <w:tc>
          <w:tcPr>
            <w:tcW w:w="9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0.08</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(0.04)</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0.11</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3"/>
                <w:szCs w:val="13"/>
                <w:color w:val="auto"/>
              </w:rPr>
              <w:t>Shares used in per share calculation:</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Basic</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97"/>
              </w:rPr>
              <w:t>113,677</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97,321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110,951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94,026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60" w:type="dxa"/>
            <w:vAlign w:val="bottom"/>
          </w:tcPr>
          <w:p>
            <w:pPr>
              <w:ind w:left="300"/>
              <w:spacing w:after="0"/>
              <w:rPr>
                <w:sz w:val="20"/>
                <w:szCs w:val="20"/>
                <w:color w:val="auto"/>
              </w:rPr>
            </w:pPr>
            <w:r>
              <w:rPr>
                <w:rFonts w:ascii="Arial" w:cs="Arial" w:eastAsia="Arial" w:hAnsi="Arial"/>
                <w:sz w:val="13"/>
                <w:szCs w:val="13"/>
                <w:color w:val="auto"/>
              </w:rPr>
              <w:t>Diluted</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97"/>
              </w:rPr>
              <w:t>130,737</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97,321</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129,400</w:t>
            </w: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94,026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w:t>
      </w:r>
    </w:p>
    <w:p>
      <w:pPr>
        <w:sectPr>
          <w:pgSz w:w="11900" w:h="16838" w:orient="portrait"/>
          <w:cols w:equalWidth="0" w:num="1">
            <w:col w:w="11460"/>
          </w:cols>
          <w:pgMar w:left="220" w:top="254" w:right="219" w:bottom="1440" w:gutter="0" w:footer="0" w:header="0"/>
        </w:sectPr>
      </w:pPr>
    </w:p>
    <w:bookmarkStart w:id="4" w:name="page5"/>
    <w:bookmarkEnd w:id="4"/>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CONDENSED CONSOLIDATED STATEMENTS OF COMPREHENSIVE INCOME (LOSS)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206"/>
        </w:trPr>
        <w:tc>
          <w:tcPr>
            <w:tcW w:w="5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20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10,618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(3,738)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13,383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(8,866)</w:t>
            </w:r>
          </w:p>
        </w:tc>
      </w:tr>
      <w:tr>
        <w:trPr>
          <w:trHeight w:val="178"/>
        </w:trPr>
        <w:tc>
          <w:tcPr>
            <w:tcW w:w="516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7"/>
        </w:trPr>
        <w:tc>
          <w:tcPr>
            <w:tcW w:w="5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51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303</w:t>
            </w:r>
          </w:p>
        </w:tc>
      </w:tr>
      <w:tr>
        <w:trPr>
          <w:trHeight w:val="177"/>
        </w:trPr>
        <w:tc>
          <w:tcPr>
            <w:tcW w:w="5160" w:type="dxa"/>
            <w:vAlign w:val="bottom"/>
          </w:tcPr>
          <w:p>
            <w:pPr>
              <w:ind w:left="20"/>
              <w:spacing w:after="0"/>
              <w:rPr>
                <w:sz w:val="20"/>
                <w:szCs w:val="20"/>
                <w:color w:val="auto"/>
              </w:rPr>
            </w:pPr>
            <w:r>
              <w:rPr>
                <w:rFonts w:ascii="Arial" w:cs="Arial" w:eastAsia="Arial" w:hAnsi="Arial"/>
                <w:sz w:val="13"/>
                <w:szCs w:val="13"/>
                <w:color w:val="auto"/>
              </w:rPr>
              <w:t>Comprehensive income (loss)</w:t>
            </w:r>
          </w:p>
        </w:tc>
        <w:tc>
          <w:tcPr>
            <w:tcW w:w="940" w:type="dxa"/>
            <w:vAlign w:val="bottom"/>
            <w:tcBorders>
              <w:bottom w:val="single" w:sz="8" w:color="auto"/>
            </w:tcBorders>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10,369</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(3,723)</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13,055</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(8,563)</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w:t>
      </w:r>
    </w:p>
    <w:p>
      <w:pPr>
        <w:sectPr>
          <w:pgSz w:w="11900" w:h="16838" w:orient="portrait"/>
          <w:cols w:equalWidth="0" w:num="1">
            <w:col w:w="11460"/>
          </w:cols>
          <w:pgMar w:left="220" w:top="254" w:right="219" w:bottom="1440" w:gutter="0" w:footer="0" w:header="0"/>
        </w:sectPr>
      </w:pPr>
    </w:p>
    <w:bookmarkStart w:id="5" w:name="page6"/>
    <w:bookmarkEnd w:id="5"/>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CONDENSED CONSOLIDATED STATEMENTS OF STOCKHOLDER’S EQUITY (DEFICIT)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1"/>
                <w:szCs w:val="11"/>
                <w:color w:val="auto"/>
              </w:rPr>
            </w:pPr>
          </w:p>
        </w:tc>
      </w:tr>
      <w:tr>
        <w:trPr>
          <w:trHeight w:val="157"/>
        </w:trPr>
        <w:tc>
          <w:tcPr>
            <w:tcW w:w="11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206"/>
        </w:trPr>
        <w:tc>
          <w:tcPr>
            <w:tcW w:w="1160" w:type="dxa"/>
            <w:vAlign w:val="bottom"/>
            <w:tcBorders>
              <w:bottom w:val="single" w:sz="8" w:color="CCEEFF"/>
            </w:tcBorders>
          </w:tcPr>
          <w:p>
            <w:pPr>
              <w:spacing w:after="0"/>
              <w:rPr>
                <w:sz w:val="17"/>
                <w:szCs w:val="17"/>
                <w:color w:val="auto"/>
              </w:rPr>
            </w:pPr>
          </w:p>
        </w:tc>
        <w:tc>
          <w:tcPr>
            <w:tcW w:w="4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211"/>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Common stock and paid-in capital</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Balance, beginning of period</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357,024</w:t>
            </w:r>
          </w:p>
        </w:tc>
        <w:tc>
          <w:tcPr>
            <w:tcW w:w="120" w:type="dxa"/>
            <w:vAlign w:val="bottom"/>
          </w:tcPr>
          <w:p>
            <w:pPr>
              <w:spacing w:after="0"/>
              <w:rPr>
                <w:sz w:val="18"/>
                <w:szCs w:val="18"/>
                <w:color w:val="auto"/>
              </w:rPr>
            </w:pPr>
          </w:p>
        </w:tc>
        <w:tc>
          <w:tcPr>
            <w:tcW w:w="56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309,020</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353,336</w:t>
            </w:r>
          </w:p>
        </w:tc>
        <w:tc>
          <w:tcPr>
            <w:tcW w:w="120" w:type="dxa"/>
            <w:vAlign w:val="bottom"/>
          </w:tcPr>
          <w:p>
            <w:pPr>
              <w:spacing w:after="0"/>
              <w:rPr>
                <w:sz w:val="18"/>
                <w:szCs w:val="18"/>
                <w:color w:val="auto"/>
              </w:rPr>
            </w:pPr>
          </w:p>
        </w:tc>
        <w:tc>
          <w:tcPr>
            <w:tcW w:w="520" w:type="dxa"/>
            <w:vAlign w:val="bottom"/>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287,257</w:t>
            </w:r>
          </w:p>
        </w:tc>
      </w:tr>
      <w:tr>
        <w:trPr>
          <w:trHeight w:val="223"/>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Cumulative-effect adjustment to additional paid in capital</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and 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gridSpan w:val="2"/>
          </w:tcPr>
          <w:p>
            <w:pPr>
              <w:ind w:left="220"/>
              <w:spacing w:after="0"/>
              <w:rPr>
                <w:sz w:val="20"/>
                <w:szCs w:val="20"/>
                <w:color w:val="auto"/>
              </w:rPr>
            </w:pPr>
            <w:r>
              <w:rPr>
                <w:rFonts w:ascii="Arial" w:cs="Arial" w:eastAsia="Arial" w:hAnsi="Arial"/>
                <w:sz w:val="13"/>
                <w:szCs w:val="13"/>
                <w:color w:val="auto"/>
              </w:rPr>
              <w:t>Common stock issued under equity incentive and stock purchase plans, net</w:t>
            </w:r>
          </w:p>
        </w:tc>
        <w:tc>
          <w:tcPr>
            <w:tcW w:w="36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1,254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532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1,523</w:t>
            </w:r>
          </w:p>
        </w:tc>
      </w:tr>
      <w:tr>
        <w:trPr>
          <w:trHeight w:val="223"/>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Conversion of convertible notes due 2023,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58,857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58,857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gridSpan w:val="2"/>
          </w:tcPr>
          <w:p>
            <w:pPr>
              <w:ind w:left="220"/>
              <w:spacing w:after="0"/>
              <w:rPr>
                <w:sz w:val="20"/>
                <w:szCs w:val="20"/>
                <w:color w:val="auto"/>
              </w:rPr>
            </w:pPr>
            <w:r>
              <w:rPr>
                <w:rFonts w:ascii="Arial" w:cs="Arial" w:eastAsia="Arial" w:hAnsi="Arial"/>
                <w:sz w:val="13"/>
                <w:szCs w:val="13"/>
                <w:color w:val="auto"/>
              </w:rPr>
              <w:t>Equity component of convertible notes due 2024, net</w:t>
            </w:r>
          </w:p>
        </w:tc>
        <w:tc>
          <w:tcPr>
            <w:tcW w:w="36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35,089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35,089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23"/>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Cost of convertible notes hedge related to the convertible notes due 2024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gridSpan w:val="2"/>
          </w:tcPr>
          <w:p>
            <w:pPr>
              <w:ind w:left="220"/>
              <w:spacing w:after="0"/>
              <w:rPr>
                <w:sz w:val="20"/>
                <w:szCs w:val="20"/>
                <w:color w:val="auto"/>
              </w:rPr>
            </w:pPr>
            <w:r>
              <w:rPr>
                <w:rFonts w:ascii="Arial" w:cs="Arial" w:eastAsia="Arial" w:hAnsi="Arial"/>
                <w:sz w:val="13"/>
                <w:szCs w:val="13"/>
                <w:color w:val="auto"/>
              </w:rPr>
              <w:t>Sale of warrants related to the convertible notes due 2024</w:t>
            </w:r>
          </w:p>
        </w:tc>
        <w:tc>
          <w:tcPr>
            <w:tcW w:w="36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29,818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29,818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23"/>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Issuance of common stock, net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19,771</w:t>
            </w:r>
          </w:p>
        </w:tc>
      </w:tr>
      <w:tr>
        <w:trPr>
          <w:trHeight w:val="208"/>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Stock-based compensation expense and 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5,104</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3,657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8,457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5,228</w:t>
            </w:r>
          </w:p>
        </w:tc>
      </w:tr>
      <w:tr>
        <w:trPr>
          <w:trHeight w:val="196"/>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Balance, end of period</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449,803</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313,779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449,803</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313,779</w:t>
            </w:r>
          </w:p>
        </w:tc>
      </w:tr>
      <w:tr>
        <w:trPr>
          <w:trHeight w:val="257"/>
        </w:trPr>
        <w:tc>
          <w:tcPr>
            <w:tcW w:w="11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Retained earnings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Balance, beginning of period</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(343,563)</w:t>
            </w:r>
          </w:p>
        </w:tc>
        <w:tc>
          <w:tcPr>
            <w:tcW w:w="120" w:type="dxa"/>
            <w:vAlign w:val="bottom"/>
          </w:tcPr>
          <w:p>
            <w:pPr>
              <w:spacing w:after="0"/>
              <w:rPr>
                <w:sz w:val="18"/>
                <w:szCs w:val="18"/>
                <w:color w:val="auto"/>
              </w:rPr>
            </w:pPr>
          </w:p>
        </w:tc>
        <w:tc>
          <w:tcPr>
            <w:tcW w:w="56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(339,803)</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(346,302)</w:t>
            </w:r>
          </w:p>
        </w:tc>
        <w:tc>
          <w:tcPr>
            <w:tcW w:w="120" w:type="dxa"/>
            <w:vAlign w:val="bottom"/>
          </w:tcPr>
          <w:p>
            <w:pPr>
              <w:spacing w:after="0"/>
              <w:rPr>
                <w:sz w:val="18"/>
                <w:szCs w:val="18"/>
                <w:color w:val="auto"/>
              </w:rPr>
            </w:pPr>
          </w:p>
        </w:tc>
        <w:tc>
          <w:tcPr>
            <w:tcW w:w="520" w:type="dxa"/>
            <w:vAlign w:val="bottom"/>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(295,727)</w:t>
            </w:r>
          </w:p>
        </w:tc>
      </w:tr>
      <w:tr>
        <w:trPr>
          <w:trHeight w:val="223"/>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Cumulative-effect adjustment to accumulated deficit</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and 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(38,948)</w:t>
            </w:r>
          </w:p>
        </w:tc>
      </w:tr>
      <w:tr>
        <w:trPr>
          <w:trHeight w:val="208"/>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Net income (loss)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10,618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(3,738)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13,383</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(8,866)</w:t>
            </w:r>
          </w:p>
        </w:tc>
      </w:tr>
      <w:tr>
        <w:trPr>
          <w:trHeight w:val="196"/>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Balance, end of period</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(332,946)</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(343,541)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(332,946)</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(343,541)</w:t>
            </w:r>
          </w:p>
        </w:tc>
      </w:tr>
      <w:tr>
        <w:trPr>
          <w:trHeight w:val="257"/>
        </w:trPr>
        <w:tc>
          <w:tcPr>
            <w:tcW w:w="11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Accumulated other comprehensive income (loss)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Balance, beginning of period</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663</w:t>
            </w:r>
          </w:p>
        </w:tc>
        <w:tc>
          <w:tcPr>
            <w:tcW w:w="120" w:type="dxa"/>
            <w:vAlign w:val="bottom"/>
          </w:tcPr>
          <w:p>
            <w:pPr>
              <w:spacing w:after="0"/>
              <w:rPr>
                <w:sz w:val="18"/>
                <w:szCs w:val="18"/>
                <w:color w:val="auto"/>
              </w:rPr>
            </w:pPr>
          </w:p>
        </w:tc>
        <w:tc>
          <w:tcPr>
            <w:tcW w:w="56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(368)</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742</w:t>
            </w:r>
          </w:p>
        </w:tc>
        <w:tc>
          <w:tcPr>
            <w:tcW w:w="120" w:type="dxa"/>
            <w:vAlign w:val="bottom"/>
          </w:tcPr>
          <w:p>
            <w:pPr>
              <w:spacing w:after="0"/>
              <w:rPr>
                <w:sz w:val="18"/>
                <w:szCs w:val="18"/>
                <w:color w:val="auto"/>
              </w:rPr>
            </w:pPr>
          </w:p>
        </w:tc>
        <w:tc>
          <w:tcPr>
            <w:tcW w:w="520" w:type="dxa"/>
            <w:vAlign w:val="bottom"/>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(656)</w:t>
            </w:r>
          </w:p>
        </w:tc>
      </w:tr>
      <w:tr>
        <w:trPr>
          <w:trHeight w:val="216"/>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Foreign currency translation adjustments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303</w:t>
            </w:r>
          </w:p>
        </w:tc>
      </w:tr>
      <w:tr>
        <w:trPr>
          <w:trHeight w:val="196"/>
        </w:trPr>
        <w:tc>
          <w:tcPr>
            <w:tcW w:w="5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Balance, end of period</w:t>
            </w: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414</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(353)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414</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w:t>
            </w:r>
          </w:p>
        </w:tc>
      </w:tr>
      <w:tr>
        <w:trPr>
          <w:trHeight w:val="19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stockholders' equity (deficit), ending balance</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117,271</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(30,115)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117,271</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(30,115)</w:t>
            </w: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3"/>
        </w:trPr>
        <w:tc>
          <w:tcPr>
            <w:tcW w:w="116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98" w:lineRule="exact"/>
        <w:rPr>
          <w:sz w:val="20"/>
          <w:szCs w:val="20"/>
          <w:color w:val="auto"/>
        </w:rPr>
      </w:pPr>
    </w:p>
    <w:p>
      <w:pPr>
        <w:ind w:left="400" w:right="560" w:hanging="394"/>
        <w:spacing w:after="0" w:line="251"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the adoption of Accounting Standards Update (“ASU”) 2018-07, “Compensation - Stock Compensation: Improvements to Non-employee Share-Based Payment Accounting” on January 1, 2019 and the adoption of Accounting Standards Codification (“ASC”) No. 606, “Revenue Recognition” on January 1, 2018.</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4</w:t>
      </w:r>
    </w:p>
    <w:p>
      <w:pPr>
        <w:sectPr>
          <w:pgSz w:w="11900" w:h="16838" w:orient="portrait"/>
          <w:cols w:equalWidth="0" w:num="1">
            <w:col w:w="11460"/>
          </w:cols>
          <w:pgMar w:left="220" w:top="254" w:right="219" w:bottom="1440" w:gutter="0" w:footer="0" w:header="0"/>
        </w:sectPr>
      </w:pPr>
    </w:p>
    <w:bookmarkStart w:id="6" w:name="page7"/>
    <w:bookmarkEnd w:id="6"/>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p>
      <w:pPr>
        <w:ind w:left="9420"/>
        <w:spacing w:after="0"/>
        <w:rPr>
          <w:sz w:val="20"/>
          <w:szCs w:val="20"/>
          <w:color w:val="auto"/>
        </w:rPr>
      </w:pPr>
      <w:r>
        <w:rPr>
          <w:rFonts w:ascii="Arial" w:cs="Arial" w:eastAsia="Arial" w:hAnsi="Arial"/>
          <w:sz w:val="11"/>
          <w:szCs w:val="11"/>
          <w:b w:val="1"/>
          <w:bCs w:val="1"/>
          <w:color w:val="auto"/>
        </w:rPr>
        <w:t>Six Months Ended</w:t>
      </w:r>
    </w:p>
    <w:p>
      <w:pPr>
        <w:spacing w:after="0" w:line="17" w:lineRule="exact"/>
        <w:rPr>
          <w:sz w:val="20"/>
          <w:szCs w:val="20"/>
          <w:color w:val="auto"/>
        </w:rPr>
      </w:pPr>
    </w:p>
    <w:p>
      <w:pPr>
        <w:ind w:left="9700"/>
        <w:spacing w:after="0"/>
        <w:rPr>
          <w:sz w:val="20"/>
          <w:szCs w:val="20"/>
          <w:color w:val="auto"/>
        </w:rPr>
      </w:pPr>
      <w:r>
        <w:rPr>
          <w:rFonts w:ascii="Arial" w:cs="Arial" w:eastAsia="Arial" w:hAnsi="Arial"/>
          <w:sz w:val="11"/>
          <w:szCs w:val="11"/>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2018</w:t>
            </w: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920" w:type="dxa"/>
            <w:vAlign w:val="bottom"/>
          </w:tcPr>
          <w:p>
            <w:pPr>
              <w:jc w:val="right"/>
              <w:ind w:right="76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13,383</w:t>
            </w:r>
          </w:p>
        </w:tc>
        <w:tc>
          <w:tcPr>
            <w:tcW w:w="1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(8,866)</w:t>
            </w: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1"/>
        </w:trPr>
        <w:tc>
          <w:tcPr>
            <w:tcW w:w="836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920" w:type="dxa"/>
            <w:vAlign w:val="bottom"/>
          </w:tcPr>
          <w:p>
            <w:pPr>
              <w:spacing w:after="0"/>
              <w:rPr>
                <w:sz w:val="18"/>
                <w:szCs w:val="18"/>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7,694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4,469</w:t>
            </w:r>
          </w:p>
        </w:tc>
      </w:tr>
      <w:tr>
        <w:trPr>
          <w:trHeight w:val="220"/>
        </w:trPr>
        <w:tc>
          <w:tcPr>
            <w:tcW w:w="8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Provision for doubtful accounts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753</w:t>
            </w:r>
          </w:p>
        </w:tc>
      </w:tr>
      <w:tr>
        <w:trPr>
          <w:trHeight w:val="211"/>
        </w:trPr>
        <w:tc>
          <w:tcPr>
            <w:tcW w:w="8360" w:type="dxa"/>
            <w:vAlign w:val="bottom"/>
          </w:tcPr>
          <w:p>
            <w:pPr>
              <w:ind w:left="220"/>
              <w:spacing w:after="0"/>
              <w:rPr>
                <w:sz w:val="20"/>
                <w:szCs w:val="20"/>
                <w:color w:val="auto"/>
              </w:rPr>
            </w:pPr>
            <w:r>
              <w:rPr>
                <w:rFonts w:ascii="Arial" w:cs="Arial" w:eastAsia="Arial" w:hAnsi="Arial"/>
                <w:sz w:val="11"/>
                <w:szCs w:val="11"/>
                <w:color w:val="auto"/>
              </w:rPr>
              <w:t>Non-cash interest expense</w:t>
            </w:r>
          </w:p>
        </w:tc>
        <w:tc>
          <w:tcPr>
            <w:tcW w:w="920" w:type="dxa"/>
            <w:vAlign w:val="bottom"/>
          </w:tcPr>
          <w:p>
            <w:pPr>
              <w:spacing w:after="0"/>
              <w:rPr>
                <w:sz w:val="18"/>
                <w:szCs w:val="18"/>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2,266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1,133</w:t>
            </w:r>
          </w:p>
        </w:tc>
      </w:tr>
      <w:tr>
        <w:trPr>
          <w:trHeight w:val="220"/>
        </w:trPr>
        <w:tc>
          <w:tcPr>
            <w:tcW w:w="8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Financing fees on extinguishment of debt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8360" w:type="dxa"/>
            <w:vAlign w:val="bottom"/>
          </w:tcPr>
          <w:p>
            <w:pPr>
              <w:ind w:left="220"/>
              <w:spacing w:after="0"/>
              <w:rPr>
                <w:sz w:val="20"/>
                <w:szCs w:val="20"/>
                <w:color w:val="auto"/>
              </w:rPr>
            </w:pPr>
            <w:r>
              <w:rPr>
                <w:rFonts w:ascii="Arial" w:cs="Arial" w:eastAsia="Arial" w:hAnsi="Arial"/>
                <w:sz w:val="11"/>
                <w:szCs w:val="11"/>
                <w:color w:val="auto"/>
              </w:rPr>
              <w:t>Fees paid for repurchase and exchange of convertible notes due 2023</w:t>
            </w:r>
          </w:p>
        </w:tc>
        <w:tc>
          <w:tcPr>
            <w:tcW w:w="920" w:type="dxa"/>
            <w:vAlign w:val="bottom"/>
          </w:tcPr>
          <w:p>
            <w:pPr>
              <w:spacing w:after="0"/>
              <w:rPr>
                <w:sz w:val="18"/>
                <w:szCs w:val="18"/>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6,000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8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Stock-based compensation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8,224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5,860</w:t>
            </w:r>
          </w:p>
        </w:tc>
      </w:tr>
      <w:tr>
        <w:trPr>
          <w:trHeight w:val="211"/>
        </w:trPr>
        <w:tc>
          <w:tcPr>
            <w:tcW w:w="8360" w:type="dxa"/>
            <w:vAlign w:val="bottom"/>
          </w:tcPr>
          <w:p>
            <w:pPr>
              <w:ind w:left="220"/>
              <w:spacing w:after="0"/>
              <w:rPr>
                <w:sz w:val="20"/>
                <w:szCs w:val="20"/>
                <w:color w:val="auto"/>
              </w:rPr>
            </w:pPr>
            <w:r>
              <w:rPr>
                <w:rFonts w:ascii="Arial" w:cs="Arial" w:eastAsia="Arial" w:hAnsi="Arial"/>
                <w:sz w:val="11"/>
                <w:szCs w:val="11"/>
                <w:color w:val="auto"/>
              </w:rPr>
              <w:t>Changes in operating assets and liabilities: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83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Accounts receivable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(19,104)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5,897</w:t>
            </w:r>
          </w:p>
        </w:tc>
      </w:tr>
      <w:tr>
        <w:trPr>
          <w:trHeight w:val="211"/>
        </w:trPr>
        <w:tc>
          <w:tcPr>
            <w:tcW w:w="8360" w:type="dxa"/>
            <w:vAlign w:val="bottom"/>
          </w:tcPr>
          <w:p>
            <w:pPr>
              <w:ind w:left="300"/>
              <w:spacing w:after="0"/>
              <w:rPr>
                <w:sz w:val="20"/>
                <w:szCs w:val="20"/>
                <w:color w:val="auto"/>
              </w:rPr>
            </w:pPr>
            <w:r>
              <w:rPr>
                <w:rFonts w:ascii="Arial" w:cs="Arial" w:eastAsia="Arial" w:hAnsi="Arial"/>
                <w:sz w:val="11"/>
                <w:szCs w:val="11"/>
                <w:color w:val="auto"/>
              </w:rPr>
              <w:t>Inventory</w:t>
            </w:r>
          </w:p>
        </w:tc>
        <w:tc>
          <w:tcPr>
            <w:tcW w:w="9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1"/>
                <w:szCs w:val="11"/>
                <w:color w:val="auto"/>
              </w:rPr>
              <w:t>(3,827)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8,528</w:t>
            </w:r>
          </w:p>
        </w:tc>
      </w:tr>
      <w:tr>
        <w:trPr>
          <w:trHeight w:val="220"/>
        </w:trPr>
        <w:tc>
          <w:tcPr>
            <w:tcW w:w="83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Prepaid expenses and other assets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(9,568)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(1,551)</w:t>
            </w:r>
          </w:p>
        </w:tc>
      </w:tr>
      <w:tr>
        <w:trPr>
          <w:trHeight w:val="211"/>
        </w:trPr>
        <w:tc>
          <w:tcPr>
            <w:tcW w:w="8360" w:type="dxa"/>
            <w:vAlign w:val="bottom"/>
          </w:tcPr>
          <w:p>
            <w:pPr>
              <w:ind w:left="300"/>
              <w:spacing w:after="0"/>
              <w:rPr>
                <w:sz w:val="20"/>
                <w:szCs w:val="20"/>
                <w:color w:val="auto"/>
              </w:rPr>
            </w:pPr>
            <w:r>
              <w:rPr>
                <w:rFonts w:ascii="Arial" w:cs="Arial" w:eastAsia="Arial" w:hAnsi="Arial"/>
                <w:sz w:val="11"/>
                <w:szCs w:val="11"/>
                <w:color w:val="auto"/>
              </w:rPr>
              <w:t>Accounts payable, accrued and other liabilities</w:t>
            </w:r>
          </w:p>
        </w:tc>
        <w:tc>
          <w:tcPr>
            <w:tcW w:w="920" w:type="dxa"/>
            <w:vAlign w:val="bottom"/>
          </w:tcPr>
          <w:p>
            <w:pPr>
              <w:spacing w:after="0"/>
              <w:rPr>
                <w:sz w:val="18"/>
                <w:szCs w:val="18"/>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16,805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(3,817)</w:t>
            </w:r>
          </w:p>
        </w:tc>
      </w:tr>
      <w:tr>
        <w:trPr>
          <w:trHeight w:val="220"/>
        </w:trPr>
        <w:tc>
          <w:tcPr>
            <w:tcW w:w="83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Warranty obligations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1,699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1,826</w:t>
            </w:r>
          </w:p>
        </w:tc>
      </w:tr>
      <w:tr>
        <w:trPr>
          <w:trHeight w:val="211"/>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Deferred revenues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5,904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(6,791)</w:t>
            </w:r>
          </w:p>
        </w:tc>
      </w:tr>
      <w:tr>
        <w:trPr>
          <w:trHeight w:val="200"/>
        </w:trPr>
        <w:tc>
          <w:tcPr>
            <w:tcW w:w="83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Net cash provided by operating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31,835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7,441</w:t>
            </w:r>
          </w:p>
        </w:tc>
      </w:tr>
      <w:tr>
        <w:trPr>
          <w:trHeight w:val="202"/>
        </w:trPr>
        <w:tc>
          <w:tcPr>
            <w:tcW w:w="836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Purchases of property and equipment</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(3,176)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(1,475)</w:t>
            </w:r>
          </w:p>
        </w:tc>
      </w:tr>
      <w:tr>
        <w:trPr>
          <w:trHeight w:val="196"/>
        </w:trPr>
        <w:tc>
          <w:tcPr>
            <w:tcW w:w="8360" w:type="dxa"/>
            <w:vAlign w:val="bottom"/>
            <w:tcBorders>
              <w:bottom w:val="single" w:sz="8" w:color="CCEEFF"/>
            </w:tcBorders>
          </w:tcPr>
          <w:p>
            <w:pPr>
              <w:ind w:left="480"/>
              <w:spacing w:after="0"/>
              <w:rPr>
                <w:sz w:val="20"/>
                <w:szCs w:val="20"/>
                <w:color w:val="auto"/>
              </w:rPr>
            </w:pPr>
            <w:r>
              <w:rPr>
                <w:rFonts w:ascii="Arial" w:cs="Arial" w:eastAsia="Arial" w:hAnsi="Arial"/>
                <w:sz w:val="11"/>
                <w:szCs w:val="11"/>
                <w:color w:val="auto"/>
              </w:rPr>
              <w:t>Net cash used in investing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(3,176)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(1,475)</w:t>
            </w: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Issuance of convertible notes due 2024, net of issuance costs</w:t>
            </w:r>
          </w:p>
        </w:tc>
        <w:tc>
          <w:tcPr>
            <w:tcW w:w="920" w:type="dxa"/>
            <w:vAlign w:val="bottom"/>
          </w:tcPr>
          <w:p>
            <w:pPr>
              <w:spacing w:after="0"/>
              <w:rPr>
                <w:sz w:val="18"/>
                <w:szCs w:val="18"/>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128,040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Purchase of convertible note hedges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(36,313)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Sale of warrants</w:t>
            </w:r>
          </w:p>
        </w:tc>
        <w:tc>
          <w:tcPr>
            <w:tcW w:w="920" w:type="dxa"/>
            <w:vAlign w:val="bottom"/>
          </w:tcPr>
          <w:p>
            <w:pPr>
              <w:spacing w:after="0"/>
              <w:rPr>
                <w:sz w:val="18"/>
                <w:szCs w:val="18"/>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29,819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Fees paid for repurchase and exchange of convertible notes due 2023</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Principal payments and financing fees on debt</w:t>
            </w:r>
          </w:p>
        </w:tc>
        <w:tc>
          <w:tcPr>
            <w:tcW w:w="9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1"/>
                <w:szCs w:val="11"/>
                <w:color w:val="auto"/>
              </w:rPr>
              <w:t>(45,122)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(3,129)</w:t>
            </w: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issuance of common stock, net of issuance costs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19,923</w:t>
            </w: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Proceeds from debt, net of issuance costs</w:t>
            </w:r>
          </w:p>
        </w:tc>
        <w:tc>
          <w:tcPr>
            <w:tcW w:w="9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5,580</w:t>
            </w:r>
          </w:p>
        </w:tc>
      </w:tr>
      <w:tr>
        <w:trPr>
          <w:trHeight w:val="216"/>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issuance of common stock under employee stock plans, net</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532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1,370</w:t>
            </w:r>
          </w:p>
        </w:tc>
      </w:tr>
      <w:tr>
        <w:trPr>
          <w:trHeight w:val="196"/>
        </w:trPr>
        <w:tc>
          <w:tcPr>
            <w:tcW w:w="83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Net cash provided by financing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70,956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23,744</w:t>
            </w:r>
          </w:p>
        </w:tc>
      </w:tr>
      <w:tr>
        <w:trPr>
          <w:trHeight w:val="196"/>
        </w:trPr>
        <w:tc>
          <w:tcPr>
            <w:tcW w:w="83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Effect of exchange rate changes on cash</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(383)</w:t>
            </w:r>
          </w:p>
        </w:tc>
      </w:tr>
      <w:tr>
        <w:trPr>
          <w:trHeight w:val="196"/>
        </w:trPr>
        <w:tc>
          <w:tcPr>
            <w:tcW w:w="8360" w:type="dxa"/>
            <w:vAlign w:val="bottom"/>
          </w:tcPr>
          <w:p>
            <w:pPr>
              <w:ind w:left="20"/>
              <w:spacing w:after="0"/>
              <w:rPr>
                <w:sz w:val="20"/>
                <w:szCs w:val="20"/>
                <w:color w:val="auto"/>
              </w:rPr>
            </w:pPr>
            <w:r>
              <w:rPr>
                <w:rFonts w:ascii="Arial" w:cs="Arial" w:eastAsia="Arial" w:hAnsi="Arial"/>
                <w:sz w:val="11"/>
                <w:szCs w:val="11"/>
                <w:color w:val="auto"/>
              </w:rPr>
              <w:t>Net increase in cash and cash equivalents</w:t>
            </w:r>
          </w:p>
        </w:tc>
        <w:tc>
          <w:tcPr>
            <w:tcW w:w="920" w:type="dxa"/>
            <w:vAlign w:val="bottom"/>
          </w:tcPr>
          <w:p>
            <w:pPr>
              <w:spacing w:after="0"/>
              <w:rPr>
                <w:sz w:val="17"/>
                <w:szCs w:val="17"/>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99,722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29,327</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106,237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29,144</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equivalents—End of period</w:t>
            </w:r>
          </w:p>
        </w:tc>
        <w:tc>
          <w:tcPr>
            <w:tcW w:w="92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205,959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58,471</w:t>
            </w:r>
          </w:p>
        </w:tc>
      </w:tr>
      <w:tr>
        <w:trPr>
          <w:trHeight w:val="188"/>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Supplemental disclosures of non-cash investing and financing activities: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Purchases of fixed assets included in accounts payable</w:t>
            </w:r>
          </w:p>
        </w:tc>
        <w:tc>
          <w:tcPr>
            <w:tcW w:w="920" w:type="dxa"/>
            <w:vAlign w:val="bottom"/>
          </w:tcPr>
          <w:p>
            <w:pPr>
              <w:jc w:val="right"/>
              <w:ind w:right="76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1,194</w:t>
            </w:r>
          </w:p>
        </w:tc>
        <w:tc>
          <w:tcPr>
            <w:tcW w:w="1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112</w:t>
            </w: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Accrued interest payable unpaid upon exchange of convertible notes due 2023</w:t>
            </w: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194945</wp:posOffset>
            </wp:positionV>
            <wp:extent cx="70897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5</w:t>
      </w:r>
    </w:p>
    <w:p>
      <w:pPr>
        <w:sectPr>
          <w:pgSz w:w="11900" w:h="16838" w:orient="portrait"/>
          <w:cols w:equalWidth="0" w:num="1">
            <w:col w:w="11460"/>
          </w:cols>
          <w:pgMar w:left="220" w:top="254" w:right="219" w:bottom="1440" w:gutter="0" w:footer="0" w:header="0"/>
        </w:sectPr>
      </w:pPr>
    </w:p>
    <w:bookmarkStart w:id="7" w:name="page8"/>
    <w:bookmarkEnd w:id="7"/>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ENPHASE ENERGY, INC.</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9" w:lineRule="exact"/>
        <w:rPr>
          <w:sz w:val="20"/>
          <w:szCs w:val="20"/>
          <w:color w:val="auto"/>
        </w:rPr>
      </w:pPr>
    </w:p>
    <w:p>
      <w:pPr>
        <w:ind w:left="400" w:hanging="394"/>
        <w:spacing w:after="0"/>
        <w:tabs>
          <w:tab w:leader="none" w:pos="40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 AND BASIS OF PRESENTATION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Business</w:t>
      </w:r>
    </w:p>
    <w:p>
      <w:pPr>
        <w:spacing w:after="0" w:line="202" w:lineRule="exact"/>
        <w:rPr>
          <w:sz w:val="20"/>
          <w:szCs w:val="20"/>
          <w:color w:val="auto"/>
        </w:rPr>
      </w:pPr>
    </w:p>
    <w:p>
      <w:pPr>
        <w:jc w:val="both"/>
        <w:ind w:right="20" w:firstLine="388"/>
        <w:spacing w:after="0" w:line="273" w:lineRule="auto"/>
        <w:rPr>
          <w:sz w:val="20"/>
          <w:szCs w:val="20"/>
          <w:color w:val="auto"/>
        </w:rPr>
      </w:pPr>
      <w:r>
        <w:rPr>
          <w:rFonts w:ascii="Arial" w:cs="Arial" w:eastAsia="Arial" w:hAnsi="Arial"/>
          <w:sz w:val="14"/>
          <w:szCs w:val="14"/>
          <w:color w:val="auto"/>
        </w:rPr>
        <w:t>Enphase Energy, Inc. (the “Company”) is a global energy technology company. The Company delivers smart, easy-to-use solutions that connect solar generation, storage and management on one intelligent platform. The Company revolutionized the solar industry with its microinverter technology, and produces a fully-integrated solar plus storage solution.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Basis of Presentation and Consolidation</w:t>
      </w:r>
    </w:p>
    <w:p>
      <w:pPr>
        <w:spacing w:after="0" w:line="202" w:lineRule="exact"/>
        <w:rPr>
          <w:sz w:val="20"/>
          <w:szCs w:val="20"/>
          <w:color w:val="auto"/>
        </w:rPr>
      </w:pPr>
    </w:p>
    <w:p>
      <w:pPr>
        <w:ind w:right="80" w:firstLine="388"/>
        <w:spacing w:after="0" w:line="176" w:lineRule="exact"/>
        <w:rPr>
          <w:sz w:val="20"/>
          <w:szCs w:val="20"/>
          <w:color w:val="auto"/>
        </w:rPr>
      </w:pPr>
      <w:r>
        <w:rPr>
          <w:rFonts w:ascii="Arial" w:cs="Arial" w:eastAsia="Arial" w:hAnsi="Arial"/>
          <w:sz w:val="14"/>
          <w:szCs w:val="14"/>
          <w:color w:val="auto"/>
        </w:rPr>
        <w:t>The accompanying condensed consolidated financial statements are presented in accordance with accounting principles generally accepted in the United States (“U.S.”), or GAAP. The condensed consolidated financial statements include the accounts of the Company and its wholly-owned subsidiaries. All intercompany balances and transactions have been eliminated in consolidation. The year-end condensed consolidated balance sheet data was derived from audited financial statements but does not include all disclosures required by accounting principles generally accepted in the U.S. The Company filed audited consolidated financial statements, which included all information and notes necessary for such a complete presentation in conjunction with its Annual Report on Form 10-K filed with the Securities and Exchange Commission (the “SEC”) on March 15, 2019 (“Form 10</w:t>
      </w:r>
      <w:r>
        <w:rPr>
          <w:rFonts w:ascii="MS PGothic" w:cs="MS PGothic" w:eastAsia="MS PGothic" w:hAnsi="MS PGothic"/>
          <w:sz w:val="14"/>
          <w:szCs w:val="14"/>
          <w:color w:val="auto"/>
        </w:rPr>
        <w:t>‑</w:t>
      </w:r>
      <w:r>
        <w:rPr>
          <w:rFonts w:ascii="Arial" w:cs="Arial" w:eastAsia="Arial" w:hAnsi="Arial"/>
          <w:sz w:val="14"/>
          <w:szCs w:val="14"/>
          <w:color w:val="auto"/>
        </w:rPr>
        <w:t>K”).</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Interim Financial Information</w:t>
      </w:r>
    </w:p>
    <w:p>
      <w:pPr>
        <w:spacing w:after="0" w:line="202" w:lineRule="exact"/>
        <w:rPr>
          <w:sz w:val="20"/>
          <w:szCs w:val="20"/>
          <w:color w:val="auto"/>
        </w:rPr>
      </w:pPr>
    </w:p>
    <w:p>
      <w:pPr>
        <w:ind w:firstLine="388"/>
        <w:spacing w:after="0" w:line="262" w:lineRule="auto"/>
        <w:rPr>
          <w:sz w:val="20"/>
          <w:szCs w:val="20"/>
          <w:color w:val="auto"/>
        </w:rPr>
      </w:pPr>
      <w:r>
        <w:rPr>
          <w:rFonts w:ascii="Arial" w:cs="Arial" w:eastAsia="Arial" w:hAnsi="Arial"/>
          <w:sz w:val="14"/>
          <w:szCs w:val="14"/>
          <w:color w:val="auto"/>
        </w:rPr>
        <w:t>These accompanying unaudited condensed consolidated financial statements have been prepared pursuant to the rules and regulations of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stockholders’ equity (deficit) and cash flows for the interim periods indicated. The results of operations for the three and six months ended June 30, 2019 are not necessarily indicative of the operating results for the full year.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202" w:lineRule="exact"/>
        <w:rPr>
          <w:sz w:val="20"/>
          <w:szCs w:val="20"/>
          <w:color w:val="auto"/>
        </w:rPr>
      </w:pPr>
    </w:p>
    <w:p>
      <w:pPr>
        <w:ind w:right="40" w:firstLine="388"/>
        <w:spacing w:after="0" w:line="261"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accrued warranty obligations, and incremental borrowing rate for right-of-use assets and lease liability. These estimates are based on information available as of the date of the financial statements; therefore, actual results could differ materially from management’s estimates using different assumptions or under different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jc w:val="both"/>
        <w:ind w:right="500" w:firstLine="388"/>
        <w:spacing w:after="0" w:line="265" w:lineRule="auto"/>
        <w:rPr>
          <w:sz w:val="20"/>
          <w:szCs w:val="20"/>
          <w:color w:val="auto"/>
        </w:rPr>
      </w:pPr>
      <w:r>
        <w:rPr>
          <w:rFonts w:ascii="Arial" w:cs="Arial" w:eastAsia="Arial" w:hAnsi="Arial"/>
          <w:sz w:val="14"/>
          <w:szCs w:val="14"/>
          <w:color w:val="auto"/>
        </w:rPr>
        <w:t>Except for the accounting policies for leases, updated as a result of adopting new accounting standard related to leases, there have been no significant changes to the Company’s significant accounting policies in Note 2. “Summary of Significant Accounting Policies,” of the notes to consolidated financial statements included in Item 8 of the Company’s Form 10-K.</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200" w:lineRule="exact"/>
        <w:rPr>
          <w:sz w:val="20"/>
          <w:szCs w:val="20"/>
          <w:color w:val="auto"/>
        </w:rPr>
      </w:pPr>
    </w:p>
    <w:p>
      <w:pPr>
        <w:ind w:right="20" w:firstLine="388"/>
        <w:spacing w:after="0" w:line="273" w:lineRule="auto"/>
        <w:rPr>
          <w:sz w:val="20"/>
          <w:szCs w:val="20"/>
          <w:color w:val="auto"/>
        </w:rPr>
      </w:pPr>
      <w:r>
        <w:rPr>
          <w:rFonts w:ascii="Arial" w:cs="Arial" w:eastAsia="Arial" w:hAnsi="Arial"/>
          <w:sz w:val="14"/>
          <w:szCs w:val="14"/>
          <w:color w:val="auto"/>
        </w:rPr>
        <w:t>The Company determines if an arrangement is or contains a lease at inception. Operating lease assets represent the Company’s right to use an underlying asset for the lease term and lease liabilities represent the Company’s obligation to make lease payments over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233045</wp:posOffset>
            </wp:positionV>
            <wp:extent cx="70897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6</w:t>
      </w:r>
    </w:p>
    <w:p>
      <w:pPr>
        <w:sectPr>
          <w:pgSz w:w="11900" w:h="16838" w:orient="portrait"/>
          <w:cols w:equalWidth="0" w:num="1">
            <w:col w:w="11460"/>
          </w:cols>
          <w:pgMar w:left="220" w:top="254" w:right="21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388"/>
        <w:spacing w:after="0" w:line="265" w:lineRule="auto"/>
        <w:rPr>
          <w:sz w:val="20"/>
          <w:szCs w:val="20"/>
          <w:color w:val="auto"/>
        </w:rPr>
      </w:pPr>
      <w:r>
        <w:rPr>
          <w:rFonts w:ascii="Arial" w:cs="Arial" w:eastAsia="Arial" w:hAnsi="Arial"/>
          <w:sz w:val="14"/>
          <w:szCs w:val="14"/>
          <w:color w:val="auto"/>
        </w:rPr>
        <w:t>Operating lease assets and liabilities are recognized based on the present value of the remaining lease payments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Company combines the lease and non-lease components in determining the operating lease assets and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Pronouncements</w:t>
      </w:r>
    </w:p>
    <w:p>
      <w:pPr>
        <w:spacing w:after="0" w:line="202" w:lineRule="exact"/>
        <w:rPr>
          <w:sz w:val="20"/>
          <w:szCs w:val="20"/>
          <w:color w:val="auto"/>
        </w:rPr>
      </w:pPr>
    </w:p>
    <w:p>
      <w:pPr>
        <w:ind w:right="20" w:firstLine="388"/>
        <w:spacing w:after="0" w:line="258" w:lineRule="auto"/>
        <w:rPr>
          <w:sz w:val="20"/>
          <w:szCs w:val="20"/>
          <w:color w:val="auto"/>
        </w:rPr>
      </w:pPr>
      <w:r>
        <w:rPr>
          <w:rFonts w:ascii="Arial" w:cs="Arial" w:eastAsia="Arial" w:hAnsi="Arial"/>
          <w:sz w:val="14"/>
          <w:szCs w:val="14"/>
          <w:color w:val="auto"/>
        </w:rPr>
        <w:t>In February 2016, the Financial Accounting Standards Board (“FASB”) issued Accounting Standards Update (“ASU”) 2016-02, “Leases (Topic 842).” ASU 2016-02 requires an entity to recognize a right-of-use asset and lease liability for all leases with terms of more than 12 months. The guidance requires lessees to recognize all leases, with certain exceptions, on their balance sheets, whether operating or financing, while continuing to recognize the expenses on their income statements in a manner similar to current practice. The guidance states that a lessee must recognize a lease liability for the obligation to make lease payments and a right-to-use asset for the right to use the underlying asset for the lease term. On January 1, 2019, the Company adopted ASU 2016-02 using the modified retrospective transition option of applying the new standard at the adoption date for all leases with terms greater than 12 months. The Company elected certain practical expedients upon adoption and as such did not reassess the following: 1) whether any expired or existing contracts are or contain leases; 2) lease classification for any expired or existing leases; 3) initial direct costs for any expired or existing leases; 4) whether existing or expired land easements are or contain leases; and 5) regarding the lease term, from a hindsight perspective, whether or not the Company is reasonably certain to exercise the lease options. However, the Company will evaluate new or modified land easements under the new guidance after the commencement date. The Company also elected the practical expedient to not separate lease and non-lease components. The adoption of ASU 2016-02 on January 1, 2019 resulted in an increase in operating leases, right of use asset of $8.4 million, an increase in other liabilities of $6.8 million, an increase in accrued liabilities and other of $1.5 million and a decrease in other assets of $0.1 million on the Company’s consolidated balance sheets with no impact on the Company’s consolidated statements of operations.</w:t>
      </w:r>
    </w:p>
    <w:p>
      <w:pPr>
        <w:spacing w:after="0" w:line="165" w:lineRule="exact"/>
        <w:rPr>
          <w:sz w:val="20"/>
          <w:szCs w:val="20"/>
          <w:color w:val="auto"/>
        </w:rPr>
      </w:pPr>
    </w:p>
    <w:p>
      <w:pPr>
        <w:ind w:right="20" w:firstLine="388"/>
        <w:spacing w:after="0" w:line="261" w:lineRule="auto"/>
        <w:rPr>
          <w:sz w:val="20"/>
          <w:szCs w:val="20"/>
          <w:color w:val="auto"/>
        </w:rPr>
      </w:pPr>
      <w:r>
        <w:rPr>
          <w:rFonts w:ascii="Arial" w:cs="Arial" w:eastAsia="Arial" w:hAnsi="Arial"/>
          <w:sz w:val="14"/>
          <w:szCs w:val="14"/>
          <w:color w:val="auto"/>
        </w:rPr>
        <w:t>In June 2018, the FASB issued ASU 2018-07, “Compensation - Stock Compensation: Improvements to Non-employee Share-Based Payment Accounting.” ASU 2018-07 was issued to provide guidance on share-based payments granted to non-employees in exchange for goods or services used or consumed in an entity’s own operations and supersedes the guidance in ASC 505-50, “Equity-Based Payments to Non-Employees.” ASU 2018-07 aligns much of the guidance on measuring and classifying non-employee awards with that of awards to employees. The Company adopted ASU 2018-07 on January 1, 2019 using the modified retrospective basis. The adopted standard did not have a material impact on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 Not Yet Effective</w:t>
      </w:r>
    </w:p>
    <w:p>
      <w:pPr>
        <w:spacing w:after="0" w:line="202" w:lineRule="exact"/>
        <w:rPr>
          <w:sz w:val="20"/>
          <w:szCs w:val="20"/>
          <w:color w:val="auto"/>
        </w:rPr>
      </w:pPr>
    </w:p>
    <w:p>
      <w:pPr>
        <w:ind w:firstLine="388"/>
        <w:spacing w:after="0" w:line="259" w:lineRule="auto"/>
        <w:rPr>
          <w:sz w:val="20"/>
          <w:szCs w:val="20"/>
          <w:color w:val="auto"/>
        </w:rPr>
      </w:pPr>
      <w:r>
        <w:rPr>
          <w:rFonts w:ascii="Arial" w:cs="Arial" w:eastAsia="Arial" w:hAnsi="Arial"/>
          <w:sz w:val="14"/>
          <w:szCs w:val="14"/>
          <w:color w:val="auto"/>
        </w:rPr>
        <w:t>In August 2018, the FASB issued ASU 2018-15, “Customer’s Accounting for Implementation Costs Incurred in a Cloud Computing Arrangement That Is a Service Contract,” to reduce diversity in practice in accounting for the costs of implementing cloud computing arrangements that are service contracts. ASU 2018-15 allows entities to apply the guidance in the ASC 350-40, “Intangibles–Goodwill and Other–Internal-Use Software,” to determine which implementation costs are eligible to be capitalized as assets in a cloud computing arrangement that is considered a service contract. ASU 2018-15 is effective for fiscal years beginning after December 15, 2019, and interim periods within those fiscal years. Early adoption is permitted, including adoption in any interim period. Entities have the option to apply the guidance prospectively to all implementation costs incurred after the date of adoption or retrospectively and are required to make certain disclosures in the interim and annual period of adoption. The Company is currently evaluating the impact this update will have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459740</wp:posOffset>
            </wp:positionV>
            <wp:extent cx="70897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7</w:t>
      </w:r>
    </w:p>
    <w:p>
      <w:pPr>
        <w:sectPr>
          <w:pgSz w:w="11900" w:h="16838" w:orient="portrait"/>
          <w:cols w:equalWidth="0" w:num="1">
            <w:col w:w="11460"/>
          </w:cols>
          <w:pgMar w:left="220" w:top="211" w:right="21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20"/>
                <w:szCs w:val="20"/>
                <w:color w:val="auto"/>
              </w:rPr>
            </w:pPr>
            <w:r>
              <w:rPr>
                <w:rFonts w:ascii="Arial" w:cs="Arial" w:eastAsia="Arial" w:hAnsi="Arial"/>
                <w:sz w:val="14"/>
                <w:szCs w:val="14"/>
                <w:b w:val="1"/>
                <w:bCs w:val="1"/>
                <w:color w:val="auto"/>
              </w:rPr>
              <w:t>2.</w:t>
            </w:r>
          </w:p>
        </w:tc>
        <w:tc>
          <w:tcPr>
            <w:tcW w:w="5020" w:type="dxa"/>
            <w:vAlign w:val="bottom"/>
          </w:tcPr>
          <w:p>
            <w:pPr>
              <w:ind w:left="260"/>
              <w:spacing w:after="0"/>
              <w:rPr>
                <w:sz w:val="20"/>
                <w:szCs w:val="20"/>
                <w:color w:val="auto"/>
              </w:rPr>
            </w:pPr>
            <w:r>
              <w:rPr>
                <w:rFonts w:ascii="Arial" w:cs="Arial" w:eastAsia="Arial" w:hAnsi="Arial"/>
                <w:sz w:val="14"/>
                <w:szCs w:val="14"/>
                <w:b w:val="1"/>
                <w:bCs w:val="1"/>
                <w:color w:val="auto"/>
              </w:rPr>
              <w:t>REVENUE RECOGNITION</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Disaggregated Revenue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4"/>
                <w:szCs w:val="24"/>
                <w:color w:val="auto"/>
              </w:rPr>
            </w:pPr>
          </w:p>
        </w:tc>
        <w:tc>
          <w:tcPr>
            <w:tcW w:w="11320" w:type="dxa"/>
            <w:vAlign w:val="bottom"/>
            <w:gridSpan w:val="13"/>
          </w:tcPr>
          <w:p>
            <w:pPr>
              <w:ind w:left="260"/>
              <w:spacing w:after="0"/>
              <w:rPr>
                <w:sz w:val="20"/>
                <w:szCs w:val="20"/>
                <w:color w:val="auto"/>
              </w:rPr>
            </w:pPr>
            <w:r>
              <w:rPr>
                <w:rFonts w:ascii="Arial" w:cs="Arial" w:eastAsia="Arial" w:hAnsi="Arial"/>
                <w:sz w:val="14"/>
                <w:szCs w:val="14"/>
                <w:color w:val="auto"/>
              </w:rPr>
              <w:t>The Company has one business activity, which is the design, manufacture and sale of solutions for the solar photovoltaic (“PV”) industry. Disaggregated revenue by primary</w:t>
            </w:r>
          </w:p>
        </w:tc>
        <w:tc>
          <w:tcPr>
            <w:tcW w:w="0" w:type="dxa"/>
            <w:vAlign w:val="bottom"/>
          </w:tcPr>
          <w:p>
            <w:pPr>
              <w:spacing w:after="0"/>
              <w:rPr>
                <w:sz w:val="1"/>
                <w:szCs w:val="1"/>
                <w:color w:val="auto"/>
              </w:rPr>
            </w:pPr>
          </w:p>
        </w:tc>
      </w:tr>
      <w:tr>
        <w:trPr>
          <w:trHeight w:val="172"/>
        </w:trPr>
        <w:tc>
          <w:tcPr>
            <w:tcW w:w="7340" w:type="dxa"/>
            <w:vAlign w:val="bottom"/>
            <w:gridSpan w:val="6"/>
          </w:tcPr>
          <w:p>
            <w:pPr>
              <w:spacing w:after="0"/>
              <w:rPr>
                <w:sz w:val="20"/>
                <w:szCs w:val="20"/>
                <w:color w:val="auto"/>
              </w:rPr>
            </w:pPr>
            <w:r>
              <w:rPr>
                <w:rFonts w:ascii="Arial" w:cs="Arial" w:eastAsia="Arial" w:hAnsi="Arial"/>
                <w:sz w:val="14"/>
                <w:szCs w:val="14"/>
                <w:color w:val="auto"/>
              </w:rPr>
              <w:t>geographical market and timing of revenue recognition for the Company’s single product line are as follows: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160" w:type="dxa"/>
            <w:vAlign w:val="bottom"/>
            <w:gridSpan w:val="4"/>
          </w:tcPr>
          <w:p>
            <w:pPr>
              <w:jc w:val="center"/>
              <w:ind w:right="857"/>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1"/>
                <w:szCs w:val="11"/>
                <w:b w:val="1"/>
                <w:bCs w:val="1"/>
                <w:color w:val="auto"/>
              </w:rPr>
              <w:t>June 30,</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2018</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gridSpan w:val="4"/>
          </w:tcPr>
          <w:p>
            <w:pPr>
              <w:jc w:val="right"/>
              <w:ind w:right="543"/>
              <w:spacing w:after="0"/>
              <w:rPr>
                <w:sz w:val="20"/>
                <w:szCs w:val="20"/>
                <w:color w:val="auto"/>
              </w:rPr>
            </w:pPr>
            <w:r>
              <w:rPr>
                <w:rFonts w:ascii="Arial" w:cs="Arial" w:eastAsia="Arial" w:hAnsi="Arial"/>
                <w:sz w:val="11"/>
                <w:szCs w:val="11"/>
                <w:i w:val="1"/>
                <w:iCs w:val="1"/>
                <w:color w:val="auto"/>
              </w:rPr>
              <w:t>(In thousands)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51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Primary geographical markets: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3"/>
                <w:szCs w:val="13"/>
                <w:color w:val="auto"/>
              </w:rPr>
              <w:t>United States</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99,909</w:t>
            </w:r>
          </w:p>
        </w:tc>
        <w:tc>
          <w:tcPr>
            <w:tcW w:w="120" w:type="dxa"/>
            <w:vAlign w:val="bottom"/>
          </w:tcPr>
          <w:p>
            <w:pPr>
              <w:spacing w:after="0"/>
              <w:rPr>
                <w:sz w:val="18"/>
                <w:szCs w:val="18"/>
                <w:color w:val="auto"/>
              </w:rPr>
            </w:pPr>
          </w:p>
        </w:tc>
        <w:tc>
          <w:tcPr>
            <w:tcW w:w="56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50,258</w:t>
            </w:r>
          </w:p>
        </w:tc>
        <w:tc>
          <w:tcPr>
            <w:tcW w:w="1020" w:type="dxa"/>
            <w:vAlign w:val="bottom"/>
            <w:gridSpan w:val="3"/>
          </w:tcPr>
          <w:p>
            <w:pPr>
              <w:jc w:val="right"/>
              <w:ind w:right="74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w w:val="97"/>
              </w:rPr>
              <w:t>177,595</w:t>
            </w:r>
          </w:p>
        </w:tc>
        <w:tc>
          <w:tcPr>
            <w:tcW w:w="120" w:type="dxa"/>
            <w:vAlign w:val="bottom"/>
          </w:tcPr>
          <w:p>
            <w:pPr>
              <w:spacing w:after="0"/>
              <w:rPr>
                <w:sz w:val="18"/>
                <w:szCs w:val="18"/>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93,388</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International</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34,185</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25,638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56,649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52,480</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Total</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134,094</w:t>
            </w:r>
          </w:p>
        </w:tc>
        <w:tc>
          <w:tcPr>
            <w:tcW w:w="120" w:type="dxa"/>
            <w:vAlign w:val="bottom"/>
          </w:tcPr>
          <w:p>
            <w:pPr>
              <w:spacing w:after="0"/>
              <w:rPr>
                <w:sz w:val="20"/>
                <w:szCs w:val="20"/>
                <w:color w:val="auto"/>
              </w:rPr>
            </w:pPr>
          </w:p>
        </w:tc>
        <w:tc>
          <w:tcPr>
            <w:tcW w:w="56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75,896</w:t>
            </w:r>
          </w:p>
        </w:tc>
        <w:tc>
          <w:tcPr>
            <w:tcW w:w="1020" w:type="dxa"/>
            <w:vAlign w:val="bottom"/>
            <w:gridSpan w:val="3"/>
          </w:tcPr>
          <w:p>
            <w:pPr>
              <w:jc w:val="right"/>
              <w:ind w:right="74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w w:val="97"/>
              </w:rPr>
              <w:t>234,244</w:t>
            </w:r>
          </w:p>
        </w:tc>
        <w:tc>
          <w:tcPr>
            <w:tcW w:w="120" w:type="dxa"/>
            <w:vAlign w:val="bottom"/>
          </w:tcPr>
          <w:p>
            <w:pPr>
              <w:spacing w:after="0"/>
              <w:rPr>
                <w:sz w:val="20"/>
                <w:szCs w:val="20"/>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145,868</w:t>
            </w:r>
          </w:p>
        </w:tc>
        <w:tc>
          <w:tcPr>
            <w:tcW w:w="0" w:type="dxa"/>
            <w:vAlign w:val="bottom"/>
          </w:tcPr>
          <w:p>
            <w:pPr>
              <w:spacing w:after="0"/>
              <w:rPr>
                <w:sz w:val="1"/>
                <w:szCs w:val="1"/>
                <w:color w:val="auto"/>
              </w:rPr>
            </w:pPr>
          </w:p>
        </w:tc>
      </w:tr>
      <w:tr>
        <w:trPr>
          <w:trHeight w:val="147"/>
        </w:trPr>
        <w:tc>
          <w:tcPr>
            <w:tcW w:w="140" w:type="dxa"/>
            <w:vAlign w:val="bottom"/>
            <w:tcBorders>
              <w:top w:val="single" w:sz="8" w:color="CCEEFF"/>
            </w:tcBorders>
            <w:shd w:val="clear" w:color="auto" w:fill="CCEEFF"/>
          </w:tcPr>
          <w:p>
            <w:pPr>
              <w:spacing w:after="0"/>
              <w:rPr>
                <w:sz w:val="12"/>
                <w:szCs w:val="12"/>
                <w:color w:val="auto"/>
              </w:rPr>
            </w:pPr>
          </w:p>
        </w:tc>
        <w:tc>
          <w:tcPr>
            <w:tcW w:w="50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Timing of revenue recognition:</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Products delivered at a point in time</w:t>
            </w: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124,336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65,937</w:t>
            </w:r>
          </w:p>
        </w:tc>
        <w:tc>
          <w:tcPr>
            <w:tcW w:w="1020" w:type="dxa"/>
            <w:vAlign w:val="bottom"/>
            <w:gridSpan w:val="3"/>
            <w:shd w:val="clear" w:color="auto" w:fill="CCEEFF"/>
          </w:tcPr>
          <w:p>
            <w:pPr>
              <w:jc w:val="right"/>
              <w:ind w:right="74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7"/>
              </w:rPr>
              <w:t>214,736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125,308</w:t>
            </w:r>
          </w:p>
        </w:tc>
        <w:tc>
          <w:tcPr>
            <w:tcW w:w="0" w:type="dxa"/>
            <w:vAlign w:val="bottom"/>
          </w:tcPr>
          <w:p>
            <w:pPr>
              <w:spacing w:after="0"/>
              <w:rPr>
                <w:sz w:val="1"/>
                <w:szCs w:val="1"/>
                <w:color w:val="auto"/>
              </w:rPr>
            </w:pPr>
          </w:p>
        </w:tc>
      </w:tr>
      <w:tr>
        <w:trPr>
          <w:trHeight w:val="208"/>
        </w:trPr>
        <w:tc>
          <w:tcPr>
            <w:tcW w:w="140" w:type="dxa"/>
            <w:vAlign w:val="bottom"/>
            <w:tcBorders>
              <w:bottom w:val="single" w:sz="8" w:color="CCEEFF"/>
            </w:tcBorders>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Products and services delivered over time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9,758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9,959</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19,508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20,560</w:t>
            </w:r>
          </w:p>
        </w:tc>
        <w:tc>
          <w:tcPr>
            <w:tcW w:w="0" w:type="dxa"/>
            <w:vAlign w:val="bottom"/>
          </w:tcPr>
          <w:p>
            <w:pPr>
              <w:spacing w:after="0"/>
              <w:rPr>
                <w:sz w:val="1"/>
                <w:szCs w:val="1"/>
                <w:color w:val="auto"/>
              </w:rPr>
            </w:pPr>
          </w:p>
        </w:tc>
      </w:tr>
      <w:tr>
        <w:trPr>
          <w:trHeight w:val="190"/>
        </w:trPr>
        <w:tc>
          <w:tcPr>
            <w:tcW w:w="140" w:type="dxa"/>
            <w:vAlign w:val="bottom"/>
            <w:shd w:val="clear" w:color="auto" w:fill="CCEEFF"/>
          </w:tcPr>
          <w:p>
            <w:pPr>
              <w:spacing w:after="0"/>
              <w:rPr>
                <w:sz w:val="16"/>
                <w:szCs w:val="16"/>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w:t>
            </w: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134,094</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75,896</w:t>
            </w:r>
          </w:p>
        </w:tc>
        <w:tc>
          <w:tcPr>
            <w:tcW w:w="1020" w:type="dxa"/>
            <w:vAlign w:val="bottom"/>
            <w:gridSpan w:val="3"/>
            <w:shd w:val="clear" w:color="auto" w:fill="CCEEFF"/>
          </w:tcPr>
          <w:p>
            <w:pPr>
              <w:jc w:val="right"/>
              <w:ind w:right="74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7"/>
              </w:rPr>
              <w:t>234,244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145,868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Contract Balances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1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4"/>
                <w:szCs w:val="24"/>
                <w:color w:val="auto"/>
              </w:rPr>
            </w:pPr>
          </w:p>
        </w:tc>
        <w:tc>
          <w:tcPr>
            <w:tcW w:w="7200" w:type="dxa"/>
            <w:vAlign w:val="bottom"/>
            <w:gridSpan w:val="5"/>
          </w:tcPr>
          <w:p>
            <w:pPr>
              <w:ind w:left="260"/>
              <w:spacing w:after="0"/>
              <w:rPr>
                <w:sz w:val="20"/>
                <w:szCs w:val="20"/>
                <w:color w:val="auto"/>
              </w:rPr>
            </w:pPr>
            <w:r>
              <w:rPr>
                <w:rFonts w:ascii="Arial" w:cs="Arial" w:eastAsia="Arial" w:hAnsi="Arial"/>
                <w:sz w:val="14"/>
                <w:szCs w:val="14"/>
                <w:color w:val="auto"/>
              </w:rPr>
              <w:t>Receivables, and contract assets and contract liabilities from contracts with customers are as follows: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3"/>
          </w:tcPr>
          <w:p>
            <w:pPr>
              <w:ind w:left="480"/>
              <w:spacing w:after="0"/>
              <w:rPr>
                <w:sz w:val="20"/>
                <w:szCs w:val="20"/>
                <w:color w:val="auto"/>
              </w:rPr>
            </w:pPr>
            <w:r>
              <w:rPr>
                <w:rFonts w:ascii="Arial" w:cs="Arial" w:eastAsia="Arial" w:hAnsi="Arial"/>
                <w:sz w:val="11"/>
                <w:szCs w:val="11"/>
                <w:b w:val="1"/>
                <w:bCs w:val="1"/>
                <w:color w:val="auto"/>
              </w:rPr>
              <w:t>June 30,</w:t>
            </w:r>
          </w:p>
        </w:tc>
        <w:tc>
          <w:tcPr>
            <w:tcW w:w="320" w:type="dxa"/>
            <w:vAlign w:val="bottom"/>
          </w:tcPr>
          <w:p>
            <w:pPr>
              <w:spacing w:after="0"/>
              <w:rPr>
                <w:sz w:val="21"/>
                <w:szCs w:val="21"/>
                <w:color w:val="auto"/>
              </w:rPr>
            </w:pPr>
          </w:p>
        </w:tc>
        <w:tc>
          <w:tcPr>
            <w:tcW w:w="1140" w:type="dxa"/>
            <w:vAlign w:val="bottom"/>
          </w:tcPr>
          <w:p>
            <w:pPr>
              <w:jc w:val="right"/>
              <w:ind w:right="317"/>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gridSpan w:val="3"/>
          </w:tcPr>
          <w:p>
            <w:pPr>
              <w:jc w:val="right"/>
              <w:ind w:right="3"/>
              <w:spacing w:after="0"/>
              <w:rPr>
                <w:sz w:val="20"/>
                <w:szCs w:val="20"/>
                <w:color w:val="auto"/>
              </w:rPr>
            </w:pPr>
            <w:r>
              <w:rPr>
                <w:rFonts w:ascii="Arial" w:cs="Arial" w:eastAsia="Arial" w:hAnsi="Arial"/>
                <w:sz w:val="11"/>
                <w:szCs w:val="11"/>
                <w:b w:val="1"/>
                <w:bCs w:val="1"/>
                <w:color w:val="auto"/>
              </w:rPr>
              <w:t>2019</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537"/>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center"/>
              <w:ind w:left="177"/>
              <w:spacing w:after="0"/>
              <w:rPr>
                <w:sz w:val="20"/>
                <w:szCs w:val="20"/>
                <w:color w:val="auto"/>
              </w:rPr>
            </w:pPr>
            <w:r>
              <w:rPr>
                <w:rFonts w:ascii="Arial" w:cs="Arial" w:eastAsia="Arial" w:hAnsi="Arial"/>
                <w:sz w:val="11"/>
                <w:szCs w:val="11"/>
                <w:i w:val="1"/>
                <w:iCs w:val="1"/>
                <w:color w:val="auto"/>
              </w:rPr>
              <w:t>(In thousands)</w:t>
            </w: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51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Receivables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8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97,537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78,938</w:t>
            </w:r>
          </w:p>
        </w:tc>
        <w:tc>
          <w:tcPr>
            <w:tcW w:w="0" w:type="dxa"/>
            <w:vAlign w:val="bottom"/>
          </w:tcPr>
          <w:p>
            <w:pPr>
              <w:spacing w:after="0"/>
              <w:rPr>
                <w:sz w:val="1"/>
                <w:szCs w:val="1"/>
                <w:color w:val="auto"/>
              </w:rPr>
            </w:pPr>
          </w:p>
        </w:tc>
      </w:tr>
      <w:tr>
        <w:trPr>
          <w:trHeight w:val="208"/>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Short-term contract assets (Prepaid expenses and other assets)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13,900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13,516</w:t>
            </w: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Long-term contract assets (Other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36,418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34,148</w:t>
            </w:r>
          </w:p>
        </w:tc>
        <w:tc>
          <w:tcPr>
            <w:tcW w:w="0" w:type="dxa"/>
            <w:vAlign w:val="bottom"/>
          </w:tcPr>
          <w:p>
            <w:pPr>
              <w:spacing w:after="0"/>
              <w:rPr>
                <w:sz w:val="1"/>
                <w:szCs w:val="1"/>
                <w:color w:val="auto"/>
              </w:rPr>
            </w:pPr>
          </w:p>
        </w:tc>
      </w:tr>
      <w:tr>
        <w:trPr>
          <w:trHeight w:val="208"/>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Short-term contract liabilities (Deferred revenues)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33,577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33,119</w:t>
            </w: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Long-term contract liabilities (Deferred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82,288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76,911</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right="60" w:firstLine="388"/>
        <w:spacing w:after="0" w:line="261"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in the three and six months ended June 30, 2019. Contract liabilities are recorded as deferred revenue on the accompanying condensed consolidated balance sheets and include payments received in advance of performance obligations under the contract and are realized when the associated revenue is recognized under the contract.</w:t>
      </w:r>
    </w:p>
    <w:p>
      <w:pPr>
        <w:spacing w:after="0" w:line="159" w:lineRule="exact"/>
        <w:rPr>
          <w:sz w:val="20"/>
          <w:szCs w:val="20"/>
          <w:color w:val="auto"/>
        </w:rPr>
      </w:pPr>
    </w:p>
    <w:p>
      <w:pPr>
        <w:ind w:right="320" w:firstLine="388"/>
        <w:spacing w:after="0" w:line="273" w:lineRule="auto"/>
        <w:rPr>
          <w:sz w:val="20"/>
          <w:szCs w:val="20"/>
          <w:color w:val="auto"/>
        </w:rPr>
      </w:pPr>
      <w:r>
        <w:rPr>
          <w:rFonts w:ascii="Arial" w:cs="Arial" w:eastAsia="Arial" w:hAnsi="Arial"/>
          <w:sz w:val="14"/>
          <w:szCs w:val="14"/>
          <w:color w:val="auto"/>
        </w:rPr>
        <w:t>Significant changes in the balances of contract assets (prepaid expenses and other assets) and contract liabilities (deferred revenues) during the period are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960" w:type="dxa"/>
            <w:vAlign w:val="bottom"/>
          </w:tcPr>
          <w:p>
            <w:pPr>
              <w:ind w:left="20"/>
              <w:spacing w:after="0"/>
              <w:rPr>
                <w:sz w:val="20"/>
                <w:szCs w:val="20"/>
                <w:color w:val="auto"/>
              </w:rPr>
            </w:pPr>
            <w:r>
              <w:rPr>
                <w:rFonts w:ascii="Arial" w:cs="Arial" w:eastAsia="Arial" w:hAnsi="Arial"/>
                <w:sz w:val="13"/>
                <w:szCs w:val="13"/>
                <w:b w:val="1"/>
                <w:bCs w:val="1"/>
                <w:color w:val="auto"/>
              </w:rPr>
              <w:t>Contract Assets</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2"/>
        </w:trPr>
        <w:tc>
          <w:tcPr>
            <w:tcW w:w="9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Balance on December 31, 2018</w:t>
            </w: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47,664</w:t>
            </w:r>
          </w:p>
        </w:tc>
      </w:tr>
      <w:tr>
        <w:trPr>
          <w:trHeight w:val="186"/>
        </w:trPr>
        <w:tc>
          <w:tcPr>
            <w:tcW w:w="9960" w:type="dxa"/>
            <w:vAlign w:val="bottom"/>
          </w:tcPr>
          <w:p>
            <w:pPr>
              <w:ind w:left="300"/>
              <w:spacing w:after="0"/>
              <w:rPr>
                <w:sz w:val="20"/>
                <w:szCs w:val="20"/>
                <w:color w:val="auto"/>
              </w:rPr>
            </w:pPr>
            <w:r>
              <w:rPr>
                <w:rFonts w:ascii="Arial" w:cs="Arial" w:eastAsia="Arial" w:hAnsi="Arial"/>
                <w:sz w:val="13"/>
                <w:szCs w:val="13"/>
                <w:color w:val="auto"/>
              </w:rPr>
              <w:t>Amount recognized</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(7,283)</w:t>
            </w:r>
          </w:p>
        </w:tc>
      </w:tr>
      <w:tr>
        <w:trPr>
          <w:trHeight w:val="202"/>
        </w:trPr>
        <w:tc>
          <w:tcPr>
            <w:tcW w:w="9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Increase</w:t>
            </w: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9,937</w:t>
            </w:r>
          </w:p>
        </w:tc>
      </w:tr>
      <w:tr>
        <w:trPr>
          <w:trHeight w:val="177"/>
        </w:trPr>
        <w:tc>
          <w:tcPr>
            <w:tcW w:w="9960" w:type="dxa"/>
            <w:vAlign w:val="bottom"/>
          </w:tcPr>
          <w:p>
            <w:pPr>
              <w:ind w:left="220"/>
              <w:spacing w:after="0"/>
              <w:rPr>
                <w:sz w:val="20"/>
                <w:szCs w:val="20"/>
                <w:color w:val="auto"/>
              </w:rPr>
            </w:pPr>
            <w:r>
              <w:rPr>
                <w:rFonts w:ascii="Arial" w:cs="Arial" w:eastAsia="Arial" w:hAnsi="Arial"/>
                <w:sz w:val="13"/>
                <w:szCs w:val="13"/>
                <w:color w:val="auto"/>
              </w:rPr>
              <w:t>Balance as of June 30, 2019</w:t>
            </w:r>
          </w:p>
        </w:tc>
        <w:tc>
          <w:tcPr>
            <w:tcW w:w="52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50,318</w:t>
            </w:r>
          </w:p>
        </w:tc>
      </w:tr>
      <w:tr>
        <w:trPr>
          <w:trHeight w:val="20"/>
        </w:trPr>
        <w:tc>
          <w:tcPr>
            <w:tcW w:w="9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246380</wp:posOffset>
            </wp:positionV>
            <wp:extent cx="70897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8</w:t>
      </w:r>
    </w:p>
    <w:p>
      <w:pPr>
        <w:sectPr>
          <w:pgSz w:w="11900" w:h="16838" w:orient="portrait"/>
          <w:cols w:equalWidth="0" w:num="1">
            <w:col w:w="11460"/>
          </w:cols>
          <w:pgMar w:left="220" w:top="211"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77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ENPHASE ENERGY, INC.</w:t>
            </w:r>
          </w:p>
        </w:tc>
        <w:tc>
          <w:tcPr>
            <w:tcW w:w="980" w:type="dxa"/>
            <w:vAlign w:val="bottom"/>
          </w:tcPr>
          <w:p>
            <w:pPr>
              <w:spacing w:after="0"/>
              <w:rPr>
                <w:sz w:val="16"/>
                <w:szCs w:val="16"/>
                <w:color w:val="auto"/>
              </w:rPr>
            </w:pPr>
          </w:p>
        </w:tc>
      </w:tr>
      <w:tr>
        <w:trPr>
          <w:trHeight w:val="241"/>
        </w:trPr>
        <w:tc>
          <w:tcPr>
            <w:tcW w:w="2720" w:type="dxa"/>
            <w:vAlign w:val="bottom"/>
          </w:tcPr>
          <w:p>
            <w:pPr>
              <w:spacing w:after="0"/>
              <w:rPr>
                <w:sz w:val="20"/>
                <w:szCs w:val="20"/>
                <w:color w:val="auto"/>
              </w:rPr>
            </w:pPr>
          </w:p>
        </w:tc>
        <w:tc>
          <w:tcPr>
            <w:tcW w:w="77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NOTES TO CONDENSED CONSOLIDATED FINANCIAL STATEMENTS</w:t>
            </w:r>
          </w:p>
        </w:tc>
        <w:tc>
          <w:tcPr>
            <w:tcW w:w="980" w:type="dxa"/>
            <w:vAlign w:val="bottom"/>
          </w:tcPr>
          <w:p>
            <w:pPr>
              <w:spacing w:after="0"/>
              <w:rPr>
                <w:sz w:val="20"/>
                <w:szCs w:val="20"/>
                <w:color w:val="auto"/>
              </w:rPr>
            </w:pPr>
          </w:p>
        </w:tc>
      </w:tr>
      <w:tr>
        <w:trPr>
          <w:trHeight w:val="190"/>
        </w:trPr>
        <w:tc>
          <w:tcPr>
            <w:tcW w:w="2720" w:type="dxa"/>
            <w:vAlign w:val="bottom"/>
          </w:tcPr>
          <w:p>
            <w:pPr>
              <w:spacing w:after="0"/>
              <w:rPr>
                <w:sz w:val="16"/>
                <w:szCs w:val="16"/>
                <w:color w:val="auto"/>
              </w:rPr>
            </w:pPr>
          </w:p>
        </w:tc>
        <w:tc>
          <w:tcPr>
            <w:tcW w:w="77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r>
      <w:tr>
        <w:trPr>
          <w:trHeight w:val="855"/>
        </w:trPr>
        <w:tc>
          <w:tcPr>
            <w:tcW w:w="2720" w:type="dxa"/>
            <w:vAlign w:val="bottom"/>
          </w:tcPr>
          <w:p>
            <w:pPr>
              <w:ind w:left="20"/>
              <w:spacing w:after="0"/>
              <w:rPr>
                <w:sz w:val="20"/>
                <w:szCs w:val="20"/>
                <w:color w:val="auto"/>
              </w:rPr>
            </w:pPr>
            <w:r>
              <w:rPr>
                <w:rFonts w:ascii="Arial" w:cs="Arial" w:eastAsia="Arial" w:hAnsi="Arial"/>
                <w:sz w:val="13"/>
                <w:szCs w:val="13"/>
                <w:b w:val="1"/>
                <w:bCs w:val="1"/>
                <w:color w:val="auto"/>
              </w:rPr>
              <w:t>Contract Liabilities</w:t>
            </w:r>
          </w:p>
        </w:tc>
        <w:tc>
          <w:tcPr>
            <w:tcW w:w="7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2"/>
        </w:trPr>
        <w:tc>
          <w:tcPr>
            <w:tcW w:w="2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Balance on December 31, 2018</w:t>
            </w:r>
          </w:p>
        </w:tc>
        <w:tc>
          <w:tcPr>
            <w:tcW w:w="7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110,030</w:t>
            </w:r>
          </w:p>
        </w:tc>
      </w:tr>
      <w:tr>
        <w:trPr>
          <w:trHeight w:val="186"/>
        </w:trPr>
        <w:tc>
          <w:tcPr>
            <w:tcW w:w="2720" w:type="dxa"/>
            <w:vAlign w:val="bottom"/>
          </w:tcPr>
          <w:p>
            <w:pPr>
              <w:ind w:left="300"/>
              <w:spacing w:after="0"/>
              <w:rPr>
                <w:sz w:val="20"/>
                <w:szCs w:val="20"/>
                <w:color w:val="auto"/>
              </w:rPr>
            </w:pPr>
            <w:r>
              <w:rPr>
                <w:rFonts w:ascii="Arial" w:cs="Arial" w:eastAsia="Arial" w:hAnsi="Arial"/>
                <w:sz w:val="13"/>
                <w:szCs w:val="13"/>
                <w:color w:val="auto"/>
              </w:rPr>
              <w:t>Revenue recognized</w:t>
            </w:r>
          </w:p>
        </w:tc>
        <w:tc>
          <w:tcPr>
            <w:tcW w:w="7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(19,508)</w:t>
            </w:r>
          </w:p>
        </w:tc>
      </w:tr>
      <w:tr>
        <w:trPr>
          <w:trHeight w:val="202"/>
        </w:trPr>
        <w:tc>
          <w:tcPr>
            <w:tcW w:w="2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Increase due to billings</w:t>
            </w:r>
          </w:p>
        </w:tc>
        <w:tc>
          <w:tcPr>
            <w:tcW w:w="72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25,343</w:t>
            </w:r>
          </w:p>
        </w:tc>
      </w:tr>
      <w:tr>
        <w:trPr>
          <w:trHeight w:val="177"/>
        </w:trPr>
        <w:tc>
          <w:tcPr>
            <w:tcW w:w="2720" w:type="dxa"/>
            <w:vAlign w:val="bottom"/>
          </w:tcPr>
          <w:p>
            <w:pPr>
              <w:ind w:left="220"/>
              <w:spacing w:after="0"/>
              <w:rPr>
                <w:sz w:val="20"/>
                <w:szCs w:val="20"/>
                <w:color w:val="auto"/>
              </w:rPr>
            </w:pPr>
            <w:r>
              <w:rPr>
                <w:rFonts w:ascii="Arial" w:cs="Arial" w:eastAsia="Arial" w:hAnsi="Arial"/>
                <w:sz w:val="13"/>
                <w:szCs w:val="13"/>
                <w:color w:val="auto"/>
              </w:rPr>
              <w:t>Balance as of June 30, 2019</w:t>
            </w:r>
          </w:p>
        </w:tc>
        <w:tc>
          <w:tcPr>
            <w:tcW w:w="77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115,865</w:t>
            </w:r>
          </w:p>
        </w:tc>
      </w:tr>
      <w:tr>
        <w:trPr>
          <w:trHeight w:val="20"/>
        </w:trPr>
        <w:tc>
          <w:tcPr>
            <w:tcW w:w="2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Remaining Performance Obligations</w:t>
      </w:r>
    </w:p>
    <w:p>
      <w:pPr>
        <w:spacing w:after="0" w:line="202" w:lineRule="exact"/>
        <w:rPr>
          <w:sz w:val="20"/>
          <w:szCs w:val="20"/>
          <w:color w:val="auto"/>
        </w:rPr>
      </w:pPr>
    </w:p>
    <w:p>
      <w:pPr>
        <w:jc w:val="both"/>
        <w:ind w:right="60" w:firstLine="388"/>
        <w:spacing w:after="0" w:line="273" w:lineRule="auto"/>
        <w:rPr>
          <w:sz w:val="20"/>
          <w:szCs w:val="20"/>
          <w:color w:val="auto"/>
        </w:rPr>
      </w:pPr>
      <w:r>
        <w:rPr>
          <w:rFonts w:ascii="Arial" w:cs="Arial" w:eastAsia="Arial" w:hAnsi="Arial"/>
          <w:sz w:val="14"/>
          <w:szCs w:val="14"/>
          <w:color w:val="auto"/>
        </w:rPr>
        <w:t>Estimated revenue expected to be recognized in future periods related to performance obligations that are unsatisfied or partially unsatisfied at the end of the reporting period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78"/>
              <w:spacing w:after="0"/>
              <w:rPr>
                <w:sz w:val="20"/>
                <w:szCs w:val="20"/>
                <w:color w:val="auto"/>
              </w:rPr>
            </w:pPr>
            <w:r>
              <w:rPr>
                <w:rFonts w:ascii="Arial" w:cs="Arial" w:eastAsia="Arial" w:hAnsi="Arial"/>
                <w:sz w:val="11"/>
                <w:szCs w:val="11"/>
                <w:b w:val="1"/>
                <w:bCs w:val="1"/>
                <w:color w:val="auto"/>
              </w:rPr>
              <w:t>June 30,</w:t>
            </w:r>
          </w:p>
        </w:tc>
      </w:tr>
      <w:tr>
        <w:trPr>
          <w:trHeight w:val="157"/>
        </w:trPr>
        <w:tc>
          <w:tcPr>
            <w:tcW w:w="9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w w:val="97"/>
              </w:rPr>
              <w:t>2019</w:t>
            </w:r>
          </w:p>
        </w:tc>
      </w:tr>
      <w:tr>
        <w:trPr>
          <w:trHeight w:val="159"/>
        </w:trPr>
        <w:tc>
          <w:tcPr>
            <w:tcW w:w="9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58"/>
              <w:spacing w:after="0"/>
              <w:rPr>
                <w:sz w:val="20"/>
                <w:szCs w:val="20"/>
                <w:color w:val="auto"/>
              </w:rPr>
            </w:pPr>
            <w:r>
              <w:rPr>
                <w:rFonts w:ascii="Arial" w:cs="Arial" w:eastAsia="Arial" w:hAnsi="Arial"/>
                <w:sz w:val="11"/>
                <w:szCs w:val="11"/>
                <w:i w:val="1"/>
                <w:iCs w:val="1"/>
                <w:color w:val="auto"/>
              </w:rPr>
              <w:t>(In thousands)</w:t>
            </w:r>
          </w:p>
        </w:tc>
      </w:tr>
      <w:tr>
        <w:trPr>
          <w:trHeight w:val="41"/>
        </w:trPr>
        <w:tc>
          <w:tcPr>
            <w:tcW w:w="9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year: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2019 (remaining six months)</w:t>
            </w: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18,305</w:t>
            </w:r>
          </w:p>
        </w:tc>
      </w:tr>
      <w:tr>
        <w:trPr>
          <w:trHeight w:val="202"/>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2020</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29,968</w:t>
            </w: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23,773</w:t>
            </w:r>
          </w:p>
        </w:tc>
      </w:tr>
      <w:tr>
        <w:trPr>
          <w:trHeight w:val="202"/>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2022</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18,741</w:t>
            </w: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12,948</w:t>
            </w:r>
          </w:p>
        </w:tc>
      </w:tr>
      <w:tr>
        <w:trPr>
          <w:trHeight w:val="194"/>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Thereafter</w:t>
            </w: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12,130</w:t>
            </w:r>
          </w:p>
        </w:tc>
      </w:tr>
      <w:tr>
        <w:trPr>
          <w:trHeight w:val="190"/>
        </w:trPr>
        <w:tc>
          <w:tcPr>
            <w:tcW w:w="9980" w:type="dxa"/>
            <w:vAlign w:val="bottom"/>
          </w:tcPr>
          <w:p>
            <w:pPr>
              <w:ind w:left="22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115,865</w:t>
            </w:r>
          </w:p>
        </w:tc>
      </w:tr>
      <w:tr>
        <w:trPr>
          <w:trHeight w:val="20"/>
        </w:trPr>
        <w:tc>
          <w:tcPr>
            <w:tcW w:w="9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400" w:hanging="394"/>
        <w:spacing w:after="0"/>
        <w:tabs>
          <w:tab w:leader="none" w:pos="4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 Net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Accounts receivable, net consist of the following:</w:t>
      </w:r>
    </w:p>
    <w:p>
      <w:pPr>
        <w:spacing w:after="0" w:line="131" w:lineRule="exact"/>
        <w:rPr>
          <w:sz w:val="20"/>
          <w:szCs w:val="20"/>
          <w:color w:val="auto"/>
        </w:rPr>
      </w:pPr>
    </w:p>
    <w:tbl>
      <w:tblPr>
        <w:tblLayout w:type="fixed"/>
        <w:tblInd w:w="8340" w:type="dxa"/>
        <w:tblCellMar>
          <w:top w:w="0" w:type="dxa"/>
          <w:left w:w="0" w:type="dxa"/>
          <w:bottom w:w="0" w:type="dxa"/>
          <w:right w:w="0" w:type="dxa"/>
        </w:tblCellMar>
      </w:tblPr>
      <w:tr>
        <w:trPr>
          <w:trHeight w:val="129"/>
        </w:trPr>
        <w:tc>
          <w:tcPr>
            <w:tcW w:w="1080" w:type="dxa"/>
            <w:vAlign w:val="bottom"/>
          </w:tcPr>
          <w:p>
            <w:pPr>
              <w:jc w:val="center"/>
              <w:ind w:left="363"/>
              <w:spacing w:after="0"/>
              <w:rPr>
                <w:sz w:val="20"/>
                <w:szCs w:val="20"/>
                <w:color w:val="auto"/>
              </w:rPr>
            </w:pPr>
            <w:r>
              <w:rPr>
                <w:rFonts w:ascii="Arial" w:cs="Arial" w:eastAsia="Arial" w:hAnsi="Arial"/>
                <w:sz w:val="11"/>
                <w:szCs w:val="11"/>
                <w:b w:val="1"/>
                <w:bCs w:val="1"/>
                <w:color w:val="auto"/>
              </w:rPr>
              <w:t>June 30,</w:t>
            </w:r>
          </w:p>
        </w:tc>
        <w:tc>
          <w:tcPr>
            <w:tcW w:w="2000" w:type="dxa"/>
            <w:vAlign w:val="bottom"/>
          </w:tcPr>
          <w:p>
            <w:pPr>
              <w:jc w:val="center"/>
              <w:ind w:left="463"/>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2019</w:t>
            </w:r>
          </w:p>
        </w:tc>
        <w:tc>
          <w:tcPr>
            <w:tcW w:w="200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2018</w:t>
            </w:r>
          </w:p>
        </w:tc>
      </w:tr>
      <w:tr>
        <w:trPr>
          <w:trHeight w:val="159"/>
        </w:trPr>
        <w:tc>
          <w:tcPr>
            <w:tcW w:w="1080" w:type="dxa"/>
            <w:vAlign w:val="bottom"/>
          </w:tcPr>
          <w:p>
            <w:pPr>
              <w:spacing w:after="0"/>
              <w:rPr>
                <w:sz w:val="13"/>
                <w:szCs w:val="13"/>
                <w:color w:val="auto"/>
              </w:rPr>
            </w:pPr>
          </w:p>
        </w:tc>
        <w:tc>
          <w:tcPr>
            <w:tcW w:w="2000" w:type="dxa"/>
            <w:vAlign w:val="bottom"/>
          </w:tcPr>
          <w:p>
            <w:pPr>
              <w:ind w:left="120"/>
              <w:spacing w:after="0"/>
              <w:rPr>
                <w:sz w:val="20"/>
                <w:szCs w:val="20"/>
                <w:color w:val="auto"/>
              </w:rPr>
            </w:pPr>
            <w:r>
              <w:rPr>
                <w:rFonts w:ascii="Arial" w:cs="Arial" w:eastAsia="Arial" w:hAnsi="Arial"/>
                <w:sz w:val="11"/>
                <w:szCs w:val="11"/>
                <w:i w:val="1"/>
                <w:i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25360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137160"/>
                    </a:xfrm>
                    <a:prstGeom prst="rect">
                      <a:avLst/>
                    </a:prstGeom>
                    <a:noFill/>
                  </pic:spPr>
                </pic:pic>
              </a:graphicData>
            </a:graphic>
          </wp:anchor>
        </w:drawing>
      </w:r>
    </w:p>
    <w:p>
      <w:pPr>
        <w:sectPr>
          <w:pgSz w:w="11900" w:h="16838" w:orient="portrait"/>
          <w:cols w:equalWidth="0" w:num="1">
            <w:col w:w="11460"/>
          </w:cols>
          <w:pgMar w:left="220" w:top="211" w:right="219" w:bottom="1440" w:gutter="0" w:footer="0" w:header="0"/>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Accounts receivable</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Allowance for doubtful accounts</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Accounts receivable, net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Inventory</w:t>
      </w:r>
    </w:p>
    <w:p>
      <w:pPr>
        <w:spacing w:after="0" w:line="202" w:lineRule="exact"/>
        <w:rPr>
          <w:sz w:val="20"/>
          <w:szCs w:val="20"/>
          <w:color w:val="auto"/>
        </w:rPr>
      </w:pPr>
    </w:p>
    <w:p>
      <w:pPr>
        <w:jc w:val="right"/>
        <w:ind w:right="5100"/>
        <w:spacing w:after="0"/>
        <w:rPr>
          <w:sz w:val="20"/>
          <w:szCs w:val="20"/>
          <w:color w:val="auto"/>
        </w:rPr>
      </w:pPr>
      <w:r>
        <w:rPr>
          <w:rFonts w:ascii="Arial" w:cs="Arial" w:eastAsia="Arial" w:hAnsi="Arial"/>
          <w:sz w:val="14"/>
          <w:szCs w:val="14"/>
          <w:color w:val="auto"/>
        </w:rPr>
        <w:t>Inventory consist of the following:</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5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99,881</w:t>
            </w:r>
          </w:p>
        </w:tc>
        <w:tc>
          <w:tcPr>
            <w:tcW w:w="120" w:type="dxa"/>
            <w:vAlign w:val="bottom"/>
          </w:tcPr>
          <w:p>
            <w:pPr>
              <w:spacing w:after="0"/>
              <w:rPr>
                <w:sz w:val="13"/>
                <w:szCs w:val="13"/>
                <w:color w:val="auto"/>
              </w:rPr>
            </w:pPr>
          </w:p>
        </w:tc>
        <w:tc>
          <w:tcPr>
            <w:tcW w:w="5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81,076</w:t>
            </w:r>
          </w:p>
        </w:tc>
      </w:tr>
      <w:tr>
        <w:trPr>
          <w:trHeight w:val="223"/>
        </w:trPr>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(2,344)</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(2,138)</w:t>
            </w:r>
          </w:p>
        </w:tc>
      </w:tr>
      <w:tr>
        <w:trPr>
          <w:trHeight w:val="185"/>
        </w:trPr>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97,537</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78,938</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-149860</wp:posOffset>
            </wp:positionV>
            <wp:extent cx="725360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80" w:type="dxa"/>
            <w:vAlign w:val="bottom"/>
          </w:tcPr>
          <w:p>
            <w:pPr>
              <w:jc w:val="center"/>
              <w:ind w:left="363"/>
              <w:spacing w:after="0"/>
              <w:rPr>
                <w:sz w:val="20"/>
                <w:szCs w:val="20"/>
                <w:color w:val="auto"/>
              </w:rPr>
            </w:pPr>
            <w:r>
              <w:rPr>
                <w:rFonts w:ascii="Arial" w:cs="Arial" w:eastAsia="Arial" w:hAnsi="Arial"/>
                <w:sz w:val="11"/>
                <w:szCs w:val="11"/>
                <w:b w:val="1"/>
                <w:bCs w:val="1"/>
                <w:color w:val="auto"/>
              </w:rPr>
              <w:t>June 30,</w:t>
            </w:r>
          </w:p>
        </w:tc>
        <w:tc>
          <w:tcPr>
            <w:tcW w:w="2000" w:type="dxa"/>
            <w:vAlign w:val="bottom"/>
          </w:tcPr>
          <w:p>
            <w:pPr>
              <w:jc w:val="center"/>
              <w:ind w:left="463"/>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2019</w:t>
            </w:r>
          </w:p>
        </w:tc>
        <w:tc>
          <w:tcPr>
            <w:tcW w:w="200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2018</w:t>
            </w:r>
          </w:p>
        </w:tc>
      </w:tr>
      <w:tr>
        <w:trPr>
          <w:trHeight w:val="159"/>
        </w:trPr>
        <w:tc>
          <w:tcPr>
            <w:tcW w:w="1080" w:type="dxa"/>
            <w:vAlign w:val="bottom"/>
          </w:tcPr>
          <w:p>
            <w:pPr>
              <w:spacing w:after="0"/>
              <w:rPr>
                <w:sz w:val="13"/>
                <w:szCs w:val="13"/>
                <w:color w:val="auto"/>
              </w:rPr>
            </w:pPr>
          </w:p>
        </w:tc>
        <w:tc>
          <w:tcPr>
            <w:tcW w:w="2000" w:type="dxa"/>
            <w:vAlign w:val="bottom"/>
          </w:tcPr>
          <w:p>
            <w:pPr>
              <w:ind w:left="120"/>
              <w:spacing w:after="0"/>
              <w:rPr>
                <w:sz w:val="20"/>
                <w:szCs w:val="20"/>
                <w:color w:val="auto"/>
              </w:rPr>
            </w:pPr>
            <w:r>
              <w:rPr>
                <w:rFonts w:ascii="Arial" w:cs="Arial" w:eastAsia="Arial" w:hAnsi="Arial"/>
                <w:sz w:val="11"/>
                <w:szCs w:val="11"/>
                <w:i w:val="1"/>
                <w:iCs w:val="1"/>
                <w:color w:val="auto"/>
              </w:rPr>
              <w:t>(In thousands)</w:t>
            </w:r>
          </w:p>
        </w:tc>
      </w:tr>
    </w:tbl>
    <w:p>
      <w:pPr>
        <w:spacing w:after="0" w:line="41" w:lineRule="exact"/>
        <w:rPr>
          <w:sz w:val="20"/>
          <w:szCs w:val="20"/>
          <w:color w:val="auto"/>
        </w:rPr>
      </w:pPr>
    </w:p>
    <w:p>
      <w:pPr>
        <w:sectPr>
          <w:pgSz w:w="11900" w:h="16838" w:orient="portrait"/>
          <w:cols w:equalWidth="0" w:num="2">
            <w:col w:w="7620" w:space="720"/>
            <w:col w:w="3120"/>
          </w:cols>
          <w:pgMar w:left="220" w:top="211" w:right="2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54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1,090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970</w:t>
            </w:r>
          </w:p>
        </w:tc>
      </w:tr>
      <w:tr>
        <w:trPr>
          <w:trHeight w:val="20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Finished goods</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19,004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15,297</w:t>
            </w:r>
          </w:p>
        </w:tc>
      </w:tr>
      <w:tr>
        <w:trPr>
          <w:trHeight w:val="185"/>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inventory</w:t>
            </w:r>
          </w:p>
        </w:tc>
        <w:tc>
          <w:tcPr>
            <w:tcW w:w="54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20,094</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16,267</w:t>
            </w:r>
          </w:p>
        </w:tc>
      </w:tr>
      <w:tr>
        <w:trPr>
          <w:trHeight w:val="20"/>
        </w:trPr>
        <w:tc>
          <w:tcPr>
            <w:tcW w:w="8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9</w:t>
      </w:r>
    </w:p>
    <w:p>
      <w:pPr>
        <w:sectPr>
          <w:pgSz w:w="11900" w:h="16838" w:orient="portrait"/>
          <w:cols w:equalWidth="0" w:num="1">
            <w:col w:w="11460"/>
          </w:cols>
          <w:pgMar w:left="220" w:top="211" w:right="2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Accrued Liabilities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Accrued liabilities consist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jc w:val="right"/>
              <w:ind w:right="297"/>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8340" w:type="dxa"/>
            <w:vAlign w:val="bottom"/>
          </w:tcPr>
          <w:p>
            <w:pPr>
              <w:spacing w:after="0"/>
              <w:rPr>
                <w:sz w:val="13"/>
                <w:szCs w:val="1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59"/>
        </w:trPr>
        <w:tc>
          <w:tcPr>
            <w:tcW w:w="8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w:t>
            </w:r>
          </w:p>
        </w:tc>
        <w:tc>
          <w:tcPr>
            <w:tcW w:w="1140" w:type="dxa"/>
            <w:vAlign w:val="bottom"/>
          </w:tcPr>
          <w:p>
            <w:pPr>
              <w:spacing w:after="0"/>
              <w:rPr>
                <w:sz w:val="13"/>
                <w:szCs w:val="13"/>
                <w:color w:val="auto"/>
              </w:rPr>
            </w:pPr>
          </w:p>
        </w:tc>
      </w:tr>
      <w:tr>
        <w:trPr>
          <w:trHeight w:val="41"/>
        </w:trPr>
        <w:tc>
          <w:tcPr>
            <w:tcW w:w="8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Salaries, commissions, incentive compensation and benefits</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4,107</w:t>
            </w:r>
          </w:p>
        </w:tc>
      </w:tr>
      <w:tr>
        <w:trPr>
          <w:trHeight w:val="208"/>
        </w:trPr>
        <w:tc>
          <w:tcPr>
            <w:tcW w:w="8340" w:type="dxa"/>
            <w:vAlign w:val="bottom"/>
          </w:tcPr>
          <w:p>
            <w:pPr>
              <w:ind w:left="20"/>
              <w:spacing w:after="0"/>
              <w:rPr>
                <w:sz w:val="20"/>
                <w:szCs w:val="20"/>
                <w:color w:val="auto"/>
              </w:rPr>
            </w:pPr>
            <w:r>
              <w:rPr>
                <w:rFonts w:ascii="Arial" w:cs="Arial" w:eastAsia="Arial" w:hAnsi="Arial"/>
                <w:sz w:val="13"/>
                <w:szCs w:val="13"/>
                <w:color w:val="auto"/>
              </w:rPr>
              <w:t>Customer rebates and sales incentives</w:t>
            </w:r>
          </w:p>
        </w:tc>
        <w:tc>
          <w:tcPr>
            <w:tcW w:w="980" w:type="dxa"/>
            <w:vAlign w:val="bottom"/>
          </w:tcPr>
          <w:p>
            <w:pPr>
              <w:spacing w:after="0"/>
              <w:rPr>
                <w:sz w:val="18"/>
                <w:szCs w:val="18"/>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10,243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8,527</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Freight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7,286</w:t>
            </w:r>
          </w:p>
        </w:tc>
      </w:tr>
      <w:tr>
        <w:trPr>
          <w:trHeight w:val="20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9,363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9,090</w:t>
            </w:r>
          </w:p>
        </w:tc>
      </w:tr>
      <w:tr>
        <w:trPr>
          <w:trHeight w:val="190"/>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accrued liabilities</w:t>
            </w: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5"/>
              </w:rPr>
              <w:t>33,536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29,010</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400" w:hanging="394"/>
        <w:spacing w:after="0"/>
        <w:tabs>
          <w:tab w:leader="none" w:pos="40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INTANGIBLE ASSETS</w:t>
      </w:r>
    </w:p>
    <w:p>
      <w:pPr>
        <w:spacing w:after="0" w:line="201" w:lineRule="exact"/>
        <w:rPr>
          <w:rFonts w:ascii="Arial" w:cs="Arial" w:eastAsia="Arial" w:hAnsi="Arial"/>
          <w:sz w:val="14"/>
          <w:szCs w:val="14"/>
          <w:b w:val="1"/>
          <w:bCs w:val="1"/>
          <w:color w:val="auto"/>
        </w:rPr>
      </w:pPr>
    </w:p>
    <w:p>
      <w:pPr>
        <w:ind w:left="400"/>
        <w:spacing w:after="0"/>
        <w:rPr>
          <w:rFonts w:ascii="Arial" w:cs="Arial" w:eastAsia="Arial" w:hAnsi="Arial"/>
          <w:sz w:val="14"/>
          <w:szCs w:val="14"/>
          <w:b w:val="1"/>
          <w:bCs w:val="1"/>
          <w:color w:val="auto"/>
        </w:rPr>
      </w:pPr>
      <w:r>
        <w:rPr>
          <w:rFonts w:ascii="Arial" w:cs="Arial" w:eastAsia="Arial" w:hAnsi="Arial"/>
          <w:sz w:val="14"/>
          <w:szCs w:val="14"/>
          <w:color w:val="auto"/>
        </w:rPr>
        <w:t>The Company’s goodwill and purchased intangible assets as of June 30, 2019 and December 31, 2018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June 30, 2019</w:t>
            </w: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December 31, 2018</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Gross</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rPr>
              <w:t>Accumulated Amortization</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Net</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7"/>
              <w:spacing w:after="0"/>
              <w:rPr>
                <w:sz w:val="20"/>
                <w:szCs w:val="20"/>
                <w:color w:val="auto"/>
              </w:rPr>
            </w:pPr>
            <w:r>
              <w:rPr>
                <w:rFonts w:ascii="Arial" w:cs="Arial" w:eastAsia="Arial" w:hAnsi="Arial"/>
                <w:sz w:val="10"/>
                <w:szCs w:val="10"/>
                <w:b w:val="1"/>
                <w:bCs w:val="1"/>
                <w:color w:val="auto"/>
              </w:rPr>
              <w:t>Gross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rPr>
              <w:t>Accumulated Amortization</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7"/>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gridSpan w:val="3"/>
          </w:tcPr>
          <w:p>
            <w:pPr>
              <w:jc w:val="right"/>
              <w:ind w:right="95"/>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94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24,783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24,783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24,783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24,783</w:t>
            </w: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140"/>
              <w:spacing w:after="0"/>
              <w:rPr>
                <w:sz w:val="20"/>
                <w:szCs w:val="20"/>
                <w:color w:val="auto"/>
              </w:rPr>
            </w:pPr>
            <w:r>
              <w:rPr>
                <w:rFonts w:ascii="Arial" w:cs="Arial" w:eastAsia="Arial" w:hAnsi="Arial"/>
                <w:sz w:val="13"/>
                <w:szCs w:val="13"/>
                <w:color w:val="auto"/>
              </w:rPr>
              <w:t>Other indefinite-lived</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960" w:type="dxa"/>
            <w:vAlign w:val="bottom"/>
          </w:tcPr>
          <w:p>
            <w:pPr>
              <w:ind w:left="200"/>
              <w:spacing w:after="0"/>
              <w:rPr>
                <w:sz w:val="20"/>
                <w:szCs w:val="20"/>
                <w:color w:val="auto"/>
              </w:rPr>
            </w:pPr>
            <w:r>
              <w:rPr>
                <w:rFonts w:ascii="Arial" w:cs="Arial" w:eastAsia="Arial" w:hAnsi="Arial"/>
                <w:sz w:val="13"/>
                <w:szCs w:val="13"/>
                <w:color w:val="auto"/>
              </w:rPr>
              <w:t>intangibles</w:t>
            </w:r>
          </w:p>
        </w:tc>
        <w:tc>
          <w:tcPr>
            <w:tcW w:w="940" w:type="dxa"/>
            <w:vAlign w:val="bottom"/>
          </w:tcPr>
          <w:p>
            <w:pPr>
              <w:jc w:val="right"/>
              <w:ind w:right="779"/>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58"/>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14"/>
                <w:szCs w:val="14"/>
                <w:color w:val="auto"/>
              </w:rPr>
            </w:pPr>
          </w:p>
        </w:tc>
        <w:tc>
          <w:tcPr>
            <w:tcW w:w="4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286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5"/>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82"/>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 with finite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lives: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220"/>
              <w:spacing w:after="0"/>
              <w:rPr>
                <w:sz w:val="20"/>
                <w:szCs w:val="20"/>
                <w:color w:val="auto"/>
              </w:rPr>
            </w:pPr>
            <w:r>
              <w:rPr>
                <w:rFonts w:ascii="Arial" w:cs="Arial" w:eastAsia="Arial" w:hAnsi="Arial"/>
                <w:sz w:val="13"/>
                <w:szCs w:val="13"/>
                <w:color w:val="auto"/>
              </w:rPr>
              <w:t>Patents and licensed</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960" w:type="dxa"/>
            <w:vAlign w:val="bottom"/>
          </w:tcPr>
          <w:p>
            <w:pPr>
              <w:ind w:left="280"/>
              <w:spacing w:after="0"/>
              <w:rPr>
                <w:sz w:val="20"/>
                <w:szCs w:val="20"/>
                <w:color w:val="auto"/>
              </w:rPr>
            </w:pPr>
            <w:r>
              <w:rPr>
                <w:rFonts w:ascii="Arial" w:cs="Arial" w:eastAsia="Arial" w:hAnsi="Arial"/>
                <w:sz w:val="13"/>
                <w:szCs w:val="13"/>
                <w:color w:val="auto"/>
              </w:rPr>
              <w:t>technology</w:t>
            </w:r>
          </w:p>
        </w:tc>
        <w:tc>
          <w:tcPr>
            <w:tcW w:w="94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1,665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18"/>
              <w:spacing w:after="0"/>
              <w:rPr>
                <w:sz w:val="20"/>
                <w:szCs w:val="20"/>
                <w:color w:val="auto"/>
              </w:rPr>
            </w:pPr>
            <w:r>
              <w:rPr>
                <w:rFonts w:ascii="Arial" w:cs="Arial" w:eastAsia="Arial" w:hAnsi="Arial"/>
                <w:sz w:val="13"/>
                <w:szCs w:val="13"/>
                <w:color w:val="auto"/>
              </w:rPr>
              <w:t>(1,665)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1,665</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(1,665)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Developed technology</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13,100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11,100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13,100</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12,191</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Customer relationships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23,100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(1,543)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21,557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23,100</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22,829</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purchased intangible</w:t>
            </w:r>
          </w:p>
        </w:tc>
        <w:tc>
          <w:tcPr>
            <w:tcW w:w="940" w:type="dxa"/>
            <w:vAlign w:val="bottom"/>
            <w:vMerge w:val="restart"/>
            <w:shd w:val="clear" w:color="auto" w:fill="CCEEFF"/>
          </w:tcPr>
          <w:p>
            <w:pPr>
              <w:jc w:val="right"/>
              <w:ind w:right="779"/>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55"/>
              <w:spacing w:after="0"/>
              <w:rPr>
                <w:sz w:val="20"/>
                <w:szCs w:val="20"/>
                <w:color w:val="auto"/>
              </w:rPr>
            </w:pPr>
            <w:r>
              <w:rPr>
                <w:rFonts w:ascii="Arial" w:cs="Arial" w:eastAsia="Arial" w:hAnsi="Arial"/>
                <w:sz w:val="13"/>
                <w:szCs w:val="13"/>
                <w:color w:val="auto"/>
              </w:rPr>
              <w:t>38,151</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(5,208)</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32,943</w:t>
            </w:r>
          </w:p>
        </w:tc>
        <w:tc>
          <w:tcPr>
            <w:tcW w:w="12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38,151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(2,845)</w:t>
            </w: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35,306</w:t>
            </w:r>
          </w:p>
        </w:tc>
        <w:tc>
          <w:tcPr>
            <w:tcW w:w="0" w:type="dxa"/>
            <w:vAlign w:val="bottom"/>
          </w:tcPr>
          <w:p>
            <w:pPr>
              <w:spacing w:after="0"/>
              <w:rPr>
                <w:sz w:val="1"/>
                <w:szCs w:val="1"/>
                <w:color w:val="auto"/>
              </w:rPr>
            </w:pPr>
          </w:p>
        </w:tc>
      </w:tr>
      <w:tr>
        <w:trPr>
          <w:trHeight w:val="158"/>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assets</w:t>
            </w: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14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11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8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13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11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right="180" w:firstLine="388"/>
        <w:spacing w:after="0" w:line="265" w:lineRule="auto"/>
        <w:rPr>
          <w:sz w:val="20"/>
          <w:szCs w:val="20"/>
          <w:color w:val="auto"/>
        </w:rPr>
      </w:pPr>
      <w:r>
        <w:rPr>
          <w:rFonts w:ascii="Arial" w:cs="Arial" w:eastAsia="Arial" w:hAnsi="Arial"/>
          <w:sz w:val="14"/>
          <w:szCs w:val="14"/>
          <w:color w:val="auto"/>
        </w:rPr>
        <w:t>In August 2018, the Company acquired certain finite-lived intangible assets in its acquisition of SunPower Corporation’s (“SunPower”) microinverter business pursuant to an Asset Purchase Agreement (“APA”), primarily developed technology and customer relationships. See Note 20. “Acquisition,” of the notes to consolidated financial statements included in Item 8 of the Company’s Form 10-K for additional information related to this acquisition.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Amortization expense related to finite-lived intangible assets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20" w:type="dxa"/>
            <w:vAlign w:val="bottom"/>
            <w:gridSpan w:val="3"/>
          </w:tcPr>
          <w:p>
            <w:pPr>
              <w:jc w:val="right"/>
              <w:ind w:right="478"/>
              <w:spacing w:after="0"/>
              <w:rPr>
                <w:sz w:val="20"/>
                <w:szCs w:val="20"/>
                <w:color w:val="auto"/>
              </w:rPr>
            </w:pPr>
            <w:r>
              <w:rPr>
                <w:rFonts w:ascii="Arial" w:cs="Arial" w:eastAsia="Arial" w:hAnsi="Arial"/>
                <w:sz w:val="11"/>
                <w:szCs w:val="11"/>
                <w:b w:val="1"/>
                <w:bCs w:val="1"/>
                <w:color w:val="auto"/>
              </w:rPr>
              <w:t>Three Months Ended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1"/>
                <w:szCs w:val="11"/>
                <w:b w:val="1"/>
                <w:bCs w:val="1"/>
                <w:color w:val="auto"/>
              </w:rPr>
              <w:t>June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206"/>
        </w:trPr>
        <w:tc>
          <w:tcPr>
            <w:tcW w:w="51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59"/>
        </w:trPr>
        <w:tc>
          <w:tcPr>
            <w:tcW w:w="5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gridSpan w:val="3"/>
          </w:tcPr>
          <w:p>
            <w:pPr>
              <w:jc w:val="right"/>
              <w:ind w:right="9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41"/>
        </w:trPr>
        <w:tc>
          <w:tcPr>
            <w:tcW w:w="5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 and patents and licensed technology</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1,092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940" w:type="dxa"/>
            <w:vAlign w:val="bottom"/>
          </w:tcPr>
          <w:p>
            <w:pPr>
              <w:spacing w:after="0"/>
              <w:rPr>
                <w:sz w:val="18"/>
                <w:szCs w:val="18"/>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635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1,271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90"/>
        </w:trPr>
        <w:tc>
          <w:tcPr>
            <w:tcW w:w="5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amortization expense</w:t>
            </w:r>
          </w:p>
        </w:tc>
        <w:tc>
          <w:tcPr>
            <w:tcW w:w="940" w:type="dxa"/>
            <w:vAlign w:val="bottom"/>
            <w:tcBorders>
              <w:top w:val="single" w:sz="8" w:color="auto"/>
              <w:bottom w:val="single" w:sz="8" w:color="auto"/>
            </w:tcBorders>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1,181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78"/>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2,363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152</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300990</wp:posOffset>
            </wp:positionV>
            <wp:extent cx="70897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10</w:t>
      </w:r>
    </w:p>
    <w:p>
      <w:pPr>
        <w:sectPr>
          <w:pgSz w:w="11900" w:h="16838" w:orient="portrait"/>
          <w:cols w:equalWidth="0" w:num="1">
            <w:col w:w="11460"/>
          </w:cols>
          <w:pgMar w:left="220" w:top="211" w:right="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firstLine="388"/>
        <w:spacing w:after="0" w:line="262" w:lineRule="auto"/>
        <w:rPr>
          <w:sz w:val="20"/>
          <w:szCs w:val="20"/>
          <w:color w:val="auto"/>
        </w:rPr>
      </w:pPr>
      <w:r>
        <w:rPr>
          <w:rFonts w:ascii="Arial" w:cs="Arial" w:eastAsia="Arial" w:hAnsi="Arial"/>
          <w:sz w:val="14"/>
          <w:szCs w:val="14"/>
          <w:color w:val="auto"/>
        </w:rPr>
        <w:t>Amortization of developed technology, patents and licensed technology is primarily recorded to sales and marketing expense. The developed technology acquired from the Company’s acquisition of SunPower’s microinverter business is embedded in the microinverters that SunPower sells to its customers. The Company does not actively use the developed technology acquired from SunPower and holds the developed technology to prevent others from using it. Accordingly, the Company accounts for the developed technology as a defensive intangible asset and amortizes the associated value over a period of six years from the date of acquisition.</w:t>
      </w:r>
    </w:p>
    <w:p>
      <w:pPr>
        <w:spacing w:after="0" w:line="159" w:lineRule="exact"/>
        <w:rPr>
          <w:sz w:val="20"/>
          <w:szCs w:val="20"/>
          <w:color w:val="auto"/>
        </w:rPr>
      </w:pPr>
    </w:p>
    <w:p>
      <w:pPr>
        <w:ind w:firstLine="388"/>
        <w:spacing w:after="0" w:line="261" w:lineRule="auto"/>
        <w:rPr>
          <w:sz w:val="20"/>
          <w:szCs w:val="20"/>
          <w:color w:val="auto"/>
        </w:rPr>
      </w:pPr>
      <w:r>
        <w:rPr>
          <w:rFonts w:ascii="Arial" w:cs="Arial" w:eastAsia="Arial" w:hAnsi="Arial"/>
          <w:sz w:val="14"/>
          <w:szCs w:val="14"/>
          <w:color w:val="auto"/>
        </w:rPr>
        <w:t>The master service agreement (“MSA”) negotiated with SunPower in August 2018 provides the Company with the exclusive right to supply SunPower with module level power electronics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SunPower’s microinverter business by the Company. As the fair value ascribed to the customer relationship intangible asset represents payments to a customer, the Company amortizes the value of the customer relationship intangible asset as a reduction to revenue using a pattern of economic benefit method over a useful life of nine years.</w:t>
      </w:r>
    </w:p>
    <w:p>
      <w:pPr>
        <w:spacing w:after="0" w:line="184" w:lineRule="exact"/>
        <w:rPr>
          <w:sz w:val="20"/>
          <w:szCs w:val="20"/>
          <w:color w:val="auto"/>
        </w:rPr>
      </w:pPr>
    </w:p>
    <w:p>
      <w:pPr>
        <w:ind w:left="400" w:hanging="394"/>
        <w:spacing w:after="0"/>
        <w:tabs>
          <w:tab w:leader="none" w:pos="40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WARRANTY OBLIGATIONS</w:t>
      </w:r>
    </w:p>
    <w:p>
      <w:pPr>
        <w:spacing w:after="0" w:line="201" w:lineRule="exact"/>
        <w:rPr>
          <w:rFonts w:ascii="Arial" w:cs="Arial" w:eastAsia="Arial" w:hAnsi="Arial"/>
          <w:sz w:val="14"/>
          <w:szCs w:val="14"/>
          <w:b w:val="1"/>
          <w:bCs w:val="1"/>
          <w:color w:val="auto"/>
        </w:rPr>
      </w:pPr>
    </w:p>
    <w:p>
      <w:pPr>
        <w:ind w:left="400"/>
        <w:spacing w:after="0"/>
        <w:rPr>
          <w:rFonts w:ascii="Arial" w:cs="Arial" w:eastAsia="Arial" w:hAnsi="Arial"/>
          <w:sz w:val="14"/>
          <w:szCs w:val="14"/>
          <w:b w:val="1"/>
          <w:bCs w:val="1"/>
          <w:color w:val="auto"/>
        </w:rPr>
      </w:pPr>
      <w:r>
        <w:rPr>
          <w:rFonts w:ascii="Arial" w:cs="Arial" w:eastAsia="Arial" w:hAnsi="Arial"/>
          <w:sz w:val="14"/>
          <w:szCs w:val="14"/>
          <w:color w:val="auto"/>
        </w:rPr>
        <w:t>The Company’s warranty activities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20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59"/>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gridSpan w:val="3"/>
          </w:tcPr>
          <w:p>
            <w:pPr>
              <w:jc w:val="right"/>
              <w:ind w:right="9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obligations, beginning of period</w:t>
            </w: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31,042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30,625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31,294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29,816</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Accruals for warranties issued during period</w:t>
            </w:r>
          </w:p>
        </w:tc>
        <w:tc>
          <w:tcPr>
            <w:tcW w:w="36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1,312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2,170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1,533</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Changes in estimates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2,828</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Settlements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(2,206)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(2,099)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(3,775)</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Increase due to accretion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939</w:t>
            </w:r>
          </w:p>
        </w:tc>
      </w:tr>
      <w:tr>
        <w:trPr>
          <w:trHeight w:val="208"/>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1,597</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301</w:t>
            </w: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obligations, end of period</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32,994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31,642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32,994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31,642</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current portion</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(8,275)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(8,275)</w:t>
            </w: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25,526</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23,367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25,526</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23,367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400" w:hanging="394"/>
        <w:spacing w:after="0"/>
        <w:tabs>
          <w:tab w:leader="none" w:pos="40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right="140" w:firstLine="388"/>
        <w:spacing w:after="0" w:line="262" w:lineRule="auto"/>
        <w:rPr>
          <w:sz w:val="20"/>
          <w:szCs w:val="20"/>
          <w:color w:val="auto"/>
        </w:rPr>
      </w:pPr>
      <w:r>
        <w:rPr>
          <w:rFonts w:ascii="Arial" w:cs="Arial" w:eastAsia="Arial" w:hAnsi="Arial"/>
          <w:sz w:val="14"/>
          <w:szCs w:val="14"/>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59" w:lineRule="exact"/>
        <w:rPr>
          <w:sz w:val="20"/>
          <w:szCs w:val="20"/>
          <w:color w:val="auto"/>
        </w:rPr>
      </w:pPr>
    </w:p>
    <w:p>
      <w:pPr>
        <w:ind w:right="120" w:firstLine="388"/>
        <w:spacing w:after="0" w:line="265" w:lineRule="auto"/>
        <w:rPr>
          <w:sz w:val="20"/>
          <w:szCs w:val="20"/>
          <w:color w:val="auto"/>
        </w:rPr>
      </w:pPr>
      <w:r>
        <w:rPr>
          <w:rFonts w:ascii="Arial" w:cs="Arial" w:eastAsia="Arial" w:hAnsi="Arial"/>
          <w:sz w:val="14"/>
          <w:szCs w:val="14"/>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156" w:lineRule="exact"/>
        <w:rPr>
          <w:sz w:val="20"/>
          <w:szCs w:val="20"/>
          <w:color w:val="auto"/>
        </w:rPr>
      </w:pPr>
    </w:p>
    <w:p>
      <w:pPr>
        <w:ind w:left="660" w:right="160" w:hanging="266"/>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151" w:lineRule="exact"/>
        <w:rPr>
          <w:rFonts w:ascii="Arial" w:cs="Arial" w:eastAsia="Arial" w:hAnsi="Arial"/>
          <w:sz w:val="14"/>
          <w:szCs w:val="14"/>
          <w:color w:val="auto"/>
        </w:rPr>
      </w:pPr>
    </w:p>
    <w:p>
      <w:pPr>
        <w:ind w:left="660" w:hanging="266"/>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Level 2—Valuations based on one or more quoted prices in markets that are not active or for which all significant inputs are observable, either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11</w:t>
      </w:r>
    </w:p>
    <w:p>
      <w:pPr>
        <w:sectPr>
          <w:pgSz w:w="11900" w:h="16838" w:orient="portrait"/>
          <w:cols w:equalWidth="0" w:num="1">
            <w:col w:w="11460"/>
          </w:cols>
          <w:pgMar w:left="220" w:top="211" w:right="21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266"/>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Level 3—Valuations based on inputs that are unobservable and significant to the overall fair value measurement.</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presents the Company’s liabilities that were measured at fair value on a recurring basis and its categorization within the fair value hierarchy.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20" w:type="dxa"/>
            <w:vAlign w:val="bottom"/>
          </w:tcPr>
          <w:p>
            <w:pPr>
              <w:spacing w:after="0"/>
              <w:rPr>
                <w:sz w:val="11"/>
                <w:szCs w:val="11"/>
                <w:color w:val="auto"/>
              </w:rPr>
            </w:pPr>
          </w:p>
        </w:tc>
        <w:tc>
          <w:tcPr>
            <w:tcW w:w="3280" w:type="dxa"/>
            <w:vAlign w:val="bottom"/>
          </w:tcPr>
          <w:p>
            <w:pPr>
              <w:jc w:val="center"/>
              <w:ind w:left="1480"/>
              <w:spacing w:after="0"/>
              <w:rPr>
                <w:sz w:val="20"/>
                <w:szCs w:val="20"/>
                <w:color w:val="auto"/>
              </w:rPr>
            </w:pPr>
            <w:r>
              <w:rPr>
                <w:rFonts w:ascii="Arial" w:cs="Arial" w:eastAsia="Arial" w:hAnsi="Arial"/>
                <w:sz w:val="11"/>
                <w:szCs w:val="11"/>
                <w:b w:val="1"/>
                <w:bCs w:val="1"/>
                <w:color w:val="auto"/>
              </w:rPr>
              <w:t>Fair Value</w:t>
            </w:r>
          </w:p>
        </w:tc>
        <w:tc>
          <w:tcPr>
            <w:tcW w:w="280" w:type="dxa"/>
            <w:vAlign w:val="bottom"/>
          </w:tcPr>
          <w:p>
            <w:pPr>
              <w:spacing w:after="0"/>
              <w:rPr>
                <w:sz w:val="11"/>
                <w:szCs w:val="11"/>
                <w:color w:val="auto"/>
              </w:rPr>
            </w:pPr>
          </w:p>
        </w:tc>
        <w:tc>
          <w:tcPr>
            <w:tcW w:w="132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320" w:type="dxa"/>
            <w:vAlign w:val="bottom"/>
          </w:tcPr>
          <w:p>
            <w:pPr>
              <w:spacing w:after="0"/>
              <w:rPr>
                <w:sz w:val="11"/>
                <w:szCs w:val="11"/>
                <w:color w:val="auto"/>
              </w:rPr>
            </w:pPr>
          </w:p>
        </w:tc>
        <w:tc>
          <w:tcPr>
            <w:tcW w:w="1140" w:type="dxa"/>
            <w:vAlign w:val="bottom"/>
          </w:tcPr>
          <w:p>
            <w:pPr>
              <w:jc w:val="right"/>
              <w:ind w:right="318"/>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5120" w:type="dxa"/>
            <w:vAlign w:val="bottom"/>
          </w:tcPr>
          <w:p>
            <w:pPr>
              <w:spacing w:after="0"/>
              <w:rPr>
                <w:sz w:val="13"/>
                <w:szCs w:val="13"/>
                <w:color w:val="auto"/>
              </w:rPr>
            </w:pPr>
          </w:p>
        </w:tc>
        <w:tc>
          <w:tcPr>
            <w:tcW w:w="3280" w:type="dxa"/>
            <w:vAlign w:val="bottom"/>
          </w:tcPr>
          <w:p>
            <w:pPr>
              <w:jc w:val="center"/>
              <w:ind w:left="1460"/>
              <w:spacing w:after="0"/>
              <w:rPr>
                <w:sz w:val="20"/>
                <w:szCs w:val="20"/>
                <w:color w:val="auto"/>
              </w:rPr>
            </w:pPr>
            <w:r>
              <w:rPr>
                <w:rFonts w:ascii="Arial" w:cs="Arial" w:eastAsia="Arial" w:hAnsi="Arial"/>
                <w:sz w:val="11"/>
                <w:szCs w:val="11"/>
                <w:b w:val="1"/>
                <w:bCs w:val="1"/>
                <w:color w:val="auto"/>
              </w:rPr>
              <w:t>Hierarchy</w:t>
            </w: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2018</w:t>
            </w:r>
          </w:p>
        </w:tc>
      </w:tr>
      <w:tr>
        <w:trPr>
          <w:trHeight w:val="159"/>
        </w:trPr>
        <w:tc>
          <w:tcPr>
            <w:tcW w:w="51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w:t>
            </w:r>
          </w:p>
        </w:tc>
        <w:tc>
          <w:tcPr>
            <w:tcW w:w="1140" w:type="dxa"/>
            <w:vAlign w:val="bottom"/>
          </w:tcPr>
          <w:p>
            <w:pPr>
              <w:spacing w:after="0"/>
              <w:rPr>
                <w:sz w:val="13"/>
                <w:szCs w:val="13"/>
                <w:color w:val="auto"/>
              </w:rPr>
            </w:pPr>
          </w:p>
        </w:tc>
      </w:tr>
      <w:tr>
        <w:trPr>
          <w:trHeight w:val="41"/>
        </w:trPr>
        <w:tc>
          <w:tcPr>
            <w:tcW w:w="512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obligations</w:t>
            </w:r>
          </w:p>
        </w:tc>
        <w:tc>
          <w:tcPr>
            <w:tcW w:w="3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5120" w:type="dxa"/>
            <w:vAlign w:val="bottom"/>
          </w:tcPr>
          <w:p>
            <w:pPr>
              <w:ind w:left="140"/>
              <w:spacing w:after="0"/>
              <w:rPr>
                <w:sz w:val="20"/>
                <w:szCs w:val="20"/>
                <w:color w:val="auto"/>
              </w:rPr>
            </w:pPr>
            <w:r>
              <w:rPr>
                <w:rFonts w:ascii="Arial" w:cs="Arial" w:eastAsia="Arial" w:hAnsi="Arial"/>
                <w:sz w:val="13"/>
                <w:szCs w:val="13"/>
                <w:color w:val="auto"/>
              </w:rPr>
              <w:t>Current</w:t>
            </w:r>
          </w:p>
        </w:tc>
        <w:tc>
          <w:tcPr>
            <w:tcW w:w="3280" w:type="dxa"/>
            <w:vAlign w:val="bottom"/>
          </w:tcPr>
          <w:p>
            <w:pPr>
              <w:spacing w:after="0"/>
              <w:rPr>
                <w:sz w:val="18"/>
                <w:szCs w:val="18"/>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39"/>
              <w:spacing w:after="0"/>
              <w:rPr>
                <w:sz w:val="20"/>
                <w:szCs w:val="20"/>
                <w:color w:val="auto"/>
              </w:rPr>
            </w:pPr>
            <w:r>
              <w:rPr>
                <w:rFonts w:ascii="Arial" w:cs="Arial" w:eastAsia="Arial" w:hAnsi="Arial"/>
                <w:sz w:val="13"/>
                <w:szCs w:val="13"/>
                <w:color w:val="auto"/>
              </w:rPr>
              <w:t>4,298</w:t>
            </w:r>
          </w:p>
        </w:tc>
        <w:tc>
          <w:tcPr>
            <w:tcW w:w="120" w:type="dxa"/>
            <w:vAlign w:val="bottom"/>
          </w:tcPr>
          <w:p>
            <w:pPr>
              <w:spacing w:after="0"/>
              <w:rPr>
                <w:sz w:val="18"/>
                <w:szCs w:val="18"/>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8"/>
              <w:spacing w:after="0"/>
              <w:rPr>
                <w:sz w:val="20"/>
                <w:szCs w:val="20"/>
                <w:color w:val="auto"/>
              </w:rPr>
            </w:pPr>
            <w:r>
              <w:rPr>
                <w:rFonts w:ascii="Arial" w:cs="Arial" w:eastAsia="Arial" w:hAnsi="Arial"/>
                <w:sz w:val="13"/>
                <w:szCs w:val="13"/>
                <w:color w:val="auto"/>
              </w:rPr>
              <w:t>4,288</w:t>
            </w: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w:t>
            </w:r>
          </w:p>
        </w:tc>
        <w:tc>
          <w:tcPr>
            <w:tcW w:w="3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10,558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7,469</w:t>
            </w:r>
          </w:p>
        </w:tc>
      </w:tr>
      <w:tr>
        <w:trPr>
          <w:trHeight w:val="190"/>
        </w:trPr>
        <w:tc>
          <w:tcPr>
            <w:tcW w:w="5120" w:type="dxa"/>
            <w:vAlign w:val="bottom"/>
          </w:tcPr>
          <w:p>
            <w:pPr>
              <w:ind w:left="220"/>
              <w:spacing w:after="0"/>
              <w:rPr>
                <w:sz w:val="20"/>
                <w:szCs w:val="20"/>
                <w:color w:val="auto"/>
              </w:rPr>
            </w:pPr>
            <w:r>
              <w:rPr>
                <w:rFonts w:ascii="Arial" w:cs="Arial" w:eastAsia="Arial" w:hAnsi="Arial"/>
                <w:sz w:val="13"/>
                <w:szCs w:val="13"/>
                <w:color w:val="auto"/>
              </w:rPr>
              <w:t>Total warranty obligations measured at fair value</w:t>
            </w:r>
          </w:p>
        </w:tc>
        <w:tc>
          <w:tcPr>
            <w:tcW w:w="3280" w:type="dxa"/>
            <w:vAlign w:val="bottom"/>
          </w:tcPr>
          <w:p>
            <w:pPr>
              <w:jc w:val="center"/>
              <w:ind w:left="1480"/>
              <w:spacing w:after="0"/>
              <w:rPr>
                <w:sz w:val="20"/>
                <w:szCs w:val="20"/>
                <w:color w:val="auto"/>
              </w:rPr>
            </w:pPr>
            <w:r>
              <w:rPr>
                <w:rFonts w:ascii="Arial" w:cs="Arial" w:eastAsia="Arial" w:hAnsi="Arial"/>
                <w:sz w:val="13"/>
                <w:szCs w:val="13"/>
                <w:color w:val="auto"/>
              </w:rPr>
              <w:t>Level 3</w:t>
            </w: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14,856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11,757</w:t>
            </w:r>
          </w:p>
        </w:tc>
      </w:tr>
      <w:tr>
        <w:trPr>
          <w:trHeight w:val="20"/>
        </w:trPr>
        <w:tc>
          <w:tcPr>
            <w:tcW w:w="5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Option for Warranty Obligations Related to Microinverters Sold Since January 1, 2014</w:t>
      </w:r>
    </w:p>
    <w:p>
      <w:pPr>
        <w:spacing w:after="0" w:line="245" w:lineRule="exact"/>
        <w:rPr>
          <w:sz w:val="20"/>
          <w:szCs w:val="20"/>
          <w:color w:val="auto"/>
        </w:rPr>
      </w:pPr>
    </w:p>
    <w:p>
      <w:pPr>
        <w:ind w:firstLine="388"/>
        <w:spacing w:after="0" w:line="261" w:lineRule="auto"/>
        <w:rPr>
          <w:sz w:val="20"/>
          <w:szCs w:val="20"/>
          <w:color w:val="auto"/>
        </w:rPr>
      </w:pPr>
      <w:r>
        <w:rPr>
          <w:rFonts w:ascii="Arial" w:cs="Arial" w:eastAsia="Arial" w:hAnsi="Arial"/>
          <w:sz w:val="14"/>
          <w:szCs w:val="14"/>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159" w:lineRule="exact"/>
        <w:rPr>
          <w:sz w:val="20"/>
          <w:szCs w:val="20"/>
          <w:color w:val="auto"/>
        </w:rPr>
      </w:pPr>
    </w:p>
    <w:p>
      <w:pPr>
        <w:ind w:right="60" w:firstLine="388"/>
        <w:spacing w:after="0" w:line="273" w:lineRule="auto"/>
        <w:rPr>
          <w:sz w:val="20"/>
          <w:szCs w:val="20"/>
          <w:color w:val="auto"/>
        </w:rPr>
      </w:pPr>
      <w:r>
        <w:rPr>
          <w:rFonts w:ascii="Arial" w:cs="Arial" w:eastAsia="Arial" w:hAnsi="Arial"/>
          <w:sz w:val="14"/>
          <w:szCs w:val="14"/>
          <w:color w:val="auto"/>
        </w:rPr>
        <w:t>The following table provides information regarding changes in nonfinancial liabilities related to the Company’s warranty obligations measured at fair value on a recurring basis using significant unobservable inputs (Level 3)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20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59"/>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gridSpan w:val="3"/>
          </w:tcPr>
          <w:p>
            <w:pPr>
              <w:jc w:val="right"/>
              <w:ind w:right="9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12,065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11,757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9,791</w:t>
            </w: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Accruals for warranties issued during period</w:t>
            </w:r>
          </w:p>
        </w:tc>
        <w:tc>
          <w:tcPr>
            <w:tcW w:w="360" w:type="dxa"/>
            <w:vAlign w:val="bottom"/>
          </w:tcPr>
          <w:p>
            <w:pPr>
              <w:spacing w:after="0"/>
              <w:rPr>
                <w:sz w:val="18"/>
                <w:szCs w:val="18"/>
                <w:color w:val="auto"/>
              </w:rPr>
            </w:pP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1,312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3"/>
                <w:szCs w:val="13"/>
                <w:color w:val="auto"/>
              </w:rPr>
              <w:t>2,170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1,533</w:t>
            </w: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Changes in estimates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519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1,995</w:t>
            </w: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Settlements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(1,188)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(831)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(1,722)</w:t>
            </w: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due to accretion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939</w:t>
            </w:r>
          </w:p>
        </w:tc>
      </w:tr>
      <w:tr>
        <w:trPr>
          <w:trHeight w:val="208"/>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1,598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1,428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301</w:t>
            </w: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period</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14,856</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12,837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14,856</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12,837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Information about Level 3 Fair Value Measurements</w:t>
      </w:r>
    </w:p>
    <w:p>
      <w:pPr>
        <w:spacing w:after="0" w:line="202" w:lineRule="exact"/>
        <w:rPr>
          <w:sz w:val="20"/>
          <w:szCs w:val="20"/>
          <w:color w:val="auto"/>
        </w:rPr>
      </w:pPr>
    </w:p>
    <w:p>
      <w:pPr>
        <w:jc w:val="both"/>
        <w:ind w:right="20" w:firstLine="388"/>
        <w:spacing w:after="0" w:line="273" w:lineRule="auto"/>
        <w:rPr>
          <w:sz w:val="20"/>
          <w:szCs w:val="20"/>
          <w:color w:val="auto"/>
        </w:rPr>
      </w:pPr>
      <w:r>
        <w:rPr>
          <w:rFonts w:ascii="Arial" w:cs="Arial" w:eastAsia="Arial" w:hAnsi="Arial"/>
          <w:sz w:val="14"/>
          <w:szCs w:val="14"/>
          <w:color w:val="auto"/>
        </w:rPr>
        <w:t>As of June 30, 2019 and December 31, 2018, the significant unobservable inputs used in the fair value measurement of the Company’s liabilities designated as Level 3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00" w:type="dxa"/>
            <w:vAlign w:val="bottom"/>
            <w:gridSpan w:val="3"/>
          </w:tcPr>
          <w:p>
            <w:pPr>
              <w:jc w:val="center"/>
              <w:ind w:right="923"/>
              <w:spacing w:after="0"/>
              <w:rPr>
                <w:sz w:val="20"/>
                <w:szCs w:val="20"/>
                <w:color w:val="auto"/>
              </w:rPr>
            </w:pPr>
            <w:r>
              <w:rPr>
                <w:rFonts w:ascii="Arial" w:cs="Arial" w:eastAsia="Arial" w:hAnsi="Arial"/>
                <w:sz w:val="11"/>
                <w:szCs w:val="11"/>
                <w:b w:val="1"/>
                <w:bCs w:val="1"/>
                <w:color w:val="auto"/>
              </w:rPr>
              <w:t>Percent Used</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center"/>
              <w:ind w:right="923"/>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36"/>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419"/>
              <w:spacing w:after="0"/>
              <w:rPr>
                <w:sz w:val="20"/>
                <w:szCs w:val="20"/>
                <w:color w:val="auto"/>
              </w:rPr>
            </w:pPr>
            <w:r>
              <w:rPr>
                <w:rFonts w:ascii="Arial" w:cs="Arial" w:eastAsia="Arial" w:hAnsi="Arial"/>
                <w:sz w:val="11"/>
                <w:szCs w:val="11"/>
                <w:b w:val="1"/>
                <w:bCs w:val="1"/>
                <w:color w:val="auto"/>
              </w:rPr>
              <w:t>June 30,</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7"/>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Item Measured at Fair Value</w:t>
            </w:r>
          </w:p>
        </w:tc>
        <w:tc>
          <w:tcPr>
            <w:tcW w:w="120" w:type="dxa"/>
            <w:vAlign w:val="bottom"/>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Valuation Technique</w:t>
            </w:r>
          </w:p>
        </w:tc>
        <w:tc>
          <w:tcPr>
            <w:tcW w:w="100" w:type="dxa"/>
            <w:vAlign w:val="bottom"/>
          </w:tcPr>
          <w:p>
            <w:pPr>
              <w:spacing w:after="0"/>
              <w:rPr>
                <w:sz w:val="13"/>
                <w:szCs w:val="13"/>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Description of Significant Unobservable Input</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ind w:left="459"/>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0" w:type="dxa"/>
            <w:vAlign w:val="bottom"/>
          </w:tcPr>
          <w:p>
            <w:pPr>
              <w:spacing w:after="0"/>
              <w:rPr>
                <w:sz w:val="1"/>
                <w:szCs w:val="1"/>
                <w:color w:val="auto"/>
              </w:rPr>
            </w:pPr>
          </w:p>
        </w:tc>
      </w:tr>
      <w:tr>
        <w:trPr>
          <w:trHeight w:val="205"/>
        </w:trPr>
        <w:tc>
          <w:tcPr>
            <w:tcW w:w="3220" w:type="dxa"/>
            <w:vAlign w:val="bottom"/>
            <w:gridSpan w:val="2"/>
          </w:tcPr>
          <w:p>
            <w:pPr>
              <w:ind w:left="100"/>
              <w:spacing w:after="0"/>
              <w:rPr>
                <w:sz w:val="20"/>
                <w:szCs w:val="20"/>
                <w:color w:val="auto"/>
              </w:rPr>
            </w:pPr>
            <w:r>
              <w:rPr>
                <w:rFonts w:ascii="Arial" w:cs="Arial" w:eastAsia="Arial" w:hAnsi="Arial"/>
                <w:sz w:val="13"/>
                <w:szCs w:val="13"/>
                <w:color w:val="auto"/>
              </w:rPr>
              <w:t>Warranty obligations for microinverters sold since</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rPr>
              <w:t>Discounted cash flows</w:t>
            </w:r>
          </w:p>
        </w:tc>
        <w:tc>
          <w:tcPr>
            <w:tcW w:w="3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Profit element and risk premium</w:t>
            </w:r>
          </w:p>
        </w:tc>
        <w:tc>
          <w:tcPr>
            <w:tcW w:w="98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3"/>
                <w:szCs w:val="13"/>
                <w:color w:val="auto"/>
                <w:w w:val="99"/>
              </w:rPr>
              <w:t>14%</w:t>
            </w:r>
          </w:p>
        </w:tc>
        <w:tc>
          <w:tcPr>
            <w:tcW w:w="2100" w:type="dxa"/>
            <w:vAlign w:val="bottom"/>
            <w:tcBorders>
              <w:bottom w:val="single" w:sz="8" w:color="CCEEFF"/>
            </w:tcBorders>
            <w:gridSpan w:val="3"/>
            <w:shd w:val="clear" w:color="auto" w:fill="CCEEFF"/>
          </w:tcPr>
          <w:p>
            <w:pPr>
              <w:jc w:val="center"/>
              <w:ind w:left="539"/>
              <w:spacing w:after="0"/>
              <w:rPr>
                <w:sz w:val="20"/>
                <w:szCs w:val="20"/>
                <w:color w:val="auto"/>
              </w:rPr>
            </w:pPr>
            <w:r>
              <w:rPr>
                <w:rFonts w:ascii="Arial" w:cs="Arial" w:eastAsia="Arial" w:hAnsi="Arial"/>
                <w:sz w:val="13"/>
                <w:szCs w:val="13"/>
                <w:color w:val="auto"/>
                <w:w w:val="99"/>
              </w:rPr>
              <w:t>16%</w:t>
            </w:r>
          </w:p>
        </w:tc>
        <w:tc>
          <w:tcPr>
            <w:tcW w:w="0" w:type="dxa"/>
            <w:vAlign w:val="bottom"/>
          </w:tcPr>
          <w:p>
            <w:pPr>
              <w:spacing w:after="0"/>
              <w:rPr>
                <w:sz w:val="1"/>
                <w:szCs w:val="1"/>
                <w:color w:val="auto"/>
              </w:rPr>
            </w:pPr>
          </w:p>
        </w:tc>
      </w:tr>
      <w:tr>
        <w:trPr>
          <w:trHeight w:val="72"/>
        </w:trPr>
        <w:tc>
          <w:tcPr>
            <w:tcW w:w="3220" w:type="dxa"/>
            <w:vAlign w:val="bottom"/>
            <w:gridSpan w:val="2"/>
            <w:vMerge w:val="restart"/>
          </w:tcPr>
          <w:p>
            <w:pPr>
              <w:ind w:left="160"/>
              <w:spacing w:after="0" w:line="148" w:lineRule="exact"/>
              <w:rPr>
                <w:sz w:val="20"/>
                <w:szCs w:val="20"/>
                <w:color w:val="auto"/>
              </w:rPr>
            </w:pPr>
            <w:r>
              <w:rPr>
                <w:rFonts w:ascii="Arial" w:cs="Arial" w:eastAsia="Arial" w:hAnsi="Arial"/>
                <w:sz w:val="13"/>
                <w:szCs w:val="13"/>
                <w:color w:val="auto"/>
              </w:rPr>
              <w:t>January 1, 2014</w:t>
            </w:r>
          </w:p>
        </w:tc>
        <w:tc>
          <w:tcPr>
            <w:tcW w:w="1960" w:type="dxa"/>
            <w:vAlign w:val="bottom"/>
            <w:gridSpan w:val="2"/>
            <w:vMerge w:val="continue"/>
          </w:tcPr>
          <w:p>
            <w:pPr>
              <w:spacing w:after="0"/>
              <w:rPr>
                <w:sz w:val="6"/>
                <w:szCs w:val="6"/>
                <w:color w:val="auto"/>
              </w:rPr>
            </w:pPr>
          </w:p>
        </w:tc>
        <w:tc>
          <w:tcPr>
            <w:tcW w:w="3200" w:type="dxa"/>
            <w:vAlign w:val="bottom"/>
            <w:tcBorders>
              <w:top w:val="single" w:sz="8" w:color="ACACAC"/>
            </w:tcBorders>
            <w:gridSpan w:val="2"/>
            <w:vMerge w:val="restart"/>
          </w:tcPr>
          <w:p>
            <w:pPr>
              <w:jc w:val="center"/>
              <w:ind w:right="120"/>
              <w:spacing w:after="0"/>
              <w:rPr>
                <w:sz w:val="20"/>
                <w:szCs w:val="20"/>
                <w:color w:val="auto"/>
              </w:rPr>
            </w:pPr>
            <w:r>
              <w:rPr>
                <w:rFonts w:ascii="Arial" w:cs="Arial" w:eastAsia="Arial" w:hAnsi="Arial"/>
                <w:sz w:val="13"/>
                <w:szCs w:val="13"/>
                <w:color w:val="auto"/>
                <w:w w:val="99"/>
              </w:rPr>
              <w:t>Credit-adjusted risk-free rate</w:t>
            </w:r>
          </w:p>
        </w:tc>
        <w:tc>
          <w:tcPr>
            <w:tcW w:w="980" w:type="dxa"/>
            <w:vAlign w:val="bottom"/>
            <w:tcBorders>
              <w:top w:val="single" w:sz="8" w:color="ACACAC"/>
            </w:tcBorders>
            <w:vMerge w:val="restart"/>
          </w:tcPr>
          <w:p>
            <w:pPr>
              <w:jc w:val="center"/>
              <w:ind w:left="459"/>
              <w:spacing w:after="0"/>
              <w:rPr>
                <w:sz w:val="20"/>
                <w:szCs w:val="20"/>
                <w:color w:val="auto"/>
              </w:rPr>
            </w:pPr>
            <w:r>
              <w:rPr>
                <w:rFonts w:ascii="Arial" w:cs="Arial" w:eastAsia="Arial" w:hAnsi="Arial"/>
                <w:sz w:val="13"/>
                <w:szCs w:val="13"/>
                <w:color w:val="auto"/>
                <w:w w:val="99"/>
              </w:rPr>
              <w:t>15%</w:t>
            </w:r>
          </w:p>
        </w:tc>
        <w:tc>
          <w:tcPr>
            <w:tcW w:w="2100" w:type="dxa"/>
            <w:vAlign w:val="bottom"/>
            <w:tcBorders>
              <w:top w:val="single" w:sz="8" w:color="ACACAC"/>
            </w:tcBorders>
            <w:gridSpan w:val="3"/>
            <w:vMerge w:val="restart"/>
          </w:tcPr>
          <w:p>
            <w:pPr>
              <w:jc w:val="center"/>
              <w:ind w:left="539"/>
              <w:spacing w:after="0"/>
              <w:rPr>
                <w:sz w:val="20"/>
                <w:szCs w:val="20"/>
                <w:color w:val="auto"/>
              </w:rPr>
            </w:pPr>
            <w:r>
              <w:rPr>
                <w:rFonts w:ascii="Arial" w:cs="Arial" w:eastAsia="Arial" w:hAnsi="Arial"/>
                <w:sz w:val="13"/>
                <w:szCs w:val="13"/>
                <w:color w:val="auto"/>
                <w:w w:val="99"/>
              </w:rPr>
              <w:t>19%</w:t>
            </w:r>
          </w:p>
        </w:tc>
        <w:tc>
          <w:tcPr>
            <w:tcW w:w="0" w:type="dxa"/>
            <w:vAlign w:val="bottom"/>
          </w:tcPr>
          <w:p>
            <w:pPr>
              <w:spacing w:after="0"/>
              <w:rPr>
                <w:sz w:val="1"/>
                <w:szCs w:val="1"/>
                <w:color w:val="auto"/>
              </w:rPr>
            </w:pPr>
          </w:p>
        </w:tc>
      </w:tr>
      <w:tr>
        <w:trPr>
          <w:trHeight w:val="108"/>
        </w:trPr>
        <w:tc>
          <w:tcPr>
            <w:tcW w:w="3220" w:type="dxa"/>
            <w:vAlign w:val="bottom"/>
            <w:gridSpan w:val="2"/>
            <w:vMerge w:val="continue"/>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263525</wp:posOffset>
            </wp:positionV>
            <wp:extent cx="708977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12</w:t>
      </w:r>
    </w:p>
    <w:p>
      <w:pPr>
        <w:sectPr>
          <w:pgSz w:w="11900" w:h="16838" w:orient="portrait"/>
          <w:cols w:equalWidth="0" w:num="1">
            <w:col w:w="11460"/>
          </w:cols>
          <w:pgMar w:left="220" w:top="211" w:right="21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Sensitivity of Level 3 Inputs - Warranty Obligations</w:t>
      </w:r>
    </w:p>
    <w:p>
      <w:pPr>
        <w:spacing w:after="0" w:line="202" w:lineRule="exact"/>
        <w:rPr>
          <w:sz w:val="20"/>
          <w:szCs w:val="20"/>
          <w:color w:val="auto"/>
        </w:rPr>
      </w:pPr>
    </w:p>
    <w:p>
      <w:pPr>
        <w:ind w:right="20" w:firstLine="388"/>
        <w:spacing w:after="0" w:line="172" w:lineRule="exact"/>
        <w:rPr>
          <w:sz w:val="20"/>
          <w:szCs w:val="20"/>
          <w:color w:val="auto"/>
        </w:rPr>
      </w:pPr>
      <w:r>
        <w:rPr>
          <w:rFonts w:ascii="Arial" w:cs="Arial" w:eastAsia="Arial" w:hAnsi="Arial"/>
          <w:sz w:val="14"/>
          <w:szCs w:val="14"/>
          <w:color w:val="auto"/>
        </w:rPr>
        <w:t>Each of the significant unobservable inputs is independent of the other. The profit element and risk premium are estimated based on requirements of a third-party participant willing to assume the Company’s warranty obligations. The credit</w:t>
      </w:r>
      <w:r>
        <w:rPr>
          <w:rFonts w:ascii="MS PGothic" w:cs="MS PGothic" w:eastAsia="MS PGothic" w:hAnsi="MS PGothic"/>
          <w:sz w:val="14"/>
          <w:szCs w:val="14"/>
          <w:color w:val="auto"/>
        </w:rPr>
        <w:t>‑</w:t>
      </w:r>
      <w:r>
        <w:rPr>
          <w:rFonts w:ascii="Arial" w:cs="Arial" w:eastAsia="Arial" w:hAnsi="Arial"/>
          <w:sz w:val="14"/>
          <w:szCs w:val="14"/>
          <w:color w:val="auto"/>
        </w:rPr>
        <w:t>adjusted risk</w:t>
      </w:r>
      <w:r>
        <w:rPr>
          <w:rFonts w:ascii="MS PGothic" w:cs="MS PGothic" w:eastAsia="MS PGothic" w:hAnsi="MS PGothic"/>
          <w:sz w:val="14"/>
          <w:szCs w:val="14"/>
          <w:color w:val="auto"/>
        </w:rPr>
        <w:t>‑</w:t>
      </w:r>
      <w:r>
        <w:rPr>
          <w:rFonts w:ascii="Arial" w:cs="Arial" w:eastAsia="Arial" w:hAnsi="Arial"/>
          <w:sz w:val="14"/>
          <w:szCs w:val="14"/>
          <w:color w:val="auto"/>
        </w:rPr>
        <w:t>free rate (“discount rate”) is determined by reference to the Company’s own credit standing at the fair value measurement date. Increasing the profit element and risk premium input by 100 basis points would result in a $0.1 million increase to the liability. Decreasing the profit element and risk premium by 100 basis points would result in a $0.1 million reduction of the liability. Increasing the discount rate by 100 basis points would result in a $0.7 million reduction of the liability. Decreasing the discount rate by 100 basis points would result in a $0.8 million increase to the liability.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85"/>
              </w:rPr>
              <w:t>7.</w:t>
            </w:r>
          </w:p>
        </w:tc>
        <w:tc>
          <w:tcPr>
            <w:tcW w:w="4980" w:type="dxa"/>
            <w:vAlign w:val="bottom"/>
          </w:tcPr>
          <w:p>
            <w:pPr>
              <w:ind w:left="220"/>
              <w:spacing w:after="0"/>
              <w:rPr>
                <w:sz w:val="20"/>
                <w:szCs w:val="20"/>
                <w:color w:val="auto"/>
              </w:rPr>
            </w:pPr>
            <w:r>
              <w:rPr>
                <w:rFonts w:ascii="Arial" w:cs="Arial" w:eastAsia="Arial" w:hAnsi="Arial"/>
                <w:sz w:val="14"/>
                <w:szCs w:val="14"/>
                <w:b w:val="1"/>
                <w:bCs w:val="1"/>
                <w:color w:val="auto"/>
              </w:rPr>
              <w:t>RESTRUCTURING</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45"/>
        </w:trPr>
        <w:tc>
          <w:tcPr>
            <w:tcW w:w="18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Arial" w:cs="Arial" w:eastAsia="Arial" w:hAnsi="Arial"/>
                <w:sz w:val="14"/>
                <w:szCs w:val="14"/>
                <w:color w:val="auto"/>
              </w:rPr>
              <w:t>Restructuring expense consist of the following:</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1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20" w:type="dxa"/>
            <w:vAlign w:val="bottom"/>
            <w:gridSpan w:val="3"/>
          </w:tcPr>
          <w:p>
            <w:pPr>
              <w:jc w:val="right"/>
              <w:ind w:right="478"/>
              <w:spacing w:after="0"/>
              <w:rPr>
                <w:sz w:val="20"/>
                <w:szCs w:val="20"/>
                <w:color w:val="auto"/>
              </w:rPr>
            </w:pPr>
            <w:r>
              <w:rPr>
                <w:rFonts w:ascii="Arial" w:cs="Arial" w:eastAsia="Arial" w:hAnsi="Arial"/>
                <w:sz w:val="11"/>
                <w:szCs w:val="11"/>
                <w:b w:val="1"/>
                <w:bCs w:val="1"/>
                <w:color w:val="auto"/>
              </w:rPr>
              <w:t>Three Months Ended</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21"/>
                <w:szCs w:val="21"/>
                <w:color w:val="auto"/>
              </w:rPr>
            </w:pPr>
          </w:p>
        </w:tc>
      </w:tr>
      <w:tr>
        <w:trPr>
          <w:trHeight w:val="157"/>
        </w:trPr>
        <w:tc>
          <w:tcPr>
            <w:tcW w:w="1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1"/>
                <w:szCs w:val="11"/>
                <w:b w:val="1"/>
                <w:bCs w:val="1"/>
                <w:color w:val="auto"/>
              </w:rPr>
              <w:t>June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206"/>
        </w:trPr>
        <w:tc>
          <w:tcPr>
            <w:tcW w:w="1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59"/>
        </w:trPr>
        <w:tc>
          <w:tcPr>
            <w:tcW w:w="1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gridSpan w:val="3"/>
          </w:tcPr>
          <w:p>
            <w:pPr>
              <w:ind w:left="140"/>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41"/>
        </w:trPr>
        <w:tc>
          <w:tcPr>
            <w:tcW w:w="51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Redundancy and employee severance and benefit arrangements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631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1,099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Lease loss reserves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r>
      <w:tr>
        <w:trPr>
          <w:trHeight w:val="190"/>
        </w:trPr>
        <w:tc>
          <w:tcPr>
            <w:tcW w:w="180" w:type="dxa"/>
            <w:vAlign w:val="bottom"/>
            <w:shd w:val="clear" w:color="auto" w:fill="CCEEFF"/>
          </w:tcPr>
          <w:p>
            <w:pPr>
              <w:spacing w:after="0"/>
              <w:rPr>
                <w:sz w:val="16"/>
                <w:szCs w:val="16"/>
                <w:color w:val="auto"/>
              </w:rPr>
            </w:pPr>
          </w:p>
        </w:tc>
        <w:tc>
          <w:tcPr>
            <w:tcW w:w="4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restructuring charges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631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999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Plan</w:t>
      </w:r>
    </w:p>
    <w:p>
      <w:pPr>
        <w:spacing w:after="0" w:line="202" w:lineRule="exact"/>
        <w:rPr>
          <w:sz w:val="20"/>
          <w:szCs w:val="20"/>
          <w:color w:val="auto"/>
        </w:rPr>
      </w:pPr>
    </w:p>
    <w:p>
      <w:pPr>
        <w:ind w:right="340" w:firstLine="388"/>
        <w:spacing w:after="0" w:line="265" w:lineRule="auto"/>
        <w:rPr>
          <w:sz w:val="20"/>
          <w:szCs w:val="20"/>
          <w:color w:val="auto"/>
        </w:rPr>
      </w:pPr>
      <w:r>
        <w:rPr>
          <w:rFonts w:ascii="Arial" w:cs="Arial" w:eastAsia="Arial" w:hAnsi="Arial"/>
          <w:sz w:val="14"/>
          <w:szCs w:val="14"/>
          <w:color w:val="auto"/>
        </w:rPr>
        <w:t>In the third quarter of 2018, the Company began implementing restructuring actions (the “2018 Plan”) to lower its operating expenses. The restructuring actions include reorganization of the Company’s global workforce, elimination of certain non-core projects and consolidation of facilities. The Company expects to complete this restructuring in 2019.</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provides information regarding changes in the Company’s 2018 Plan accrued restructuring balance for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Redundancy and</w:t>
            </w: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29"/>
        </w:trPr>
        <w:tc>
          <w:tcPr>
            <w:tcW w:w="6760" w:type="dxa"/>
            <w:vAlign w:val="bottom"/>
          </w:tcPr>
          <w:p>
            <w:pPr>
              <w:spacing w:after="0"/>
              <w:rPr>
                <w:sz w:val="11"/>
                <w:szCs w:val="11"/>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Employee Severance and</w:t>
            </w:r>
          </w:p>
        </w:tc>
        <w:tc>
          <w:tcPr>
            <w:tcW w:w="16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Lease Loss Reserves and</w:t>
            </w: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57"/>
        </w:trPr>
        <w:tc>
          <w:tcPr>
            <w:tcW w:w="6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Benefits</w:t>
            </w: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Contractual Obligations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Total</w:t>
            </w:r>
          </w:p>
        </w:tc>
      </w:tr>
      <w:tr>
        <w:trPr>
          <w:trHeight w:val="159"/>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41"/>
        </w:trPr>
        <w:tc>
          <w:tcPr>
            <w:tcW w:w="6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2018</w:t>
            </w: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1,192</w:t>
            </w:r>
          </w:p>
        </w:tc>
      </w:tr>
      <w:tr>
        <w:trPr>
          <w:trHeight w:val="208"/>
        </w:trPr>
        <w:tc>
          <w:tcPr>
            <w:tcW w:w="6760" w:type="dxa"/>
            <w:vAlign w:val="bottom"/>
          </w:tcPr>
          <w:p>
            <w:pPr>
              <w:ind w:left="140"/>
              <w:spacing w:after="0"/>
              <w:rPr>
                <w:sz w:val="20"/>
                <w:szCs w:val="20"/>
                <w:color w:val="auto"/>
              </w:rPr>
            </w:pPr>
            <w:r>
              <w:rPr>
                <w:rFonts w:ascii="Arial" w:cs="Arial" w:eastAsia="Arial" w:hAnsi="Arial"/>
                <w:sz w:val="13"/>
                <w:szCs w:val="13"/>
                <w:color w:val="auto"/>
              </w:rPr>
              <w:t>Charges</w:t>
            </w:r>
          </w:p>
        </w:tc>
        <w:tc>
          <w:tcPr>
            <w:tcW w:w="18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1,099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1,099</w:t>
            </w:r>
          </w:p>
        </w:tc>
      </w:tr>
      <w:tr>
        <w:trPr>
          <w:trHeight w:val="223"/>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payments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r>
      <w:tr>
        <w:trPr>
          <w:trHeight w:val="208"/>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Non-cash settlement and 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w:t>
            </w:r>
          </w:p>
        </w:tc>
      </w:tr>
      <w:tr>
        <w:trPr>
          <w:trHeight w:val="190"/>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June 30, 2019</w:t>
            </w: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2016 Plan</w:t>
      </w:r>
    </w:p>
    <w:p>
      <w:pPr>
        <w:spacing w:after="0" w:line="202" w:lineRule="exact"/>
        <w:rPr>
          <w:sz w:val="20"/>
          <w:szCs w:val="20"/>
          <w:color w:val="auto"/>
        </w:rPr>
      </w:pPr>
    </w:p>
    <w:p>
      <w:pPr>
        <w:ind w:right="40" w:firstLine="388"/>
        <w:spacing w:after="0" w:line="262" w:lineRule="auto"/>
        <w:rPr>
          <w:sz w:val="20"/>
          <w:szCs w:val="20"/>
          <w:color w:val="auto"/>
        </w:rPr>
      </w:pPr>
      <w:r>
        <w:rPr>
          <w:rFonts w:ascii="Arial" w:cs="Arial" w:eastAsia="Arial" w:hAnsi="Arial"/>
          <w:sz w:val="14"/>
          <w:szCs w:val="14"/>
          <w:color w:val="auto"/>
        </w:rPr>
        <w:t>In the third quarter of 2016, the Company began implementing restructuring actions (the “2016 Plan”)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 The Company completed its restructuring activities under the 2016 Plan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13</w:t>
      </w:r>
    </w:p>
    <w:p>
      <w:pPr>
        <w:sectPr>
          <w:pgSz w:w="11900" w:h="16838" w:orient="portrait"/>
          <w:cols w:equalWidth="0" w:num="1">
            <w:col w:w="11460"/>
          </w:cols>
          <w:pgMar w:left="220" w:top="211" w:right="21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provides information regarding changes in the Company’s 2016 Plan accrued restructuring balance for the periods indicated.</w:t>
      </w:r>
    </w:p>
    <w:p>
      <w:pPr>
        <w:sectPr>
          <w:pgSz w:w="11900" w:h="16838" w:orient="portrait"/>
          <w:cols w:equalWidth="0" w:num="1">
            <w:col w:w="11460"/>
          </w:cols>
          <w:pgMar w:left="220" w:top="21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74560" cy="123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745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Balance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3215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1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16"/>
        <w:spacing w:after="0"/>
        <w:rPr>
          <w:sz w:val="20"/>
          <w:szCs w:val="20"/>
          <w:color w:val="auto"/>
        </w:rPr>
      </w:pPr>
      <w:r>
        <w:rPr>
          <w:rFonts w:ascii="Arial" w:cs="Arial" w:eastAsia="Arial" w:hAnsi="Arial"/>
          <w:sz w:val="11"/>
          <w:szCs w:val="11"/>
          <w:b w:val="1"/>
          <w:bCs w:val="1"/>
          <w:color w:val="auto"/>
        </w:rPr>
        <w:t>Lease Loss Reserves and</w:t>
      </w:r>
    </w:p>
    <w:p>
      <w:pPr>
        <w:spacing w:after="0" w:line="17" w:lineRule="exact"/>
        <w:rPr>
          <w:sz w:val="20"/>
          <w:szCs w:val="20"/>
          <w:color w:val="auto"/>
        </w:rPr>
      </w:pPr>
    </w:p>
    <w:p>
      <w:pPr>
        <w:jc w:val="center"/>
        <w:ind w:right="16"/>
        <w:spacing w:after="0"/>
        <w:rPr>
          <w:sz w:val="20"/>
          <w:szCs w:val="20"/>
          <w:color w:val="auto"/>
        </w:rPr>
      </w:pPr>
      <w:r>
        <w:rPr>
          <w:rFonts w:ascii="Arial" w:cs="Arial" w:eastAsia="Arial" w:hAnsi="Arial"/>
          <w:sz w:val="11"/>
          <w:szCs w:val="11"/>
          <w:b w:val="1"/>
          <w:b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94424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4245" cy="6985"/>
                    </a:xfrm>
                    <a:prstGeom prst="rect">
                      <a:avLst/>
                    </a:prstGeom>
                    <a:noFill/>
                  </pic:spPr>
                </pic:pic>
              </a:graphicData>
            </a:graphic>
          </wp:anchor>
        </w:drawing>
      </w:r>
    </w:p>
    <w:p>
      <w:pPr>
        <w:spacing w:after="0" w:line="57" w:lineRule="exact"/>
        <w:rPr>
          <w:sz w:val="20"/>
          <w:szCs w:val="20"/>
          <w:color w:val="auto"/>
        </w:rPr>
      </w:pPr>
    </w:p>
    <w:p>
      <w:pPr>
        <w:ind w:left="364"/>
        <w:spacing w:after="0"/>
        <w:rPr>
          <w:sz w:val="20"/>
          <w:szCs w:val="20"/>
          <w:color w:val="auto"/>
        </w:rPr>
      </w:pPr>
      <w:r>
        <w:rPr>
          <w:rFonts w:ascii="Arial" w:cs="Arial" w:eastAsia="Arial" w:hAnsi="Arial"/>
          <w:sz w:val="11"/>
          <w:szCs w:val="11"/>
          <w:i w:val="1"/>
          <w:iCs w:val="1"/>
          <w:color w:val="auto"/>
        </w:rPr>
        <w:t>(In thousands)</w:t>
      </w:r>
    </w:p>
    <w:p>
      <w:pPr>
        <w:spacing w:after="0" w:line="56" w:lineRule="exact"/>
        <w:rPr>
          <w:sz w:val="20"/>
          <w:szCs w:val="20"/>
          <w:color w:val="auto"/>
        </w:rPr>
      </w:pPr>
    </w:p>
    <w:p>
      <w:pPr>
        <w:ind w:left="1044" w:hanging="1044"/>
        <w:spacing w:after="0"/>
        <w:tabs>
          <w:tab w:leader="none" w:pos="1044" w:val="left"/>
        </w:tabs>
        <w:numPr>
          <w:ilvl w:val="0"/>
          <w:numId w:val="11"/>
        </w:numPr>
        <w:rPr>
          <w:rFonts w:ascii="Arial" w:cs="Arial" w:eastAsia="Arial" w:hAnsi="Arial"/>
          <w:sz w:val="13"/>
          <w:szCs w:val="13"/>
          <w:color w:val="auto"/>
        </w:rPr>
      </w:pPr>
      <w:r>
        <w:rPr>
          <w:rFonts w:ascii="Arial" w:cs="Arial" w:eastAsia="Arial" w:hAnsi="Arial"/>
          <w:sz w:val="13"/>
          <w:szCs w:val="13"/>
          <w:color w:val="auto"/>
        </w:rPr>
        <w:t>1,591</w:t>
      </w:r>
    </w:p>
    <w:p>
      <w:pPr>
        <w:spacing w:after="0" w:line="44" w:lineRule="exact"/>
        <w:rPr>
          <w:rFonts w:ascii="Arial" w:cs="Arial" w:eastAsia="Arial" w:hAnsi="Arial"/>
          <w:sz w:val="13"/>
          <w:szCs w:val="13"/>
          <w:color w:val="auto"/>
        </w:rPr>
      </w:pPr>
    </w:p>
    <w:p>
      <w:pPr>
        <w:ind w:left="984"/>
        <w:spacing w:after="0"/>
        <w:rPr>
          <w:rFonts w:ascii="Arial" w:cs="Arial" w:eastAsia="Arial" w:hAnsi="Arial"/>
          <w:sz w:val="13"/>
          <w:szCs w:val="13"/>
          <w:color w:val="auto"/>
        </w:rPr>
      </w:pPr>
      <w:r>
        <w:rPr>
          <w:rFonts w:ascii="Arial" w:cs="Arial" w:eastAsia="Arial" w:hAnsi="Arial"/>
          <w:sz w:val="13"/>
          <w:szCs w:val="13"/>
          <w:color w:val="auto"/>
        </w:rPr>
        <w:t>(1,591)</w:t>
      </w:r>
    </w:p>
    <w:p>
      <w:pPr>
        <w:spacing w:after="0" w:line="55" w:lineRule="exact"/>
        <w:rPr>
          <w:sz w:val="20"/>
          <w:szCs w:val="20"/>
          <w:color w:val="auto"/>
        </w:rPr>
      </w:pPr>
    </w:p>
    <w:p>
      <w:pPr>
        <w:ind w:left="1224" w:hanging="1224"/>
        <w:spacing w:after="0"/>
        <w:tabs>
          <w:tab w:leader="none" w:pos="1224" w:val="left"/>
        </w:tabs>
        <w:numPr>
          <w:ilvl w:val="0"/>
          <w:numId w:val="12"/>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94424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4245" cy="698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9276" w:space="720"/>
            <w:col w:w="1464"/>
          </w:cols>
          <w:pgMar w:left="220" w:top="211" w:right="219" w:bottom="1440" w:gutter="0" w:footer="0" w:header="0"/>
          <w:type w:val="continuous"/>
        </w:sectPr>
      </w:pPr>
    </w:p>
    <w:p>
      <w:pPr>
        <w:spacing w:after="0" w:line="58" w:lineRule="exact"/>
        <w:rPr>
          <w:sz w:val="20"/>
          <w:szCs w:val="20"/>
          <w:color w:val="auto"/>
        </w:rPr>
      </w:pPr>
    </w:p>
    <w:p>
      <w:pPr>
        <w:ind w:left="400" w:hanging="394"/>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Adoption of ASU 2016-02.</w:t>
      </w:r>
    </w:p>
    <w:p>
      <w:pPr>
        <w:spacing w:after="0" w:line="209" w:lineRule="exact"/>
        <w:rPr>
          <w:sz w:val="20"/>
          <w:szCs w:val="20"/>
          <w:color w:val="auto"/>
        </w:rPr>
      </w:pPr>
    </w:p>
    <w:p>
      <w:pPr>
        <w:ind w:left="400" w:hanging="394"/>
        <w:spacing w:after="0"/>
        <w:tabs>
          <w:tab w:leader="none" w:pos="40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DEBT</w:t>
      </w:r>
    </w:p>
    <w:p>
      <w:pPr>
        <w:spacing w:after="0" w:line="201" w:lineRule="exact"/>
        <w:rPr>
          <w:rFonts w:ascii="Arial" w:cs="Arial" w:eastAsia="Arial" w:hAnsi="Arial"/>
          <w:sz w:val="14"/>
          <w:szCs w:val="14"/>
          <w:b w:val="1"/>
          <w:bCs w:val="1"/>
          <w:color w:val="auto"/>
        </w:rPr>
      </w:pPr>
    </w:p>
    <w:p>
      <w:pPr>
        <w:ind w:left="40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provides information regarding the Company’s long-term debt.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340" w:type="dxa"/>
            <w:vAlign w:val="bottom"/>
          </w:tcPr>
          <w:p>
            <w:pPr>
              <w:spacing w:after="0"/>
              <w:rPr>
                <w:sz w:val="11"/>
                <w:szCs w:val="11"/>
                <w:color w:val="auto"/>
              </w:rPr>
            </w:pPr>
          </w:p>
        </w:tc>
        <w:tc>
          <w:tcPr>
            <w:tcW w:w="1140" w:type="dxa"/>
            <w:vAlign w:val="bottom"/>
          </w:tcPr>
          <w:p>
            <w:pPr>
              <w:jc w:val="right"/>
              <w:ind w:right="316"/>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8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w:t>
            </w:r>
          </w:p>
        </w:tc>
        <w:tc>
          <w:tcPr>
            <w:tcW w:w="1140" w:type="dxa"/>
            <w:vAlign w:val="bottom"/>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notes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Notes due 2024</w:t>
            </w:r>
          </w:p>
        </w:tc>
        <w:tc>
          <w:tcPr>
            <w:tcW w:w="3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132,000</w:t>
            </w:r>
          </w:p>
        </w:tc>
        <w:tc>
          <w:tcPr>
            <w:tcW w:w="12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16"/>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unamortized discount and issuance costs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(39,138)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96"/>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Carrying amount of Notes due 2024</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92,862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r>
      <w:tr>
        <w:trPr>
          <w:trHeight w:val="214"/>
        </w:trPr>
        <w:tc>
          <w:tcPr>
            <w:tcW w:w="8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Notes due 2023</w:t>
            </w:r>
          </w:p>
        </w:tc>
        <w:tc>
          <w:tcPr>
            <w:tcW w:w="300" w:type="dxa"/>
            <w:vAlign w:val="bottom"/>
          </w:tcPr>
          <w:p>
            <w:pPr>
              <w:spacing w:after="0"/>
              <w:rPr>
                <w:sz w:val="18"/>
                <w:szCs w:val="18"/>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65,000</w:t>
            </w:r>
          </w:p>
        </w:tc>
      </w:tr>
      <w:tr>
        <w:trPr>
          <w:trHeight w:val="216"/>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unamortized issuance costs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(2,361)</w:t>
            </w:r>
          </w:p>
        </w:tc>
      </w:tr>
      <w:tr>
        <w:trPr>
          <w:trHeight w:val="196"/>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Carrying amount of Notes due 2023</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4,838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62,639</w:t>
            </w:r>
          </w:p>
        </w:tc>
      </w:tr>
      <w:tr>
        <w:trPr>
          <w:trHeight w:val="214"/>
        </w:trPr>
        <w:tc>
          <w:tcPr>
            <w:tcW w:w="8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Term loan</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41,524</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unamortized discount and issuance costs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(1,059)</w:t>
            </w:r>
          </w:p>
        </w:tc>
      </w:tr>
      <w:tr>
        <w:trPr>
          <w:trHeight w:val="196"/>
        </w:trPr>
        <w:tc>
          <w:tcPr>
            <w:tcW w:w="8360" w:type="dxa"/>
            <w:vAlign w:val="bottom"/>
          </w:tcPr>
          <w:p>
            <w:pPr>
              <w:ind w:left="220"/>
              <w:spacing w:after="0"/>
              <w:rPr>
                <w:sz w:val="20"/>
                <w:szCs w:val="20"/>
                <w:color w:val="auto"/>
              </w:rPr>
            </w:pPr>
            <w:r>
              <w:rPr>
                <w:rFonts w:ascii="Arial" w:cs="Arial" w:eastAsia="Arial" w:hAnsi="Arial"/>
                <w:sz w:val="13"/>
                <w:szCs w:val="13"/>
                <w:color w:val="auto"/>
              </w:rPr>
              <w:t>Carrying amount of term loan</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40,465</w:t>
            </w:r>
          </w:p>
        </w:tc>
      </w:tr>
      <w:tr>
        <w:trPr>
          <w:trHeight w:val="214"/>
        </w:trPr>
        <w:tc>
          <w:tcPr>
            <w:tcW w:w="8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 of long-term financing receivable recorded as debt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5,233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6,679</w:t>
            </w:r>
          </w:p>
        </w:tc>
      </w:tr>
      <w:tr>
        <w:trPr>
          <w:trHeight w:val="203"/>
        </w:trPr>
        <w:tc>
          <w:tcPr>
            <w:tcW w:w="8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carrying amount of debt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102,933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109,783</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Less: current portion term loan</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(25,417)</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current portion of long-term financing receivable recorded as debt</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(2,738)</w:t>
            </w:r>
          </w:p>
        </w:tc>
      </w:tr>
      <w:tr>
        <w:trPr>
          <w:trHeight w:val="190"/>
        </w:trPr>
        <w:tc>
          <w:tcPr>
            <w:tcW w:w="8360" w:type="dxa"/>
            <w:vAlign w:val="bottom"/>
          </w:tcPr>
          <w:p>
            <w:pPr>
              <w:ind w:left="140"/>
              <w:spacing w:after="0"/>
              <w:rPr>
                <w:sz w:val="20"/>
                <w:szCs w:val="20"/>
                <w:color w:val="auto"/>
              </w:rPr>
            </w:pPr>
            <w:r>
              <w:rPr>
                <w:rFonts w:ascii="Arial" w:cs="Arial" w:eastAsia="Arial" w:hAnsi="Arial"/>
                <w:sz w:val="13"/>
                <w:szCs w:val="13"/>
                <w:color w:val="auto"/>
              </w:rPr>
              <w:t>Long-term debt</w:t>
            </w:r>
          </w:p>
        </w:tc>
        <w:tc>
          <w:tcPr>
            <w:tcW w:w="3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99,890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81,628</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14</w:t>
      </w:r>
    </w:p>
    <w:p>
      <w:pPr>
        <w:sectPr>
          <w:pgSz w:w="11900" w:h="16838" w:orient="portrait"/>
          <w:cols w:equalWidth="0" w:num="1">
            <w:col w:w="11460"/>
          </w:cols>
          <w:pgMar w:left="220" w:top="211" w:right="2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Senior Notes due 2024</w:t>
      </w:r>
    </w:p>
    <w:p>
      <w:pPr>
        <w:spacing w:after="0" w:line="202" w:lineRule="exact"/>
        <w:rPr>
          <w:sz w:val="20"/>
          <w:szCs w:val="20"/>
          <w:color w:val="auto"/>
        </w:rPr>
      </w:pPr>
    </w:p>
    <w:p>
      <w:pPr>
        <w:ind w:right="40" w:firstLine="388"/>
        <w:spacing w:after="0" w:line="258" w:lineRule="auto"/>
        <w:rPr>
          <w:sz w:val="20"/>
          <w:szCs w:val="20"/>
          <w:color w:val="auto"/>
        </w:rPr>
      </w:pPr>
      <w:r>
        <w:rPr>
          <w:rFonts w:ascii="Arial" w:cs="Arial" w:eastAsia="Arial" w:hAnsi="Arial"/>
          <w:sz w:val="14"/>
          <w:szCs w:val="14"/>
          <w:color w:val="auto"/>
        </w:rPr>
        <w:t>On June 5, 2019, the Company issued $132.0 million aggregate principal amount of 1.0% convertible senior notes due 2024 (the “Notes due 2024”). The Notes due 2024 are general unsecured obligations and bear interest at an annual rate of 1.0% per year, payable semi-annually on June 1 and December 1 of each year, beginning December 1, 2019. The Notes due 2024 are governed by an indenture between the Company and U.S. Bank National Association, as trustee. The Notes due 2024 will mature on June 1, 2024, unless earlier repurchased by the Company or converted at the option of the holders. The Company may not redeem the notes prior to the maturity date, and no sinking fund is provided for the notes. The Notes due 2024 may be converted, under certain circumstances as described below, based on an initial conversion rate of 48.7781 shares of common stock per $1,000 principal amount (which represents an initial conversion price of $20.5010 per share). The conversion rate for the Notes due 2024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$128.0 million in net proceeds, after deducting the initial purchasers’ discount, from the issuance of the Notes due 2024.</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Notes due 2024 may be converted on any day prior to the close of business on the business day immediately preceding December 1, 2023, in multiples of</w:t>
      </w:r>
    </w:p>
    <w:p>
      <w:pPr>
        <w:spacing w:after="0" w:line="1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$1,000 principal amount, at the option of the holder under any of the following circumstances: (1) during any calendar quarter commencing after the calendar quarter ending on September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December 1, 2023 until the close of business on the second scheduled trading day immediately preceding the maturity date of June 1, 2024, holders may convert their notes at any time, regardless of the foregoing circumstances. Upon the occurrence of a fundamental change (as defined in the relevant indenture), holders may require the Company to repurchase all or a portion of their Notes due 2024 for cash at a price equal to 100% of the principal amount of the notes to be repurchased plus any accrued and unpaid interest to, but excluding, the fundamental change repurchase date.</w:t>
      </w:r>
    </w:p>
    <w:p>
      <w:pPr>
        <w:spacing w:after="0" w:line="166" w:lineRule="exact"/>
        <w:rPr>
          <w:sz w:val="20"/>
          <w:szCs w:val="20"/>
          <w:color w:val="auto"/>
        </w:rPr>
      </w:pPr>
    </w:p>
    <w:p>
      <w:pPr>
        <w:ind w:right="40" w:firstLine="388"/>
        <w:spacing w:after="0" w:line="273" w:lineRule="auto"/>
        <w:rPr>
          <w:sz w:val="20"/>
          <w:szCs w:val="20"/>
          <w:color w:val="auto"/>
        </w:rPr>
      </w:pPr>
      <w:r>
        <w:rPr>
          <w:rFonts w:ascii="Arial" w:cs="Arial" w:eastAsia="Arial" w:hAnsi="Arial"/>
          <w:sz w:val="14"/>
          <w:szCs w:val="14"/>
          <w:color w:val="auto"/>
        </w:rPr>
        <w:t>Upon conversion of any of the notes, the Company will pay or deliver, as the case may be, cash, shares of common stock or a combination of cash and common stock, at the Company’s election.</w:t>
      </w:r>
    </w:p>
    <w:p>
      <w:pPr>
        <w:spacing w:after="0" w:line="151" w:lineRule="exact"/>
        <w:rPr>
          <w:sz w:val="20"/>
          <w:szCs w:val="20"/>
          <w:color w:val="auto"/>
        </w:rPr>
      </w:pPr>
    </w:p>
    <w:p>
      <w:pPr>
        <w:ind w:firstLine="388"/>
        <w:spacing w:after="0" w:line="260" w:lineRule="auto"/>
        <w:rPr>
          <w:sz w:val="20"/>
          <w:szCs w:val="20"/>
          <w:color w:val="auto"/>
        </w:rPr>
      </w:pPr>
      <w:r>
        <w:rPr>
          <w:rFonts w:ascii="Arial" w:cs="Arial" w:eastAsia="Arial" w:hAnsi="Arial"/>
          <w:sz w:val="14"/>
          <w:szCs w:val="14"/>
          <w:color w:val="auto"/>
        </w:rPr>
        <w:t>In accounting for the issuance of the Notes due 2024, on June 5, 2019, the Company separated the Notes due 2024 into liability and equity components. The carrying amount of the liability component of approximately $95.6 million was calculated by using a discount rate of 7.75%, which was the Company’s borrowing rate on the date of the issuance of the notes for a similar debt instrument without the conversion feature. The carrying amount of the equity component of approximately $36.4 million, representing the conversion option, was determined by deducting the fair value of the liability component from the par value of the Notes due 2024. The equity component of the Notes due 2024 is included in additional paid-in capital in the condensed consolidated balance sheet and is not remeasured as long as it continues to meet the conditions for equity classification. The difference between the principal amount of the Notes due 2024 and the liability component (the “debt discount”) is amortized to interest expense using the effective interest method over the term of the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348615</wp:posOffset>
            </wp:positionV>
            <wp:extent cx="708977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15</w:t>
      </w:r>
    </w:p>
    <w:p>
      <w:pPr>
        <w:sectPr>
          <w:pgSz w:w="11900" w:h="16838" w:orient="portrait"/>
          <w:cols w:equalWidth="0" w:num="1">
            <w:col w:w="11440"/>
          </w:cols>
          <w:pgMar w:left="220" w:top="211"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388"/>
        <w:spacing w:after="0" w:line="260" w:lineRule="auto"/>
        <w:rPr>
          <w:sz w:val="20"/>
          <w:szCs w:val="20"/>
          <w:color w:val="auto"/>
        </w:rPr>
      </w:pPr>
      <w:r>
        <w:rPr>
          <w:rFonts w:ascii="Arial" w:cs="Arial" w:eastAsia="Arial" w:hAnsi="Arial"/>
          <w:sz w:val="14"/>
          <w:szCs w:val="14"/>
          <w:color w:val="auto"/>
        </w:rPr>
        <w:t>Debt issuance costs for the issuance of the Notes due 2024 were approximately $4.6 million, consisting of initial purchasers' discount and other issuance costs. In accounting for the transaction costs, the Company allocated the total amount incurred to the liability and equity components using the same proportions as the proceeds from the Notes due 2024. Transaction costs attributable to the liability component were approximately $3.3 million, were recorded as debt issuance cost (presented as contra debt in the condensed consolidated balance sheet) and are being amortized to interest expense over the term of the Notes due 2024. The transaction costs attributable to the equity component were approximately $1.3 million and were netted with the equity component in stockholders’ equity. As of June 30, 2019, the unamortized deferred issuance cost for the Notes due 2024 was $3.3 million on the condensed consolidated balance sheet.</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presents the total amount of interest cost recognized relating to the Notes due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Pr>
          <w:p>
            <w:pPr>
              <w:spacing w:after="0"/>
              <w:rPr>
                <w:sz w:val="11"/>
                <w:szCs w:val="11"/>
                <w:color w:val="auto"/>
              </w:rPr>
            </w:pPr>
          </w:p>
        </w:tc>
        <w:tc>
          <w:tcPr>
            <w:tcW w:w="1320" w:type="dxa"/>
            <w:vAlign w:val="bottom"/>
          </w:tcPr>
          <w:p>
            <w:pPr>
              <w:jc w:val="right"/>
              <w:ind w:right="198"/>
              <w:spacing w:after="0"/>
              <w:rPr>
                <w:sz w:val="20"/>
                <w:szCs w:val="20"/>
                <w:color w:val="auto"/>
              </w:rPr>
            </w:pPr>
            <w:r>
              <w:rPr>
                <w:rFonts w:ascii="Arial" w:cs="Arial" w:eastAsia="Arial" w:hAnsi="Arial"/>
                <w:sz w:val="11"/>
                <w:szCs w:val="11"/>
                <w:b w:val="1"/>
                <w:bCs w:val="1"/>
                <w:color w:val="auto"/>
              </w:rPr>
              <w:t>Six Months Ended</w:t>
            </w:r>
          </w:p>
        </w:tc>
      </w:tr>
      <w:tr>
        <w:trPr>
          <w:trHeight w:val="157"/>
        </w:trPr>
        <w:tc>
          <w:tcPr>
            <w:tcW w:w="8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June 30, 2019</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June 30, 2019</w:t>
            </w:r>
          </w:p>
        </w:tc>
      </w:tr>
      <w:tr>
        <w:trPr>
          <w:trHeight w:val="196"/>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4"/>
          </w:tcPr>
          <w:p>
            <w:pPr>
              <w:jc w:val="right"/>
              <w:ind w:right="1098"/>
              <w:spacing w:after="0"/>
              <w:rPr>
                <w:sz w:val="20"/>
                <w:szCs w:val="20"/>
                <w:color w:val="auto"/>
              </w:rPr>
            </w:pPr>
            <w:r>
              <w:rPr>
                <w:rFonts w:ascii="Arial" w:cs="Arial" w:eastAsia="Arial" w:hAnsi="Arial"/>
                <w:sz w:val="11"/>
                <w:szCs w:val="11"/>
                <w:i w:val="1"/>
                <w:iCs w:val="1"/>
                <w:color w:val="auto"/>
              </w:rPr>
              <w:t>(In thousands)</w:t>
            </w: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92</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Amortization of debt discount</w:t>
            </w:r>
          </w:p>
        </w:tc>
        <w:tc>
          <w:tcPr>
            <w:tcW w:w="140" w:type="dxa"/>
            <w:vAlign w:val="bottom"/>
          </w:tcPr>
          <w:p>
            <w:pPr>
              <w:spacing w:after="0"/>
              <w:rPr>
                <w:sz w:val="18"/>
                <w:szCs w:val="18"/>
                <w:color w:val="auto"/>
              </w:rPr>
            </w:pPr>
          </w:p>
        </w:tc>
        <w:tc>
          <w:tcPr>
            <w:tcW w:w="1360" w:type="dxa"/>
            <w:vAlign w:val="bottom"/>
          </w:tcPr>
          <w:p>
            <w:pPr>
              <w:jc w:val="right"/>
              <w:ind w:right="58"/>
              <w:spacing w:after="0"/>
              <w:rPr>
                <w:sz w:val="20"/>
                <w:szCs w:val="20"/>
                <w:color w:val="auto"/>
              </w:rPr>
            </w:pPr>
            <w:r>
              <w:rPr>
                <w:rFonts w:ascii="Arial" w:cs="Arial" w:eastAsia="Arial" w:hAnsi="Arial"/>
                <w:sz w:val="13"/>
                <w:szCs w:val="13"/>
                <w:color w:val="auto"/>
              </w:rPr>
              <w:t>416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8"/>
              <w:spacing w:after="0"/>
              <w:rPr>
                <w:sz w:val="20"/>
                <w:szCs w:val="20"/>
                <w:color w:val="auto"/>
              </w:rPr>
            </w:pPr>
            <w:r>
              <w:rPr>
                <w:rFonts w:ascii="Arial" w:cs="Arial" w:eastAsia="Arial" w:hAnsi="Arial"/>
                <w:sz w:val="13"/>
                <w:szCs w:val="13"/>
                <w:color w:val="auto"/>
              </w:rPr>
              <w:t>416</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issuance costs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45</w:t>
            </w:r>
          </w:p>
        </w:tc>
      </w:tr>
      <w:tr>
        <w:trPr>
          <w:trHeight w:val="190"/>
        </w:trPr>
        <w:tc>
          <w:tcPr>
            <w:tcW w:w="8360" w:type="dxa"/>
            <w:vAlign w:val="bottom"/>
          </w:tcPr>
          <w:p>
            <w:pPr>
              <w:ind w:left="140"/>
              <w:spacing w:after="0"/>
              <w:rPr>
                <w:sz w:val="20"/>
                <w:szCs w:val="20"/>
                <w:color w:val="auto"/>
              </w:rPr>
            </w:pPr>
            <w:r>
              <w:rPr>
                <w:rFonts w:ascii="Arial" w:cs="Arial" w:eastAsia="Arial" w:hAnsi="Arial"/>
                <w:sz w:val="13"/>
                <w:szCs w:val="13"/>
                <w:color w:val="auto"/>
              </w:rPr>
              <w:t>Total interest cost recognized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553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553</w:t>
            </w: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jc w:val="both"/>
        <w:ind w:right="20" w:firstLine="388"/>
        <w:spacing w:after="0" w:line="273" w:lineRule="auto"/>
        <w:rPr>
          <w:sz w:val="20"/>
          <w:szCs w:val="20"/>
          <w:color w:val="auto"/>
        </w:rPr>
      </w:pPr>
      <w:r>
        <w:rPr>
          <w:rFonts w:ascii="Arial" w:cs="Arial" w:eastAsia="Arial" w:hAnsi="Arial"/>
          <w:sz w:val="14"/>
          <w:szCs w:val="14"/>
          <w:color w:val="auto"/>
        </w:rPr>
        <w:t>The effective interest rate on the liability component Notes due 2024 was 7.75% for each of the three and six months ended June 30, 2019, which remain unchanged from the date of issuance. The remaining unamortized debt discount was $35.9 million as of June 30, 2019, will be amortized over approximately 4.9 years.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Note Hedge and Warrant Transactions</w:t>
      </w:r>
    </w:p>
    <w:p>
      <w:pPr>
        <w:spacing w:after="0" w:line="202" w:lineRule="exact"/>
        <w:rPr>
          <w:sz w:val="20"/>
          <w:szCs w:val="20"/>
          <w:color w:val="auto"/>
        </w:rPr>
      </w:pPr>
    </w:p>
    <w:p>
      <w:pPr>
        <w:ind w:firstLine="388"/>
        <w:spacing w:after="0" w:line="258" w:lineRule="auto"/>
        <w:rPr>
          <w:sz w:val="20"/>
          <w:szCs w:val="20"/>
          <w:color w:val="auto"/>
        </w:rPr>
      </w:pPr>
      <w:r>
        <w:rPr>
          <w:rFonts w:ascii="Arial" w:cs="Arial" w:eastAsia="Arial" w:hAnsi="Arial"/>
          <w:sz w:val="14"/>
          <w:szCs w:val="14"/>
          <w:color w:val="auto"/>
        </w:rPr>
        <w:t>In connection with the offering of the Notes due 2024, the Company entered into privately-negotiated convertible note hedge transactions pursuant to which the Company has the option to purchase a total of approximately 6.4 million shares of its common stock (subject to anti-dilution adjustments), which is the same number of shares initially issuable upon conversion of the notes, at a price of $20.5010 per share, which is the initial conversion price of the Notes due 2024. The total cost of the convertible note hedge transactions was approximately $36.3 million. The convertible note hedge transactions are expected generally to reduce potential dilution to the Company’s common stock upon any conversion of the Notes due 2024 and/or offset any cash payments the Company is required to make in excess of the principal amount of converted notes, as the case may be. As of June 30, 2019, the Company had not purchased any shares under the convertible note hedge transactions. Additionally, the Company separately entered into privately-negotiated warrant transactions (the “warrants”) whereby the Company sold warrants to acquire approximately 6.4 million shares of the Company’s common stock (subject to anti-dilution adjustments) at an initial strike price of $25.2320 per share. The Company received aggregate proceeds of approximately $29.8 million from the sale of the warrants. If the market value per share of the Company’s common stock, as measured under the warrants, exceeds the strike price of the warrants, the warrants will have a dilutive effect on the Company’s earnings per share, unless the Company elects, subject to certain conditions, to settle the warrants in cash. Taken together, the purchase of the convertible note hedges and the sale of the warrants are intended to reduce potential dilution from the conversion of the Notes due 2024 and to effectively increase the overall conversion price from $20.5010 to $25.2320 per share. As of June 30, 2019, the warrants had not been exercised and remained outstanding.</w:t>
      </w:r>
    </w:p>
    <w:p>
      <w:pPr>
        <w:spacing w:after="0" w:line="165" w:lineRule="exact"/>
        <w:rPr>
          <w:sz w:val="20"/>
          <w:szCs w:val="20"/>
          <w:color w:val="auto"/>
        </w:rPr>
      </w:pPr>
    </w:p>
    <w:p>
      <w:pPr>
        <w:ind w:right="220" w:firstLine="388"/>
        <w:spacing w:after="0" w:line="273" w:lineRule="auto"/>
        <w:rPr>
          <w:sz w:val="20"/>
          <w:szCs w:val="20"/>
          <w:color w:val="auto"/>
        </w:rPr>
      </w:pPr>
      <w:r>
        <w:rPr>
          <w:rFonts w:ascii="Arial" w:cs="Arial" w:eastAsia="Arial" w:hAnsi="Arial"/>
          <w:sz w:val="14"/>
          <w:szCs w:val="14"/>
          <w:color w:val="auto"/>
        </w:rPr>
        <w:t>Given that the transactions meet certain accounting criteria, the convertible note hedge transactions and the warrants are recorded in stockholders’ equity, and they are not accounted for as derivatives and are not remeasured each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233045</wp:posOffset>
            </wp:positionV>
            <wp:extent cx="708977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16</w:t>
      </w:r>
    </w:p>
    <w:p>
      <w:pPr>
        <w:sectPr>
          <w:pgSz w:w="11900" w:h="16838" w:orient="portrait"/>
          <w:cols w:equalWidth="0" w:num="1">
            <w:col w:w="11460"/>
          </w:cols>
          <w:pgMar w:left="220" w:top="211" w:right="21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Senior Notes due 2023</w:t>
      </w:r>
    </w:p>
    <w:p>
      <w:pPr>
        <w:spacing w:after="0" w:line="202" w:lineRule="exact"/>
        <w:rPr>
          <w:sz w:val="20"/>
          <w:szCs w:val="20"/>
          <w:color w:val="auto"/>
        </w:rPr>
      </w:pPr>
    </w:p>
    <w:p>
      <w:pPr>
        <w:ind w:right="140" w:firstLine="388"/>
        <w:spacing w:after="0" w:line="262" w:lineRule="auto"/>
        <w:rPr>
          <w:sz w:val="20"/>
          <w:szCs w:val="20"/>
          <w:color w:val="auto"/>
        </w:rPr>
      </w:pPr>
      <w:r>
        <w:rPr>
          <w:rFonts w:ascii="Arial" w:cs="Arial" w:eastAsia="Arial" w:hAnsi="Arial"/>
          <w:sz w:val="14"/>
          <w:szCs w:val="14"/>
          <w:color w:val="auto"/>
        </w:rPr>
        <w:t>In August 2018, the Company sold $65.0 million aggregate principal amount of 4.0% convertible senior notes due 2023 (the “Notes due 2023”) in a private placement. On May 30, 2019, the Company entered into separately and privately 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 As of June 30, 2019, $5.0 million aggregate principal amount of the Notes due 2023 remain outstanding.</w:t>
      </w:r>
    </w:p>
    <w:p>
      <w:pPr>
        <w:spacing w:after="0" w:line="159" w:lineRule="exact"/>
        <w:rPr>
          <w:sz w:val="20"/>
          <w:szCs w:val="20"/>
          <w:color w:val="auto"/>
        </w:rPr>
      </w:pPr>
    </w:p>
    <w:p>
      <w:pPr>
        <w:ind w:firstLine="388"/>
        <w:spacing w:after="0" w:line="258" w:lineRule="auto"/>
        <w:rPr>
          <w:sz w:val="20"/>
          <w:szCs w:val="20"/>
          <w:color w:val="auto"/>
        </w:rPr>
      </w:pPr>
      <w:r>
        <w:rPr>
          <w:rFonts w:ascii="Arial" w:cs="Arial" w:eastAsia="Arial" w:hAnsi="Arial"/>
          <w:sz w:val="14"/>
          <w:szCs w:val="14"/>
          <w:color w:val="auto"/>
        </w:rPr>
        <w:t>The remaining outstanding Notes due 2023 are general unsecured obligations and bear interest at a rate of 4.0% per year, payable semi-annually on February 1 and August 1 of each year. The Notes due 2023 are governed by an indenture between the Company and U.S. Bank National Association, as trustee. The remaining outstanding Notes due 2023 will mature on August 1, 2023, unless earlier repurchased by the Company or converted at the option of the holders. The Company may not redeem the remaining Notes due 2023 prior to the maturity date, and no sinking fund is provided for such notes. The remaining Notes due 2023 are convertible, at a holder’s election, in multiples of $1,000 principal amount, into shares of the Company’s common stock based on the applicable conversion rate. The initial conversion rate for such notes is 180.0180 shares of common stock per $1,000 principal amount of notes (which is equivalent to an initial conversion price of approximately $5.56 per share). The conversion rate and the corresponding conversion price are subject to adjustment upon the occurrence of certain events but will not be adjusted for any accrued and unpaid interest. Holders of the remaining Notes due 2023 who convert their notes in connection with a make-whole fundamental change (as defined in the applicable indenture) are, under certain circumstances, entitled to an increase in the conversion rate. Additionally, in the event of a fundamental change, holders of the remaining Notes due 2023 may require the Company to repurchase all or a portion of their notes at a price equal to 100% of the principal amount of notes, plus any accrued and unpaid interest, including any additional interest to, but excluding, the repurchase date. Holders may convert all or any portion of their Notes due 2023 at their option at any time prior to the close of business on the business day immediately preceding the maturity date, in multiples of $1,000 principal amount.</w:t>
      </w:r>
    </w:p>
    <w:p>
      <w:pPr>
        <w:spacing w:after="0" w:line="338" w:lineRule="exact"/>
        <w:rPr>
          <w:sz w:val="20"/>
          <w:szCs w:val="20"/>
          <w:color w:val="auto"/>
        </w:rPr>
      </w:pPr>
    </w:p>
    <w:p>
      <w:pPr>
        <w:ind w:right="160" w:firstLine="388"/>
        <w:spacing w:after="0" w:line="262" w:lineRule="auto"/>
        <w:rPr>
          <w:sz w:val="20"/>
          <w:szCs w:val="20"/>
          <w:color w:val="auto"/>
        </w:rPr>
      </w:pPr>
      <w:r>
        <w:rPr>
          <w:rFonts w:ascii="Arial" w:cs="Arial" w:eastAsia="Arial" w:hAnsi="Arial"/>
          <w:sz w:val="14"/>
          <w:szCs w:val="14"/>
          <w:color w:val="auto"/>
        </w:rPr>
        <w:t>During the three and six months ended June 30, 2019, the Company recognized $6.0 million inducement cost in other expense, net on the Company’s condensed consolidated statement of operations and reclassed $2.0 million of deferred issuance costs, offset by $0.8 million in accrued interest in additional paid in capital on the Company’s condensed consolidated balance sheet as of June 30, 2019 related to the exchange of $60.0 million aggregate principal amount of the Notes due 2023 consummated by the Company on June 5, 2019.</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presents the amount of interest cost recognized relating to the contractual interest coupon and the amortization of debt issuance costs of the Notes due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Pr>
          <w:p>
            <w:pPr>
              <w:spacing w:after="0"/>
              <w:rPr>
                <w:sz w:val="11"/>
                <w:szCs w:val="11"/>
                <w:color w:val="auto"/>
              </w:rPr>
            </w:pPr>
          </w:p>
        </w:tc>
        <w:tc>
          <w:tcPr>
            <w:tcW w:w="1320" w:type="dxa"/>
            <w:vAlign w:val="bottom"/>
          </w:tcPr>
          <w:p>
            <w:pPr>
              <w:jc w:val="right"/>
              <w:ind w:right="198"/>
              <w:spacing w:after="0"/>
              <w:rPr>
                <w:sz w:val="20"/>
                <w:szCs w:val="20"/>
                <w:color w:val="auto"/>
              </w:rPr>
            </w:pPr>
            <w:r>
              <w:rPr>
                <w:rFonts w:ascii="Arial" w:cs="Arial" w:eastAsia="Arial" w:hAnsi="Arial"/>
                <w:sz w:val="11"/>
                <w:szCs w:val="11"/>
                <w:b w:val="1"/>
                <w:bCs w:val="1"/>
                <w:color w:val="auto"/>
              </w:rPr>
              <w:t>Six Months Ended</w:t>
            </w:r>
          </w:p>
        </w:tc>
      </w:tr>
      <w:tr>
        <w:trPr>
          <w:trHeight w:val="157"/>
        </w:trPr>
        <w:tc>
          <w:tcPr>
            <w:tcW w:w="8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June 30, 2019</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June 30, 2019</w:t>
            </w:r>
          </w:p>
        </w:tc>
      </w:tr>
      <w:tr>
        <w:trPr>
          <w:trHeight w:val="196"/>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4"/>
          </w:tcPr>
          <w:p>
            <w:pPr>
              <w:jc w:val="right"/>
              <w:ind w:right="1098"/>
              <w:spacing w:after="0"/>
              <w:rPr>
                <w:sz w:val="20"/>
                <w:szCs w:val="20"/>
                <w:color w:val="auto"/>
              </w:rPr>
            </w:pPr>
            <w:r>
              <w:rPr>
                <w:rFonts w:ascii="Arial" w:cs="Arial" w:eastAsia="Arial" w:hAnsi="Arial"/>
                <w:sz w:val="11"/>
                <w:szCs w:val="11"/>
                <w:i w:val="1"/>
                <w:iCs w:val="1"/>
                <w:color w:val="auto"/>
              </w:rPr>
              <w:t>(In thousands)</w:t>
            </w: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1,133</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debt issuance costs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225</w:t>
            </w:r>
          </w:p>
        </w:tc>
      </w:tr>
      <w:tr>
        <w:trPr>
          <w:trHeight w:val="19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interest costs recognized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579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1,358</w:t>
            </w: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 Loan</w:t>
      </w:r>
    </w:p>
    <w:p>
      <w:pPr>
        <w:spacing w:after="0" w:line="202" w:lineRule="exact"/>
        <w:rPr>
          <w:sz w:val="20"/>
          <w:szCs w:val="20"/>
          <w:color w:val="auto"/>
        </w:rPr>
      </w:pPr>
    </w:p>
    <w:p>
      <w:pPr>
        <w:ind w:right="60" w:firstLine="388"/>
        <w:spacing w:after="0" w:line="262" w:lineRule="auto"/>
        <w:rPr>
          <w:sz w:val="20"/>
          <w:szCs w:val="20"/>
          <w:color w:val="auto"/>
        </w:rPr>
      </w:pPr>
      <w:r>
        <w:rPr>
          <w:rFonts w:ascii="Arial" w:cs="Arial" w:eastAsia="Arial" w:hAnsi="Arial"/>
          <w:sz w:val="14"/>
          <w:szCs w:val="14"/>
          <w:color w:val="auto"/>
        </w:rPr>
        <w:t>In July 2016, the Company entered into a Loan and Security Agreement (the “Original Term Loan Agreement”) with lenders that are affiliates of Tennenbaum Capital Partners, LLC. In February 2017, the Company entered into an Amended and Restated Loan and Security Agreement (the “Loan Agreement”) that amended and restated the Original Term Loan Agreement. The Loan Agreement provided for a $25.0 million secured term loan to the Company (the “New Term Loan”), which is in addition to the $25.0 million secured term loan borrowed by the Company under the Original Term Loan Agreement (together with the “New Term Loan” the “Term Loans”).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On January 28, 2019, the Company repaid in full the remaining principal amount of the Term Loans of approximately $39.5 million plus accrued interest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17</w:t>
      </w:r>
    </w:p>
    <w:p>
      <w:pPr>
        <w:sectPr>
          <w:pgSz w:w="11900" w:h="16838" w:orient="portrait"/>
          <w:cols w:equalWidth="0" w:num="1">
            <w:col w:w="11460"/>
          </w:cols>
          <w:pgMar w:left="220" w:top="211" w:right="21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hanging="394"/>
        <w:spacing w:after="0"/>
        <w:tabs>
          <w:tab w:leader="none" w:pos="40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CONTINGENT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Leases</w:t>
      </w:r>
    </w:p>
    <w:p>
      <w:pPr>
        <w:spacing w:after="0" w:line="202" w:lineRule="exact"/>
        <w:rPr>
          <w:sz w:val="20"/>
          <w:szCs w:val="20"/>
          <w:color w:val="auto"/>
        </w:rPr>
      </w:pPr>
    </w:p>
    <w:p>
      <w:pPr>
        <w:ind w:right="440" w:firstLine="388"/>
        <w:spacing w:after="0" w:line="273" w:lineRule="auto"/>
        <w:rPr>
          <w:sz w:val="20"/>
          <w:szCs w:val="20"/>
          <w:color w:val="auto"/>
        </w:rPr>
      </w:pPr>
      <w:r>
        <w:rPr>
          <w:rFonts w:ascii="Arial" w:cs="Arial" w:eastAsia="Arial" w:hAnsi="Arial"/>
          <w:sz w:val="14"/>
          <w:szCs w:val="14"/>
          <w:color w:val="auto"/>
        </w:rPr>
        <w:t>The Company leases office facilities under noncancelable operating leases that expire on various dates through 2028, some of which may include options to extend the leases for up to 12 years.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components of lease expense are presented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121"/>
              <w:spacing w:after="0"/>
              <w:rPr>
                <w:sz w:val="20"/>
                <w:szCs w:val="20"/>
                <w:color w:val="auto"/>
              </w:rPr>
            </w:pPr>
            <w:r>
              <w:rPr>
                <w:rFonts w:ascii="Arial" w:cs="Arial" w:eastAsia="Arial" w:hAnsi="Arial"/>
                <w:sz w:val="11"/>
                <w:szCs w:val="11"/>
                <w:b w:val="1"/>
                <w:bCs w:val="1"/>
                <w:color w:val="auto"/>
              </w:rPr>
              <w:t>Three Months Ended</w:t>
            </w:r>
          </w:p>
        </w:tc>
        <w:tc>
          <w:tcPr>
            <w:tcW w:w="260" w:type="dxa"/>
            <w:vAlign w:val="bottom"/>
          </w:tcPr>
          <w:p>
            <w:pPr>
              <w:spacing w:after="0"/>
              <w:rPr>
                <w:sz w:val="11"/>
                <w:szCs w:val="11"/>
                <w:color w:val="auto"/>
              </w:rPr>
            </w:pPr>
          </w:p>
        </w:tc>
        <w:tc>
          <w:tcPr>
            <w:tcW w:w="1320" w:type="dxa"/>
            <w:vAlign w:val="bottom"/>
          </w:tcPr>
          <w:p>
            <w:pPr>
              <w:jc w:val="center"/>
              <w:ind w:right="120"/>
              <w:spacing w:after="0"/>
              <w:rPr>
                <w:sz w:val="20"/>
                <w:szCs w:val="20"/>
                <w:color w:val="auto"/>
              </w:rPr>
            </w:pPr>
            <w:r>
              <w:rPr>
                <w:rFonts w:ascii="Arial" w:cs="Arial" w:eastAsia="Arial" w:hAnsi="Arial"/>
                <w:sz w:val="11"/>
                <w:szCs w:val="11"/>
                <w:b w:val="1"/>
                <w:bCs w:val="1"/>
                <w:color w:val="auto"/>
              </w:rPr>
              <w:t>Six Months Ended</w:t>
            </w:r>
          </w:p>
        </w:tc>
      </w:tr>
      <w:tr>
        <w:trPr>
          <w:trHeight w:val="157"/>
        </w:trPr>
        <w:tc>
          <w:tcPr>
            <w:tcW w:w="8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rPr>
              <w:t>June 30, 2019</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80"/>
              <w:spacing w:after="0"/>
              <w:rPr>
                <w:sz w:val="20"/>
                <w:szCs w:val="20"/>
                <w:color w:val="auto"/>
              </w:rPr>
            </w:pPr>
            <w:r>
              <w:rPr>
                <w:rFonts w:ascii="Arial" w:cs="Arial" w:eastAsia="Arial" w:hAnsi="Arial"/>
                <w:sz w:val="11"/>
                <w:szCs w:val="11"/>
                <w:b w:val="1"/>
                <w:bCs w:val="1"/>
                <w:color w:val="auto"/>
              </w:rPr>
              <w:t>June 30, 2019</w:t>
            </w:r>
          </w:p>
        </w:tc>
      </w:tr>
      <w:tr>
        <w:trPr>
          <w:trHeight w:val="159"/>
        </w:trPr>
        <w:tc>
          <w:tcPr>
            <w:tcW w:w="8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3"/>
          </w:tcPr>
          <w:p>
            <w:pPr>
              <w:jc w:val="right"/>
              <w:ind w:right="1100"/>
              <w:spacing w:after="0"/>
              <w:rPr>
                <w:sz w:val="20"/>
                <w:szCs w:val="20"/>
                <w:color w:val="auto"/>
              </w:rPr>
            </w:pPr>
            <w:r>
              <w:rPr>
                <w:rFonts w:ascii="Arial" w:cs="Arial" w:eastAsia="Arial" w:hAnsi="Arial"/>
                <w:sz w:val="11"/>
                <w:szCs w:val="11"/>
                <w:i w:val="1"/>
                <w:iCs w:val="1"/>
                <w:color w:val="auto"/>
              </w:rPr>
              <w:t>(In thousands)</w:t>
            </w:r>
          </w:p>
        </w:tc>
      </w:tr>
      <w:tr>
        <w:trPr>
          <w:trHeight w:val="41"/>
        </w:trPr>
        <w:tc>
          <w:tcPr>
            <w:tcW w:w="8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costs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564</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1,063</w:t>
            </w:r>
          </w:p>
        </w:tc>
      </w:tr>
    </w:tbl>
    <w:p>
      <w:pPr>
        <w:spacing w:after="0" w:line="172" w:lineRule="exact"/>
        <w:rPr>
          <w:sz w:val="20"/>
          <w:szCs w:val="20"/>
          <w:color w:val="auto"/>
        </w:rPr>
      </w:pPr>
    </w:p>
    <w:p>
      <w:pPr>
        <w:sectPr>
          <w:pgSz w:w="11900" w:h="16838" w:orient="portrait"/>
          <w:cols w:equalWidth="0" w:num="1">
            <w:col w:w="11460"/>
          </w:cols>
          <w:pgMar w:left="220" w:top="211" w:right="219" w:bottom="1440" w:gutter="0" w:footer="0" w:header="0"/>
        </w:sectPr>
      </w:pPr>
    </w:p>
    <w:p>
      <w:pPr>
        <w:ind w:left="400"/>
        <w:spacing w:after="0"/>
        <w:rPr>
          <w:sz w:val="20"/>
          <w:szCs w:val="20"/>
          <w:color w:val="auto"/>
        </w:rPr>
      </w:pPr>
      <w:r>
        <w:rPr>
          <w:rFonts w:ascii="Arial" w:cs="Arial" w:eastAsia="Arial" w:hAnsi="Arial"/>
          <w:sz w:val="14"/>
          <w:szCs w:val="14"/>
          <w:color w:val="auto"/>
        </w:rPr>
        <w:t>The components of lease liabilities are presented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404495</wp:posOffset>
            </wp:positionV>
            <wp:extent cx="7274560" cy="123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Operating lease liabilities, current (Accrued liabilities)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Operating lease liabilities, noncurrent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2745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314960</wp:posOffset>
            </wp:positionV>
            <wp:extent cx="72745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Supplemental lease information:</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274560" cy="123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Weighted average discount rate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484"/>
        <w:spacing w:after="0"/>
        <w:rPr>
          <w:sz w:val="20"/>
          <w:szCs w:val="20"/>
          <w:color w:val="auto"/>
        </w:rPr>
      </w:pPr>
      <w:r>
        <w:rPr>
          <w:rFonts w:ascii="Arial" w:cs="Arial" w:eastAsia="Arial" w:hAnsi="Arial"/>
          <w:sz w:val="11"/>
          <w:szCs w:val="11"/>
          <w:b w:val="1"/>
          <w:bCs w:val="1"/>
          <w:color w:val="auto"/>
        </w:rPr>
        <w:t>June 30,</w:t>
      </w:r>
    </w:p>
    <w:p>
      <w:pPr>
        <w:spacing w:after="0" w:line="17" w:lineRule="exact"/>
        <w:rPr>
          <w:sz w:val="20"/>
          <w:szCs w:val="20"/>
          <w:color w:val="auto"/>
        </w:rPr>
      </w:pPr>
    </w:p>
    <w:p>
      <w:pPr>
        <w:ind w:left="604"/>
        <w:spacing w:after="0"/>
        <w:rPr>
          <w:sz w:val="20"/>
          <w:szCs w:val="20"/>
          <w:color w:val="auto"/>
        </w:rPr>
      </w:pP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94424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4245" cy="6985"/>
                    </a:xfrm>
                    <a:prstGeom prst="rect">
                      <a:avLst/>
                    </a:prstGeom>
                    <a:noFill/>
                  </pic:spPr>
                </pic:pic>
              </a:graphicData>
            </a:graphic>
          </wp:anchor>
        </w:drawing>
      </w:r>
    </w:p>
    <w:p>
      <w:pPr>
        <w:spacing w:after="0" w:line="25" w:lineRule="exact"/>
        <w:rPr>
          <w:sz w:val="20"/>
          <w:szCs w:val="20"/>
          <w:color w:val="auto"/>
        </w:rPr>
      </w:pPr>
    </w:p>
    <w:p>
      <w:pPr>
        <w:ind w:left="364"/>
        <w:spacing w:after="0"/>
        <w:rPr>
          <w:sz w:val="20"/>
          <w:szCs w:val="20"/>
          <w:color w:val="auto"/>
        </w:rPr>
      </w:pPr>
      <w:r>
        <w:rPr>
          <w:rFonts w:ascii="Arial" w:cs="Arial" w:eastAsia="Arial" w:hAnsi="Arial"/>
          <w:sz w:val="11"/>
          <w:szCs w:val="11"/>
          <w:i w:val="1"/>
          <w:iCs w:val="1"/>
          <w:color w:val="auto"/>
        </w:rPr>
        <w:t>(In thousands)</w:t>
      </w:r>
    </w:p>
    <w:p>
      <w:pPr>
        <w:spacing w:after="0" w:line="88" w:lineRule="exact"/>
        <w:rPr>
          <w:sz w:val="20"/>
          <w:szCs w:val="20"/>
          <w:color w:val="auto"/>
        </w:rPr>
      </w:pPr>
    </w:p>
    <w:p>
      <w:pPr>
        <w:ind w:left="1044" w:hanging="1044"/>
        <w:spacing w:after="0"/>
        <w:tabs>
          <w:tab w:leader="none" w:pos="1044" w:val="left"/>
        </w:tabs>
        <w:numPr>
          <w:ilvl w:val="0"/>
          <w:numId w:val="16"/>
        </w:numPr>
        <w:rPr>
          <w:rFonts w:ascii="Arial" w:cs="Arial" w:eastAsia="Arial" w:hAnsi="Arial"/>
          <w:sz w:val="12"/>
          <w:szCs w:val="12"/>
          <w:color w:val="auto"/>
        </w:rPr>
      </w:pPr>
      <w:r>
        <w:rPr>
          <w:rFonts w:ascii="Arial" w:cs="Arial" w:eastAsia="Arial" w:hAnsi="Arial"/>
          <w:sz w:val="12"/>
          <w:szCs w:val="12"/>
          <w:color w:val="auto"/>
        </w:rPr>
        <w:t>3,007</w:t>
      </w:r>
    </w:p>
    <w:p>
      <w:pPr>
        <w:spacing w:after="0" w:line="55" w:lineRule="exact"/>
        <w:rPr>
          <w:rFonts w:ascii="Arial" w:cs="Arial" w:eastAsia="Arial" w:hAnsi="Arial"/>
          <w:sz w:val="12"/>
          <w:szCs w:val="12"/>
          <w:color w:val="auto"/>
        </w:rPr>
      </w:pPr>
    </w:p>
    <w:p>
      <w:pPr>
        <w:ind w:left="964"/>
        <w:spacing w:after="0"/>
        <w:rPr>
          <w:rFonts w:ascii="Arial" w:cs="Arial" w:eastAsia="Arial" w:hAnsi="Arial"/>
          <w:sz w:val="12"/>
          <w:szCs w:val="12"/>
          <w:color w:val="auto"/>
        </w:rPr>
      </w:pPr>
      <w:r>
        <w:rPr>
          <w:rFonts w:ascii="Arial" w:cs="Arial" w:eastAsia="Arial" w:hAnsi="Arial"/>
          <w:sz w:val="13"/>
          <w:szCs w:val="13"/>
          <w:color w:val="auto"/>
        </w:rPr>
        <w:t>11,305</w:t>
      </w:r>
    </w:p>
    <w:p>
      <w:pPr>
        <w:spacing w:after="0" w:line="55" w:lineRule="exact"/>
        <w:rPr>
          <w:sz w:val="20"/>
          <w:szCs w:val="20"/>
          <w:color w:val="auto"/>
        </w:rPr>
      </w:pPr>
    </w:p>
    <w:p>
      <w:pPr>
        <w:ind w:left="964" w:hanging="964"/>
        <w:spacing w:after="0"/>
        <w:tabs>
          <w:tab w:leader="none" w:pos="964" w:val="left"/>
        </w:tabs>
        <w:numPr>
          <w:ilvl w:val="0"/>
          <w:numId w:val="17"/>
        </w:numPr>
        <w:rPr>
          <w:rFonts w:ascii="Arial" w:cs="Arial" w:eastAsia="Arial" w:hAnsi="Arial"/>
          <w:sz w:val="13"/>
          <w:szCs w:val="13"/>
          <w:color w:val="auto"/>
        </w:rPr>
      </w:pPr>
      <w:r>
        <w:rPr>
          <w:rFonts w:ascii="Arial" w:cs="Arial" w:eastAsia="Arial" w:hAnsi="Arial"/>
          <w:sz w:val="13"/>
          <w:szCs w:val="13"/>
          <w:color w:val="auto"/>
        </w:rPr>
        <w:t>14,312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94424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42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4"/>
        <w:spacing w:after="0"/>
        <w:rPr>
          <w:sz w:val="20"/>
          <w:szCs w:val="20"/>
          <w:color w:val="auto"/>
        </w:rPr>
      </w:pPr>
      <w:r>
        <w:rPr>
          <w:rFonts w:ascii="Arial" w:cs="Arial" w:eastAsia="Arial" w:hAnsi="Arial"/>
          <w:sz w:val="13"/>
          <w:szCs w:val="13"/>
          <w:color w:val="auto"/>
        </w:rPr>
        <w:t>5.9 years</w:t>
      </w:r>
    </w:p>
    <w:p>
      <w:pPr>
        <w:spacing w:after="0" w:line="44" w:lineRule="exact"/>
        <w:rPr>
          <w:sz w:val="20"/>
          <w:szCs w:val="20"/>
          <w:color w:val="auto"/>
        </w:rPr>
      </w:pPr>
    </w:p>
    <w:p>
      <w:pPr>
        <w:ind w:left="624"/>
        <w:spacing w:after="0"/>
        <w:rPr>
          <w:sz w:val="20"/>
          <w:szCs w:val="20"/>
          <w:color w:val="auto"/>
        </w:rPr>
      </w:pPr>
      <w:r>
        <w:rPr>
          <w:rFonts w:ascii="Arial" w:cs="Arial" w:eastAsia="Arial" w:hAnsi="Arial"/>
          <w:sz w:val="13"/>
          <w:szCs w:val="13"/>
          <w:color w:val="auto"/>
        </w:rPr>
        <w:t>8.6%</w:t>
      </w:r>
    </w:p>
    <w:p>
      <w:pPr>
        <w:spacing w:after="0" w:line="107" w:lineRule="exact"/>
        <w:rPr>
          <w:sz w:val="20"/>
          <w:szCs w:val="20"/>
          <w:color w:val="auto"/>
        </w:rPr>
      </w:pPr>
    </w:p>
    <w:p>
      <w:pPr>
        <w:sectPr>
          <w:pgSz w:w="11900" w:h="16838" w:orient="portrait"/>
          <w:cols w:equalWidth="0" w:num="2">
            <w:col w:w="9276" w:space="720"/>
            <w:col w:w="1464"/>
          </w:cols>
          <w:pgMar w:left="220" w:top="211" w:right="21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Supplemental cash flow and other information related to operating leases,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right"/>
              <w:ind w:right="160"/>
              <w:spacing w:after="0"/>
              <w:rPr>
                <w:sz w:val="20"/>
                <w:szCs w:val="20"/>
                <w:color w:val="auto"/>
              </w:rPr>
            </w:pPr>
            <w:r>
              <w:rPr>
                <w:rFonts w:ascii="Arial" w:cs="Arial" w:eastAsia="Arial" w:hAnsi="Arial"/>
                <w:sz w:val="11"/>
                <w:szCs w:val="11"/>
                <w:b w:val="1"/>
                <w:bCs w:val="1"/>
                <w:color w:val="auto"/>
              </w:rPr>
              <w:t>Three Months Ended</w:t>
            </w:r>
          </w:p>
        </w:tc>
        <w:tc>
          <w:tcPr>
            <w:tcW w:w="260" w:type="dxa"/>
            <w:vAlign w:val="bottom"/>
          </w:tcPr>
          <w:p>
            <w:pPr>
              <w:spacing w:after="0"/>
              <w:rPr>
                <w:sz w:val="11"/>
                <w:szCs w:val="11"/>
                <w:color w:val="auto"/>
              </w:rPr>
            </w:pPr>
          </w:p>
        </w:tc>
        <w:tc>
          <w:tcPr>
            <w:tcW w:w="1320" w:type="dxa"/>
            <w:vAlign w:val="bottom"/>
          </w:tcPr>
          <w:p>
            <w:pPr>
              <w:jc w:val="right"/>
              <w:ind w:right="199"/>
              <w:spacing w:after="0"/>
              <w:rPr>
                <w:sz w:val="20"/>
                <w:szCs w:val="20"/>
                <w:color w:val="auto"/>
              </w:rPr>
            </w:pPr>
            <w:r>
              <w:rPr>
                <w:rFonts w:ascii="Arial" w:cs="Arial" w:eastAsia="Arial" w:hAnsi="Arial"/>
                <w:sz w:val="11"/>
                <w:szCs w:val="11"/>
                <w:b w:val="1"/>
                <w:bCs w:val="1"/>
                <w:color w:val="auto"/>
              </w:rPr>
              <w:t>Six Months Ended</w:t>
            </w:r>
          </w:p>
        </w:tc>
      </w:tr>
      <w:tr>
        <w:trPr>
          <w:trHeight w:val="157"/>
        </w:trPr>
        <w:tc>
          <w:tcPr>
            <w:tcW w:w="8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June 30, 2019</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June 30, 2019</w:t>
            </w:r>
          </w:p>
        </w:tc>
      </w:tr>
      <w:tr>
        <w:trPr>
          <w:trHeight w:val="159"/>
        </w:trPr>
        <w:tc>
          <w:tcPr>
            <w:tcW w:w="8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3"/>
          </w:tcPr>
          <w:p>
            <w:pPr>
              <w:jc w:val="right"/>
              <w:ind w:right="1099"/>
              <w:spacing w:after="0"/>
              <w:rPr>
                <w:sz w:val="20"/>
                <w:szCs w:val="20"/>
                <w:color w:val="auto"/>
              </w:rPr>
            </w:pPr>
            <w:r>
              <w:rPr>
                <w:rFonts w:ascii="Arial" w:cs="Arial" w:eastAsia="Arial" w:hAnsi="Arial"/>
                <w:sz w:val="11"/>
                <w:szCs w:val="11"/>
                <w:i w:val="1"/>
                <w:iCs w:val="1"/>
                <w:color w:val="auto"/>
              </w:rPr>
              <w:t>(In thousands)</w:t>
            </w:r>
          </w:p>
        </w:tc>
      </w:tr>
      <w:tr>
        <w:trPr>
          <w:trHeight w:val="41"/>
        </w:trPr>
        <w:tc>
          <w:tcPr>
            <w:tcW w:w="8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78"/>
        </w:trPr>
        <w:tc>
          <w:tcPr>
            <w:tcW w:w="8360" w:type="dxa"/>
            <w:vAlign w:val="bottom"/>
          </w:tcPr>
          <w:p>
            <w:pPr>
              <w:ind w:left="140"/>
              <w:spacing w:after="0"/>
              <w:rPr>
                <w:sz w:val="20"/>
                <w:szCs w:val="20"/>
                <w:color w:val="auto"/>
              </w:rPr>
            </w:pPr>
            <w:r>
              <w:rPr>
                <w:rFonts w:ascii="Arial" w:cs="Arial" w:eastAsia="Arial" w:hAnsi="Arial"/>
                <w:sz w:val="13"/>
                <w:szCs w:val="13"/>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80"/>
              <w:spacing w:after="0"/>
              <w:rPr>
                <w:sz w:val="20"/>
                <w:szCs w:val="20"/>
                <w:color w:val="auto"/>
              </w:rPr>
            </w:pPr>
            <w:r>
              <w:rPr>
                <w:rFonts w:ascii="Arial" w:cs="Arial" w:eastAsia="Arial" w:hAnsi="Arial"/>
                <w:sz w:val="13"/>
                <w:szCs w:val="13"/>
                <w:color w:val="auto"/>
              </w:rPr>
              <w:t>857</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9"/>
              <w:spacing w:after="0"/>
              <w:rPr>
                <w:sz w:val="20"/>
                <w:szCs w:val="20"/>
                <w:color w:val="auto"/>
              </w:rPr>
            </w:pPr>
            <w:r>
              <w:rPr>
                <w:rFonts w:ascii="Arial" w:cs="Arial" w:eastAsia="Arial" w:hAnsi="Arial"/>
                <w:sz w:val="13"/>
                <w:szCs w:val="13"/>
                <w:color w:val="auto"/>
              </w:rPr>
              <w:t>1,594</w:t>
            </w:r>
          </w:p>
        </w:tc>
      </w:tr>
      <w:tr>
        <w:trPr>
          <w:trHeight w:val="37"/>
        </w:trPr>
        <w:tc>
          <w:tcPr>
            <w:tcW w:w="8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9"/>
        </w:trPr>
        <w:tc>
          <w:tcPr>
            <w:tcW w:w="8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178"/>
        </w:trPr>
        <w:tc>
          <w:tcPr>
            <w:tcW w:w="8360" w:type="dxa"/>
            <w:vAlign w:val="bottom"/>
          </w:tcPr>
          <w:p>
            <w:pPr>
              <w:ind w:left="20"/>
              <w:spacing w:after="0"/>
              <w:rPr>
                <w:sz w:val="20"/>
                <w:szCs w:val="20"/>
                <w:color w:val="auto"/>
              </w:rPr>
            </w:pPr>
            <w:r>
              <w:rPr>
                <w:rFonts w:ascii="Arial" w:cs="Arial" w:eastAsia="Arial" w:hAnsi="Arial"/>
                <w:sz w:val="13"/>
                <w:szCs w:val="13"/>
                <w:color w:val="auto"/>
              </w:rPr>
              <w:t>Non-cash investing activities: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7"/>
        </w:trPr>
        <w:tc>
          <w:tcPr>
            <w:tcW w:w="8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6"/>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Lease liabilities arising from obtaining right-of-use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4,834</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4,834</w:t>
            </w:r>
          </w:p>
        </w:tc>
      </w:tr>
    </w:tbl>
    <w:p>
      <w:pPr>
        <w:spacing w:after="0" w:line="34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Undiscounted cash flows of operating lease liabilities as of June 30, 2019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9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Lease Amounts</w:t>
            </w:r>
          </w:p>
        </w:tc>
      </w:tr>
      <w:tr>
        <w:trPr>
          <w:trHeight w:val="159"/>
        </w:trPr>
        <w:tc>
          <w:tcPr>
            <w:tcW w:w="9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317"/>
              <w:spacing w:after="0"/>
              <w:rPr>
                <w:sz w:val="20"/>
                <w:szCs w:val="20"/>
                <w:color w:val="auto"/>
              </w:rPr>
            </w:pPr>
            <w:r>
              <w:rPr>
                <w:rFonts w:ascii="Arial" w:cs="Arial" w:eastAsia="Arial" w:hAnsi="Arial"/>
                <w:sz w:val="11"/>
                <w:szCs w:val="11"/>
                <w:i w:val="1"/>
                <w:iCs w:val="1"/>
                <w:color w:val="auto"/>
              </w:rPr>
              <w:t>(In thousands)</w:t>
            </w:r>
          </w:p>
        </w:tc>
      </w:tr>
      <w:tr>
        <w:trPr>
          <w:trHeight w:val="41"/>
        </w:trPr>
        <w:tc>
          <w:tcPr>
            <w:tcW w:w="9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2019 (remaining six months)</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2,060</w:t>
            </w:r>
          </w:p>
        </w:tc>
      </w:tr>
      <w:tr>
        <w:trPr>
          <w:trHeight w:val="202"/>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4,193</w:t>
            </w: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2021</w:t>
            </w:r>
          </w:p>
        </w:tc>
        <w:tc>
          <w:tcPr>
            <w:tcW w:w="2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4,274</w:t>
            </w:r>
          </w:p>
        </w:tc>
      </w:tr>
      <w:tr>
        <w:trPr>
          <w:trHeight w:val="202"/>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2022</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2,966</w:t>
            </w: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2023</w:t>
            </w:r>
          </w:p>
        </w:tc>
        <w:tc>
          <w:tcPr>
            <w:tcW w:w="2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2,231</w:t>
            </w:r>
          </w:p>
        </w:tc>
      </w:tr>
      <w:tr>
        <w:trPr>
          <w:trHeight w:val="194"/>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2024 and thereafter</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1,675</w:t>
            </w:r>
          </w:p>
        </w:tc>
      </w:tr>
      <w:tr>
        <w:trPr>
          <w:trHeight w:val="185"/>
        </w:trPr>
        <w:tc>
          <w:tcPr>
            <w:tcW w:w="9980" w:type="dxa"/>
            <w:vAlign w:val="bottom"/>
          </w:tcPr>
          <w:p>
            <w:pPr>
              <w:ind w:left="220"/>
              <w:spacing w:after="0"/>
              <w:rPr>
                <w:sz w:val="20"/>
                <w:szCs w:val="20"/>
                <w:color w:val="auto"/>
              </w:rPr>
            </w:pPr>
            <w:r>
              <w:rPr>
                <w:rFonts w:ascii="Arial" w:cs="Arial" w:eastAsia="Arial" w:hAnsi="Arial"/>
                <w:sz w:val="13"/>
                <w:szCs w:val="13"/>
                <w:color w:val="auto"/>
              </w:rPr>
              <w:t>Total lease payments</w:t>
            </w:r>
          </w:p>
        </w:tc>
        <w:tc>
          <w:tcPr>
            <w:tcW w:w="2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17,399</w:t>
            </w:r>
          </w:p>
        </w:tc>
      </w:tr>
      <w:tr>
        <w:trPr>
          <w:trHeight w:val="194"/>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imputed lease interest</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(3,087)</w:t>
            </w:r>
          </w:p>
        </w:tc>
      </w:tr>
      <w:tr>
        <w:trPr>
          <w:trHeight w:val="190"/>
        </w:trPr>
        <w:tc>
          <w:tcPr>
            <w:tcW w:w="9980" w:type="dxa"/>
            <w:vAlign w:val="bottom"/>
          </w:tcPr>
          <w:p>
            <w:pPr>
              <w:ind w:left="220"/>
              <w:spacing w:after="0"/>
              <w:rPr>
                <w:sz w:val="20"/>
                <w:szCs w:val="20"/>
                <w:color w:val="auto"/>
              </w:rPr>
            </w:pPr>
            <w:r>
              <w:rPr>
                <w:rFonts w:ascii="Arial" w:cs="Arial" w:eastAsia="Arial" w:hAnsi="Arial"/>
                <w:sz w:val="13"/>
                <w:szCs w:val="13"/>
                <w:color w:val="auto"/>
              </w:rPr>
              <w:t>Total lease liabilities</w:t>
            </w:r>
          </w:p>
        </w:tc>
        <w:tc>
          <w:tcPr>
            <w:tcW w:w="2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14,312</w:t>
            </w:r>
          </w:p>
        </w:tc>
      </w:tr>
      <w:tr>
        <w:trPr>
          <w:trHeight w:val="20"/>
        </w:trPr>
        <w:tc>
          <w:tcPr>
            <w:tcW w:w="9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18</w:t>
      </w:r>
    </w:p>
    <w:p>
      <w:pPr>
        <w:sectPr>
          <w:pgSz w:w="11900" w:h="16838" w:orient="portrait"/>
          <w:cols w:equalWidth="0" w:num="1">
            <w:col w:w="11460"/>
          </w:cols>
          <w:pgMar w:left="220" w:top="211" w:right="2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firstLine="388"/>
        <w:spacing w:after="0" w:line="273" w:lineRule="auto"/>
        <w:rPr>
          <w:sz w:val="20"/>
          <w:szCs w:val="20"/>
          <w:color w:val="auto"/>
        </w:rPr>
      </w:pPr>
      <w:r>
        <w:rPr>
          <w:rFonts w:ascii="Arial" w:cs="Arial" w:eastAsia="Arial" w:hAnsi="Arial"/>
          <w:sz w:val="14"/>
          <w:szCs w:val="14"/>
          <w:color w:val="auto"/>
        </w:rPr>
        <w:t>As previously disclosed in the Company’s Form 10-K and under the previous lease accounting standard ASC 840, “Leases,” the aggregate future minimum lease payments under the Company’s noncancelable operating leases, as of December 31, 2018,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9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Lease Amounts</w:t>
            </w:r>
          </w:p>
        </w:tc>
      </w:tr>
      <w:tr>
        <w:trPr>
          <w:trHeight w:val="159"/>
        </w:trPr>
        <w:tc>
          <w:tcPr>
            <w:tcW w:w="9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317"/>
              <w:spacing w:after="0"/>
              <w:rPr>
                <w:sz w:val="20"/>
                <w:szCs w:val="20"/>
                <w:color w:val="auto"/>
              </w:rPr>
            </w:pPr>
            <w:r>
              <w:rPr>
                <w:rFonts w:ascii="Arial" w:cs="Arial" w:eastAsia="Arial" w:hAnsi="Arial"/>
                <w:sz w:val="11"/>
                <w:szCs w:val="11"/>
                <w:i w:val="1"/>
                <w:iCs w:val="1"/>
                <w:color w:val="auto"/>
              </w:rPr>
              <w:t>(In thousands)</w:t>
            </w:r>
          </w:p>
        </w:tc>
      </w:tr>
      <w:tr>
        <w:trPr>
          <w:trHeight w:val="41"/>
        </w:trPr>
        <w:tc>
          <w:tcPr>
            <w:tcW w:w="9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2019</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3,738</w:t>
            </w:r>
          </w:p>
        </w:tc>
      </w:tr>
      <w:tr>
        <w:trPr>
          <w:trHeight w:val="202"/>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3,532</w:t>
            </w: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2021</w:t>
            </w:r>
          </w:p>
        </w:tc>
        <w:tc>
          <w:tcPr>
            <w:tcW w:w="2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3,276</w:t>
            </w:r>
          </w:p>
        </w:tc>
      </w:tr>
      <w:tr>
        <w:trPr>
          <w:trHeight w:val="202"/>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2022</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1,810</w:t>
            </w: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2023</w:t>
            </w:r>
          </w:p>
        </w:tc>
        <w:tc>
          <w:tcPr>
            <w:tcW w:w="2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945</w:t>
            </w:r>
          </w:p>
        </w:tc>
      </w:tr>
      <w:tr>
        <w:trPr>
          <w:trHeight w:val="194"/>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Thereafter</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1,252</w:t>
            </w:r>
          </w:p>
        </w:tc>
      </w:tr>
      <w:tr>
        <w:trPr>
          <w:trHeight w:val="185"/>
        </w:trPr>
        <w:tc>
          <w:tcPr>
            <w:tcW w:w="998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14,553</w:t>
            </w:r>
          </w:p>
        </w:tc>
      </w:tr>
      <w:tr>
        <w:trPr>
          <w:trHeight w:val="194"/>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Sublease income to be recognized in the future under noncancelable subleases</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w:t>
            </w:r>
          </w:p>
        </w:tc>
      </w:tr>
      <w:tr>
        <w:trPr>
          <w:trHeight w:val="190"/>
        </w:trPr>
        <w:tc>
          <w:tcPr>
            <w:tcW w:w="9980" w:type="dxa"/>
            <w:vAlign w:val="bottom"/>
          </w:tcPr>
          <w:p>
            <w:pPr>
              <w:ind w:left="20"/>
              <w:spacing w:after="0"/>
              <w:rPr>
                <w:sz w:val="20"/>
                <w:szCs w:val="20"/>
                <w:color w:val="auto"/>
              </w:rPr>
            </w:pPr>
            <w:r>
              <w:rPr>
                <w:rFonts w:ascii="Arial" w:cs="Arial" w:eastAsia="Arial" w:hAnsi="Arial"/>
                <w:sz w:val="13"/>
                <w:szCs w:val="13"/>
                <w:color w:val="auto"/>
              </w:rPr>
              <w:t>Net operating lease minimum payments</w:t>
            </w:r>
          </w:p>
        </w:tc>
        <w:tc>
          <w:tcPr>
            <w:tcW w:w="2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13,631</w:t>
            </w:r>
          </w:p>
        </w:tc>
      </w:tr>
      <w:tr>
        <w:trPr>
          <w:trHeight w:val="20"/>
        </w:trPr>
        <w:tc>
          <w:tcPr>
            <w:tcW w:w="9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w:t>
      </w:r>
    </w:p>
    <w:p>
      <w:pPr>
        <w:spacing w:after="0" w:line="202" w:lineRule="exact"/>
        <w:rPr>
          <w:sz w:val="20"/>
          <w:szCs w:val="20"/>
          <w:color w:val="auto"/>
        </w:rPr>
      </w:pPr>
    </w:p>
    <w:p>
      <w:pPr>
        <w:ind w:right="160" w:firstLine="388"/>
        <w:spacing w:after="0" w:line="265" w:lineRule="auto"/>
        <w:rPr>
          <w:sz w:val="20"/>
          <w:szCs w:val="20"/>
          <w:color w:val="auto"/>
        </w:rPr>
      </w:pPr>
      <w:r>
        <w:rPr>
          <w:rFonts w:ascii="Arial" w:cs="Arial" w:eastAsia="Arial" w:hAnsi="Arial"/>
          <w:sz w:val="14"/>
          <w:szCs w:val="14"/>
          <w:color w:val="auto"/>
        </w:rPr>
        <w:t>From time-to-time, the Company may be involved in litigation relating to claims arising out of its operations. The Company is not currently involved in any material legal proceedings; however, the Company may be involved in material legal proceedings in the future. Such matters are subject to uncertainty and there can be no assurance that such legal proceedings will not have a material effect on its business, results of operations, financial position or cash flows.</w:t>
      </w:r>
    </w:p>
    <w:p>
      <w:pPr>
        <w:spacing w:after="0" w:line="182" w:lineRule="exact"/>
        <w:rPr>
          <w:sz w:val="20"/>
          <w:szCs w:val="20"/>
          <w:color w:val="auto"/>
        </w:rPr>
      </w:pPr>
    </w:p>
    <w:p>
      <w:pPr>
        <w:ind w:left="400" w:hanging="394"/>
        <w:spacing w:after="0"/>
        <w:tabs>
          <w:tab w:leader="none" w:pos="40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 Expense</w:t>
      </w:r>
    </w:p>
    <w:p>
      <w:pPr>
        <w:spacing w:after="0" w:line="202" w:lineRule="exact"/>
        <w:rPr>
          <w:sz w:val="20"/>
          <w:szCs w:val="20"/>
          <w:color w:val="auto"/>
        </w:rPr>
      </w:pPr>
    </w:p>
    <w:p>
      <w:pPr>
        <w:ind w:right="220" w:firstLine="388"/>
        <w:spacing w:after="0" w:line="265" w:lineRule="auto"/>
        <w:rPr>
          <w:sz w:val="20"/>
          <w:szCs w:val="20"/>
          <w:color w:val="auto"/>
        </w:rPr>
      </w:pPr>
      <w:r>
        <w:rPr>
          <w:rFonts w:ascii="Arial" w:cs="Arial" w:eastAsia="Arial" w:hAnsi="Arial"/>
          <w:sz w:val="14"/>
          <w:szCs w:val="14"/>
          <w:color w:val="auto"/>
        </w:rPr>
        <w:t>Stock-based compensation expense for all stock-based awards expected to vest is measured at fair value on the date of grant and recognized ratably over the requisite service period. The following table summarizes the components of total stock-based compensation expense included in the condensed consolidated statements of operations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60" w:type="dxa"/>
            <w:vAlign w:val="bottom"/>
            <w:gridSpan w:val="3"/>
          </w:tcPr>
          <w:p>
            <w:pPr>
              <w:jc w:val="right"/>
              <w:ind w:right="418"/>
              <w:spacing w:after="0"/>
              <w:rPr>
                <w:sz w:val="20"/>
                <w:szCs w:val="20"/>
                <w:color w:val="auto"/>
              </w:rPr>
            </w:pPr>
            <w:r>
              <w:rPr>
                <w:rFonts w:ascii="Arial" w:cs="Arial" w:eastAsia="Arial" w:hAnsi="Arial"/>
                <w:sz w:val="11"/>
                <w:szCs w:val="11"/>
                <w:b w:val="1"/>
                <w:bCs w:val="1"/>
                <w:color w:val="auto"/>
              </w:rPr>
              <w:t>Three Months Ended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1"/>
                <w:szCs w:val="11"/>
                <w:b w:val="1"/>
                <w:bCs w:val="1"/>
                <w:color w:val="auto"/>
              </w:rPr>
              <w:t>June 30,</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206"/>
        </w:trPr>
        <w:tc>
          <w:tcPr>
            <w:tcW w:w="51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59"/>
        </w:trPr>
        <w:tc>
          <w:tcPr>
            <w:tcW w:w="5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gridSpan w:val="3"/>
          </w:tcPr>
          <w:p>
            <w:pPr>
              <w:jc w:val="right"/>
              <w:ind w:right="598"/>
              <w:spacing w:after="0"/>
              <w:rPr>
                <w:sz w:val="20"/>
                <w:szCs w:val="20"/>
                <w:color w:val="auto"/>
              </w:rPr>
            </w:pPr>
            <w:r>
              <w:rPr>
                <w:rFonts w:ascii="Arial" w:cs="Arial" w:eastAsia="Arial" w:hAnsi="Arial"/>
                <w:sz w:val="11"/>
                <w:szCs w:val="11"/>
                <w:i w:val="1"/>
                <w:iCs w:val="1"/>
                <w:color w:val="auto"/>
              </w:rPr>
              <w:t>(In thousands)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41"/>
        </w:trPr>
        <w:tc>
          <w:tcPr>
            <w:tcW w:w="5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615</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40" w:type="dxa"/>
            <w:vAlign w:val="bottom"/>
          </w:tcPr>
          <w:p>
            <w:pPr>
              <w:spacing w:after="0"/>
              <w:rPr>
                <w:sz w:val="18"/>
                <w:szCs w:val="18"/>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1,128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1,149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1,844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1,767</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997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1,358</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940" w:type="dxa"/>
            <w:vAlign w:val="bottom"/>
          </w:tcPr>
          <w:p>
            <w:pPr>
              <w:spacing w:after="0"/>
              <w:rPr>
                <w:sz w:val="18"/>
                <w:szCs w:val="18"/>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1,729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1,725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3,017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2,120</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77"/>
        </w:trPr>
        <w:tc>
          <w:tcPr>
            <w:tcW w:w="5160" w:type="dxa"/>
            <w:vAlign w:val="bottom"/>
          </w:tcPr>
          <w:p>
            <w:pPr>
              <w:ind w:left="300"/>
              <w:spacing w:after="0"/>
              <w:rPr>
                <w:sz w:val="20"/>
                <w:szCs w:val="20"/>
                <w:color w:val="auto"/>
              </w:rPr>
            </w:pPr>
            <w:r>
              <w:rPr>
                <w:rFonts w:ascii="Arial" w:cs="Arial" w:eastAsia="Arial" w:hAnsi="Arial"/>
                <w:sz w:val="13"/>
                <w:szCs w:val="13"/>
                <w:color w:val="auto"/>
              </w:rPr>
              <w:t>Total</w:t>
            </w:r>
          </w:p>
        </w:tc>
        <w:tc>
          <w:tcPr>
            <w:tcW w:w="94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4,935</w:t>
            </w:r>
          </w:p>
        </w:tc>
        <w:tc>
          <w:tcPr>
            <w:tcW w:w="1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4,288</w:t>
            </w:r>
          </w:p>
        </w:tc>
        <w:tc>
          <w:tcPr>
            <w:tcW w:w="1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8,224</w:t>
            </w:r>
          </w:p>
        </w:tc>
        <w:tc>
          <w:tcPr>
            <w:tcW w:w="12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5,860</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19</w:t>
      </w:r>
    </w:p>
    <w:p>
      <w:pPr>
        <w:sectPr>
          <w:pgSz w:w="11900" w:h="16838" w:orient="portrait"/>
          <w:cols w:equalWidth="0" w:num="1">
            <w:col w:w="11460"/>
          </w:cols>
          <w:pgMar w:left="220" w:top="211"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summarizes the various types of stock-based compensation expense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206"/>
        </w:trPr>
        <w:tc>
          <w:tcPr>
            <w:tcW w:w="51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69"/>
        </w:trPr>
        <w:tc>
          <w:tcPr>
            <w:tcW w:w="5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3"/>
          </w:tcPr>
          <w:p>
            <w:pPr>
              <w:jc w:val="right"/>
              <w:ind w:right="9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1"/>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RSUs, and PSUs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4,760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3,975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7,982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5,293</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Employee stock purchase plan</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175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313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242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567</w:t>
            </w:r>
          </w:p>
        </w:tc>
      </w:tr>
      <w:tr>
        <w:trPr>
          <w:trHeight w:val="185"/>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4,935</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4,288</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8,224</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5,860</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jc w:val="both"/>
        <w:ind w:right="100" w:firstLine="388"/>
        <w:spacing w:after="0" w:line="273" w:lineRule="auto"/>
        <w:rPr>
          <w:sz w:val="20"/>
          <w:szCs w:val="20"/>
          <w:color w:val="auto"/>
        </w:rPr>
      </w:pPr>
      <w:r>
        <w:rPr>
          <w:rFonts w:ascii="Arial" w:cs="Arial" w:eastAsia="Arial" w:hAnsi="Arial"/>
          <w:sz w:val="14"/>
          <w:szCs w:val="14"/>
          <w:color w:val="auto"/>
        </w:rPr>
        <w:t>As of June 30, 2019, there was approximately $33.2 million of total unrecognized stock-based compensation expense related to unvested equity awards, which are expected to be recognized over a weighted-average period of 2.1 years.</w:t>
      </w:r>
    </w:p>
    <w:p>
      <w:pPr>
        <w:spacing w:after="0" w:line="151" w:lineRule="exact"/>
        <w:rPr>
          <w:sz w:val="20"/>
          <w:szCs w:val="20"/>
          <w:color w:val="auto"/>
        </w:rPr>
      </w:pPr>
    </w:p>
    <w:p>
      <w:pPr>
        <w:ind w:right="120" w:firstLine="388"/>
        <w:spacing w:after="0" w:line="273" w:lineRule="auto"/>
        <w:rPr>
          <w:sz w:val="20"/>
          <w:szCs w:val="20"/>
          <w:color w:val="auto"/>
        </w:rPr>
      </w:pPr>
      <w:r>
        <w:rPr>
          <w:rFonts w:ascii="Arial" w:cs="Arial" w:eastAsia="Arial" w:hAnsi="Arial"/>
          <w:sz w:val="14"/>
          <w:szCs w:val="14"/>
          <w:color w:val="auto"/>
        </w:rPr>
        <w:t>No income tax benefit has been recognized relating to stock-based compensation expense and no tax benefits have been realized from exercised stock options for the three and six months ended June 30, 2019.</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of Equity Awards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fair value of each option granted was estimated on the date of grant using the Black-Scholes option-pricing model with the following assumptions:</w:t>
      </w:r>
    </w:p>
    <w:p>
      <w:pPr>
        <w:spacing w:after="0" w:line="170" w:lineRule="exact"/>
        <w:rPr>
          <w:sz w:val="20"/>
          <w:szCs w:val="20"/>
          <w:color w:val="auto"/>
        </w:rPr>
      </w:pPr>
    </w:p>
    <w:p>
      <w:pPr>
        <w:jc w:val="both"/>
        <w:ind w:left="660" w:right="240" w:hanging="266"/>
        <w:spacing w:after="0" w:line="275" w:lineRule="auto"/>
        <w:tabs>
          <w:tab w:leader="none" w:pos="66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Expected term—</w:t>
      </w:r>
      <w:r>
        <w:rPr>
          <w:rFonts w:ascii="Arial" w:cs="Arial" w:eastAsia="Arial" w:hAnsi="Arial"/>
          <w:sz w:val="14"/>
          <w:szCs w:val="14"/>
          <w:color w:val="auto"/>
        </w:rPr>
        <w:t>The expected term of the option awards represents the period of time between the grant date of the option awards and the date the option awards are</w:t>
      </w:r>
      <w:r>
        <w:rPr>
          <w:rFonts w:ascii="Arial" w:cs="Arial" w:eastAsia="Arial" w:hAnsi="Arial"/>
          <w:sz w:val="14"/>
          <w:szCs w:val="14"/>
          <w:i w:val="1"/>
          <w:iCs w:val="1"/>
          <w:color w:val="auto"/>
        </w:rPr>
        <w:t xml:space="preserve"> </w:t>
      </w:r>
      <w:r>
        <w:rPr>
          <w:rFonts w:ascii="Arial" w:cs="Arial" w:eastAsia="Arial" w:hAnsi="Arial"/>
          <w:sz w:val="14"/>
          <w:szCs w:val="14"/>
          <w:color w:val="auto"/>
        </w:rPr>
        <w:t>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136" w:lineRule="exact"/>
        <w:rPr>
          <w:rFonts w:ascii="Arial" w:cs="Arial" w:eastAsia="Arial" w:hAnsi="Arial"/>
          <w:sz w:val="14"/>
          <w:szCs w:val="14"/>
          <w:i w:val="1"/>
          <w:iCs w:val="1"/>
          <w:color w:val="auto"/>
        </w:rPr>
      </w:pPr>
    </w:p>
    <w:p>
      <w:pPr>
        <w:ind w:left="660" w:right="360" w:hanging="266"/>
        <w:spacing w:after="0" w:line="294" w:lineRule="auto"/>
        <w:tabs>
          <w:tab w:leader="none" w:pos="66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The expected volatility was calculated based on the Company’s historical stock prices, supplemented as necessary with historical volatility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of several peer companies with characteristics similar to those of the Company.</w:t>
      </w:r>
    </w:p>
    <w:p>
      <w:pPr>
        <w:spacing w:after="0" w:line="122" w:lineRule="exact"/>
        <w:rPr>
          <w:rFonts w:ascii="Arial" w:cs="Arial" w:eastAsia="Arial" w:hAnsi="Arial"/>
          <w:sz w:val="14"/>
          <w:szCs w:val="14"/>
          <w:i w:val="1"/>
          <w:iCs w:val="1"/>
          <w:color w:val="auto"/>
        </w:rPr>
      </w:pPr>
    </w:p>
    <w:p>
      <w:pPr>
        <w:ind w:left="660" w:right="420" w:hanging="266"/>
        <w:spacing w:after="0" w:line="294"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Risk-free interest rate—</w:t>
      </w:r>
      <w:r>
        <w:rPr>
          <w:rFonts w:ascii="Arial" w:cs="Arial" w:eastAsia="Arial" w:hAnsi="Arial"/>
          <w:sz w:val="14"/>
          <w:szCs w:val="14"/>
          <w:color w:val="auto"/>
        </w:rPr>
        <w:t>The risk-free interest rate was based on the U.S. Treasury yield curve in effect at the time of grant and with a maturity that approximated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expected term.</w:t>
      </w:r>
    </w:p>
    <w:p>
      <w:pPr>
        <w:spacing w:after="0" w:line="122" w:lineRule="exact"/>
        <w:rPr>
          <w:rFonts w:ascii="Arial" w:cs="Arial" w:eastAsia="Arial" w:hAnsi="Arial"/>
          <w:sz w:val="14"/>
          <w:szCs w:val="14"/>
          <w:color w:val="auto"/>
        </w:rPr>
      </w:pPr>
    </w:p>
    <w:p>
      <w:pPr>
        <w:ind w:left="660" w:hanging="266"/>
        <w:spacing w:after="0"/>
        <w:tabs>
          <w:tab w:leader="none" w:pos="66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Dividend yield—</w:t>
      </w:r>
      <w:r>
        <w:rPr>
          <w:rFonts w:ascii="Arial" w:cs="Arial" w:eastAsia="Arial" w:hAnsi="Arial"/>
          <w:sz w:val="14"/>
          <w:szCs w:val="14"/>
          <w:color w:val="auto"/>
        </w:rPr>
        <w:t>The dividend yield was based on the Company’s dividend history and the anticipated dividend payout over its expected term.</w:t>
      </w:r>
    </w:p>
    <w:p>
      <w:pPr>
        <w:spacing w:after="0" w:line="198" w:lineRule="exact"/>
        <w:rPr>
          <w:sz w:val="20"/>
          <w:szCs w:val="20"/>
          <w:color w:val="auto"/>
        </w:rPr>
      </w:pPr>
    </w:p>
    <w:p>
      <w:pPr>
        <w:ind w:right="40" w:firstLine="388"/>
        <w:spacing w:after="0" w:line="273" w:lineRule="auto"/>
        <w:rPr>
          <w:sz w:val="20"/>
          <w:szCs w:val="20"/>
          <w:color w:val="auto"/>
        </w:rPr>
      </w:pPr>
      <w:r>
        <w:rPr>
          <w:rFonts w:ascii="Arial" w:cs="Arial" w:eastAsia="Arial" w:hAnsi="Arial"/>
          <w:sz w:val="14"/>
          <w:szCs w:val="14"/>
          <w:color w:val="auto"/>
        </w:rPr>
        <w:t>The following table presents the weighted-average grant date fair value of options granted for the periods presented and the assumptions used to estimate those values using a Black-Scholes option pricing model.</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60" w:type="dxa"/>
            <w:vAlign w:val="bottom"/>
            <w:gridSpan w:val="3"/>
          </w:tcPr>
          <w:p>
            <w:pPr>
              <w:jc w:val="center"/>
              <w:ind w:right="339"/>
              <w:spacing w:after="0"/>
              <w:rPr>
                <w:sz w:val="20"/>
                <w:szCs w:val="20"/>
                <w:color w:val="auto"/>
              </w:rPr>
            </w:pPr>
            <w:r>
              <w:rPr>
                <w:rFonts w:ascii="Arial" w:cs="Arial" w:eastAsia="Arial" w:hAnsi="Arial"/>
                <w:sz w:val="11"/>
                <w:szCs w:val="11"/>
                <w:b w:val="1"/>
                <w:bCs w:val="1"/>
                <w:color w:val="auto"/>
              </w:rPr>
              <w:t>Three Months Ended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rPr>
              <w:t>Six Months Ended</w:t>
            </w:r>
          </w:p>
        </w:tc>
        <w:tc>
          <w:tcPr>
            <w:tcW w:w="1020" w:type="dxa"/>
            <w:vAlign w:val="bottom"/>
          </w:tcPr>
          <w:p>
            <w:pPr>
              <w:spacing w:after="0"/>
              <w:rPr>
                <w:sz w:val="11"/>
                <w:szCs w:val="11"/>
                <w:color w:val="auto"/>
              </w:rPr>
            </w:pPr>
          </w:p>
        </w:tc>
      </w:tr>
      <w:tr>
        <w:trPr>
          <w:trHeight w:val="157"/>
        </w:trPr>
        <w:tc>
          <w:tcPr>
            <w:tcW w:w="49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1"/>
                <w:szCs w:val="11"/>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June 30,</w:t>
            </w:r>
          </w:p>
        </w:tc>
        <w:tc>
          <w:tcPr>
            <w:tcW w:w="1020" w:type="dxa"/>
            <w:vAlign w:val="bottom"/>
            <w:tcBorders>
              <w:bottom w:val="single" w:sz="8" w:color="auto"/>
            </w:tcBorders>
          </w:tcPr>
          <w:p>
            <w:pPr>
              <w:spacing w:after="0"/>
              <w:rPr>
                <w:sz w:val="13"/>
                <w:szCs w:val="13"/>
                <w:color w:val="auto"/>
              </w:rPr>
            </w:pPr>
          </w:p>
        </w:tc>
      </w:tr>
      <w:tr>
        <w:trPr>
          <w:trHeight w:val="206"/>
        </w:trPr>
        <w:tc>
          <w:tcPr>
            <w:tcW w:w="49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2018</w:t>
            </w:r>
          </w:p>
        </w:tc>
      </w:tr>
      <w:tr>
        <w:trPr>
          <w:trHeight w:val="200"/>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9.16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9.16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2.74</w:t>
            </w:r>
          </w:p>
        </w:tc>
      </w:tr>
      <w:tr>
        <w:trPr>
          <w:trHeight w:val="208"/>
        </w:trPr>
        <w:tc>
          <w:tcPr>
            <w:tcW w:w="4900" w:type="dxa"/>
            <w:vAlign w:val="bottom"/>
          </w:tcPr>
          <w:p>
            <w:pPr>
              <w:ind w:left="20"/>
              <w:spacing w:after="0"/>
              <w:rPr>
                <w:sz w:val="20"/>
                <w:szCs w:val="20"/>
                <w:color w:val="auto"/>
              </w:rPr>
            </w:pPr>
            <w:r>
              <w:rPr>
                <w:rFonts w:ascii="Arial" w:cs="Arial" w:eastAsia="Arial" w:hAnsi="Arial"/>
                <w:sz w:val="13"/>
                <w:szCs w:val="13"/>
                <w:color w:val="auto"/>
              </w:rPr>
              <w:t>Expected term (in years)</w:t>
            </w:r>
          </w:p>
        </w:tc>
        <w:tc>
          <w:tcPr>
            <w:tcW w:w="980" w:type="dxa"/>
            <w:vAlign w:val="bottom"/>
          </w:tcPr>
          <w:p>
            <w:pPr>
              <w:spacing w:after="0"/>
              <w:rPr>
                <w:sz w:val="18"/>
                <w:szCs w:val="18"/>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75"/>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19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4.0</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volatility</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88.1%</w:t>
            </w:r>
          </w:p>
        </w:tc>
      </w:tr>
      <w:tr>
        <w:trPr>
          <w:trHeight w:val="208"/>
        </w:trPr>
        <w:tc>
          <w:tcPr>
            <w:tcW w:w="4900" w:type="dxa"/>
            <w:vAlign w:val="bottom"/>
          </w:tcPr>
          <w:p>
            <w:pPr>
              <w:ind w:left="20"/>
              <w:spacing w:after="0"/>
              <w:rPr>
                <w:sz w:val="20"/>
                <w:szCs w:val="20"/>
                <w:color w:val="auto"/>
              </w:rPr>
            </w:pPr>
            <w:r>
              <w:rPr>
                <w:rFonts w:ascii="Arial" w:cs="Arial" w:eastAsia="Arial" w:hAnsi="Arial"/>
                <w:sz w:val="13"/>
                <w:szCs w:val="13"/>
                <w:color w:val="auto"/>
              </w:rPr>
              <w:t>Annual risk-free rate of return</w:t>
            </w:r>
          </w:p>
        </w:tc>
        <w:tc>
          <w:tcPr>
            <w:tcW w:w="980" w:type="dxa"/>
            <w:vAlign w:val="bottom"/>
          </w:tcPr>
          <w:p>
            <w:pPr>
              <w:spacing w:after="0"/>
              <w:rPr>
                <w:sz w:val="18"/>
                <w:szCs w:val="18"/>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75"/>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2.6%</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 yield</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fair value of the Company’s restricted stock units (“RSU”) awards granted is based upon the closing price of the Company’s stock price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20</w:t>
      </w:r>
    </w:p>
    <w:p>
      <w:pPr>
        <w:sectPr>
          <w:pgSz w:w="11900" w:h="16838" w:orient="portrait"/>
          <w:cols w:equalWidth="0" w:num="1">
            <w:col w:w="11460"/>
          </w:cols>
          <w:pgMar w:left="220" w:top="211" w:right="21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Stock Units</w:t>
      </w:r>
    </w:p>
    <w:p>
      <w:pPr>
        <w:spacing w:after="0" w:line="198" w:lineRule="exact"/>
        <w:rPr>
          <w:sz w:val="20"/>
          <w:szCs w:val="20"/>
          <w:color w:val="auto"/>
        </w:rPr>
      </w:pPr>
    </w:p>
    <w:p>
      <w:pPr>
        <w:ind w:right="140" w:firstLine="388"/>
        <w:spacing w:after="0" w:line="265" w:lineRule="auto"/>
        <w:rPr>
          <w:sz w:val="20"/>
          <w:szCs w:val="20"/>
          <w:color w:val="auto"/>
        </w:rPr>
      </w:pPr>
      <w:r>
        <w:rPr>
          <w:rFonts w:ascii="Arial" w:cs="Arial" w:eastAsia="Arial" w:hAnsi="Arial"/>
          <w:sz w:val="14"/>
          <w:szCs w:val="14"/>
          <w:color w:val="auto"/>
        </w:rPr>
        <w:t>The fair value of the Company’s non-market performance stock units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Awards Activity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is a summary of stock option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Contractual</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per Share</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5"/>
              </w:rPr>
              <w:t xml:space="preserve">Value </w:t>
            </w:r>
            <w:r>
              <w:rPr>
                <w:rFonts w:ascii="Arial" w:cs="Arial" w:eastAsia="Arial" w:hAnsi="Arial"/>
                <w:sz w:val="14"/>
                <w:szCs w:val="14"/>
                <w:b w:val="1"/>
                <w:bCs w:val="1"/>
                <w:color w:val="auto"/>
                <w:w w:val="95"/>
                <w:vertAlign w:val="superscript"/>
              </w:rPr>
              <w:t>(1)</w:t>
            </w: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w w:val="99"/>
              </w:rPr>
              <w:t>(Years)</w:t>
            </w:r>
          </w:p>
        </w:tc>
        <w:tc>
          <w:tcPr>
            <w:tcW w:w="240" w:type="dxa"/>
            <w:vAlign w:val="bottom"/>
          </w:tcPr>
          <w:p>
            <w:pPr>
              <w:spacing w:after="0"/>
              <w:rPr>
                <w:sz w:val="13"/>
                <w:szCs w:val="13"/>
                <w:color w:val="auto"/>
              </w:rPr>
            </w:pPr>
          </w:p>
        </w:tc>
        <w:tc>
          <w:tcPr>
            <w:tcW w:w="1220" w:type="dxa"/>
            <w:vAlign w:val="bottom"/>
          </w:tcPr>
          <w:p>
            <w:pPr>
              <w:jc w:val="center"/>
              <w:ind w:right="179"/>
              <w:spacing w:after="0"/>
              <w:rPr>
                <w:sz w:val="20"/>
                <w:szCs w:val="20"/>
                <w:color w:val="auto"/>
              </w:rPr>
            </w:pPr>
            <w:r>
              <w:rPr>
                <w:rFonts w:ascii="Arial" w:cs="Arial" w:eastAsia="Arial" w:hAnsi="Arial"/>
                <w:sz w:val="11"/>
                <w:szCs w:val="11"/>
                <w:i w:val="1"/>
                <w:iCs w:val="1"/>
                <w:color w:val="auto"/>
              </w:rPr>
              <w:t>(In thousands)</w:t>
            </w: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December 31, 2018</w:t>
            </w: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6,772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ind w:left="2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ind w:right="58"/>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58"/>
              <w:spacing w:after="0"/>
              <w:rPr>
                <w:sz w:val="20"/>
                <w:szCs w:val="20"/>
                <w:color w:val="auto"/>
              </w:rPr>
            </w:pPr>
            <w:r>
              <w:rPr>
                <w:rFonts w:ascii="Arial" w:cs="Arial" w:eastAsia="Arial" w:hAnsi="Arial"/>
                <w:sz w:val="13"/>
                <w:szCs w:val="13"/>
                <w:color w:val="auto"/>
              </w:rPr>
              <w:t>14.58</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Exercised</w:t>
            </w:r>
          </w:p>
        </w:tc>
        <w:tc>
          <w:tcPr>
            <w:tcW w:w="15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17,481</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Canceled</w:t>
            </w:r>
          </w:p>
        </w:tc>
        <w:tc>
          <w:tcPr>
            <w:tcW w:w="15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(74)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ind w:right="58"/>
              <w:spacing w:after="0"/>
              <w:rPr>
                <w:sz w:val="20"/>
                <w:szCs w:val="20"/>
                <w:color w:val="auto"/>
              </w:rPr>
            </w:pPr>
            <w:r>
              <w:rPr>
                <w:rFonts w:ascii="Arial" w:cs="Arial" w:eastAsia="Arial" w:hAnsi="Arial"/>
                <w:sz w:val="13"/>
                <w:szCs w:val="13"/>
                <w:color w:val="auto"/>
              </w:rPr>
              <w:t>5.14</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June 30, 2019</w:t>
            </w:r>
          </w:p>
        </w:tc>
        <w:tc>
          <w:tcPr>
            <w:tcW w:w="15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4,683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2.10</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4.8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75,539</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20"/>
              <w:spacing w:after="0"/>
              <w:rPr>
                <w:sz w:val="20"/>
                <w:szCs w:val="20"/>
                <w:color w:val="auto"/>
              </w:rPr>
            </w:pPr>
            <w:r>
              <w:rPr>
                <w:rFonts w:ascii="Arial" w:cs="Arial" w:eastAsia="Arial" w:hAnsi="Arial"/>
                <w:sz w:val="13"/>
                <w:szCs w:val="13"/>
                <w:color w:val="auto"/>
              </w:rPr>
              <w:t>Vested and expected to vest at June 30, 2019</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tcBorders>
              <w:bottom w:val="single" w:sz="8" w:color="CCEEFF"/>
            </w:tcBorders>
            <w:gridSpan w:val="2"/>
            <w:vMerge w:val="continue"/>
          </w:tcPr>
          <w:p>
            <w:pPr>
              <w:spacing w:after="0"/>
              <w:rPr>
                <w:sz w:val="17"/>
                <w:szCs w:val="17"/>
                <w:color w:val="auto"/>
              </w:rPr>
            </w:pPr>
          </w:p>
        </w:tc>
        <w:tc>
          <w:tcPr>
            <w:tcW w:w="15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4,683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ind w:right="58"/>
              <w:spacing w:after="0"/>
              <w:rPr>
                <w:sz w:val="20"/>
                <w:szCs w:val="20"/>
                <w:color w:val="auto"/>
              </w:rPr>
            </w:pPr>
            <w:r>
              <w:rPr>
                <w:rFonts w:ascii="Arial" w:cs="Arial" w:eastAsia="Arial" w:hAnsi="Arial"/>
                <w:sz w:val="13"/>
                <w:szCs w:val="13"/>
                <w:color w:val="auto"/>
              </w:rPr>
              <w:t>2.10</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9"/>
              </w:rPr>
              <w:t>4.8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right"/>
              <w:ind w:right="39"/>
              <w:spacing w:after="0"/>
              <w:rPr>
                <w:sz w:val="20"/>
                <w:szCs w:val="20"/>
                <w:color w:val="auto"/>
              </w:rPr>
            </w:pPr>
            <w:r>
              <w:rPr>
                <w:rFonts w:ascii="Arial" w:cs="Arial" w:eastAsia="Arial" w:hAnsi="Arial"/>
                <w:sz w:val="13"/>
                <w:szCs w:val="13"/>
                <w:color w:val="auto"/>
              </w:rPr>
              <w:t>75,539</w:t>
            </w:r>
          </w:p>
        </w:tc>
        <w:tc>
          <w:tcPr>
            <w:tcW w:w="0" w:type="dxa"/>
            <w:vAlign w:val="bottom"/>
          </w:tcPr>
          <w:p>
            <w:pPr>
              <w:spacing w:after="0"/>
              <w:rPr>
                <w:sz w:val="1"/>
                <w:szCs w:val="1"/>
                <w:color w:val="auto"/>
              </w:rPr>
            </w:pPr>
          </w:p>
        </w:tc>
      </w:tr>
      <w:tr>
        <w:trPr>
          <w:trHeight w:val="166"/>
        </w:trPr>
        <w:tc>
          <w:tcPr>
            <w:tcW w:w="5160" w:type="dxa"/>
            <w:vAlign w:val="bottom"/>
            <w:tcBorders>
              <w:bottom w:val="single" w:sz="8" w:color="CCEEFF"/>
            </w:tcBorders>
            <w:gridSpan w:val="2"/>
            <w:shd w:val="clear" w:color="auto" w:fill="CCEEFF"/>
          </w:tcPr>
          <w:p>
            <w:pPr>
              <w:ind w:left="20"/>
              <w:spacing w:after="0" w:line="131" w:lineRule="exact"/>
              <w:rPr>
                <w:sz w:val="20"/>
                <w:szCs w:val="20"/>
                <w:color w:val="auto"/>
              </w:rPr>
            </w:pPr>
            <w:r>
              <w:rPr>
                <w:rFonts w:ascii="Arial" w:cs="Arial" w:eastAsia="Arial" w:hAnsi="Arial"/>
                <w:sz w:val="13"/>
                <w:szCs w:val="13"/>
                <w:color w:val="auto"/>
              </w:rPr>
              <w:t>Exercisable at June 30, 2019</w:t>
            </w:r>
          </w:p>
        </w:tc>
        <w:tc>
          <w:tcPr>
            <w:tcW w:w="15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3,048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2.31</w:t>
            </w:r>
          </w:p>
        </w:tc>
        <w:tc>
          <w:tcPr>
            <w:tcW w:w="1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4.5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48,534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72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0" w:right="140" w:hanging="394"/>
        <w:spacing w:after="0" w:line="265"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intrinsic value of options exercised is based upon the value of the Company’s stock at exercise. The intrinsic value of options outstanding, vested and expected to vest, and exercisable as of June 30, 2019 is based on the closing price of the Company’s stock fair value on June 30, 2019 or the earlier of the last trading day prior to June 30, 2019, if June 30, 2019 is a non-trading day. The Company’s stock fair value used in this computation was $18.23 per share.</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summarizes information about stock options outstanding at June 30,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Options Outstanding</w:t>
            </w:r>
          </w:p>
        </w:tc>
        <w:tc>
          <w:tcPr>
            <w:tcW w:w="10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Borders>
              <w:bottom w:val="single" w:sz="8" w:color="auto"/>
            </w:tcBorders>
            <w:gridSpan w:val="4"/>
          </w:tcPr>
          <w:p>
            <w:pPr>
              <w:jc w:val="right"/>
              <w:ind w:right="898"/>
              <w:spacing w:after="0"/>
              <w:rPr>
                <w:sz w:val="20"/>
                <w:szCs w:val="20"/>
                <w:color w:val="auto"/>
              </w:rPr>
            </w:pPr>
            <w:r>
              <w:rPr>
                <w:rFonts w:ascii="Arial" w:cs="Arial" w:eastAsia="Arial" w:hAnsi="Arial"/>
                <w:sz w:val="11"/>
                <w:szCs w:val="11"/>
                <w:b w:val="1"/>
                <w:bCs w:val="1"/>
                <w:color w:val="auto"/>
              </w:rPr>
              <w:t>Options Exercisable</w:t>
            </w:r>
          </w:p>
        </w:tc>
      </w:tr>
      <w:tr>
        <w:trPr>
          <w:trHeight w:val="136"/>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Weighted-</w:t>
            </w:r>
          </w:p>
        </w:tc>
        <w:tc>
          <w:tcPr>
            <w:tcW w:w="1040" w:type="dxa"/>
            <w:vAlign w:val="bottom"/>
          </w:tcPr>
          <w:p>
            <w:pPr>
              <w:jc w:val="center"/>
              <w:ind w:left="401"/>
              <w:spacing w:after="0"/>
              <w:rPr>
                <w:sz w:val="20"/>
                <w:szCs w:val="20"/>
                <w:color w:val="auto"/>
              </w:rPr>
            </w:pPr>
            <w:r>
              <w:rPr>
                <w:rFonts w:ascii="Arial" w:cs="Arial" w:eastAsia="Arial" w:hAnsi="Arial"/>
                <w:sz w:val="11"/>
                <w:szCs w:val="11"/>
                <w:b w:val="1"/>
                <w:bCs w:val="1"/>
                <w:color w:val="auto"/>
              </w:rPr>
              <w:t>Weighted-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right="198"/>
              <w:spacing w:after="0"/>
              <w:rPr>
                <w:sz w:val="20"/>
                <w:szCs w:val="20"/>
                <w:color w:val="auto"/>
              </w:rPr>
            </w:pPr>
            <w:r>
              <w:rPr>
                <w:rFonts w:ascii="Arial" w:cs="Arial" w:eastAsia="Arial" w:hAnsi="Arial"/>
                <w:sz w:val="11"/>
                <w:szCs w:val="11"/>
                <w:b w:val="1"/>
                <w:bCs w:val="1"/>
                <w:color w:val="auto"/>
              </w:rPr>
              <w:t>Weighted-</w:t>
            </w:r>
          </w:p>
        </w:tc>
      </w:tr>
      <w:tr>
        <w:trPr>
          <w:trHeight w:val="129"/>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Average</w:t>
            </w:r>
          </w:p>
        </w:tc>
        <w:tc>
          <w:tcPr>
            <w:tcW w:w="1040" w:type="dxa"/>
            <w:vAlign w:val="bottom"/>
          </w:tcPr>
          <w:p>
            <w:pPr>
              <w:jc w:val="center"/>
              <w:ind w:left="401"/>
              <w:spacing w:after="0"/>
              <w:rPr>
                <w:sz w:val="20"/>
                <w:szCs w:val="20"/>
                <w:color w:val="auto"/>
              </w:rPr>
            </w:pPr>
            <w:r>
              <w:rPr>
                <w:rFonts w:ascii="Arial" w:cs="Arial" w:eastAsia="Arial" w:hAnsi="Arial"/>
                <w:sz w:val="11"/>
                <w:szCs w:val="11"/>
                <w:b w:val="1"/>
                <w:bCs w:val="1"/>
                <w:color w:val="auto"/>
              </w:rPr>
              <w:t>Average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right="198"/>
              <w:spacing w:after="0"/>
              <w:rPr>
                <w:sz w:val="20"/>
                <w:szCs w:val="20"/>
                <w:color w:val="auto"/>
              </w:rPr>
            </w:pPr>
            <w:r>
              <w:rPr>
                <w:rFonts w:ascii="Arial" w:cs="Arial" w:eastAsia="Arial" w:hAnsi="Arial"/>
                <w:sz w:val="11"/>
                <w:szCs w:val="11"/>
                <w:b w:val="1"/>
                <w:bCs w:val="1"/>
                <w:color w:val="auto"/>
              </w:rPr>
              <w:t>Average</w:t>
            </w:r>
          </w:p>
        </w:tc>
      </w:tr>
      <w:tr>
        <w:trPr>
          <w:trHeight w:val="129"/>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Remaining</w:t>
            </w:r>
          </w:p>
        </w:tc>
        <w:tc>
          <w:tcPr>
            <w:tcW w:w="1040" w:type="dxa"/>
            <w:vAlign w:val="bottom"/>
          </w:tcPr>
          <w:p>
            <w:pPr>
              <w:jc w:val="center"/>
              <w:ind w:left="401"/>
              <w:spacing w:after="0"/>
              <w:rPr>
                <w:sz w:val="20"/>
                <w:szCs w:val="20"/>
                <w:color w:val="auto"/>
              </w:rPr>
            </w:pPr>
            <w:r>
              <w:rPr>
                <w:rFonts w:ascii="Arial" w:cs="Arial" w:eastAsia="Arial" w:hAnsi="Arial"/>
                <w:sz w:val="11"/>
                <w:szCs w:val="11"/>
                <w:b w:val="1"/>
                <w:bCs w:val="1"/>
                <w:color w:val="auto"/>
              </w:rPr>
              <w:t>Exercise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right="198"/>
              <w:spacing w:after="0"/>
              <w:rPr>
                <w:sz w:val="20"/>
                <w:szCs w:val="20"/>
                <w:color w:val="auto"/>
              </w:rPr>
            </w:pPr>
            <w:r>
              <w:rPr>
                <w:rFonts w:ascii="Arial" w:cs="Arial" w:eastAsia="Arial" w:hAnsi="Arial"/>
                <w:sz w:val="11"/>
                <w:szCs w:val="11"/>
                <w:b w:val="1"/>
                <w:bCs w:val="1"/>
                <w:color w:val="auto"/>
              </w:rPr>
              <w:t>Exercise</w:t>
            </w:r>
          </w:p>
        </w:tc>
      </w:tr>
      <w:tr>
        <w:trPr>
          <w:trHeight w:val="157"/>
        </w:trPr>
        <w:tc>
          <w:tcPr>
            <w:tcW w:w="344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Range of Exercise Prices</w:t>
            </w:r>
          </w:p>
        </w:tc>
        <w:tc>
          <w:tcPr>
            <w:tcW w:w="12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center"/>
              <w:ind w:left="381"/>
              <w:spacing w:after="0"/>
              <w:rPr>
                <w:sz w:val="20"/>
                <w:szCs w:val="20"/>
                <w:color w:val="auto"/>
              </w:rPr>
            </w:pPr>
            <w:r>
              <w:rPr>
                <w:rFonts w:ascii="Arial" w:cs="Arial" w:eastAsia="Arial" w:hAnsi="Arial"/>
                <w:sz w:val="11"/>
                <w:szCs w:val="11"/>
                <w:b w:val="1"/>
                <w:bCs w:val="1"/>
                <w:color w:val="auto"/>
              </w:rPr>
              <w:t>Price</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8"/>
              <w:spacing w:after="0"/>
              <w:rPr>
                <w:sz w:val="20"/>
                <w:szCs w:val="20"/>
                <w:color w:val="auto"/>
              </w:rPr>
            </w:pPr>
            <w:r>
              <w:rPr>
                <w:rFonts w:ascii="Arial" w:cs="Arial" w:eastAsia="Arial" w:hAnsi="Arial"/>
                <w:sz w:val="11"/>
                <w:szCs w:val="11"/>
                <w:b w:val="1"/>
                <w:bCs w:val="1"/>
                <w:color w:val="auto"/>
              </w:rPr>
              <w:t>Price</w:t>
            </w:r>
          </w:p>
        </w:tc>
      </w:tr>
      <w:tr>
        <w:trPr>
          <w:trHeight w:val="159"/>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i w:val="1"/>
                <w:iCs w:val="1"/>
                <w:color w:val="auto"/>
                <w:w w:val="99"/>
              </w:rPr>
              <w:t>(Years)</w:t>
            </w: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52"/>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16"/>
        </w:trPr>
        <w:tc>
          <w:tcPr>
            <w:tcW w:w="35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9"/>
              </w:rPr>
              <w:t>$0.64 —– $1.14</w:t>
            </w: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930</w:t>
            </w:r>
          </w:p>
        </w:tc>
        <w:tc>
          <w:tcPr>
            <w:tcW w:w="1600" w:type="dxa"/>
            <w:vAlign w:val="bottom"/>
            <w:gridSpan w:val="2"/>
            <w:shd w:val="clear" w:color="auto" w:fill="CCEEFF"/>
          </w:tcPr>
          <w:p>
            <w:pPr>
              <w:jc w:val="center"/>
              <w:ind w:left="75"/>
              <w:spacing w:after="0"/>
              <w:rPr>
                <w:sz w:val="20"/>
                <w:szCs w:val="20"/>
                <w:color w:val="auto"/>
              </w:rPr>
            </w:pPr>
            <w:r>
              <w:rPr>
                <w:rFonts w:ascii="Arial" w:cs="Arial" w:eastAsia="Arial" w:hAnsi="Arial"/>
                <w:sz w:val="13"/>
                <w:szCs w:val="13"/>
                <w:color w:val="auto"/>
                <w:w w:val="99"/>
              </w:rPr>
              <w:t>5.4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1"/>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0.84</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603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0.80</w:t>
            </w:r>
          </w:p>
        </w:tc>
      </w:tr>
      <w:tr>
        <w:trPr>
          <w:trHeight w:val="208"/>
        </w:trPr>
        <w:tc>
          <w:tcPr>
            <w:tcW w:w="3560" w:type="dxa"/>
            <w:vAlign w:val="bottom"/>
            <w:gridSpan w:val="2"/>
          </w:tcPr>
          <w:p>
            <w:pPr>
              <w:jc w:val="center"/>
              <w:ind w:left="16"/>
              <w:spacing w:after="0"/>
              <w:rPr>
                <w:sz w:val="20"/>
                <w:szCs w:val="20"/>
                <w:color w:val="auto"/>
              </w:rPr>
            </w:pPr>
            <w:r>
              <w:rPr>
                <w:rFonts w:ascii="Arial" w:cs="Arial" w:eastAsia="Arial" w:hAnsi="Arial"/>
                <w:sz w:val="13"/>
                <w:szCs w:val="13"/>
                <w:color w:val="auto"/>
                <w:w w:val="99"/>
              </w:rPr>
              <w:t>$1.29 —– $1.29</w:t>
            </w:r>
          </w:p>
        </w:tc>
        <w:tc>
          <w:tcPr>
            <w:tcW w:w="1500" w:type="dxa"/>
            <w:vAlign w:val="bottom"/>
          </w:tcPr>
          <w:p>
            <w:pPr>
              <w:jc w:val="right"/>
              <w:ind w:right="58"/>
              <w:spacing w:after="0"/>
              <w:rPr>
                <w:sz w:val="20"/>
                <w:szCs w:val="20"/>
                <w:color w:val="auto"/>
              </w:rPr>
            </w:pPr>
            <w:r>
              <w:rPr>
                <w:rFonts w:ascii="Arial" w:cs="Arial" w:eastAsia="Arial" w:hAnsi="Arial"/>
                <w:sz w:val="13"/>
                <w:szCs w:val="13"/>
                <w:color w:val="auto"/>
              </w:rPr>
              <w:t>1,000</w:t>
            </w:r>
          </w:p>
        </w:tc>
        <w:tc>
          <w:tcPr>
            <w:tcW w:w="1600" w:type="dxa"/>
            <w:vAlign w:val="bottom"/>
            <w:gridSpan w:val="2"/>
          </w:tcPr>
          <w:p>
            <w:pPr>
              <w:jc w:val="center"/>
              <w:ind w:left="75"/>
              <w:spacing w:after="0"/>
              <w:rPr>
                <w:sz w:val="20"/>
                <w:szCs w:val="20"/>
                <w:color w:val="auto"/>
              </w:rPr>
            </w:pPr>
            <w:r>
              <w:rPr>
                <w:rFonts w:ascii="Arial" w:cs="Arial" w:eastAsia="Arial" w:hAnsi="Arial"/>
                <w:sz w:val="13"/>
                <w:szCs w:val="13"/>
                <w:color w:val="auto"/>
                <w:w w:val="99"/>
              </w:rPr>
              <w:t>5.3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8"/>
                <w:szCs w:val="18"/>
                <w:color w:val="auto"/>
              </w:rPr>
            </w:pPr>
          </w:p>
        </w:tc>
        <w:tc>
          <w:tcPr>
            <w:tcW w:w="1480" w:type="dxa"/>
            <w:vAlign w:val="bottom"/>
          </w:tcPr>
          <w:p>
            <w:pPr>
              <w:jc w:val="right"/>
              <w:ind w:right="58"/>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1.29</w:t>
            </w:r>
          </w:p>
        </w:tc>
      </w:tr>
      <w:tr>
        <w:trPr>
          <w:trHeight w:val="223"/>
        </w:trPr>
        <w:tc>
          <w:tcPr>
            <w:tcW w:w="35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9"/>
              </w:rPr>
              <w:t>$1.31 —– $1.31</w:t>
            </w: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1,652</w:t>
            </w:r>
          </w:p>
        </w:tc>
        <w:tc>
          <w:tcPr>
            <w:tcW w:w="1600" w:type="dxa"/>
            <w:vAlign w:val="bottom"/>
            <w:gridSpan w:val="2"/>
            <w:shd w:val="clear" w:color="auto" w:fill="CCEEFF"/>
          </w:tcPr>
          <w:p>
            <w:pPr>
              <w:jc w:val="center"/>
              <w:ind w:left="75"/>
              <w:spacing w:after="0"/>
              <w:rPr>
                <w:sz w:val="20"/>
                <w:szCs w:val="20"/>
                <w:color w:val="auto"/>
              </w:rPr>
            </w:pPr>
            <w:r>
              <w:rPr>
                <w:rFonts w:ascii="Arial" w:cs="Arial" w:eastAsia="Arial" w:hAnsi="Arial"/>
                <w:sz w:val="13"/>
                <w:szCs w:val="13"/>
                <w:color w:val="auto"/>
                <w:w w:val="99"/>
              </w:rPr>
              <w:t>4.8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1.31</w:t>
            </w:r>
          </w:p>
        </w:tc>
      </w:tr>
      <w:tr>
        <w:trPr>
          <w:trHeight w:val="208"/>
        </w:trPr>
        <w:tc>
          <w:tcPr>
            <w:tcW w:w="3560" w:type="dxa"/>
            <w:vAlign w:val="bottom"/>
            <w:gridSpan w:val="2"/>
          </w:tcPr>
          <w:p>
            <w:pPr>
              <w:jc w:val="center"/>
              <w:ind w:left="16"/>
              <w:spacing w:after="0"/>
              <w:rPr>
                <w:sz w:val="20"/>
                <w:szCs w:val="20"/>
                <w:color w:val="auto"/>
              </w:rPr>
            </w:pPr>
            <w:r>
              <w:rPr>
                <w:rFonts w:ascii="Arial" w:cs="Arial" w:eastAsia="Arial" w:hAnsi="Arial"/>
                <w:sz w:val="13"/>
                <w:szCs w:val="13"/>
                <w:color w:val="auto"/>
                <w:w w:val="99"/>
              </w:rPr>
              <w:t>$1.37 —– $7.50</w:t>
            </w:r>
          </w:p>
        </w:tc>
        <w:tc>
          <w:tcPr>
            <w:tcW w:w="1500" w:type="dxa"/>
            <w:vAlign w:val="bottom"/>
          </w:tcPr>
          <w:p>
            <w:pPr>
              <w:jc w:val="right"/>
              <w:ind w:right="58"/>
              <w:spacing w:after="0"/>
              <w:rPr>
                <w:sz w:val="20"/>
                <w:szCs w:val="20"/>
                <w:color w:val="auto"/>
              </w:rPr>
            </w:pPr>
            <w:r>
              <w:rPr>
                <w:rFonts w:ascii="Arial" w:cs="Arial" w:eastAsia="Arial" w:hAnsi="Arial"/>
                <w:sz w:val="13"/>
                <w:szCs w:val="13"/>
                <w:color w:val="auto"/>
              </w:rPr>
              <w:t>951</w:t>
            </w:r>
          </w:p>
        </w:tc>
        <w:tc>
          <w:tcPr>
            <w:tcW w:w="1600" w:type="dxa"/>
            <w:vAlign w:val="bottom"/>
            <w:gridSpan w:val="2"/>
          </w:tcPr>
          <w:p>
            <w:pPr>
              <w:jc w:val="center"/>
              <w:ind w:left="75"/>
              <w:spacing w:after="0"/>
              <w:rPr>
                <w:sz w:val="20"/>
                <w:szCs w:val="20"/>
                <w:color w:val="auto"/>
              </w:rPr>
            </w:pPr>
            <w:r>
              <w:rPr>
                <w:rFonts w:ascii="Arial" w:cs="Arial" w:eastAsia="Arial" w:hAnsi="Arial"/>
                <w:sz w:val="13"/>
                <w:szCs w:val="13"/>
                <w:color w:val="auto"/>
                <w:w w:val="99"/>
              </w:rPr>
              <w:t>3.8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8"/>
                <w:szCs w:val="18"/>
                <w:color w:val="auto"/>
              </w:rPr>
            </w:pPr>
          </w:p>
        </w:tc>
        <w:tc>
          <w:tcPr>
            <w:tcW w:w="1480" w:type="dxa"/>
            <w:vAlign w:val="bottom"/>
          </w:tcPr>
          <w:p>
            <w:pPr>
              <w:jc w:val="right"/>
              <w:ind w:right="58"/>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4.66</w:t>
            </w:r>
          </w:p>
        </w:tc>
      </w:tr>
      <w:tr>
        <w:trPr>
          <w:trHeight w:val="223"/>
        </w:trPr>
        <w:tc>
          <w:tcPr>
            <w:tcW w:w="35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rPr>
              <w:t>$7.68 —– $14.58</w:t>
            </w:r>
          </w:p>
        </w:tc>
        <w:tc>
          <w:tcPr>
            <w:tcW w:w="15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150</w:t>
            </w:r>
          </w:p>
        </w:tc>
        <w:tc>
          <w:tcPr>
            <w:tcW w:w="1600" w:type="dxa"/>
            <w:vAlign w:val="bottom"/>
            <w:gridSpan w:val="2"/>
            <w:shd w:val="clear" w:color="auto" w:fill="CCEEFF"/>
          </w:tcPr>
          <w:p>
            <w:pPr>
              <w:jc w:val="center"/>
              <w:ind w:left="75"/>
              <w:spacing w:after="0"/>
              <w:rPr>
                <w:sz w:val="20"/>
                <w:szCs w:val="20"/>
                <w:color w:val="auto"/>
              </w:rPr>
            </w:pPr>
            <w:r>
              <w:rPr>
                <w:rFonts w:ascii="Arial" w:cs="Arial" w:eastAsia="Arial" w:hAnsi="Arial"/>
                <w:sz w:val="13"/>
                <w:szCs w:val="13"/>
                <w:color w:val="auto"/>
                <w:w w:val="99"/>
              </w:rPr>
              <w:t>3.9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8"/>
              </w:rPr>
              <w:t>11.38</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10.25</w:t>
            </w:r>
          </w:p>
        </w:tc>
      </w:tr>
      <w:tr>
        <w:trPr>
          <w:trHeight w:val="182"/>
        </w:trPr>
        <w:tc>
          <w:tcPr>
            <w:tcW w:w="356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w:t>
            </w:r>
          </w:p>
        </w:tc>
        <w:tc>
          <w:tcPr>
            <w:tcW w:w="15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4,683</w:t>
            </w:r>
          </w:p>
        </w:tc>
        <w:tc>
          <w:tcPr>
            <w:tcW w:w="1600" w:type="dxa"/>
            <w:vAlign w:val="bottom"/>
            <w:gridSpan w:val="2"/>
          </w:tcPr>
          <w:p>
            <w:pPr>
              <w:jc w:val="center"/>
              <w:ind w:left="75"/>
              <w:spacing w:after="0"/>
              <w:rPr>
                <w:sz w:val="20"/>
                <w:szCs w:val="20"/>
                <w:color w:val="auto"/>
              </w:rPr>
            </w:pPr>
            <w:r>
              <w:rPr>
                <w:rFonts w:ascii="Arial" w:cs="Arial" w:eastAsia="Arial" w:hAnsi="Arial"/>
                <w:sz w:val="13"/>
                <w:szCs w:val="13"/>
                <w:color w:val="auto"/>
                <w:w w:val="99"/>
              </w:rPr>
              <w:t>4.8</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3,048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2.31</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21</w:t>
      </w:r>
    </w:p>
    <w:p>
      <w:pPr>
        <w:sectPr>
          <w:pgSz w:w="11900" w:h="16838" w:orient="portrait"/>
          <w:cols w:equalWidth="0" w:num="1">
            <w:col w:w="11420"/>
          </w:cols>
          <w:pgMar w:left="220" w:top="211" w:right="25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is a summary of RSU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gridSpan w:val="2"/>
          </w:tcPr>
          <w:p>
            <w:pPr>
              <w:jc w:val="center"/>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1100" w:type="dxa"/>
            <w:vAlign w:val="bottom"/>
          </w:tcPr>
          <w:p>
            <w:pPr>
              <w:jc w:val="center"/>
              <w:ind w:left="343"/>
              <w:spacing w:after="0"/>
              <w:rPr>
                <w:sz w:val="20"/>
                <w:szCs w:val="20"/>
                <w:color w:val="auto"/>
              </w:rPr>
            </w:pPr>
            <w:r>
              <w:rPr>
                <w:rFonts w:ascii="Arial" w:cs="Arial" w:eastAsia="Arial" w:hAnsi="Arial"/>
                <w:sz w:val="11"/>
                <w:szCs w:val="11"/>
                <w:b w:val="1"/>
                <w:bCs w:val="1"/>
                <w:color w:val="auto"/>
              </w:rPr>
              <w:t>Fair Value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Aggregate</w:t>
            </w: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jc w:val="center"/>
              <w:ind w:left="463"/>
              <w:spacing w:after="0"/>
              <w:rPr>
                <w:sz w:val="20"/>
                <w:szCs w:val="20"/>
                <w:color w:val="auto"/>
              </w:rPr>
            </w:pPr>
            <w:r>
              <w:rPr>
                <w:rFonts w:ascii="Arial" w:cs="Arial" w:eastAsia="Arial" w:hAnsi="Arial"/>
                <w:sz w:val="11"/>
                <w:szCs w:val="11"/>
                <w:b w:val="1"/>
                <w:bCs w:val="1"/>
                <w:color w:val="auto"/>
              </w:rPr>
              <w:t>Shares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43"/>
              <w:spacing w:after="0"/>
              <w:rPr>
                <w:sz w:val="20"/>
                <w:szCs w:val="20"/>
                <w:color w:val="auto"/>
              </w:rPr>
            </w:pPr>
            <w:r>
              <w:rPr>
                <w:rFonts w:ascii="Arial" w:cs="Arial" w:eastAsia="Arial" w:hAnsi="Arial"/>
                <w:sz w:val="11"/>
                <w:szCs w:val="11"/>
                <w:b w:val="1"/>
                <w:bCs w:val="1"/>
                <w:color w:val="auto"/>
              </w:rPr>
              <w:t>per Share at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Contractual</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Intrinsic</w:t>
            </w:r>
          </w:p>
        </w:tc>
      </w:tr>
      <w:tr>
        <w:trPr>
          <w:trHeight w:val="161"/>
        </w:trPr>
        <w:tc>
          <w:tcPr>
            <w:tcW w:w="7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ind w:left="323"/>
              <w:spacing w:after="0"/>
              <w:rPr>
                <w:sz w:val="20"/>
                <w:szCs w:val="20"/>
                <w:color w:val="auto"/>
              </w:rPr>
            </w:pPr>
            <w:r>
              <w:rPr>
                <w:rFonts w:ascii="Arial" w:cs="Arial" w:eastAsia="Arial" w:hAnsi="Arial"/>
                <w:sz w:val="11"/>
                <w:szCs w:val="11"/>
                <w:b w:val="1"/>
                <w:bCs w:val="1"/>
                <w:color w:val="auto"/>
              </w:rPr>
              <w:t>Grant Date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5"/>
              </w:rPr>
              <w:t xml:space="preserve">Value </w:t>
            </w:r>
            <w:r>
              <w:rPr>
                <w:rFonts w:ascii="Arial" w:cs="Arial" w:eastAsia="Arial" w:hAnsi="Arial"/>
                <w:sz w:val="14"/>
                <w:szCs w:val="14"/>
                <w:b w:val="1"/>
                <w:bCs w:val="1"/>
                <w:color w:val="auto"/>
                <w:w w:val="95"/>
                <w:vertAlign w:val="superscript"/>
              </w:rPr>
              <w:t>(1)</w:t>
            </w:r>
          </w:p>
        </w:tc>
      </w:tr>
      <w:tr>
        <w:trPr>
          <w:trHeight w:val="154"/>
        </w:trPr>
        <w:tc>
          <w:tcPr>
            <w:tcW w:w="7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w w:val="99"/>
              </w:rPr>
              <w:t>(Years)</w:t>
            </w:r>
          </w:p>
        </w:tc>
        <w:tc>
          <w:tcPr>
            <w:tcW w:w="240" w:type="dxa"/>
            <w:vAlign w:val="bottom"/>
          </w:tcPr>
          <w:p>
            <w:pPr>
              <w:spacing w:after="0"/>
              <w:rPr>
                <w:sz w:val="13"/>
                <w:szCs w:val="13"/>
                <w:color w:val="auto"/>
              </w:rPr>
            </w:pPr>
          </w:p>
        </w:tc>
        <w:tc>
          <w:tcPr>
            <w:tcW w:w="1220" w:type="dxa"/>
            <w:vAlign w:val="bottom"/>
          </w:tcPr>
          <w:p>
            <w:pPr>
              <w:jc w:val="center"/>
              <w:ind w:right="179"/>
              <w:spacing w:after="0"/>
              <w:rPr>
                <w:sz w:val="20"/>
                <w:szCs w:val="20"/>
                <w:color w:val="auto"/>
              </w:rPr>
            </w:pPr>
            <w:r>
              <w:rPr>
                <w:rFonts w:ascii="Arial" w:cs="Arial" w:eastAsia="Arial" w:hAnsi="Arial"/>
                <w:sz w:val="11"/>
                <w:szCs w:val="11"/>
                <w:i w:val="1"/>
                <w:iCs w:val="1"/>
                <w:color w:val="auto"/>
              </w:rPr>
              <w:t>(In thousands)</w:t>
            </w:r>
          </w:p>
        </w:tc>
      </w:tr>
      <w:tr>
        <w:trPr>
          <w:trHeight w:val="52"/>
        </w:trPr>
        <w:tc>
          <w:tcPr>
            <w:tcW w:w="7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61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Outstanding at December 31, 2018</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4,352</w:t>
            </w:r>
          </w:p>
        </w:tc>
        <w:tc>
          <w:tcPr>
            <w:tcW w:w="1220" w:type="dxa"/>
            <w:vAlign w:val="bottom"/>
            <w:gridSpan w:val="2"/>
            <w:shd w:val="clear" w:color="auto" w:fill="CCEEFF"/>
          </w:tcPr>
          <w:p>
            <w:pPr>
              <w:jc w:val="right"/>
              <w:ind w:right="963"/>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6140" w:type="dxa"/>
            <w:vAlign w:val="bottom"/>
            <w:gridSpan w:val="3"/>
          </w:tcPr>
          <w:p>
            <w:pPr>
              <w:ind w:left="220"/>
              <w:spacing w:after="0"/>
              <w:rPr>
                <w:sz w:val="20"/>
                <w:szCs w:val="20"/>
                <w:color w:val="auto"/>
              </w:rPr>
            </w:pPr>
            <w:r>
              <w:rPr>
                <w:rFonts w:ascii="Arial" w:cs="Arial" w:eastAsia="Arial" w:hAnsi="Arial"/>
                <w:sz w:val="13"/>
                <w:szCs w:val="13"/>
                <w:color w:val="auto"/>
              </w:rPr>
              <w:t>Granted</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1,682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614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Vested</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(1,044)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3.85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11,078</w:t>
            </w:r>
          </w:p>
        </w:tc>
      </w:tr>
      <w:tr>
        <w:trPr>
          <w:trHeight w:val="208"/>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Canceled</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(399)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ind w:right="55"/>
              <w:spacing w:after="0"/>
              <w:rPr>
                <w:sz w:val="20"/>
                <w:szCs w:val="20"/>
                <w:color w:val="auto"/>
              </w:rPr>
            </w:pPr>
            <w:r>
              <w:rPr>
                <w:rFonts w:ascii="Arial" w:cs="Arial" w:eastAsia="Arial" w:hAnsi="Arial"/>
                <w:sz w:val="13"/>
                <w:szCs w:val="13"/>
                <w:color w:val="auto"/>
              </w:rPr>
              <w:t>4.62</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r>
      <w:tr>
        <w:trPr>
          <w:trHeight w:val="19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June 30, 2019</w:t>
            </w: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4,591</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5.39</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83,691</w:t>
            </w:r>
          </w:p>
        </w:tc>
      </w:tr>
      <w:tr>
        <w:trPr>
          <w:trHeight w:val="20"/>
        </w:trPr>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6"/>
        </w:trPr>
        <w:tc>
          <w:tcPr>
            <w:tcW w:w="6140" w:type="dxa"/>
            <w:vAlign w:val="bottom"/>
            <w:gridSpan w:val="3"/>
          </w:tcPr>
          <w:p>
            <w:pPr>
              <w:ind w:left="20"/>
              <w:spacing w:after="0"/>
              <w:rPr>
                <w:sz w:val="20"/>
                <w:szCs w:val="20"/>
                <w:color w:val="auto"/>
              </w:rPr>
            </w:pPr>
            <w:r>
              <w:rPr>
                <w:rFonts w:ascii="Arial" w:cs="Arial" w:eastAsia="Arial" w:hAnsi="Arial"/>
                <w:sz w:val="13"/>
                <w:szCs w:val="13"/>
                <w:color w:val="auto"/>
              </w:rPr>
              <w:t>Expected to vest at June 30, 2019</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4,591</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9"/>
              </w:rPr>
              <w:t>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9"/>
              <w:spacing w:after="0"/>
              <w:rPr>
                <w:sz w:val="20"/>
                <w:szCs w:val="20"/>
                <w:color w:val="auto"/>
              </w:rPr>
            </w:pPr>
            <w:r>
              <w:rPr>
                <w:rFonts w:ascii="Arial" w:cs="Arial" w:eastAsia="Arial" w:hAnsi="Arial"/>
                <w:sz w:val="13"/>
                <w:szCs w:val="13"/>
                <w:color w:val="auto"/>
              </w:rPr>
              <w:t>83,691</w:t>
            </w:r>
          </w:p>
        </w:tc>
      </w:tr>
      <w:tr>
        <w:trPr>
          <w:trHeight w:val="20"/>
        </w:trPr>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83"/>
        </w:trPr>
        <w:tc>
          <w:tcPr>
            <w:tcW w:w="72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96" w:lineRule="exact"/>
        <w:rPr>
          <w:sz w:val="20"/>
          <w:szCs w:val="20"/>
          <w:color w:val="auto"/>
        </w:rPr>
      </w:pPr>
    </w:p>
    <w:p>
      <w:pPr>
        <w:jc w:val="both"/>
        <w:ind w:left="400" w:hanging="394"/>
        <w:spacing w:after="0" w:line="265"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intrinsic value of RSUs vested is based upon the value of the Company’s stock when vested. The intrinsic value of RSUs outstanding and expected to vest as of June 30, 2019 is based on the closing price of the Company’s stock on June 30, 2019 or the earlier of the last trading day prior to June 30, 2019, if June 30, 2019 is a non-trading day. The Company’s stock fair value used in this computation was $18.23 per share.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Stock Units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is a summary of PSU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gridSpan w:val="2"/>
          </w:tcPr>
          <w:p>
            <w:pPr>
              <w:jc w:val="center"/>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1100" w:type="dxa"/>
            <w:vAlign w:val="bottom"/>
          </w:tcPr>
          <w:p>
            <w:pPr>
              <w:jc w:val="center"/>
              <w:ind w:left="343"/>
              <w:spacing w:after="0"/>
              <w:rPr>
                <w:sz w:val="20"/>
                <w:szCs w:val="20"/>
                <w:color w:val="auto"/>
              </w:rPr>
            </w:pPr>
            <w:r>
              <w:rPr>
                <w:rFonts w:ascii="Arial" w:cs="Arial" w:eastAsia="Arial" w:hAnsi="Arial"/>
                <w:sz w:val="11"/>
                <w:szCs w:val="11"/>
                <w:b w:val="1"/>
                <w:bCs w:val="1"/>
                <w:color w:val="auto"/>
              </w:rPr>
              <w:t>Fair Value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40" w:type="dxa"/>
            <w:vAlign w:val="bottom"/>
          </w:tcPr>
          <w:p>
            <w:pPr>
              <w:spacing w:after="0"/>
              <w:rPr>
                <w:sz w:val="11"/>
                <w:szCs w:val="11"/>
                <w:color w:val="auto"/>
              </w:rPr>
            </w:pPr>
          </w:p>
        </w:tc>
        <w:tc>
          <w:tcPr>
            <w:tcW w:w="1220" w:type="dxa"/>
            <w:vAlign w:val="bottom"/>
          </w:tcPr>
          <w:p>
            <w:pPr>
              <w:jc w:val="center"/>
              <w:ind w:right="160"/>
              <w:spacing w:after="0"/>
              <w:rPr>
                <w:sz w:val="20"/>
                <w:szCs w:val="20"/>
                <w:color w:val="auto"/>
              </w:rPr>
            </w:pPr>
            <w:r>
              <w:rPr>
                <w:rFonts w:ascii="Arial" w:cs="Arial" w:eastAsia="Arial" w:hAnsi="Arial"/>
                <w:sz w:val="11"/>
                <w:szCs w:val="11"/>
                <w:b w:val="1"/>
                <w:bCs w:val="1"/>
                <w:color w:val="auto"/>
              </w:rPr>
              <w:t>Aggregate</w:t>
            </w: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jc w:val="center"/>
              <w:ind w:left="463"/>
              <w:spacing w:after="0"/>
              <w:rPr>
                <w:sz w:val="20"/>
                <w:szCs w:val="20"/>
                <w:color w:val="auto"/>
              </w:rPr>
            </w:pPr>
            <w:r>
              <w:rPr>
                <w:rFonts w:ascii="Arial" w:cs="Arial" w:eastAsia="Arial" w:hAnsi="Arial"/>
                <w:sz w:val="11"/>
                <w:szCs w:val="11"/>
                <w:b w:val="1"/>
                <w:bCs w:val="1"/>
                <w:color w:val="auto"/>
              </w:rPr>
              <w:t>Shares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43"/>
              <w:spacing w:after="0"/>
              <w:rPr>
                <w:sz w:val="20"/>
                <w:szCs w:val="20"/>
                <w:color w:val="auto"/>
              </w:rPr>
            </w:pPr>
            <w:r>
              <w:rPr>
                <w:rFonts w:ascii="Arial" w:cs="Arial" w:eastAsia="Arial" w:hAnsi="Arial"/>
                <w:sz w:val="11"/>
                <w:szCs w:val="11"/>
                <w:b w:val="1"/>
                <w:bCs w:val="1"/>
                <w:color w:val="auto"/>
              </w:rPr>
              <w:t>per Share at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Contractual</w:t>
            </w:r>
          </w:p>
        </w:tc>
        <w:tc>
          <w:tcPr>
            <w:tcW w:w="240" w:type="dxa"/>
            <w:vAlign w:val="bottom"/>
          </w:tcPr>
          <w:p>
            <w:pPr>
              <w:spacing w:after="0"/>
              <w:rPr>
                <w:sz w:val="11"/>
                <w:szCs w:val="11"/>
                <w:color w:val="auto"/>
              </w:rPr>
            </w:pPr>
          </w:p>
        </w:tc>
        <w:tc>
          <w:tcPr>
            <w:tcW w:w="1220" w:type="dxa"/>
            <w:vAlign w:val="bottom"/>
          </w:tcPr>
          <w:p>
            <w:pPr>
              <w:jc w:val="center"/>
              <w:ind w:right="160"/>
              <w:spacing w:after="0"/>
              <w:rPr>
                <w:sz w:val="20"/>
                <w:szCs w:val="20"/>
                <w:color w:val="auto"/>
              </w:rPr>
            </w:pPr>
            <w:r>
              <w:rPr>
                <w:rFonts w:ascii="Arial" w:cs="Arial" w:eastAsia="Arial" w:hAnsi="Arial"/>
                <w:sz w:val="11"/>
                <w:szCs w:val="11"/>
                <w:b w:val="1"/>
                <w:bCs w:val="1"/>
                <w:color w:val="auto"/>
              </w:rPr>
              <w:t>Intrinsic</w:t>
            </w:r>
          </w:p>
        </w:tc>
      </w:tr>
      <w:tr>
        <w:trPr>
          <w:trHeight w:val="161"/>
        </w:trPr>
        <w:tc>
          <w:tcPr>
            <w:tcW w:w="7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ind w:left="323"/>
              <w:spacing w:after="0"/>
              <w:rPr>
                <w:sz w:val="20"/>
                <w:szCs w:val="20"/>
                <w:color w:val="auto"/>
              </w:rPr>
            </w:pPr>
            <w:r>
              <w:rPr>
                <w:rFonts w:ascii="Arial" w:cs="Arial" w:eastAsia="Arial" w:hAnsi="Arial"/>
                <w:sz w:val="11"/>
                <w:szCs w:val="11"/>
                <w:b w:val="1"/>
                <w:bCs w:val="1"/>
                <w:color w:val="auto"/>
              </w:rPr>
              <w:t>Grant Date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80"/>
              <w:spacing w:after="0"/>
              <w:rPr>
                <w:sz w:val="20"/>
                <w:szCs w:val="20"/>
                <w:color w:val="auto"/>
              </w:rPr>
            </w:pPr>
            <w:r>
              <w:rPr>
                <w:rFonts w:ascii="Arial" w:cs="Arial" w:eastAsia="Arial" w:hAnsi="Arial"/>
                <w:sz w:val="11"/>
                <w:szCs w:val="11"/>
                <w:b w:val="1"/>
                <w:bCs w:val="1"/>
                <w:color w:val="auto"/>
                <w:w w:val="95"/>
              </w:rPr>
              <w:t xml:space="preserve">Value </w:t>
            </w:r>
            <w:r>
              <w:rPr>
                <w:rFonts w:ascii="Arial" w:cs="Arial" w:eastAsia="Arial" w:hAnsi="Arial"/>
                <w:sz w:val="14"/>
                <w:szCs w:val="14"/>
                <w:b w:val="1"/>
                <w:bCs w:val="1"/>
                <w:color w:val="auto"/>
                <w:w w:val="95"/>
                <w:vertAlign w:val="superscript"/>
              </w:rPr>
              <w:t>(1)</w:t>
            </w:r>
          </w:p>
        </w:tc>
      </w:tr>
      <w:tr>
        <w:trPr>
          <w:trHeight w:val="154"/>
        </w:trPr>
        <w:tc>
          <w:tcPr>
            <w:tcW w:w="7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w w:val="99"/>
              </w:rPr>
              <w:t>(Years)</w:t>
            </w:r>
          </w:p>
        </w:tc>
        <w:tc>
          <w:tcPr>
            <w:tcW w:w="240" w:type="dxa"/>
            <w:vAlign w:val="bottom"/>
          </w:tcPr>
          <w:p>
            <w:pPr>
              <w:spacing w:after="0"/>
              <w:rPr>
                <w:sz w:val="13"/>
                <w:szCs w:val="13"/>
                <w:color w:val="auto"/>
              </w:rPr>
            </w:pPr>
          </w:p>
        </w:tc>
        <w:tc>
          <w:tcPr>
            <w:tcW w:w="1220" w:type="dxa"/>
            <w:vAlign w:val="bottom"/>
          </w:tcPr>
          <w:p>
            <w:pPr>
              <w:jc w:val="center"/>
              <w:ind w:right="180"/>
              <w:spacing w:after="0"/>
              <w:rPr>
                <w:sz w:val="20"/>
                <w:szCs w:val="20"/>
                <w:color w:val="auto"/>
              </w:rPr>
            </w:pPr>
            <w:r>
              <w:rPr>
                <w:rFonts w:ascii="Arial" w:cs="Arial" w:eastAsia="Arial" w:hAnsi="Arial"/>
                <w:sz w:val="11"/>
                <w:szCs w:val="11"/>
                <w:i w:val="1"/>
                <w:iCs w:val="1"/>
                <w:color w:val="auto"/>
              </w:rPr>
              <w:t>(In thousands)</w:t>
            </w:r>
          </w:p>
        </w:tc>
      </w:tr>
      <w:tr>
        <w:trPr>
          <w:trHeight w:val="52"/>
        </w:trPr>
        <w:tc>
          <w:tcPr>
            <w:tcW w:w="7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61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Outstanding at December 31, 2018</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1,330</w:t>
            </w:r>
          </w:p>
        </w:tc>
        <w:tc>
          <w:tcPr>
            <w:tcW w:w="1220" w:type="dxa"/>
            <w:vAlign w:val="bottom"/>
            <w:gridSpan w:val="2"/>
            <w:shd w:val="clear" w:color="auto" w:fill="CCEEFF"/>
          </w:tcPr>
          <w:p>
            <w:pPr>
              <w:jc w:val="right"/>
              <w:ind w:right="963"/>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6140" w:type="dxa"/>
            <w:vAlign w:val="bottom"/>
            <w:gridSpan w:val="3"/>
          </w:tcPr>
          <w:p>
            <w:pPr>
              <w:ind w:left="220"/>
              <w:spacing w:after="0"/>
              <w:rPr>
                <w:sz w:val="20"/>
                <w:szCs w:val="20"/>
                <w:color w:val="auto"/>
              </w:rPr>
            </w:pPr>
            <w:r>
              <w:rPr>
                <w:rFonts w:ascii="Arial" w:cs="Arial" w:eastAsia="Arial" w:hAnsi="Arial"/>
                <w:sz w:val="13"/>
                <w:szCs w:val="13"/>
                <w:color w:val="auto"/>
              </w:rPr>
              <w:t>Granted</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1,046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614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Vested</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9,925</w:t>
            </w:r>
          </w:p>
        </w:tc>
      </w:tr>
      <w:tr>
        <w:trPr>
          <w:trHeight w:val="208"/>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Canceled</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(355)</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ind w:right="55"/>
              <w:spacing w:after="0"/>
              <w:rPr>
                <w:sz w:val="20"/>
                <w:szCs w:val="20"/>
                <w:color w:val="auto"/>
              </w:rPr>
            </w:pPr>
            <w:r>
              <w:rPr>
                <w:rFonts w:ascii="Arial" w:cs="Arial" w:eastAsia="Arial" w:hAnsi="Arial"/>
                <w:sz w:val="13"/>
                <w:szCs w:val="13"/>
                <w:color w:val="auto"/>
              </w:rPr>
              <w:t>4.98</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r>
      <w:tr>
        <w:trPr>
          <w:trHeight w:val="190"/>
        </w:trPr>
        <w:tc>
          <w:tcPr>
            <w:tcW w:w="61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Outstanding at June 30, 2019</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995</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9.55</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18,137</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83"/>
        </w:trPr>
        <w:tc>
          <w:tcPr>
            <w:tcW w:w="72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96" w:lineRule="exact"/>
        <w:rPr>
          <w:sz w:val="20"/>
          <w:szCs w:val="20"/>
          <w:color w:val="auto"/>
        </w:rPr>
      </w:pPr>
    </w:p>
    <w:p>
      <w:pPr>
        <w:jc w:val="both"/>
        <w:ind w:left="400" w:right="20" w:hanging="394"/>
        <w:spacing w:after="0" w:line="265" w:lineRule="auto"/>
        <w:tabs>
          <w:tab w:leader="none" w:pos="4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intrinsic value of PSUs vested is based upon the value of the Company’s stock when vested. The intrinsic value of PSUs outstanding and expected to vest as of June 30, 2019 is based on the closing price of the Company’s stock on June 30, 2019 or the earlier of the last trading day prior to June 30, 2019, if June 30, 2019 is a non-trading day. The Company’s stock fair value used in this computation was $18.23 per share.</w:t>
      </w:r>
    </w:p>
    <w:p>
      <w:pPr>
        <w:spacing w:after="0" w:line="182" w:lineRule="exact"/>
        <w:rPr>
          <w:sz w:val="20"/>
          <w:szCs w:val="20"/>
          <w:color w:val="auto"/>
        </w:rPr>
      </w:pPr>
    </w:p>
    <w:p>
      <w:pPr>
        <w:ind w:left="400" w:hanging="394"/>
        <w:spacing w:after="0"/>
        <w:tabs>
          <w:tab w:leader="none" w:pos="40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02" w:lineRule="exact"/>
        <w:rPr>
          <w:sz w:val="20"/>
          <w:szCs w:val="20"/>
          <w:color w:val="auto"/>
        </w:rPr>
      </w:pPr>
    </w:p>
    <w:p>
      <w:pPr>
        <w:ind w:right="20" w:firstLine="388"/>
        <w:spacing w:after="0" w:line="265" w:lineRule="auto"/>
        <w:rPr>
          <w:sz w:val="20"/>
          <w:szCs w:val="20"/>
          <w:color w:val="auto"/>
        </w:rPr>
      </w:pPr>
      <w:r>
        <w:rPr>
          <w:rFonts w:ascii="Arial" w:cs="Arial" w:eastAsia="Arial" w:hAnsi="Arial"/>
          <w:sz w:val="14"/>
          <w:szCs w:val="14"/>
          <w:color w:val="auto"/>
        </w:rPr>
        <w:t>The Company used the discrete tax approach in calculating the tax expense for the three and six months ended June 30, 2019 and 2018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346075</wp:posOffset>
            </wp:positionV>
            <wp:extent cx="708977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22</w:t>
      </w:r>
    </w:p>
    <w:p>
      <w:pPr>
        <w:sectPr>
          <w:pgSz w:w="11900" w:h="16838" w:orient="portrait"/>
          <w:cols w:equalWidth="0" w:num="1">
            <w:col w:w="11420"/>
          </w:cols>
          <w:pgMar w:left="220" w:top="211" w:right="25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51" w:lineRule="exact"/>
        <w:rPr>
          <w:sz w:val="20"/>
          <w:szCs w:val="20"/>
          <w:color w:val="auto"/>
        </w:rPr>
      </w:pPr>
    </w:p>
    <w:p>
      <w:pPr>
        <w:ind w:right="180" w:firstLine="388"/>
        <w:spacing w:after="0" w:line="261" w:lineRule="auto"/>
        <w:rPr>
          <w:sz w:val="20"/>
          <w:szCs w:val="20"/>
          <w:color w:val="auto"/>
        </w:rPr>
      </w:pPr>
      <w:r>
        <w:rPr>
          <w:rFonts w:ascii="Arial" w:cs="Arial" w:eastAsia="Arial" w:hAnsi="Arial"/>
          <w:sz w:val="14"/>
          <w:szCs w:val="14"/>
          <w:color w:val="auto"/>
        </w:rPr>
        <w:t>The Company intends to continue maintaining a full valuation allowance on its deferred tax assets until there is sufficient evidence to support the reversal of all or some portion of these allowances. If the Company continues to maintain profitability, there is a reasonable possibility that, within the next 12 months, sufficient positive evidence may become available to reach a conclusion that a significant portion, or all, of the valuation allowance will no longer be needed. As such, the Company may release a significant portion, or all, of its valuation allowance against its deferred tax assets within the next 12 months. This release, if any, would result in the recognition of certain deferred tax assets and a decrease to income tax expense for the period such release is recorded.</w:t>
      </w:r>
    </w:p>
    <w:p>
      <w:pPr>
        <w:spacing w:after="0" w:line="98" w:lineRule="exact"/>
        <w:rPr>
          <w:sz w:val="20"/>
          <w:szCs w:val="20"/>
          <w:color w:val="auto"/>
        </w:rPr>
      </w:pPr>
    </w:p>
    <w:p>
      <w:pPr>
        <w:ind w:left="400" w:hanging="394"/>
        <w:spacing w:after="0"/>
        <w:tabs>
          <w:tab w:leader="none" w:pos="40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NET INCOME (LOSS) PER SHARE</w:t>
      </w:r>
    </w:p>
    <w:p>
      <w:pPr>
        <w:spacing w:after="0" w:line="202" w:lineRule="exact"/>
        <w:rPr>
          <w:sz w:val="20"/>
          <w:szCs w:val="20"/>
          <w:color w:val="auto"/>
        </w:rPr>
      </w:pPr>
    </w:p>
    <w:p>
      <w:pPr>
        <w:ind w:right="20" w:firstLine="388"/>
        <w:spacing w:after="0" w:line="260" w:lineRule="auto"/>
        <w:rPr>
          <w:sz w:val="20"/>
          <w:szCs w:val="20"/>
          <w:color w:val="auto"/>
        </w:rPr>
      </w:pPr>
      <w:r>
        <w:rPr>
          <w:rFonts w:ascii="Arial" w:cs="Arial" w:eastAsia="Arial" w:hAnsi="Arial"/>
          <w:sz w:val="14"/>
          <w:szCs w:val="14"/>
          <w:color w:val="auto"/>
        </w:rPr>
        <w:t>Basic net income (loss) per share is computed by dividing net income (loss) by the weighted average number of shares of common stock outstanding during the period. Diluted net income (loss) per share is computed in a similar manner, but it also includes the effect of potential common shares outstanding during the period, when dilutive. Potential common shares include stock options, RSUs, PSUs, shares to be purchased under the Company’s employee stock purchase program (“ESPP”), and the Notes due 2023. The dilutive effect of potentially dilutive common shares is reflected in diluted earnings per share by application of the treasury stock method for stock options, RSUs, PSUs and shares to be purchased under the ESPP, and by application of the if-converted method for the Notes due 2023. To the extent these potential common shares are antidilutive, they are excluded from the calculation of diluted net income (loss) per share.</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presents the computation of basic and diluted net income (loss) per share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20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59"/>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1"/>
                <w:szCs w:val="11"/>
                <w:i w:val="1"/>
                <w:iCs w:val="1"/>
                <w:color w:val="auto"/>
              </w:rPr>
              <w:t>(In thousands, except per share data)</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10,618</w:t>
            </w:r>
          </w:p>
        </w:tc>
        <w:tc>
          <w:tcPr>
            <w:tcW w:w="120" w:type="dxa"/>
            <w:vAlign w:val="bottom"/>
          </w:tcPr>
          <w:p>
            <w:pPr>
              <w:spacing w:after="0"/>
              <w:rPr>
                <w:sz w:val="18"/>
                <w:szCs w:val="18"/>
                <w:color w:val="auto"/>
              </w:rPr>
            </w:pPr>
          </w:p>
        </w:tc>
        <w:tc>
          <w:tcPr>
            <w:tcW w:w="5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(3,738)</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13,383</w:t>
            </w:r>
          </w:p>
        </w:tc>
        <w:tc>
          <w:tcPr>
            <w:tcW w:w="120" w:type="dxa"/>
            <w:vAlign w:val="bottom"/>
          </w:tcPr>
          <w:p>
            <w:pPr>
              <w:spacing w:after="0"/>
              <w:rPr>
                <w:sz w:val="18"/>
                <w:szCs w:val="18"/>
                <w:color w:val="auto"/>
              </w:rPr>
            </w:pPr>
          </w:p>
        </w:tc>
        <w:tc>
          <w:tcPr>
            <w:tcW w:w="520" w:type="dxa"/>
            <w:vAlign w:val="bottom"/>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(8,866)</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Notes due 2023 interest and financing costs,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Adjusted net income (loss)</w:t>
            </w: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11,048</w:t>
            </w:r>
          </w:p>
        </w:tc>
        <w:tc>
          <w:tcPr>
            <w:tcW w:w="120" w:type="dxa"/>
            <w:vAlign w:val="bottom"/>
            <w:tcBorders>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(3,738)</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14,389</w:t>
            </w:r>
          </w:p>
        </w:tc>
        <w:tc>
          <w:tcPr>
            <w:tcW w:w="120" w:type="dxa"/>
            <w:vAlign w:val="bottom"/>
            <w:tcBorders>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(8,866)</w:t>
            </w:r>
          </w:p>
        </w:tc>
      </w:tr>
      <w:tr>
        <w:trPr>
          <w:trHeight w:val="234"/>
        </w:trPr>
        <w:tc>
          <w:tcPr>
            <w:tcW w:w="5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Denominator: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used in basic per share amounts: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2"/>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Weighted average common shares outstanding</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113,677</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97,321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110,951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94,026</w:t>
            </w:r>
          </w:p>
        </w:tc>
      </w:tr>
      <w:tr>
        <w:trPr>
          <w:trHeight w:val="212"/>
        </w:trPr>
        <w:tc>
          <w:tcPr>
            <w:tcW w:w="5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Shares used in diluted per share amounts: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common shares outstanding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113,677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97,321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110,951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94,026</w:t>
            </w: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Effect of dilutive securities: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Employee stock-based awards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Notes due 2023</w:t>
            </w:r>
          </w:p>
        </w:tc>
        <w:tc>
          <w:tcPr>
            <w:tcW w:w="36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8,734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10,209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190"/>
        </w:trPr>
        <w:tc>
          <w:tcPr>
            <w:tcW w:w="51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Weighted average common shares outstanding for diluted calculation</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130,737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97,321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129,400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94,026</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4"/>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Basic and diluted net income (loss) per share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2"/>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 per share, basic</w:t>
            </w: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0.09</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(0.04)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0.12</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(0.09)</w:t>
            </w:r>
          </w:p>
        </w:tc>
      </w:tr>
      <w:tr>
        <w:trPr>
          <w:trHeight w:val="16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per share, diluted</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0.08</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(0.04)</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0.11</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(0.09)</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23</w:t>
      </w:r>
    </w:p>
    <w:p>
      <w:pPr>
        <w:sectPr>
          <w:pgSz w:w="11900" w:h="16838" w:orient="portrait"/>
          <w:cols w:equalWidth="0" w:num="1">
            <w:col w:w="11460"/>
          </w:cols>
          <w:pgMar w:left="220" w:top="211" w:right="21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80" w:firstLine="388"/>
        <w:spacing w:after="0" w:line="273" w:lineRule="auto"/>
        <w:rPr>
          <w:sz w:val="20"/>
          <w:szCs w:val="20"/>
          <w:color w:val="auto"/>
        </w:rPr>
      </w:pPr>
      <w:r>
        <w:rPr>
          <w:rFonts w:ascii="Arial" w:cs="Arial" w:eastAsia="Arial" w:hAnsi="Arial"/>
          <w:sz w:val="14"/>
          <w:szCs w:val="14"/>
          <w:color w:val="auto"/>
        </w:rPr>
        <w:t>The following outstanding shares of common stock equivalents were excluded from the calculation of the diluted net income (loss) per share attributable to common stockholders because their effect would have been antidilutive.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40" w:type="dxa"/>
            <w:vAlign w:val="bottom"/>
          </w:tcPr>
          <w:p>
            <w:pPr>
              <w:jc w:val="center"/>
              <w:ind w:left="421"/>
              <w:spacing w:after="0"/>
              <w:rPr>
                <w:sz w:val="20"/>
                <w:szCs w:val="20"/>
                <w:color w:val="auto"/>
              </w:rPr>
            </w:pPr>
            <w:r>
              <w:rPr>
                <w:rFonts w:ascii="Arial" w:cs="Arial" w:eastAsia="Arial" w:hAnsi="Arial"/>
                <w:sz w:val="11"/>
                <w:szCs w:val="11"/>
                <w:b w:val="1"/>
                <w:bCs w:val="1"/>
                <w:color w:val="auto"/>
              </w:rPr>
              <w:t>Six Months Ended</w:t>
            </w:r>
          </w:p>
        </w:tc>
        <w:tc>
          <w:tcPr>
            <w:tcW w:w="96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left="481"/>
              <w:spacing w:after="0"/>
              <w:rPr>
                <w:sz w:val="20"/>
                <w:szCs w:val="20"/>
                <w:color w:val="auto"/>
              </w:rPr>
            </w:pPr>
            <w:r>
              <w:rPr>
                <w:rFonts w:ascii="Arial" w:cs="Arial" w:eastAsia="Arial" w:hAnsi="Arial"/>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r>
      <w:tr>
        <w:trPr>
          <w:trHeight w:val="206"/>
        </w:trPr>
        <w:tc>
          <w:tcPr>
            <w:tcW w:w="61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2019</w:t>
            </w:r>
          </w:p>
        </w:tc>
        <w:tc>
          <w:tcPr>
            <w:tcW w:w="1240" w:type="dxa"/>
            <w:vAlign w:val="bottom"/>
          </w:tcPr>
          <w:p>
            <w:pPr>
              <w:spacing w:after="0"/>
              <w:rPr>
                <w:sz w:val="17"/>
                <w:szCs w:val="17"/>
                <w:color w:val="auto"/>
              </w:rPr>
            </w:pPr>
          </w:p>
        </w:tc>
        <w:tc>
          <w:tcPr>
            <w:tcW w:w="940" w:type="dxa"/>
            <w:vAlign w:val="bottom"/>
          </w:tcPr>
          <w:p>
            <w:pPr>
              <w:jc w:val="right"/>
              <w:ind w:right="560"/>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jc w:val="right"/>
              <w:ind w:right="1181"/>
              <w:spacing w:after="0"/>
              <w:rPr>
                <w:sz w:val="20"/>
                <w:szCs w:val="20"/>
                <w:color w:val="auto"/>
              </w:rPr>
            </w:pPr>
            <w:r>
              <w:rPr>
                <w:rFonts w:ascii="Arial" w:cs="Arial" w:eastAsia="Arial" w:hAnsi="Arial"/>
                <w:sz w:val="11"/>
                <w:szCs w:val="11"/>
                <w:b w:val="1"/>
                <w:bCs w:val="1"/>
                <w:color w:val="auto"/>
              </w:rPr>
              <w:t>2019</w:t>
            </w:r>
          </w:p>
        </w:tc>
        <w:tc>
          <w:tcPr>
            <w:tcW w:w="960" w:type="dxa"/>
            <w:vAlign w:val="bottom"/>
          </w:tcPr>
          <w:p>
            <w:pPr>
              <w:jc w:val="right"/>
              <w:ind w:right="539"/>
              <w:spacing w:after="0"/>
              <w:rPr>
                <w:sz w:val="20"/>
                <w:szCs w:val="20"/>
                <w:color w:val="auto"/>
              </w:rPr>
            </w:pPr>
            <w:r>
              <w:rPr>
                <w:rFonts w:ascii="Arial" w:cs="Arial" w:eastAsia="Arial" w:hAnsi="Arial"/>
                <w:sz w:val="11"/>
                <w:szCs w:val="11"/>
                <w:b w:val="1"/>
                <w:bCs w:val="1"/>
                <w:color w:val="auto"/>
              </w:rPr>
              <w:t>2018</w:t>
            </w:r>
          </w:p>
        </w:tc>
      </w:tr>
      <w:tr>
        <w:trPr>
          <w:trHeight w:val="159"/>
        </w:trPr>
        <w:tc>
          <w:tcPr>
            <w:tcW w:w="51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3"/>
          </w:tcPr>
          <w:p>
            <w:pPr>
              <w:ind w:left="620"/>
              <w:spacing w:after="0"/>
              <w:rPr>
                <w:sz w:val="20"/>
                <w:szCs w:val="20"/>
                <w:color w:val="auto"/>
              </w:rPr>
            </w:pPr>
            <w:r>
              <w:rPr>
                <w:rFonts w:ascii="Arial" w:cs="Arial" w:eastAsia="Arial" w:hAnsi="Arial"/>
                <w:sz w:val="11"/>
                <w:szCs w:val="11"/>
                <w:i w:val="1"/>
                <w:iCs w:val="1"/>
                <w:color w:val="auto"/>
              </w:rPr>
              <w:t>(In thousands)</w:t>
            </w:r>
          </w:p>
        </w:tc>
        <w:tc>
          <w:tcPr>
            <w:tcW w:w="16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41"/>
        </w:trPr>
        <w:tc>
          <w:tcPr>
            <w:tcW w:w="5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6"/>
        </w:trPr>
        <w:tc>
          <w:tcPr>
            <w:tcW w:w="6100" w:type="dxa"/>
            <w:vAlign w:val="bottom"/>
            <w:gridSpan w:val="2"/>
            <w:shd w:val="clear" w:color="auto" w:fill="CCEEFF"/>
          </w:tcPr>
          <w:p>
            <w:pPr>
              <w:jc w:val="right"/>
              <w:ind w:right="4320"/>
              <w:spacing w:after="0"/>
              <w:rPr>
                <w:sz w:val="20"/>
                <w:szCs w:val="20"/>
                <w:color w:val="auto"/>
              </w:rPr>
            </w:pPr>
            <w:r>
              <w:rPr>
                <w:rFonts w:ascii="Arial" w:cs="Arial" w:eastAsia="Arial" w:hAnsi="Arial"/>
                <w:sz w:val="13"/>
                <w:szCs w:val="13"/>
                <w:color w:val="auto"/>
                <w:w w:val="99"/>
              </w:rPr>
              <w:t>Employee stock-based awards</w:t>
            </w:r>
          </w:p>
        </w:tc>
        <w:tc>
          <w:tcPr>
            <w:tcW w:w="1240" w:type="dxa"/>
            <w:vAlign w:val="bottom"/>
            <w:shd w:val="clear" w:color="auto" w:fill="CCEEFF"/>
          </w:tcPr>
          <w:p>
            <w:pPr>
              <w:jc w:val="right"/>
              <w:ind w:right="740"/>
              <w:spacing w:after="0"/>
              <w:rPr>
                <w:sz w:val="20"/>
                <w:szCs w:val="20"/>
                <w:color w:val="auto"/>
              </w:rPr>
            </w:pPr>
            <w:r>
              <w:rPr>
                <w:rFonts w:ascii="Arial" w:cs="Arial" w:eastAsia="Arial" w:hAnsi="Arial"/>
                <w:sz w:val="13"/>
                <w:szCs w:val="13"/>
                <w:color w:val="auto"/>
              </w:rPr>
              <w:t>66</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13,812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681"/>
              <w:spacing w:after="0"/>
              <w:rPr>
                <w:sz w:val="20"/>
                <w:szCs w:val="20"/>
                <w:color w:val="auto"/>
              </w:rPr>
            </w:pPr>
            <w:r>
              <w:rPr>
                <w:rFonts w:ascii="Arial" w:cs="Arial" w:eastAsia="Arial" w:hAnsi="Arial"/>
                <w:sz w:val="13"/>
                <w:szCs w:val="13"/>
                <w:color w:val="auto"/>
              </w:rPr>
              <w:t>77</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12,949</w:t>
            </w:r>
          </w:p>
        </w:tc>
      </w:tr>
    </w:tbl>
    <w:p>
      <w:pPr>
        <w:spacing w:after="0" w:line="344" w:lineRule="exact"/>
        <w:rPr>
          <w:sz w:val="20"/>
          <w:szCs w:val="20"/>
          <w:color w:val="auto"/>
        </w:rPr>
      </w:pPr>
    </w:p>
    <w:p>
      <w:pPr>
        <w:ind w:right="120" w:firstLine="388"/>
        <w:spacing w:after="0" w:line="265" w:lineRule="auto"/>
        <w:rPr>
          <w:sz w:val="20"/>
          <w:szCs w:val="20"/>
          <w:color w:val="auto"/>
        </w:rPr>
      </w:pPr>
      <w:r>
        <w:rPr>
          <w:rFonts w:ascii="Arial" w:cs="Arial" w:eastAsia="Arial" w:hAnsi="Arial"/>
          <w:sz w:val="14"/>
          <w:szCs w:val="14"/>
          <w:color w:val="auto"/>
        </w:rPr>
        <w:t>Diluted earnings per shares for the three and six months ended June 30, 2019 includes the dilutive effect of stock options, RSUs, PSUs, and shares to be purchased under the ESPP, and the Notes due 2023. Certain common stock issuable under stock options, RSUs, PSUs, the Notes due 2024, and warrants issued in conjunction with the Notes due 2024, have been omitted from the diluted net income per share calculation because including such shares would have been antidilutive.</w:t>
      </w:r>
    </w:p>
    <w:p>
      <w:pPr>
        <w:spacing w:after="0" w:line="156" w:lineRule="exact"/>
        <w:rPr>
          <w:sz w:val="20"/>
          <w:szCs w:val="20"/>
          <w:color w:val="auto"/>
        </w:rPr>
      </w:pPr>
    </w:p>
    <w:p>
      <w:pPr>
        <w:ind w:right="20" w:firstLine="388"/>
        <w:spacing w:after="0" w:line="259" w:lineRule="auto"/>
        <w:rPr>
          <w:sz w:val="20"/>
          <w:szCs w:val="20"/>
          <w:color w:val="auto"/>
        </w:rPr>
      </w:pPr>
      <w:r>
        <w:rPr>
          <w:rFonts w:ascii="Arial" w:cs="Arial" w:eastAsia="Arial" w:hAnsi="Arial"/>
          <w:sz w:val="14"/>
          <w:szCs w:val="14"/>
          <w:color w:val="auto"/>
        </w:rPr>
        <w:t>Since the Company has the intent and ability to settle the aggregate principal amount of the Notes due 2024 in cash and any excess in shares of the Company’s common stock, the Company uses the treasury stock method for calculating any potential dilutive effect of the conversion spread on diluted net income per share, if applicable. In order to compute the dilutive effect, the number of shares included in the denominator of diluted net income per share is determined by dividing the conversion spread value of the “in-the-money” Notes due 2024 by the Company’s average share price during the period and including the resulting share amount in the diluted net income per share denominator. The conversion spread will have a dilutive impact on net income per share of common stock when the average market price of the Company’s common stock for a given period exceeds the conversion price of $20.5010 per share for the Notes due 2024. The Company’s weighted average common stock price since the issuance of the Notes due 2024 was below the conversion price, resulting in no impact on diluted net income per share.</w:t>
      </w:r>
    </w:p>
    <w:p>
      <w:pPr>
        <w:spacing w:after="0" w:line="163" w:lineRule="exact"/>
        <w:rPr>
          <w:sz w:val="20"/>
          <w:szCs w:val="20"/>
          <w:color w:val="auto"/>
        </w:rPr>
      </w:pPr>
    </w:p>
    <w:p>
      <w:pPr>
        <w:ind w:firstLine="388"/>
        <w:spacing w:after="0" w:line="273" w:lineRule="auto"/>
        <w:rPr>
          <w:sz w:val="20"/>
          <w:szCs w:val="20"/>
          <w:color w:val="auto"/>
        </w:rPr>
      </w:pPr>
      <w:r>
        <w:rPr>
          <w:rFonts w:ascii="Arial" w:cs="Arial" w:eastAsia="Arial" w:hAnsi="Arial"/>
          <w:sz w:val="14"/>
          <w:szCs w:val="14"/>
          <w:color w:val="auto"/>
        </w:rPr>
        <w:t>Diluted earnings per shares for the three and six months ended June 30, 2018, excludes potential common stock issuable under stock options, RSUs, PSUs, and shares to be purchased under the ESPP, as the Company incurred a net loss during these periods and including such shares would have been antidilutive.</w:t>
      </w:r>
    </w:p>
    <w:p>
      <w:pPr>
        <w:spacing w:after="0" w:line="176" w:lineRule="exact"/>
        <w:rPr>
          <w:sz w:val="20"/>
          <w:szCs w:val="20"/>
          <w:color w:val="auto"/>
        </w:rPr>
      </w:pPr>
    </w:p>
    <w:p>
      <w:pPr>
        <w:ind w:left="400" w:hanging="394"/>
        <w:spacing w:after="0"/>
        <w:tabs>
          <w:tab w:leader="none" w:pos="40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w:t>
      </w:r>
    </w:p>
    <w:p>
      <w:pPr>
        <w:spacing w:after="0" w:line="202" w:lineRule="exact"/>
        <w:rPr>
          <w:sz w:val="20"/>
          <w:szCs w:val="20"/>
          <w:color w:val="auto"/>
        </w:rPr>
      </w:pPr>
    </w:p>
    <w:p>
      <w:pPr>
        <w:ind w:right="40" w:firstLine="388"/>
        <w:spacing w:after="0" w:line="262" w:lineRule="auto"/>
        <w:rPr>
          <w:sz w:val="20"/>
          <w:szCs w:val="20"/>
          <w:color w:val="auto"/>
        </w:rPr>
      </w:pPr>
      <w:r>
        <w:rPr>
          <w:rFonts w:ascii="Arial" w:cs="Arial" w:eastAsia="Arial" w:hAnsi="Arial"/>
          <w:sz w:val="14"/>
          <w:szCs w:val="14"/>
          <w:color w:val="auto"/>
        </w:rPr>
        <w:t>The Company sells products to SunPower under the August 2018 MSA, which as of June 30, 2019 held 7.5 million shares of the Company’s common stock. Revenue recognized under the MSA for the three and six months ended June 30, 2019 was $16.7 million and $21.2 million, respectively, net of amortization of the customer relationship intangible asset (see Note 4. “Goodwill and Intangible Assets”). At June 30, 2019 and December 31, 2018, the Company had accounts receivable of $14.3 million and $10.3 million, respectively, from SunPower.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24</w:t>
      </w:r>
    </w:p>
    <w:p>
      <w:pPr>
        <w:sectPr>
          <w:pgSz w:w="11900" w:h="16838" w:orient="portrait"/>
          <w:cols w:equalWidth="0" w:num="1">
            <w:col w:w="11460"/>
          </w:cols>
          <w:pgMar w:left="220" w:top="211" w:right="219" w:bottom="1440" w:gutter="0" w:footer="0" w:header="0"/>
        </w:sectPr>
      </w:pPr>
    </w:p>
    <w:bookmarkStart w:id="26" w:name="page27"/>
    <w:bookmarkEnd w:id="26"/>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2" w:lineRule="exact"/>
        <w:rPr>
          <w:sz w:val="20"/>
          <w:szCs w:val="20"/>
          <w:color w:val="auto"/>
        </w:rPr>
      </w:pPr>
    </w:p>
    <w:p>
      <w:pPr>
        <w:ind w:firstLine="388"/>
        <w:spacing w:after="0" w:line="259" w:lineRule="auto"/>
        <w:rPr>
          <w:sz w:val="20"/>
          <w:szCs w:val="20"/>
          <w:color w:val="auto"/>
        </w:rPr>
      </w:pPr>
      <w:r>
        <w:rPr>
          <w:rFonts w:ascii="Arial" w:cs="Arial" w:eastAsia="Arial" w:hAnsi="Arial"/>
          <w:sz w:val="14"/>
          <w:szCs w:val="14"/>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Such statements, include but are not limited to statements regarding our expectations as to future financial performance, expense levels, liquidity sources, the capabilities and performance of our technology and products and planned changes, timing of new product releases, our business strategies, including anticipated trends, growth and developments in markets in which we target, the anticipated market adoption of our current and future products, performance in operations, including component supply management, product quality and customer service, and the anticipated benefits and risks relating to the transaction with SunPower Corporation.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Form 10-K.</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2019 Highlights</w:t>
      </w:r>
    </w:p>
    <w:p>
      <w:pPr>
        <w:spacing w:after="0" w:line="116" w:lineRule="exact"/>
        <w:rPr>
          <w:sz w:val="20"/>
          <w:szCs w:val="20"/>
          <w:color w:val="auto"/>
        </w:rPr>
      </w:pPr>
    </w:p>
    <w:p>
      <w:pPr>
        <w:ind w:right="20" w:firstLine="388"/>
        <w:spacing w:after="0" w:line="265" w:lineRule="auto"/>
        <w:rPr>
          <w:sz w:val="20"/>
          <w:szCs w:val="20"/>
          <w:color w:val="auto"/>
        </w:rPr>
      </w:pPr>
      <w:r>
        <w:rPr>
          <w:rFonts w:ascii="Arial" w:cs="Arial" w:eastAsia="Arial" w:hAnsi="Arial"/>
          <w:sz w:val="14"/>
          <w:szCs w:val="14"/>
          <w:color w:val="auto"/>
        </w:rPr>
        <w:t>We are a global energy technology company. We deliver smart, easy-to-use solutions that connect solar generation, storage and management on one intelligent platform. We revolutionized the solar industry with our microinverter technology, and we produce a fully-integrated solar plus storage solution. We have shipped more than 21 million microinverters, and more than 940,000 Enphase residential and commercial systems have been deployed in 130 countries.</w:t>
      </w:r>
    </w:p>
    <w:p>
      <w:pPr>
        <w:spacing w:after="0" w:line="70" w:lineRule="exact"/>
        <w:rPr>
          <w:sz w:val="20"/>
          <w:szCs w:val="20"/>
          <w:color w:val="auto"/>
        </w:rPr>
      </w:pPr>
    </w:p>
    <w:p>
      <w:pPr>
        <w:ind w:right="140" w:firstLine="388"/>
        <w:spacing w:after="0" w:line="273" w:lineRule="auto"/>
        <w:rPr>
          <w:sz w:val="20"/>
          <w:szCs w:val="20"/>
          <w:color w:val="auto"/>
        </w:rPr>
      </w:pPr>
      <w:r>
        <w:rPr>
          <w:rFonts w:ascii="Arial" w:cs="Arial" w:eastAsia="Arial" w:hAnsi="Arial"/>
          <w:sz w:val="14"/>
          <w:szCs w:val="14"/>
          <w:color w:val="auto"/>
        </w:rPr>
        <w:t>We sell our solutions primarily to distributors who resell them to solar installers. We also sell directly to large installers, original equipment manufacturers (“OEMs”), strategic partners and homeowners.</w:t>
      </w:r>
    </w:p>
    <w:p>
      <w:pPr>
        <w:spacing w:after="0" w:line="151" w:lineRule="exact"/>
        <w:rPr>
          <w:sz w:val="20"/>
          <w:szCs w:val="20"/>
          <w:color w:val="auto"/>
        </w:rPr>
      </w:pPr>
    </w:p>
    <w:p>
      <w:pPr>
        <w:ind w:right="480" w:firstLine="388"/>
        <w:spacing w:after="0" w:line="273" w:lineRule="auto"/>
        <w:rPr>
          <w:sz w:val="20"/>
          <w:szCs w:val="20"/>
          <w:color w:val="auto"/>
        </w:rPr>
      </w:pPr>
      <w:r>
        <w:rPr>
          <w:rFonts w:ascii="Arial" w:cs="Arial" w:eastAsia="Arial" w:hAnsi="Arial"/>
          <w:sz w:val="14"/>
          <w:szCs w:val="14"/>
          <w:color w:val="auto"/>
        </w:rPr>
        <w:t>On January 28, 2019, we repaid in full the remaining principal amount of the Term Loans of approximately $39.5 million plus accrued interest and fees owed to lenders affiliated with Tennenbaum Capital Partners, LLC.</w:t>
      </w:r>
    </w:p>
    <w:p>
      <w:pPr>
        <w:spacing w:after="0" w:line="151" w:lineRule="exact"/>
        <w:rPr>
          <w:sz w:val="20"/>
          <w:szCs w:val="20"/>
          <w:color w:val="auto"/>
        </w:rPr>
      </w:pPr>
    </w:p>
    <w:p>
      <w:pPr>
        <w:jc w:val="both"/>
        <w:ind w:right="220" w:firstLine="388"/>
        <w:spacing w:after="0" w:line="265" w:lineRule="auto"/>
        <w:rPr>
          <w:sz w:val="20"/>
          <w:szCs w:val="20"/>
          <w:color w:val="auto"/>
        </w:rPr>
      </w:pPr>
      <w:r>
        <w:rPr>
          <w:rFonts w:ascii="Arial" w:cs="Arial" w:eastAsia="Arial" w:hAnsi="Arial"/>
          <w:sz w:val="14"/>
          <w:szCs w:val="14"/>
          <w:color w:val="auto"/>
        </w:rPr>
        <w:t>On May 30, 2019, we entered into separately and privately negotiated transactions with certain holders of our 4.0% Convertible Senior Notes due 2023 (“Notes due 2023”) resulting in the repurchase and exchange, as of June 5, 2019, of $60.0 million aggregate principal amount of the notes in consideration for the issuance of 10,801,080 shares of common stock and separate cash payments totaling $6.0 million.</w:t>
      </w:r>
    </w:p>
    <w:p>
      <w:pPr>
        <w:spacing w:after="0" w:line="156" w:lineRule="exact"/>
        <w:rPr>
          <w:sz w:val="20"/>
          <w:szCs w:val="20"/>
          <w:color w:val="auto"/>
        </w:rPr>
      </w:pPr>
    </w:p>
    <w:p>
      <w:pPr>
        <w:ind w:right="60" w:firstLine="388"/>
        <w:spacing w:after="0" w:line="261" w:lineRule="auto"/>
        <w:rPr>
          <w:sz w:val="20"/>
          <w:szCs w:val="20"/>
          <w:color w:val="auto"/>
        </w:rPr>
      </w:pPr>
      <w:r>
        <w:rPr>
          <w:rFonts w:ascii="Arial" w:cs="Arial" w:eastAsia="Arial" w:hAnsi="Arial"/>
          <w:sz w:val="14"/>
          <w:szCs w:val="14"/>
          <w:color w:val="auto"/>
        </w:rPr>
        <w:t>On June 5, 2019, we issued $132.0 million aggregate principal amount of our 1.0% Convertible Senior Notes due 2024 (the “Notes due 2024”) in a private placement. The Notes due 2024 are general unsecured obligations and bear interest at a rate of 1.0% per year, payable semi-annually on June 1 and December 1 of each year, beginning on December 1, 2019. The Notes due 2024 will mature on June 1, 2024, unless earlier repurchased by us or converted at the option of the holders. Further information relating to the Notes due 2024 may be found in Note 8, “Debt,” of the notes to condensed consolidated financial statements included in Part I, Item 1 of this Form 10-Q and below under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Enphase IQ Microinverter System</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The Enphase IQ™ microinverter is a key component of the Enphase Home Energy Solution™, which can also include our Envoy™ Communications Gateway with</w:t>
      </w:r>
    </w:p>
    <w:p>
      <w:pPr>
        <w:spacing w:after="0" w:line="11"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color w:val="auto"/>
        </w:rPr>
        <w:t>IQ Combiner+, Enphase Enlighten™, a cloud-based energy management platform, and our Enphase AC Battery™. System owners can use Enphase Enlighten to monitor their home’s solar generation, energy storage and consumption from any web-enabled device.</w:t>
      </w:r>
    </w:p>
    <w:p>
      <w:pPr>
        <w:spacing w:after="0" w:line="151" w:lineRule="exact"/>
        <w:rPr>
          <w:sz w:val="20"/>
          <w:szCs w:val="20"/>
          <w:color w:val="auto"/>
        </w:rPr>
      </w:pPr>
    </w:p>
    <w:p>
      <w:pPr>
        <w:ind w:right="520" w:firstLine="388"/>
        <w:spacing w:after="0" w:line="273" w:lineRule="auto"/>
        <w:rPr>
          <w:sz w:val="20"/>
          <w:szCs w:val="20"/>
          <w:color w:val="auto"/>
        </w:rPr>
      </w:pPr>
      <w:r>
        <w:rPr>
          <w:rFonts w:ascii="Arial" w:cs="Arial" w:eastAsia="Arial" w:hAnsi="Arial"/>
          <w:sz w:val="14"/>
          <w:szCs w:val="14"/>
          <w:color w:val="auto"/>
        </w:rPr>
        <w:t>The Enphase IQ 7 Micro™ and Enphase IQ 7+ Micro™, part of our seventh-generation IQ product family, support high-powered 60-cell and 72-cell solar modules and integrate with alternating current (“AC”)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233045</wp:posOffset>
            </wp:positionV>
            <wp:extent cx="708977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25</w:t>
      </w:r>
    </w:p>
    <w:p>
      <w:pPr>
        <w:sectPr>
          <w:pgSz w:w="11900" w:h="16838" w:orient="portrait"/>
          <w:cols w:equalWidth="0" w:num="1">
            <w:col w:w="11440"/>
          </w:cols>
          <w:pgMar w:left="220" w:top="254" w:right="239" w:bottom="1440" w:gutter="0" w:footer="0" w:header="0"/>
        </w:sectPr>
      </w:pPr>
    </w:p>
    <w:bookmarkStart w:id="27" w:name="page28"/>
    <w:bookmarkEnd w:id="27"/>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392" w:lineRule="exact"/>
        <w:rPr>
          <w:sz w:val="20"/>
          <w:szCs w:val="20"/>
          <w:color w:val="auto"/>
        </w:rPr>
      </w:pPr>
    </w:p>
    <w:p>
      <w:pPr>
        <w:ind w:right="320" w:firstLine="388"/>
        <w:spacing w:after="0" w:line="261" w:lineRule="auto"/>
        <w:rPr>
          <w:sz w:val="20"/>
          <w:szCs w:val="20"/>
          <w:color w:val="auto"/>
        </w:rPr>
      </w:pPr>
      <w:r>
        <w:rPr>
          <w:rFonts w:ascii="Arial" w:cs="Arial" w:eastAsia="Arial" w:hAnsi="Arial"/>
          <w:sz w:val="14"/>
          <w:szCs w:val="14"/>
          <w:color w:val="auto"/>
        </w:rPr>
        <w:t>Our IQ 7X™ product addresses 96-cell photovoltaic (“PV”) modules up to 400W direct current (“DC”) and with its 97.5 percent California Energy Commission (“CEC”) efficiency rating, is ideal for integration into high power modules. In the second quarter of 2019, we shipped limited quantities of our new product IQ 7A™ for 72-cell modules in North America. Our second quarter of 2019 U.S. revenue included shipments of our IQ 7XS™ microinverters to SunPower Corporation (“SunPower”). In addition, in the second quarter of 2019, we shipped significant volumes of IQ 7AS™ microinverters to SunPower, which is expected to integrate our IQ 7AS into its 66-cell Next Generation Technology (“NGT”) DC modules.</w:t>
      </w:r>
    </w:p>
    <w:p>
      <w:pPr>
        <w:spacing w:after="0" w:line="159" w:lineRule="exact"/>
        <w:rPr>
          <w:sz w:val="20"/>
          <w:szCs w:val="20"/>
          <w:color w:val="auto"/>
        </w:rPr>
      </w:pPr>
    </w:p>
    <w:p>
      <w:pPr>
        <w:ind w:firstLine="388"/>
        <w:spacing w:after="0" w:line="262" w:lineRule="auto"/>
        <w:rPr>
          <w:sz w:val="20"/>
          <w:szCs w:val="20"/>
          <w:color w:val="auto"/>
        </w:rPr>
      </w:pPr>
      <w:r>
        <w:rPr>
          <w:rFonts w:ascii="Arial" w:cs="Arial" w:eastAsia="Arial" w:hAnsi="Arial"/>
          <w:sz w:val="14"/>
          <w:szCs w:val="14"/>
          <w:color w:val="auto"/>
        </w:rPr>
        <w:t>Our IQ 8™ system is based upon our grid-agnostic “always on” technology called Ensemble. This system has five components: 1) energy generation, which is accomplished with the grid-agnostic microinverter IQ 8; 2) energy storage, which is achieved by the Encharge™ battery with capacities of 3.3 kWh and 10 kWh; 3) an automatic transfer switch called Enpower™; 4) communication and control via the combiner box with the Envoy gateway; and 5) Enlighten, which is the internet of things, or IoT, cloud software. We anticipate introducing Ensemble in a phased manner starting in the fourth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left="561"/>
              <w:spacing w:after="0"/>
              <w:rPr>
                <w:sz w:val="20"/>
                <w:szCs w:val="20"/>
                <w:color w:val="auto"/>
              </w:rPr>
            </w:pPr>
            <w:r>
              <w:rPr>
                <w:rFonts w:ascii="Arial" w:cs="Arial" w:eastAsia="Arial" w:hAnsi="Arial"/>
                <w:sz w:val="11"/>
                <w:szCs w:val="11"/>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 in</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1"/>
                <w:szCs w:val="11"/>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Change in</w:t>
            </w:r>
          </w:p>
        </w:tc>
        <w:tc>
          <w:tcPr>
            <w:tcW w:w="720" w:type="dxa"/>
            <w:vAlign w:val="bottom"/>
            <w:tcBorders>
              <w:bottom w:val="single" w:sz="8" w:color="auto"/>
            </w:tcBorders>
          </w:tcPr>
          <w:p>
            <w:pPr>
              <w:spacing w:after="0"/>
              <w:rPr>
                <w:sz w:val="13"/>
                <w:szCs w:val="13"/>
                <w:color w:val="auto"/>
              </w:rPr>
            </w:pPr>
          </w:p>
        </w:tc>
      </w:tr>
      <w:tr>
        <w:trPr>
          <w:trHeight w:val="206"/>
        </w:trPr>
        <w:tc>
          <w:tcPr>
            <w:tcW w:w="1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r>
      <w:tr>
        <w:trPr>
          <w:trHeight w:val="133"/>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20" w:type="dxa"/>
            <w:vAlign w:val="bottom"/>
            <w:gridSpan w:val="4"/>
          </w:tcPr>
          <w:p>
            <w:pPr>
              <w:jc w:val="right"/>
              <w:ind w:right="321"/>
              <w:spacing w:after="0"/>
              <w:rPr>
                <w:sz w:val="20"/>
                <w:szCs w:val="20"/>
                <w:color w:val="auto"/>
              </w:rPr>
            </w:pPr>
            <w:r>
              <w:rPr>
                <w:rFonts w:ascii="Arial" w:cs="Arial" w:eastAsia="Arial" w:hAnsi="Arial"/>
                <w:sz w:val="10"/>
                <w:szCs w:val="10"/>
                <w:i w:val="1"/>
                <w:iCs w:val="1"/>
                <w:color w:val="auto"/>
              </w:rPr>
              <w:t>(In thousands, except percentages)</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67"/>
        </w:trPr>
        <w:tc>
          <w:tcPr>
            <w:tcW w:w="1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134,094</w:t>
            </w:r>
          </w:p>
        </w:tc>
        <w:tc>
          <w:tcPr>
            <w:tcW w:w="4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75,896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460"/>
              <w:spacing w:after="0"/>
              <w:rPr>
                <w:sz w:val="20"/>
                <w:szCs w:val="20"/>
                <w:color w:val="auto"/>
              </w:rPr>
            </w:pPr>
            <w:r>
              <w:rPr>
                <w:rFonts w:ascii="Arial" w:cs="Arial" w:eastAsia="Arial" w:hAnsi="Arial"/>
                <w:sz w:val="13"/>
                <w:szCs w:val="13"/>
                <w:color w:val="auto"/>
              </w:rPr>
              <w:t>58,198</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77%  $</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234,244</w:t>
            </w:r>
          </w:p>
        </w:tc>
        <w:tc>
          <w:tcPr>
            <w:tcW w:w="5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145,868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88,376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2019 and 2018</w:t>
      </w:r>
    </w:p>
    <w:p>
      <w:pPr>
        <w:spacing w:after="0" w:line="198" w:lineRule="exact"/>
        <w:rPr>
          <w:sz w:val="20"/>
          <w:szCs w:val="20"/>
          <w:color w:val="auto"/>
        </w:rPr>
      </w:pPr>
    </w:p>
    <w:p>
      <w:pPr>
        <w:ind w:right="800" w:firstLine="388"/>
        <w:spacing w:after="0" w:line="273" w:lineRule="auto"/>
        <w:rPr>
          <w:sz w:val="20"/>
          <w:szCs w:val="20"/>
          <w:color w:val="auto"/>
        </w:rPr>
      </w:pPr>
      <w:r>
        <w:rPr>
          <w:rFonts w:ascii="Arial" w:cs="Arial" w:eastAsia="Arial" w:hAnsi="Arial"/>
          <w:sz w:val="14"/>
          <w:szCs w:val="14"/>
          <w:color w:val="auto"/>
        </w:rPr>
        <w:t>Net revenues increased by 77% for the three months ended June 30, 2019, as compared to the same period in 2018, primarily due to higher unit volume. We sold approximately 1,284,000 microinverter units in the three months ended June 30, 2019, as compared to approximately 675,000 units in the same period in 2018.</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2019 and 2018</w:t>
      </w:r>
    </w:p>
    <w:p>
      <w:pPr>
        <w:spacing w:after="0" w:line="198" w:lineRule="exact"/>
        <w:rPr>
          <w:sz w:val="20"/>
          <w:szCs w:val="20"/>
          <w:color w:val="auto"/>
        </w:rPr>
      </w:pPr>
    </w:p>
    <w:p>
      <w:pPr>
        <w:ind w:right="20" w:firstLine="388"/>
        <w:spacing w:after="0" w:line="273" w:lineRule="auto"/>
        <w:rPr>
          <w:sz w:val="20"/>
          <w:szCs w:val="20"/>
          <w:color w:val="auto"/>
        </w:rPr>
      </w:pPr>
      <w:r>
        <w:rPr>
          <w:rFonts w:ascii="Arial" w:cs="Arial" w:eastAsia="Arial" w:hAnsi="Arial"/>
          <w:sz w:val="14"/>
          <w:szCs w:val="14"/>
          <w:color w:val="auto"/>
        </w:rPr>
        <w:t>Net revenues increased by 61% for the six months ended June 30, 2019, as compared to the same period in 2018, primarily due to higher unit volume. We sold approximately 2,260,000 microinverter units in the six months ended June 30, 2019, as compared to approximately 1,287,000 units in the same period in 2018.</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Revenues and Gross Profit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gridSpan w:val="4"/>
          </w:tcPr>
          <w:p>
            <w:pPr>
              <w:ind w:left="400"/>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7"/>
        </w:trPr>
        <w:tc>
          <w:tcPr>
            <w:tcW w:w="1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Change in</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Change in</w:t>
            </w:r>
          </w:p>
        </w:tc>
        <w:tc>
          <w:tcPr>
            <w:tcW w:w="680" w:type="dxa"/>
            <w:vAlign w:val="bottom"/>
            <w:tcBorders>
              <w:bottom w:val="single" w:sz="8" w:color="auto"/>
            </w:tcBorders>
          </w:tcPr>
          <w:p>
            <w:pPr>
              <w:spacing w:after="0"/>
              <w:rPr>
                <w:sz w:val="13"/>
                <w:szCs w:val="13"/>
                <w:color w:val="auto"/>
              </w:rPr>
            </w:pPr>
          </w:p>
        </w:tc>
      </w:tr>
      <w:tr>
        <w:trPr>
          <w:trHeight w:val="206"/>
        </w:trPr>
        <w:tc>
          <w:tcPr>
            <w:tcW w:w="1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39"/>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2019</w:t>
            </w:r>
          </w:p>
        </w:tc>
        <w:tc>
          <w:tcPr>
            <w:tcW w:w="8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99"/>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w:t>
            </w:r>
          </w:p>
        </w:tc>
      </w:tr>
      <w:tr>
        <w:trPr>
          <w:trHeight w:val="133"/>
        </w:trPr>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20" w:type="dxa"/>
            <w:vAlign w:val="bottom"/>
            <w:gridSpan w:val="4"/>
          </w:tcPr>
          <w:p>
            <w:pPr>
              <w:jc w:val="right"/>
              <w:ind w:right="98"/>
              <w:spacing w:after="0"/>
              <w:rPr>
                <w:sz w:val="20"/>
                <w:szCs w:val="20"/>
                <w:color w:val="auto"/>
              </w:rPr>
            </w:pPr>
            <w:r>
              <w:rPr>
                <w:rFonts w:ascii="Arial" w:cs="Arial" w:eastAsia="Arial" w:hAnsi="Arial"/>
                <w:sz w:val="10"/>
                <w:szCs w:val="10"/>
                <w:i w:val="1"/>
                <w:iCs w:val="1"/>
                <w:color w:val="auto"/>
              </w:rPr>
              <w:t>(In thousands, except percentages)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67"/>
        </w:trPr>
        <w:tc>
          <w:tcPr>
            <w:tcW w:w="1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21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88,775</w:t>
            </w:r>
          </w:p>
        </w:tc>
        <w:tc>
          <w:tcPr>
            <w:tcW w:w="60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53,195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rPr>
              <w:t>35,580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155,586</w:t>
            </w:r>
          </w:p>
        </w:tc>
        <w:tc>
          <w:tcPr>
            <w:tcW w:w="80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104,851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79"/>
              <w:spacing w:after="0"/>
              <w:rPr>
                <w:sz w:val="20"/>
                <w:szCs w:val="20"/>
                <w:color w:val="auto"/>
              </w:rPr>
            </w:pPr>
            <w:r>
              <w:rPr>
                <w:rFonts w:ascii="Arial" w:cs="Arial" w:eastAsia="Arial" w:hAnsi="Arial"/>
                <w:sz w:val="13"/>
                <w:szCs w:val="13"/>
                <w:color w:val="auto"/>
              </w:rPr>
              <w:t>50,735</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r>
      <w:tr>
        <w:trPr>
          <w:trHeight w:val="208"/>
        </w:trPr>
        <w:tc>
          <w:tcPr>
            <w:tcW w:w="17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45,319</w:t>
            </w:r>
          </w:p>
        </w:tc>
        <w:tc>
          <w:tcPr>
            <w:tcW w:w="600" w:type="dxa"/>
            <w:vAlign w:val="bottom"/>
          </w:tcPr>
          <w:p>
            <w:pPr>
              <w:spacing w:after="0"/>
              <w:rPr>
                <w:sz w:val="18"/>
                <w:szCs w:val="18"/>
                <w:color w:val="auto"/>
              </w:rPr>
            </w:pPr>
          </w:p>
        </w:tc>
        <w:tc>
          <w:tcPr>
            <w:tcW w:w="860" w:type="dxa"/>
            <w:vAlign w:val="bottom"/>
          </w:tcPr>
          <w:p>
            <w:pPr>
              <w:jc w:val="right"/>
              <w:ind w:right="177"/>
              <w:spacing w:after="0"/>
              <w:rPr>
                <w:sz w:val="20"/>
                <w:szCs w:val="20"/>
                <w:color w:val="auto"/>
              </w:rPr>
            </w:pPr>
            <w:r>
              <w:rPr>
                <w:rFonts w:ascii="Arial" w:cs="Arial" w:eastAsia="Arial" w:hAnsi="Arial"/>
                <w:sz w:val="13"/>
                <w:szCs w:val="13"/>
                <w:color w:val="auto"/>
              </w:rPr>
              <w:t>22,701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3"/>
                <w:szCs w:val="13"/>
                <w:color w:val="auto"/>
              </w:rPr>
              <w:t>22,618</w:t>
            </w:r>
          </w:p>
        </w:tc>
        <w:tc>
          <w:tcPr>
            <w:tcW w:w="6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78,658</w:t>
            </w:r>
          </w:p>
        </w:tc>
        <w:tc>
          <w:tcPr>
            <w:tcW w:w="800" w:type="dxa"/>
            <w:vAlign w:val="bottom"/>
          </w:tcPr>
          <w:p>
            <w:pPr>
              <w:spacing w:after="0"/>
              <w:rPr>
                <w:sz w:val="18"/>
                <w:szCs w:val="18"/>
                <w:color w:val="auto"/>
              </w:rPr>
            </w:pPr>
          </w:p>
        </w:tc>
        <w:tc>
          <w:tcPr>
            <w:tcW w:w="780" w:type="dxa"/>
            <w:vAlign w:val="bottom"/>
          </w:tcPr>
          <w:p>
            <w:pPr>
              <w:jc w:val="right"/>
              <w:ind w:right="197"/>
              <w:spacing w:after="0"/>
              <w:rPr>
                <w:sz w:val="20"/>
                <w:szCs w:val="20"/>
                <w:color w:val="auto"/>
              </w:rPr>
            </w:pPr>
            <w:r>
              <w:rPr>
                <w:rFonts w:ascii="Arial" w:cs="Arial" w:eastAsia="Arial" w:hAnsi="Arial"/>
                <w:sz w:val="13"/>
                <w:szCs w:val="13"/>
                <w:color w:val="auto"/>
              </w:rPr>
              <w:t>41,017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479"/>
              <w:spacing w:after="0"/>
              <w:rPr>
                <w:sz w:val="20"/>
                <w:szCs w:val="20"/>
                <w:color w:val="auto"/>
              </w:rPr>
            </w:pPr>
            <w:r>
              <w:rPr>
                <w:rFonts w:ascii="Arial" w:cs="Arial" w:eastAsia="Arial" w:hAnsi="Arial"/>
                <w:sz w:val="13"/>
                <w:szCs w:val="13"/>
                <w:color w:val="auto"/>
              </w:rPr>
              <w:t>37,641</w:t>
            </w:r>
          </w:p>
        </w:tc>
        <w:tc>
          <w:tcPr>
            <w:tcW w:w="68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223"/>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margin</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39"/>
              <w:spacing w:after="0"/>
              <w:rPr>
                <w:sz w:val="20"/>
                <w:szCs w:val="20"/>
                <w:color w:val="auto"/>
              </w:rPr>
            </w:pPr>
            <w:r>
              <w:rPr>
                <w:rFonts w:ascii="Arial" w:cs="Arial" w:eastAsia="Arial" w:hAnsi="Arial"/>
                <w:sz w:val="13"/>
                <w:szCs w:val="13"/>
                <w:color w:val="auto"/>
              </w:rPr>
              <w:t>33.8%</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59"/>
              <w:spacing w:after="0"/>
              <w:rPr>
                <w:sz w:val="20"/>
                <w:szCs w:val="20"/>
                <w:color w:val="auto"/>
              </w:rPr>
            </w:pPr>
            <w:r>
              <w:rPr>
                <w:rFonts w:ascii="Arial" w:cs="Arial" w:eastAsia="Arial" w:hAnsi="Arial"/>
                <w:sz w:val="13"/>
                <w:szCs w:val="13"/>
                <w:color w:val="auto"/>
              </w:rPr>
              <w:t>33.6%</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2019 and 2018</w:t>
      </w:r>
    </w:p>
    <w:p>
      <w:pPr>
        <w:spacing w:after="0" w:line="198" w:lineRule="exact"/>
        <w:rPr>
          <w:sz w:val="20"/>
          <w:szCs w:val="20"/>
          <w:color w:val="auto"/>
        </w:rPr>
      </w:pPr>
    </w:p>
    <w:p>
      <w:pPr>
        <w:ind w:right="60" w:firstLine="388"/>
        <w:spacing w:after="0" w:line="261" w:lineRule="auto"/>
        <w:rPr>
          <w:sz w:val="20"/>
          <w:szCs w:val="20"/>
          <w:color w:val="auto"/>
        </w:rPr>
      </w:pPr>
      <w:r>
        <w:rPr>
          <w:rFonts w:ascii="Arial" w:cs="Arial" w:eastAsia="Arial" w:hAnsi="Arial"/>
          <w:sz w:val="14"/>
          <w:szCs w:val="14"/>
          <w:color w:val="auto"/>
        </w:rPr>
        <w:t>Cost of revenues increased by 67% for the three months ended June 30, 2019, as compared to the same period in 2018, primarily due to higher volume of microinverter units sold and expedited freight costs, partially offset by a decrease in the cost of our products as a result of our cost reduction efforts. Gross margin increased by 3.9 percentage points for the three months ended June 30, 2019, as compared to the same period in 2018. The increase in gross margin was primarily attributable to higher product margins as a result our IQ 7 family of microinverters, which has a lower cost than previous models of microinverters, as well as our overall pricing and cost management efforts. IQ 7 sales represent 98% of our total microinverter sales for the three months ended June 30, 2019, as compared to 23% of our total microinverter sales in in the same period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26</w:t>
      </w:r>
    </w:p>
    <w:p>
      <w:pPr>
        <w:sectPr>
          <w:pgSz w:w="11900" w:h="16838" w:orient="portrait"/>
          <w:cols w:equalWidth="0" w:num="1">
            <w:col w:w="11460"/>
          </w:cols>
          <w:pgMar w:left="220" w:top="254" w:right="219" w:bottom="1440" w:gutter="0" w:footer="0" w:header="0"/>
        </w:sectPr>
      </w:pPr>
    </w:p>
    <w:bookmarkStart w:id="28" w:name="page29"/>
    <w:bookmarkEnd w:id="28"/>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2019 and 2018</w:t>
      </w:r>
    </w:p>
    <w:p>
      <w:pPr>
        <w:spacing w:after="0" w:line="198" w:lineRule="exact"/>
        <w:rPr>
          <w:sz w:val="20"/>
          <w:szCs w:val="20"/>
          <w:color w:val="auto"/>
        </w:rPr>
      </w:pPr>
    </w:p>
    <w:p>
      <w:pPr>
        <w:jc w:val="both"/>
        <w:ind w:right="100" w:firstLine="388"/>
        <w:spacing w:after="0" w:line="261" w:lineRule="auto"/>
        <w:rPr>
          <w:sz w:val="20"/>
          <w:szCs w:val="20"/>
          <w:color w:val="auto"/>
        </w:rPr>
      </w:pPr>
      <w:r>
        <w:rPr>
          <w:rFonts w:ascii="Arial" w:cs="Arial" w:eastAsia="Arial" w:hAnsi="Arial"/>
          <w:sz w:val="14"/>
          <w:szCs w:val="14"/>
          <w:color w:val="auto"/>
        </w:rPr>
        <w:t>Cost of revenues increased by 48% for the six months ended June 30, 2019, as compared to the same period in 2018, primarily due to higher volume of microinverter units sold and expedited freight costs, partially offset by a decrease in the cost of our products as a result of our cost reduction efforts. Gross margin increased by 5.5 percentage points for the six months ended June 30, 2019, as compared to the same period in 2018. The increase in gross margin was primarily attributable to higher product margins as a result our IQ 7 family of microinverters, which has a lower cost than previous models of microinverters, as well as our overall pricing and cost management efforts. IQ 7 sales represent 96% of our total microinverter sales for the six months ended June 30, 2019, as compared to 16% of our total microinverter sales in in the same period in 2018.</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left="561"/>
              <w:spacing w:after="0"/>
              <w:rPr>
                <w:sz w:val="20"/>
                <w:szCs w:val="20"/>
                <w:color w:val="auto"/>
              </w:rPr>
            </w:pPr>
            <w:r>
              <w:rPr>
                <w:rFonts w:ascii="Arial" w:cs="Arial" w:eastAsia="Arial" w:hAnsi="Arial"/>
                <w:sz w:val="11"/>
                <w:szCs w:val="11"/>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 in</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1"/>
                <w:szCs w:val="11"/>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Change in</w:t>
            </w:r>
          </w:p>
        </w:tc>
        <w:tc>
          <w:tcPr>
            <w:tcW w:w="720" w:type="dxa"/>
            <w:vAlign w:val="bottom"/>
            <w:tcBorders>
              <w:bottom w:val="single" w:sz="8" w:color="auto"/>
            </w:tcBorders>
          </w:tcPr>
          <w:p>
            <w:pPr>
              <w:spacing w:after="0"/>
              <w:rPr>
                <w:sz w:val="13"/>
                <w:szCs w:val="13"/>
                <w:color w:val="auto"/>
              </w:rPr>
            </w:pPr>
          </w:p>
        </w:tc>
      </w:tr>
      <w:tr>
        <w:trPr>
          <w:trHeight w:val="206"/>
        </w:trPr>
        <w:tc>
          <w:tcPr>
            <w:tcW w:w="1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r>
      <w:tr>
        <w:trPr>
          <w:trHeight w:val="133"/>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20" w:type="dxa"/>
            <w:vAlign w:val="bottom"/>
            <w:gridSpan w:val="4"/>
          </w:tcPr>
          <w:p>
            <w:pPr>
              <w:jc w:val="right"/>
              <w:ind w:right="321"/>
              <w:spacing w:after="0"/>
              <w:rPr>
                <w:sz w:val="20"/>
                <w:szCs w:val="20"/>
                <w:color w:val="auto"/>
              </w:rPr>
            </w:pPr>
            <w:r>
              <w:rPr>
                <w:rFonts w:ascii="Arial" w:cs="Arial" w:eastAsia="Arial" w:hAnsi="Arial"/>
                <w:sz w:val="10"/>
                <w:szCs w:val="10"/>
                <w:i w:val="1"/>
                <w:iCs w:val="1"/>
                <w:color w:val="auto"/>
              </w:rPr>
              <w:t>(In thousands, except percentages)</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67"/>
        </w:trPr>
        <w:tc>
          <w:tcPr>
            <w:tcW w:w="1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9,604</w:t>
            </w:r>
          </w:p>
        </w:tc>
        <w:tc>
          <w:tcPr>
            <w:tcW w:w="4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9,462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460"/>
              <w:spacing w:after="0"/>
              <w:rPr>
                <w:sz w:val="20"/>
                <w:szCs w:val="20"/>
                <w:color w:val="auto"/>
              </w:rPr>
            </w:pPr>
            <w:r>
              <w:rPr>
                <w:rFonts w:ascii="Arial" w:cs="Arial" w:eastAsia="Arial" w:hAnsi="Arial"/>
                <w:sz w:val="13"/>
                <w:szCs w:val="13"/>
                <w:color w:val="auto"/>
              </w:rPr>
              <w:t>142</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  $</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18,128</w:t>
            </w:r>
          </w:p>
        </w:tc>
        <w:tc>
          <w:tcPr>
            <w:tcW w:w="5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17,082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1,046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2019 and 2018</w:t>
      </w:r>
    </w:p>
    <w:p>
      <w:pPr>
        <w:spacing w:after="0" w:line="198" w:lineRule="exact"/>
        <w:rPr>
          <w:sz w:val="20"/>
          <w:szCs w:val="20"/>
          <w:color w:val="auto"/>
        </w:rPr>
      </w:pPr>
    </w:p>
    <w:p>
      <w:pPr>
        <w:ind w:right="180" w:firstLine="388"/>
        <w:spacing w:after="0" w:line="262" w:lineRule="auto"/>
        <w:rPr>
          <w:sz w:val="20"/>
          <w:szCs w:val="20"/>
          <w:color w:val="auto"/>
        </w:rPr>
      </w:pPr>
      <w:r>
        <w:rPr>
          <w:rFonts w:ascii="Arial" w:cs="Arial" w:eastAsia="Arial" w:hAnsi="Arial"/>
          <w:sz w:val="14"/>
          <w:szCs w:val="14"/>
          <w:color w:val="auto"/>
        </w:rPr>
        <w:t>Research and development expense increased by 2% for the three months ended June 30, 2019, as compared to the same period in 2018. The increase is due to higher expenses associated with the development of our products, personnel-related costs and equipment costs. The increase in personnel-related expenses included higher bonus and travel expenditures, partially offset by lower employee-related costs associated with moving certain functions to lower cost locations as part of restructuring actions taken in 2018 and stock-based compensation expense.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2019 and 2018</w:t>
      </w:r>
    </w:p>
    <w:p>
      <w:pPr>
        <w:spacing w:after="0" w:line="198" w:lineRule="exact"/>
        <w:rPr>
          <w:sz w:val="20"/>
          <w:szCs w:val="20"/>
          <w:color w:val="auto"/>
        </w:rPr>
      </w:pPr>
    </w:p>
    <w:p>
      <w:pPr>
        <w:ind w:right="60" w:firstLine="388"/>
        <w:spacing w:after="0" w:line="265" w:lineRule="auto"/>
        <w:rPr>
          <w:sz w:val="20"/>
          <w:szCs w:val="20"/>
          <w:color w:val="auto"/>
        </w:rPr>
      </w:pPr>
      <w:r>
        <w:rPr>
          <w:rFonts w:ascii="Arial" w:cs="Arial" w:eastAsia="Arial" w:hAnsi="Arial"/>
          <w:sz w:val="14"/>
          <w:szCs w:val="14"/>
          <w:color w:val="auto"/>
        </w:rPr>
        <w:t>Research and development expense increased by 6% for the six months ended June 30, 2019, as compared to the same period in 2018. The increase is due to higher expenses associated with the development of our products, personnel-related costs and equipment costs. The increase in personnel-related expenses included higher bonus and travel expenditures, partially offset by lower benefit and compensation costs associated with moving certain functions to lower cost locations as part of restructuring actions taken in 2018.</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and Marketing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left="561"/>
              <w:spacing w:after="0"/>
              <w:rPr>
                <w:sz w:val="20"/>
                <w:szCs w:val="20"/>
                <w:color w:val="auto"/>
              </w:rPr>
            </w:pPr>
            <w:r>
              <w:rPr>
                <w:rFonts w:ascii="Arial" w:cs="Arial" w:eastAsia="Arial" w:hAnsi="Arial"/>
                <w:sz w:val="11"/>
                <w:szCs w:val="11"/>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 in</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1"/>
                <w:szCs w:val="11"/>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Change in</w:t>
            </w:r>
          </w:p>
        </w:tc>
        <w:tc>
          <w:tcPr>
            <w:tcW w:w="720" w:type="dxa"/>
            <w:vAlign w:val="bottom"/>
            <w:tcBorders>
              <w:bottom w:val="single" w:sz="8" w:color="auto"/>
            </w:tcBorders>
          </w:tcPr>
          <w:p>
            <w:pPr>
              <w:spacing w:after="0"/>
              <w:rPr>
                <w:sz w:val="13"/>
                <w:szCs w:val="13"/>
                <w:color w:val="auto"/>
              </w:rPr>
            </w:pPr>
          </w:p>
        </w:tc>
      </w:tr>
      <w:tr>
        <w:trPr>
          <w:trHeight w:val="206"/>
        </w:trPr>
        <w:tc>
          <w:tcPr>
            <w:tcW w:w="1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r>
      <w:tr>
        <w:trPr>
          <w:trHeight w:val="133"/>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20" w:type="dxa"/>
            <w:vAlign w:val="bottom"/>
            <w:gridSpan w:val="4"/>
          </w:tcPr>
          <w:p>
            <w:pPr>
              <w:jc w:val="right"/>
              <w:ind w:right="321"/>
              <w:spacing w:after="0"/>
              <w:rPr>
                <w:sz w:val="20"/>
                <w:szCs w:val="20"/>
                <w:color w:val="auto"/>
              </w:rPr>
            </w:pPr>
            <w:r>
              <w:rPr>
                <w:rFonts w:ascii="Arial" w:cs="Arial" w:eastAsia="Arial" w:hAnsi="Arial"/>
                <w:sz w:val="10"/>
                <w:szCs w:val="10"/>
                <w:i w:val="1"/>
                <w:iCs w:val="1"/>
                <w:color w:val="auto"/>
              </w:rPr>
              <w:t>(In thousands, except percentages)</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67"/>
        </w:trPr>
        <w:tc>
          <w:tcPr>
            <w:tcW w:w="1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9,054</w:t>
            </w:r>
          </w:p>
        </w:tc>
        <w:tc>
          <w:tcPr>
            <w:tcW w:w="4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6,828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460"/>
              <w:spacing w:after="0"/>
              <w:rPr>
                <w:sz w:val="20"/>
                <w:szCs w:val="20"/>
                <w:color w:val="auto"/>
              </w:rPr>
            </w:pPr>
            <w:r>
              <w:rPr>
                <w:rFonts w:ascii="Arial" w:cs="Arial" w:eastAsia="Arial" w:hAnsi="Arial"/>
                <w:sz w:val="13"/>
                <w:szCs w:val="13"/>
                <w:color w:val="auto"/>
              </w:rPr>
              <w:t>2,226</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33%  $</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16,487</w:t>
            </w:r>
          </w:p>
        </w:tc>
        <w:tc>
          <w:tcPr>
            <w:tcW w:w="5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13,055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3,432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2019 and 2018</w:t>
      </w:r>
    </w:p>
    <w:p>
      <w:pPr>
        <w:spacing w:after="0" w:line="198" w:lineRule="exact"/>
        <w:rPr>
          <w:sz w:val="20"/>
          <w:szCs w:val="20"/>
          <w:color w:val="auto"/>
        </w:rPr>
      </w:pPr>
    </w:p>
    <w:p>
      <w:pPr>
        <w:ind w:right="40" w:firstLine="388"/>
        <w:spacing w:after="0" w:line="262" w:lineRule="auto"/>
        <w:rPr>
          <w:sz w:val="20"/>
          <w:szCs w:val="20"/>
          <w:color w:val="auto"/>
        </w:rPr>
      </w:pPr>
      <w:r>
        <w:rPr>
          <w:rFonts w:ascii="Arial" w:cs="Arial" w:eastAsia="Arial" w:hAnsi="Arial"/>
          <w:sz w:val="14"/>
          <w:szCs w:val="14"/>
          <w:color w:val="auto"/>
        </w:rPr>
        <w:t>Sales and marketing expense increased by 33% for the three months ended June 30, 2019 primarily driven by our growth in sales, as compared to the same period in 2018. The increase was primarily due to higher expenses associated with the amortization of developed technology, patents and licensed technology acquired from SunPower, personnel-related costs and outside marketing services. The increase in personnel-related expenses included higher employee compensation, including stock-based compensation, bonus and sales commissions, as well as travel expenses.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2019 and 2018</w:t>
      </w:r>
    </w:p>
    <w:p>
      <w:pPr>
        <w:spacing w:after="0" w:line="198" w:lineRule="exact"/>
        <w:rPr>
          <w:sz w:val="20"/>
          <w:szCs w:val="20"/>
          <w:color w:val="auto"/>
        </w:rPr>
      </w:pPr>
    </w:p>
    <w:p>
      <w:pPr>
        <w:ind w:firstLine="388"/>
        <w:spacing w:after="0" w:line="262" w:lineRule="auto"/>
        <w:rPr>
          <w:sz w:val="20"/>
          <w:szCs w:val="20"/>
          <w:color w:val="auto"/>
        </w:rPr>
      </w:pPr>
      <w:r>
        <w:rPr>
          <w:rFonts w:ascii="Arial" w:cs="Arial" w:eastAsia="Arial" w:hAnsi="Arial"/>
          <w:sz w:val="14"/>
          <w:szCs w:val="14"/>
          <w:color w:val="auto"/>
        </w:rPr>
        <w:t>Sales and marketing expense increased by 26% for the six months ended June 30, 2019 primarily driven by our growth in sales, as compared to the same period in 2018. The increase was primarily due to higher expenses associated with the amortization of developed technology, patents and licensed technology acquired from SunPower, personnel-related costs and outside marketing services, partially offset by lower bad debt expense. The increase in personnel-related expenses included higher employee compensation, including stock-based compensation, bonus and sales commissions, as well as travel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27</w:t>
      </w:r>
    </w:p>
    <w:p>
      <w:pPr>
        <w:sectPr>
          <w:pgSz w:w="11900" w:h="16838" w:orient="portrait"/>
          <w:cols w:equalWidth="0" w:num="1">
            <w:col w:w="11460"/>
          </w:cols>
          <w:pgMar w:left="220" w:top="254" w:right="219" w:bottom="1440" w:gutter="0" w:footer="0" w:header="0"/>
        </w:sectPr>
      </w:pPr>
    </w:p>
    <w:bookmarkStart w:id="29" w:name="page30"/>
    <w:bookmarkEnd w:id="29"/>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left="561"/>
              <w:spacing w:after="0"/>
              <w:rPr>
                <w:sz w:val="20"/>
                <w:szCs w:val="20"/>
                <w:color w:val="auto"/>
              </w:rPr>
            </w:pPr>
            <w:r>
              <w:rPr>
                <w:rFonts w:ascii="Arial" w:cs="Arial" w:eastAsia="Arial" w:hAnsi="Arial"/>
                <w:sz w:val="11"/>
                <w:szCs w:val="11"/>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 in</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1"/>
                <w:szCs w:val="11"/>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Change in</w:t>
            </w:r>
          </w:p>
        </w:tc>
        <w:tc>
          <w:tcPr>
            <w:tcW w:w="720" w:type="dxa"/>
            <w:vAlign w:val="bottom"/>
            <w:tcBorders>
              <w:bottom w:val="single" w:sz="8" w:color="auto"/>
            </w:tcBorders>
          </w:tcPr>
          <w:p>
            <w:pPr>
              <w:spacing w:after="0"/>
              <w:rPr>
                <w:sz w:val="13"/>
                <w:szCs w:val="13"/>
                <w:color w:val="auto"/>
              </w:rPr>
            </w:pPr>
          </w:p>
        </w:tc>
      </w:tr>
      <w:tr>
        <w:trPr>
          <w:trHeight w:val="206"/>
        </w:trPr>
        <w:tc>
          <w:tcPr>
            <w:tcW w:w="1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r>
      <w:tr>
        <w:trPr>
          <w:trHeight w:val="133"/>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20" w:type="dxa"/>
            <w:vAlign w:val="bottom"/>
            <w:gridSpan w:val="4"/>
          </w:tcPr>
          <w:p>
            <w:pPr>
              <w:jc w:val="right"/>
              <w:ind w:right="321"/>
              <w:spacing w:after="0"/>
              <w:rPr>
                <w:sz w:val="20"/>
                <w:szCs w:val="20"/>
                <w:color w:val="auto"/>
              </w:rPr>
            </w:pPr>
            <w:r>
              <w:rPr>
                <w:rFonts w:ascii="Arial" w:cs="Arial" w:eastAsia="Arial" w:hAnsi="Arial"/>
                <w:sz w:val="10"/>
                <w:szCs w:val="10"/>
                <w:i w:val="1"/>
                <w:iCs w:val="1"/>
                <w:color w:val="auto"/>
              </w:rPr>
              <w:t>(In thousands, except percentages)</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67"/>
        </w:trPr>
        <w:tc>
          <w:tcPr>
            <w:tcW w:w="1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8,583</w:t>
            </w:r>
          </w:p>
        </w:tc>
        <w:tc>
          <w:tcPr>
            <w:tcW w:w="4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6,969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460"/>
              <w:spacing w:after="0"/>
              <w:rPr>
                <w:sz w:val="20"/>
                <w:szCs w:val="20"/>
                <w:color w:val="auto"/>
              </w:rPr>
            </w:pPr>
            <w:r>
              <w:rPr>
                <w:rFonts w:ascii="Arial" w:cs="Arial" w:eastAsia="Arial" w:hAnsi="Arial"/>
                <w:sz w:val="13"/>
                <w:szCs w:val="13"/>
                <w:color w:val="auto"/>
              </w:rPr>
              <w:t>1,614</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23%  $</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18,463</w:t>
            </w:r>
          </w:p>
        </w:tc>
        <w:tc>
          <w:tcPr>
            <w:tcW w:w="5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13,913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4,550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2019 and 2018</w:t>
      </w:r>
    </w:p>
    <w:p>
      <w:pPr>
        <w:spacing w:after="0" w:line="198" w:lineRule="exact"/>
        <w:rPr>
          <w:sz w:val="20"/>
          <w:szCs w:val="20"/>
          <w:color w:val="auto"/>
        </w:rPr>
      </w:pPr>
    </w:p>
    <w:p>
      <w:pPr>
        <w:ind w:right="180" w:firstLine="388"/>
        <w:spacing w:after="0" w:line="265" w:lineRule="auto"/>
        <w:rPr>
          <w:sz w:val="20"/>
          <w:szCs w:val="20"/>
          <w:color w:val="auto"/>
        </w:rPr>
      </w:pPr>
      <w:r>
        <w:rPr>
          <w:rFonts w:ascii="Arial" w:cs="Arial" w:eastAsia="Arial" w:hAnsi="Arial"/>
          <w:sz w:val="14"/>
          <w:szCs w:val="14"/>
          <w:color w:val="auto"/>
        </w:rPr>
        <w:t>General and administrative expense increased 23% for the three months ended June 30, 2019, as compared to the same period in 2018. The increase was primarily due to an increase in personnel-related expenses as a result of our business growth, partially offset by acquisition-related costs of $0.4 million in 2018 that did not recur in 2019. The increase in personnel-related expenses included higher employee compensation, including stock-based compensation, bonus and benefit costs.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2019 and 2018</w:t>
      </w:r>
    </w:p>
    <w:p>
      <w:pPr>
        <w:spacing w:after="0" w:line="198" w:lineRule="exact"/>
        <w:rPr>
          <w:sz w:val="20"/>
          <w:szCs w:val="20"/>
          <w:color w:val="auto"/>
        </w:rPr>
      </w:pPr>
    </w:p>
    <w:p>
      <w:pPr>
        <w:ind w:right="140" w:firstLine="388"/>
        <w:spacing w:after="0" w:line="261" w:lineRule="auto"/>
        <w:rPr>
          <w:sz w:val="20"/>
          <w:szCs w:val="20"/>
          <w:color w:val="auto"/>
        </w:rPr>
      </w:pPr>
      <w:r>
        <w:rPr>
          <w:rFonts w:ascii="Arial" w:cs="Arial" w:eastAsia="Arial" w:hAnsi="Arial"/>
          <w:sz w:val="14"/>
          <w:szCs w:val="14"/>
          <w:color w:val="auto"/>
        </w:rPr>
        <w:t>General and administrative expense increased 33% for the six months ended June 30, 2019, as compared to the same period in 2018. The increase was primarily due to an increase in personnel-related expenses as a result of our business growth and additional consulting and advisory fees due to our first year of being subject to auditor attestation requirements under the Sarbanes-Oxley Act of 2002 for our 2018 audited financial statements, partially offset by $1.8 million paid to resolve a dispute with a supplier and acquisition-related costs of $0.4 million in 2018 that did not recur in 2019. The increase in personnel-related expenses included higher employee compensation, including stock-based compensation, bonus and benefit costs.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Charges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00" w:type="dxa"/>
            <w:vAlign w:val="bottom"/>
            <w:gridSpan w:val="3"/>
          </w:tcPr>
          <w:p>
            <w:pPr>
              <w:jc w:val="center"/>
              <w:ind w:left="300"/>
              <w:spacing w:after="0"/>
              <w:rPr>
                <w:sz w:val="20"/>
                <w:szCs w:val="20"/>
                <w:color w:val="auto"/>
              </w:rPr>
            </w:pPr>
            <w:r>
              <w:rPr>
                <w:rFonts w:ascii="Arial" w:cs="Arial" w:eastAsia="Arial" w:hAnsi="Arial"/>
                <w:sz w:val="11"/>
                <w:szCs w:val="11"/>
                <w:b w:val="1"/>
                <w:bCs w:val="1"/>
                <w:color w:val="auto"/>
              </w:rPr>
              <w:t>Three Months Ended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jc w:val="center"/>
              <w:ind w:left="361"/>
              <w:spacing w:after="0"/>
              <w:rPr>
                <w:sz w:val="20"/>
                <w:szCs w:val="20"/>
                <w:color w:val="auto"/>
              </w:rPr>
            </w:pPr>
            <w:r>
              <w:rPr>
                <w:rFonts w:ascii="Arial" w:cs="Arial" w:eastAsia="Arial" w:hAnsi="Arial"/>
                <w:sz w:val="11"/>
                <w:szCs w:val="11"/>
                <w:b w:val="1"/>
                <w:bCs w:val="1"/>
                <w:color w:val="auto"/>
              </w:rPr>
              <w:t>Six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7"/>
        </w:trPr>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1"/>
                <w:szCs w:val="11"/>
                <w:b w:val="1"/>
                <w:bCs w:val="1"/>
                <w:color w:val="auto"/>
              </w:rPr>
              <w:t>June 30,</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 in</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1"/>
                <w:szCs w:val="11"/>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Change in</w:t>
            </w:r>
          </w:p>
        </w:tc>
        <w:tc>
          <w:tcPr>
            <w:tcW w:w="700" w:type="dxa"/>
            <w:vAlign w:val="bottom"/>
            <w:tcBorders>
              <w:bottom w:val="single" w:sz="8" w:color="auto"/>
            </w:tcBorders>
          </w:tcPr>
          <w:p>
            <w:pPr>
              <w:spacing w:after="0"/>
              <w:rPr>
                <w:sz w:val="13"/>
                <w:szCs w:val="13"/>
                <w:color w:val="auto"/>
              </w:rPr>
            </w:pPr>
          </w:p>
        </w:tc>
      </w:tr>
      <w:tr>
        <w:trPr>
          <w:trHeight w:val="206"/>
        </w:trPr>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2019</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2018</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00"/>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w:t>
            </w:r>
          </w:p>
        </w:tc>
      </w:tr>
      <w:tr>
        <w:trPr>
          <w:trHeight w:val="133"/>
        </w:trPr>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20" w:type="dxa"/>
            <w:vAlign w:val="bottom"/>
            <w:gridSpan w:val="4"/>
          </w:tcPr>
          <w:p>
            <w:pPr>
              <w:jc w:val="right"/>
              <w:ind w:right="341"/>
              <w:spacing w:after="0"/>
              <w:rPr>
                <w:sz w:val="20"/>
                <w:szCs w:val="20"/>
                <w:color w:val="auto"/>
              </w:rPr>
            </w:pPr>
            <w:r>
              <w:rPr>
                <w:rFonts w:ascii="Arial" w:cs="Arial" w:eastAsia="Arial" w:hAnsi="Arial"/>
                <w:sz w:val="10"/>
                <w:szCs w:val="10"/>
                <w:i w:val="1"/>
                <w:iCs w:val="1"/>
                <w:color w:val="auto"/>
              </w:rPr>
              <w:t>(In thousands, except percentages)</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67"/>
        </w:trPr>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16"/>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631</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440"/>
              <w:spacing w:after="0"/>
              <w:rPr>
                <w:sz w:val="20"/>
                <w:szCs w:val="20"/>
                <w:color w:val="auto"/>
              </w:rPr>
            </w:pPr>
            <w:r>
              <w:rPr>
                <w:rFonts w:ascii="Arial" w:cs="Arial" w:eastAsia="Arial" w:hAnsi="Arial"/>
                <w:sz w:val="13"/>
                <w:szCs w:val="13"/>
                <w:color w:val="auto"/>
              </w:rPr>
              <w:t>631</w:t>
            </w:r>
          </w:p>
        </w:tc>
        <w:tc>
          <w:tcPr>
            <w:tcW w:w="780" w:type="dxa"/>
            <w:vAlign w:val="bottom"/>
            <w:shd w:val="clear" w:color="auto" w:fill="CCEEFF"/>
          </w:tcPr>
          <w:p>
            <w:pPr>
              <w:jc w:val="right"/>
              <w:ind w:right="42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999</w:t>
            </w:r>
          </w:p>
        </w:tc>
        <w:tc>
          <w:tcPr>
            <w:tcW w:w="5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999</w:t>
            </w:r>
          </w:p>
        </w:tc>
        <w:tc>
          <w:tcPr>
            <w:tcW w:w="70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w:t>
            </w:r>
          </w:p>
        </w:tc>
      </w:tr>
      <w:tr>
        <w:trPr>
          <w:trHeight w:val="108"/>
        </w:trPr>
        <w:tc>
          <w:tcPr>
            <w:tcW w:w="11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96" w:lineRule="exact"/>
        <w:rPr>
          <w:sz w:val="20"/>
          <w:szCs w:val="20"/>
          <w:color w:val="auto"/>
        </w:rPr>
      </w:pPr>
    </w:p>
    <w:p>
      <w:pPr>
        <w:ind w:left="400" w:hanging="394"/>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2019 and 2018</w:t>
      </w:r>
    </w:p>
    <w:p>
      <w:pPr>
        <w:spacing w:after="0" w:line="198" w:lineRule="exact"/>
        <w:rPr>
          <w:sz w:val="20"/>
          <w:szCs w:val="20"/>
          <w:color w:val="auto"/>
        </w:rPr>
      </w:pPr>
    </w:p>
    <w:p>
      <w:pPr>
        <w:ind w:right="80" w:firstLine="388"/>
        <w:spacing w:after="0" w:line="273" w:lineRule="auto"/>
        <w:rPr>
          <w:sz w:val="20"/>
          <w:szCs w:val="20"/>
          <w:color w:val="auto"/>
        </w:rPr>
      </w:pPr>
      <w:r>
        <w:rPr>
          <w:rFonts w:ascii="Arial" w:cs="Arial" w:eastAsia="Arial" w:hAnsi="Arial"/>
          <w:sz w:val="14"/>
          <w:szCs w:val="14"/>
          <w:color w:val="auto"/>
        </w:rPr>
        <w:t>Restructuring expense for the three months ended June 30, 2019 primarily includes $0.6 million of one-time termination benefits and other employee-related expenses under our 2018 Plan. In the three months ended June 30, 2018, we incurred no restructuring expense.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2019 and 2018</w:t>
      </w:r>
    </w:p>
    <w:p>
      <w:pPr>
        <w:spacing w:after="0" w:line="198" w:lineRule="exact"/>
        <w:rPr>
          <w:sz w:val="20"/>
          <w:szCs w:val="20"/>
          <w:color w:val="auto"/>
        </w:rPr>
      </w:pPr>
    </w:p>
    <w:p>
      <w:pPr>
        <w:ind w:right="240" w:firstLine="388"/>
        <w:spacing w:after="0" w:line="273" w:lineRule="auto"/>
        <w:rPr>
          <w:sz w:val="20"/>
          <w:szCs w:val="20"/>
          <w:color w:val="auto"/>
        </w:rPr>
      </w:pPr>
      <w:r>
        <w:rPr>
          <w:rFonts w:ascii="Arial" w:cs="Arial" w:eastAsia="Arial" w:hAnsi="Arial"/>
          <w:sz w:val="14"/>
          <w:szCs w:val="14"/>
          <w:color w:val="auto"/>
        </w:rPr>
        <w:t>Restructuring expense for the six months ended June 30, 2019 primarily includes $1.1 million of one-time termination benefits and other employee-related expenses under our 2018 Plan, partially offset by $0.1 million reduction in lease loss reserves. In the six months ended June 30, 2018, we incurred no restructuring expense.</w:t>
      </w:r>
    </w:p>
    <w:p>
      <w:pPr>
        <w:spacing w:after="0" w:line="151" w:lineRule="exact"/>
        <w:rPr>
          <w:sz w:val="20"/>
          <w:szCs w:val="20"/>
          <w:color w:val="auto"/>
        </w:rPr>
      </w:pPr>
    </w:p>
    <w:p>
      <w:pPr>
        <w:ind w:right="260" w:firstLine="388"/>
        <w:spacing w:after="0" w:line="273" w:lineRule="auto"/>
        <w:rPr>
          <w:sz w:val="20"/>
          <w:szCs w:val="20"/>
          <w:color w:val="auto"/>
        </w:rPr>
      </w:pPr>
      <w:r>
        <w:rPr>
          <w:rFonts w:ascii="Arial" w:cs="Arial" w:eastAsia="Arial" w:hAnsi="Arial"/>
          <w:sz w:val="14"/>
          <w:szCs w:val="14"/>
          <w:color w:val="auto"/>
        </w:rPr>
        <w:t>We expect to complete this restructuring in 2019. See Note 7, “Restructuring,” of the notes to condensed consolidated financial statements included in Part I, Item 1 of this Form 10-Q for more information relating to the 2018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233045</wp:posOffset>
            </wp:positionV>
            <wp:extent cx="708977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28</w:t>
      </w:r>
    </w:p>
    <w:p>
      <w:pPr>
        <w:sectPr>
          <w:pgSz w:w="11900" w:h="16838" w:orient="portrait"/>
          <w:cols w:equalWidth="0" w:num="1">
            <w:col w:w="11460"/>
          </w:cols>
          <w:pgMar w:left="220" w:top="254" w:right="219" w:bottom="1440" w:gutter="0" w:footer="0" w:header="0"/>
        </w:sectPr>
      </w:pPr>
    </w:p>
    <w:bookmarkStart w:id="30" w:name="page31"/>
    <w:bookmarkEnd w:id="30"/>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Net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gridSpan w:val="5"/>
          </w:tcPr>
          <w:p>
            <w:pPr>
              <w:ind w:left="360"/>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Change in</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1"/>
                <w:szCs w:val="11"/>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Change in</w:t>
            </w:r>
          </w:p>
        </w:tc>
        <w:tc>
          <w:tcPr>
            <w:tcW w:w="720" w:type="dxa"/>
            <w:vAlign w:val="bottom"/>
            <w:tcBorders>
              <w:bottom w:val="single" w:sz="8" w:color="auto"/>
            </w:tcBorders>
          </w:tcPr>
          <w:p>
            <w:pPr>
              <w:spacing w:after="0"/>
              <w:rPr>
                <w:sz w:val="13"/>
                <w:szCs w:val="13"/>
                <w:color w:val="auto"/>
              </w:rPr>
            </w:pPr>
          </w:p>
        </w:tc>
      </w:tr>
      <w:tr>
        <w:trPr>
          <w:trHeight w:val="206"/>
        </w:trPr>
        <w:tc>
          <w:tcPr>
            <w:tcW w:w="1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w:t>
            </w:r>
          </w:p>
        </w:tc>
      </w:tr>
      <w:tr>
        <w:trPr>
          <w:trHeight w:val="133"/>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00" w:type="dxa"/>
            <w:vAlign w:val="bottom"/>
            <w:gridSpan w:val="5"/>
          </w:tcPr>
          <w:p>
            <w:pPr>
              <w:ind w:left="60"/>
              <w:spacing w:after="0"/>
              <w:rPr>
                <w:sz w:val="20"/>
                <w:szCs w:val="20"/>
                <w:color w:val="auto"/>
              </w:rPr>
            </w:pPr>
            <w:r>
              <w:rPr>
                <w:rFonts w:ascii="Arial" w:cs="Arial" w:eastAsia="Arial" w:hAnsi="Arial"/>
                <w:sz w:val="10"/>
                <w:szCs w:val="10"/>
                <w:i w:val="1"/>
                <w:iCs w:val="1"/>
                <w:color w:val="auto"/>
              </w:rPr>
              <w:t>(In thousands, except percentages)</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67"/>
        </w:trPr>
        <w:tc>
          <w:tcPr>
            <w:tcW w:w="1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557</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r>
      <w:tr>
        <w:trPr>
          <w:trHeight w:val="208"/>
        </w:trPr>
        <w:tc>
          <w:tcPr>
            <w:tcW w:w="184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(1,351)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1,072</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(293)</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(5,480)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(4,908)</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(5,263)</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r>
      <w:tr>
        <w:trPr>
          <w:trHeight w:val="190"/>
        </w:trPr>
        <w:tc>
          <w:tcPr>
            <w:tcW w:w="1840" w:type="dxa"/>
            <w:vAlign w:val="bottom"/>
          </w:tcPr>
          <w:p>
            <w:pPr>
              <w:ind w:left="20"/>
              <w:spacing w:after="0"/>
              <w:rPr>
                <w:sz w:val="20"/>
                <w:szCs w:val="20"/>
                <w:color w:val="auto"/>
              </w:rPr>
            </w:pPr>
            <w:r>
              <w:rPr>
                <w:rFonts w:ascii="Arial" w:cs="Arial" w:eastAsia="Arial" w:hAnsi="Arial"/>
                <w:sz w:val="13"/>
                <w:szCs w:val="13"/>
                <w:color w:val="auto"/>
              </w:rPr>
              <w:t>Total other expense, net</w:t>
            </w: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(6,238)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(2,841)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(3,397)</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120 %</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(10,259)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(4,999)</w:t>
            </w: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20"/>
        </w:trPr>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2019 and 2018</w:t>
      </w:r>
    </w:p>
    <w:p>
      <w:pPr>
        <w:spacing w:after="0" w:line="198" w:lineRule="exact"/>
        <w:rPr>
          <w:sz w:val="20"/>
          <w:szCs w:val="20"/>
          <w:color w:val="auto"/>
        </w:rPr>
      </w:pPr>
    </w:p>
    <w:p>
      <w:pPr>
        <w:ind w:right="320" w:firstLine="388"/>
        <w:spacing w:after="0" w:line="273" w:lineRule="auto"/>
        <w:rPr>
          <w:sz w:val="20"/>
          <w:szCs w:val="20"/>
          <w:color w:val="auto"/>
        </w:rPr>
      </w:pPr>
      <w:r>
        <w:rPr>
          <w:rFonts w:ascii="Arial" w:cs="Arial" w:eastAsia="Arial" w:hAnsi="Arial"/>
          <w:sz w:val="14"/>
          <w:szCs w:val="14"/>
          <w:color w:val="auto"/>
        </w:rPr>
        <w:t>Interest income of $0.6 million for the three months ended June 30, 2019 increased, as compared to the same period in 2018, primarily due to interest earned on a higher average cash balance.</w:t>
      </w:r>
    </w:p>
    <w:p>
      <w:pPr>
        <w:spacing w:after="0" w:line="151" w:lineRule="exact"/>
        <w:rPr>
          <w:sz w:val="20"/>
          <w:szCs w:val="20"/>
          <w:color w:val="auto"/>
        </w:rPr>
      </w:pPr>
    </w:p>
    <w:p>
      <w:pPr>
        <w:ind w:right="80" w:firstLine="388"/>
        <w:spacing w:after="0" w:line="262" w:lineRule="auto"/>
        <w:rPr>
          <w:sz w:val="20"/>
          <w:szCs w:val="20"/>
          <w:color w:val="auto"/>
        </w:rPr>
      </w:pPr>
      <w:r>
        <w:rPr>
          <w:rFonts w:ascii="Arial" w:cs="Arial" w:eastAsia="Arial" w:hAnsi="Arial"/>
          <w:sz w:val="14"/>
          <w:szCs w:val="14"/>
          <w:color w:val="auto"/>
        </w:rPr>
        <w:t>Interest expense of $1.4 million for the three months ended June 30, 2019 primarily includes interest expense of $0.6 million related to coupon interest incurred and amortization of debt issuance costs associated with our Notes due 2023 as well as $0.6 million related to the accretion of the debt discount, amortization of debt issuance cost and coupon interest incurred associated with our Notes due 2024. Interest expense of $2.4 million for the three months ended June 30, 2018 primarily includes interest expense related to our term loans which were repaid in full on January 28, 2019.</w:t>
      </w:r>
    </w:p>
    <w:p>
      <w:pPr>
        <w:spacing w:after="0" w:line="159" w:lineRule="exact"/>
        <w:rPr>
          <w:sz w:val="20"/>
          <w:szCs w:val="20"/>
          <w:color w:val="auto"/>
        </w:rPr>
      </w:pPr>
    </w:p>
    <w:p>
      <w:pPr>
        <w:jc w:val="both"/>
        <w:ind w:right="80" w:firstLine="388"/>
        <w:spacing w:after="0" w:line="265" w:lineRule="auto"/>
        <w:rPr>
          <w:sz w:val="20"/>
          <w:szCs w:val="20"/>
          <w:color w:val="auto"/>
        </w:rPr>
      </w:pPr>
      <w:r>
        <w:rPr>
          <w:rFonts w:ascii="Arial" w:cs="Arial" w:eastAsia="Arial" w:hAnsi="Arial"/>
          <w:sz w:val="14"/>
          <w:szCs w:val="14"/>
          <w:color w:val="auto"/>
        </w:rPr>
        <w:t>Other expense, net of $5.5 million for the three months ended June 30, 2019, primarily relates to the $6.0 million fees paid for the repurchase and exchange of our Notes due 2023, partially offset by a net gain related to foreign currency exchange and remeasurement of $0.5 million. Other expense, net of $0.6 million for the three months ended June 30, 2018, primarily relates to a net loss related to foreign currency exchange and remeasurement of $0.6 million.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2019 and 2018</w:t>
      </w:r>
    </w:p>
    <w:p>
      <w:pPr>
        <w:spacing w:after="0" w:line="198" w:lineRule="exact"/>
        <w:rPr>
          <w:sz w:val="20"/>
          <w:szCs w:val="20"/>
          <w:color w:val="auto"/>
        </w:rPr>
      </w:pPr>
    </w:p>
    <w:p>
      <w:pPr>
        <w:ind w:right="120" w:firstLine="388"/>
        <w:spacing w:after="0" w:line="273" w:lineRule="auto"/>
        <w:rPr>
          <w:sz w:val="20"/>
          <w:szCs w:val="20"/>
          <w:color w:val="auto"/>
        </w:rPr>
      </w:pPr>
      <w:r>
        <w:rPr>
          <w:rFonts w:ascii="Arial" w:cs="Arial" w:eastAsia="Arial" w:hAnsi="Arial"/>
          <w:sz w:val="14"/>
          <w:szCs w:val="14"/>
          <w:color w:val="auto"/>
        </w:rPr>
        <w:t>Interest income of $0.8 million the six months ended June 30, 2019 increased, as compared to the same period in 2018, primarily due to interest earned on a higher average cash balance.</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expense of $5.1 million for the six months ended June 30, 2019 primarily includes $3.2 million related to the repayment of our term loans, interest expense of</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$1.4 million related to coupon interest incurred and amortization of debt issuance costs associated with our Notes due 2023, and $0.6 million related to the accretion of the debt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discount, amortization of debt issuance cost and coupon interest incurred associated with our Notes due 2024. Interest expense of $4.8 million for the six months ended June 30,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2018 primarily includes interest expense related to our term loans.</w:t>
      </w:r>
    </w:p>
    <w:p>
      <w:pPr>
        <w:spacing w:after="0" w:line="184" w:lineRule="exact"/>
        <w:rPr>
          <w:sz w:val="20"/>
          <w:szCs w:val="20"/>
          <w:color w:val="auto"/>
        </w:rPr>
      </w:pPr>
    </w:p>
    <w:p>
      <w:pPr>
        <w:ind w:right="160" w:firstLine="388"/>
        <w:spacing w:after="0" w:line="265" w:lineRule="auto"/>
        <w:rPr>
          <w:sz w:val="20"/>
          <w:szCs w:val="20"/>
          <w:color w:val="auto"/>
        </w:rPr>
      </w:pPr>
      <w:r>
        <w:rPr>
          <w:rFonts w:ascii="Arial" w:cs="Arial" w:eastAsia="Arial" w:hAnsi="Arial"/>
          <w:sz w:val="14"/>
          <w:szCs w:val="14"/>
          <w:color w:val="auto"/>
        </w:rPr>
        <w:t>Other expense, net of $6.0 million for the six months ended June 30, 2019 primarily relates to the $6.0 million fees paid for the repurchase and exchange of our Notes due 2023. Other expense, net for the six months ended June 30, 2018 includes a net loss related to foreign currency exchange and remeasurement of $1.0 million, partially offset by a $0.3 million change in purchase option fair value associated with our long-term financing receivable recorded as debt.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of June 30, 2019, we had $206.0 million in cash and cash equivalents and working capital of $206.2 million. Cash and cash equivalents held in the U.S. were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$188.7 million and consisted primarily of U.S. government money market mutual funds and non-interest-bearing checking deposits, with the remainder held in various foreign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subsidiaries. We consider amounts held outside the U.S. to be accessible and have provided for the estimated U.S. income tax liability associated with our foreign earnings.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Loans</w:t>
      </w:r>
    </w:p>
    <w:p>
      <w:pPr>
        <w:spacing w:after="0" w:line="200" w:lineRule="exact"/>
        <w:rPr>
          <w:sz w:val="20"/>
          <w:szCs w:val="20"/>
          <w:color w:val="auto"/>
        </w:rPr>
      </w:pPr>
    </w:p>
    <w:p>
      <w:pPr>
        <w:ind w:right="500" w:firstLine="388"/>
        <w:spacing w:after="0" w:line="273" w:lineRule="auto"/>
        <w:rPr>
          <w:sz w:val="20"/>
          <w:szCs w:val="20"/>
          <w:color w:val="auto"/>
        </w:rPr>
      </w:pPr>
      <w:r>
        <w:rPr>
          <w:rFonts w:ascii="Arial" w:cs="Arial" w:eastAsia="Arial" w:hAnsi="Arial"/>
          <w:sz w:val="14"/>
          <w:szCs w:val="14"/>
          <w:color w:val="auto"/>
        </w:rPr>
        <w:t>On January 28, 2019, we repaid in full the remaining principal amount of the Term Loans of approximately $39.5 million plus accrued interest and fees owed to lenders affiliated with Tennenbaum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233045</wp:posOffset>
            </wp:positionV>
            <wp:extent cx="708977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29</w:t>
      </w:r>
    </w:p>
    <w:p>
      <w:pPr>
        <w:sectPr>
          <w:pgSz w:w="11900" w:h="16838" w:orient="portrait"/>
          <w:cols w:equalWidth="0" w:num="1">
            <w:col w:w="11460"/>
          </w:cols>
          <w:pgMar w:left="220" w:top="254" w:right="219" w:bottom="1440" w:gutter="0" w:footer="0" w:header="0"/>
        </w:sectPr>
      </w:pPr>
    </w:p>
    <w:bookmarkStart w:id="31" w:name="page32"/>
    <w:bookmarkEnd w:id="31"/>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Notes</w:t>
      </w:r>
    </w:p>
    <w:p>
      <w:pPr>
        <w:spacing w:after="0" w:line="186" w:lineRule="exact"/>
        <w:rPr>
          <w:sz w:val="20"/>
          <w:szCs w:val="20"/>
          <w:color w:val="auto"/>
        </w:rPr>
      </w:pPr>
    </w:p>
    <w:p>
      <w:pPr>
        <w:ind w:right="60" w:firstLine="388"/>
        <w:spacing w:after="0" w:line="264" w:lineRule="auto"/>
        <w:rPr>
          <w:sz w:val="20"/>
          <w:szCs w:val="20"/>
          <w:color w:val="auto"/>
        </w:rPr>
      </w:pPr>
      <w:r>
        <w:rPr>
          <w:rFonts w:ascii="Arial" w:cs="Arial" w:eastAsia="Arial" w:hAnsi="Arial"/>
          <w:sz w:val="14"/>
          <w:szCs w:val="14"/>
          <w:i w:val="1"/>
          <w:iCs w:val="1"/>
          <w:color w:val="auto"/>
        </w:rPr>
        <w:t>Notes due 2023</w:t>
      </w:r>
      <w:r>
        <w:rPr>
          <w:rFonts w:ascii="Arial" w:cs="Arial" w:eastAsia="Arial" w:hAnsi="Arial"/>
          <w:sz w:val="14"/>
          <w:szCs w:val="14"/>
          <w:color w:val="auto"/>
        </w:rPr>
        <w:t>. In August 2018, we issued $65.0 million aggregate principal amount of convertible senior notes in a private placement (“Notes due 2023”). The Notes due</w:t>
      </w:r>
      <w:r>
        <w:rPr>
          <w:rFonts w:ascii="Arial" w:cs="Arial" w:eastAsia="Arial" w:hAnsi="Arial"/>
          <w:sz w:val="14"/>
          <w:szCs w:val="14"/>
          <w:i w:val="1"/>
          <w:iCs w:val="1"/>
          <w:color w:val="auto"/>
        </w:rPr>
        <w:t xml:space="preserve"> </w:t>
      </w:r>
      <w:r>
        <w:rPr>
          <w:rFonts w:ascii="Arial" w:cs="Arial" w:eastAsia="Arial" w:hAnsi="Arial"/>
          <w:sz w:val="14"/>
          <w:szCs w:val="14"/>
          <w:color w:val="auto"/>
        </w:rPr>
        <w:t>2023 are general unsecured obligations and bear interest at a rate of 4.0% per year, payable semi-annually on February 1 and August 1 of each year, beginning on February 1, 2019. The Notes due 2023 will mature on August 1, 2023, unless earlier repurchased by us or converted at the option of the holders. On May 30, 2019, we entered into separately and privately 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 As of June 30, 2019, we had $5.0 million aggregate principal amount of our Notes due 2023 outstanding.</w:t>
      </w:r>
    </w:p>
    <w:p>
      <w:pPr>
        <w:spacing w:after="0" w:line="144" w:lineRule="exact"/>
        <w:rPr>
          <w:sz w:val="20"/>
          <w:szCs w:val="20"/>
          <w:color w:val="auto"/>
        </w:rPr>
      </w:pPr>
    </w:p>
    <w:p>
      <w:pPr>
        <w:jc w:val="both"/>
        <w:ind w:right="80" w:firstLine="388"/>
        <w:spacing w:after="0" w:line="269" w:lineRule="auto"/>
        <w:rPr>
          <w:sz w:val="20"/>
          <w:szCs w:val="20"/>
          <w:color w:val="auto"/>
        </w:rPr>
      </w:pPr>
      <w:r>
        <w:rPr>
          <w:rFonts w:ascii="Arial" w:cs="Arial" w:eastAsia="Arial" w:hAnsi="Arial"/>
          <w:sz w:val="14"/>
          <w:szCs w:val="14"/>
          <w:i w:val="1"/>
          <w:iCs w:val="1"/>
          <w:color w:val="auto"/>
        </w:rPr>
        <w:t>Notes due 2024</w:t>
      </w:r>
      <w:r>
        <w:rPr>
          <w:rFonts w:ascii="Arial" w:cs="Arial" w:eastAsia="Arial" w:hAnsi="Arial"/>
          <w:sz w:val="14"/>
          <w:szCs w:val="14"/>
          <w:color w:val="auto"/>
        </w:rPr>
        <w:t>. In June 2019, we issued $132.0 million aggregate principal amount of convertible senior notes in a private placement (“Notes due 2024”). The Notes due</w:t>
      </w:r>
      <w:r>
        <w:rPr>
          <w:rFonts w:ascii="Arial" w:cs="Arial" w:eastAsia="Arial" w:hAnsi="Arial"/>
          <w:sz w:val="14"/>
          <w:szCs w:val="14"/>
          <w:i w:val="1"/>
          <w:iCs w:val="1"/>
          <w:color w:val="auto"/>
        </w:rPr>
        <w:t xml:space="preserve"> </w:t>
      </w:r>
      <w:r>
        <w:rPr>
          <w:rFonts w:ascii="Arial" w:cs="Arial" w:eastAsia="Arial" w:hAnsi="Arial"/>
          <w:sz w:val="14"/>
          <w:szCs w:val="14"/>
          <w:color w:val="auto"/>
        </w:rPr>
        <w:t>2024 are general unsecured obligations and bear interest at a rate of 1.0% per year, payable semi-annually on June 1 and December 1 of each year, beginning on December 1, 2019. The Notes due 2024 will mature on June 1, 2024, unless earlier repurchased by us or converted at the option of the holders at a conversion price of $20.50 per share. As of June 30, 2019, we had $132.0 million aggregate principal amount of our Notes due 2024 outstanding.</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Notes due 2024 may be converted on any day prior to the close of business on the business day immediately preceding December 1, 2023, in multiples of</w:t>
      </w:r>
    </w:p>
    <w:p>
      <w:pPr>
        <w:spacing w:after="0" w:line="1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$1,000 principal amount, at the option of the holder under any of the following circumstances: (1) during any calendar quarter commencing after the calendar quarter ending on September 30, 2019 (and only during such calendar quarter), if the last reported sale price of the our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our common stock and the conversion rate on each such trading day; or (3) upon the occurrence of specified corporate events. Upon conversion of any of the notes, we will pay or deliver, as the case may be, cash, shares of common stock or a combination of cash and common stock, at our election.</w:t>
      </w:r>
    </w:p>
    <w:p>
      <w:pPr>
        <w:spacing w:after="0" w:line="163" w:lineRule="exact"/>
        <w:rPr>
          <w:sz w:val="20"/>
          <w:szCs w:val="20"/>
          <w:color w:val="auto"/>
        </w:rPr>
      </w:pPr>
    </w:p>
    <w:p>
      <w:pPr>
        <w:ind w:right="80" w:firstLine="388"/>
        <w:spacing w:after="0" w:line="262" w:lineRule="auto"/>
        <w:rPr>
          <w:sz w:val="20"/>
          <w:szCs w:val="20"/>
          <w:color w:val="auto"/>
        </w:rPr>
      </w:pPr>
      <w:r>
        <w:rPr>
          <w:rFonts w:ascii="Arial" w:cs="Arial" w:eastAsia="Arial" w:hAnsi="Arial"/>
          <w:sz w:val="14"/>
          <w:szCs w:val="14"/>
          <w:color w:val="auto"/>
        </w:rPr>
        <w:t>In connection with the offering of the Notes due 2024, we entered into privately-negotiated convertible note hedge transactions in order to reduce the potential dilution to our common stock upon any conversion of the Notes due 2024. The total cost of the convertible note hedge transactions was approximately $36.3 million. Also, concurrently with the offering of the Notes due 2024, we entered into privately-negotiated warrant transactions whereby we issued warrants to acquire shares of our common stock at a strike price of $25.2320 rather than the Notes due 2024 conversion price of $20.5010. We received approximately $29.8 million from the sale of the warrants.</w:t>
      </w:r>
    </w:p>
    <w:p>
      <w:pPr>
        <w:spacing w:after="0" w:line="159" w:lineRule="exact"/>
        <w:rPr>
          <w:sz w:val="20"/>
          <w:szCs w:val="20"/>
          <w:color w:val="auto"/>
        </w:rPr>
      </w:pPr>
    </w:p>
    <w:p>
      <w:pPr>
        <w:jc w:val="both"/>
        <w:ind w:right="200" w:firstLine="388"/>
        <w:spacing w:after="0" w:line="262" w:lineRule="auto"/>
        <w:rPr>
          <w:sz w:val="20"/>
          <w:szCs w:val="20"/>
          <w:color w:val="auto"/>
        </w:rPr>
      </w:pPr>
      <w:r>
        <w:rPr>
          <w:rFonts w:ascii="Arial" w:cs="Arial" w:eastAsia="Arial" w:hAnsi="Arial"/>
          <w:sz w:val="14"/>
          <w:szCs w:val="14"/>
          <w:color w:val="auto"/>
        </w:rPr>
        <w:t>As of July 30, 2019, the holders of the Notes due 2024 were unable to convert the debt into equity, therefore, we had not purchased any shares under the convertible note hedge and the warrants had not been exercised and remain outstanding. If holders of the Notes due 2024 are able to convert the debt to equity, and exercise that right, we have asserted our intent and ability to settle the $132.0 million aggregate principal amount of the Notes due 2024 in cash. See Note 8, “Debt,” of the notes to condensed consolidated financial statements included in Part I, Item 1 of this Form 10-Q for more information relating to the convertible note hedge transactions and warrants.</w:t>
      </w:r>
    </w:p>
    <w:p>
      <w:pPr>
        <w:spacing w:after="0" w:line="159" w:lineRule="exact"/>
        <w:rPr>
          <w:sz w:val="20"/>
          <w:szCs w:val="20"/>
          <w:color w:val="auto"/>
        </w:rPr>
      </w:pPr>
    </w:p>
    <w:p>
      <w:pPr>
        <w:ind w:right="120" w:firstLine="388"/>
        <w:spacing w:after="0" w:line="273" w:lineRule="auto"/>
        <w:rPr>
          <w:sz w:val="20"/>
          <w:szCs w:val="20"/>
          <w:color w:val="auto"/>
        </w:rPr>
      </w:pPr>
      <w:r>
        <w:rPr>
          <w:rFonts w:ascii="Arial" w:cs="Arial" w:eastAsia="Arial" w:hAnsi="Arial"/>
          <w:sz w:val="14"/>
          <w:szCs w:val="14"/>
          <w:color w:val="auto"/>
        </w:rPr>
        <w:t>We believe that our existing cash and cash equivalents and cash flows from our operating activities will be sufficient to meet our anticipated cash needs for at least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233045</wp:posOffset>
            </wp:positionV>
            <wp:extent cx="70897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30</w:t>
      </w:r>
    </w:p>
    <w:p>
      <w:pPr>
        <w:sectPr>
          <w:pgSz w:w="11900" w:h="16838" w:orient="portrait"/>
          <w:cols w:equalWidth="0" w:num="1">
            <w:col w:w="11380"/>
          </w:cols>
          <w:pgMar w:left="220" w:top="254" w:right="299" w:bottom="1440" w:gutter="0" w:footer="0" w:header="0"/>
        </w:sectPr>
      </w:pPr>
    </w:p>
    <w:bookmarkStart w:id="32" w:name="page33"/>
    <w:bookmarkEnd w:id="32"/>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378"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 xml:space="preserve">Cash Flows. </w:t>
      </w:r>
      <w:r>
        <w:rPr>
          <w:rFonts w:ascii="Arial" w:cs="Arial" w:eastAsia="Arial" w:hAnsi="Arial"/>
          <w:sz w:val="14"/>
          <w:szCs w:val="14"/>
          <w:color w:val="auto"/>
        </w:rPr>
        <w:t>The following table summarizes our cash flows for the periods presented:</w:t>
      </w:r>
    </w:p>
    <w:p>
      <w:pPr>
        <w:spacing w:after="0" w:line="145" w:lineRule="exact"/>
        <w:rPr>
          <w:sz w:val="20"/>
          <w:szCs w:val="20"/>
          <w:color w:val="auto"/>
        </w:rPr>
      </w:pPr>
    </w:p>
    <w:p>
      <w:pPr>
        <w:ind w:left="9420"/>
        <w:spacing w:after="0"/>
        <w:rPr>
          <w:sz w:val="20"/>
          <w:szCs w:val="20"/>
          <w:color w:val="auto"/>
        </w:rPr>
      </w:pPr>
      <w:r>
        <w:rPr>
          <w:rFonts w:ascii="Arial" w:cs="Arial" w:eastAsia="Arial" w:hAnsi="Arial"/>
          <w:sz w:val="11"/>
          <w:szCs w:val="11"/>
          <w:b w:val="1"/>
          <w:bCs w:val="1"/>
          <w:color w:val="auto"/>
        </w:rPr>
        <w:t>Six Months Ended</w:t>
      </w:r>
    </w:p>
    <w:p>
      <w:pPr>
        <w:spacing w:after="0" w:line="17" w:lineRule="exact"/>
        <w:rPr>
          <w:sz w:val="20"/>
          <w:szCs w:val="20"/>
          <w:color w:val="auto"/>
        </w:rPr>
      </w:pPr>
    </w:p>
    <w:p>
      <w:pPr>
        <w:ind w:left="9700"/>
        <w:spacing w:after="0"/>
        <w:rPr>
          <w:sz w:val="20"/>
          <w:szCs w:val="20"/>
          <w:color w:val="auto"/>
        </w:rPr>
      </w:pPr>
      <w:r>
        <w:rPr>
          <w:rFonts w:ascii="Arial" w:cs="Arial" w:eastAsia="Arial" w:hAnsi="Arial"/>
          <w:sz w:val="11"/>
          <w:szCs w:val="11"/>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4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31,835</w:t>
            </w:r>
          </w:p>
        </w:tc>
        <w:tc>
          <w:tcPr>
            <w:tcW w:w="54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7,441</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940" w:type="dxa"/>
            <w:vAlign w:val="bottom"/>
          </w:tcPr>
          <w:p>
            <w:pPr>
              <w:spacing w:after="0"/>
              <w:rPr>
                <w:sz w:val="18"/>
                <w:szCs w:val="18"/>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(3,176)</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(1,475)</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70,956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23,744</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from Operating Activities</w:t>
      </w:r>
    </w:p>
    <w:p>
      <w:pPr>
        <w:spacing w:after="0" w:line="243" w:lineRule="exact"/>
        <w:rPr>
          <w:sz w:val="20"/>
          <w:szCs w:val="20"/>
          <w:color w:val="auto"/>
        </w:rPr>
      </w:pPr>
    </w:p>
    <w:p>
      <w:pPr>
        <w:ind w:right="40" w:firstLine="388"/>
        <w:spacing w:after="0" w:line="259" w:lineRule="auto"/>
        <w:rPr>
          <w:sz w:val="20"/>
          <w:szCs w:val="20"/>
          <w:color w:val="auto"/>
        </w:rPr>
      </w:pPr>
      <w:r>
        <w:rPr>
          <w:rFonts w:ascii="Arial" w:cs="Arial" w:eastAsia="Arial" w:hAnsi="Arial"/>
          <w:sz w:val="14"/>
          <w:szCs w:val="14"/>
          <w:color w:val="auto"/>
        </w:rPr>
        <w:t>For the six months ended June 30, 2019, net cash provided by operating activities of $31.8 million was primarily attributable to net income of $13.4 million, non-cash charges of $12.4 million, and a one-time charge of $6.0 million and $2.2 million related to inducement costs paid on conversion of $60.0 million aggregate principal amount of the Notes due 2023 and settlement of our Term Loans, respectively. Cash outflow from operating assets and liabilities of $8.1 million. The primary driver of cash outflows from changes in operating assets and liabilities was a $19.1 million increase in accounts receivable due to higher sales, a $9.6 million increase in prepaid expense and other assets due to subscription renewals and other receivables and a $3.8 million increase in inventory due to continued improvement in the management of our supply chain to meet the higher demand, which were partially offset by a $16.8 million increase in accounts payable due to both successful negotiations of our vendor payment terms as well as the timing of vendor payments, a $5.9 million increase in deferred revenues and a $1.7 million increase in warranty obligations.</w:t>
      </w:r>
    </w:p>
    <w:p>
      <w:pPr>
        <w:spacing w:after="0" w:line="206" w:lineRule="exact"/>
        <w:rPr>
          <w:sz w:val="20"/>
          <w:szCs w:val="20"/>
          <w:color w:val="auto"/>
        </w:rPr>
      </w:pPr>
    </w:p>
    <w:p>
      <w:pPr>
        <w:ind w:right="60" w:firstLine="388"/>
        <w:spacing w:after="0" w:line="260" w:lineRule="auto"/>
        <w:rPr>
          <w:sz w:val="20"/>
          <w:szCs w:val="20"/>
          <w:color w:val="auto"/>
        </w:rPr>
      </w:pPr>
      <w:r>
        <w:rPr>
          <w:rFonts w:ascii="Arial" w:cs="Arial" w:eastAsia="Arial" w:hAnsi="Arial"/>
          <w:sz w:val="14"/>
          <w:szCs w:val="14"/>
          <w:color w:val="auto"/>
        </w:rPr>
        <w:t>For the six months ended June 30, 2018, net cash provided by operating activities of $7.4 million was primarily attributable to a net loss of $8.9 million offset by non-cash charges of $12.2 million and net cash inflows from changes in operating assets and liabilities of $4.1 million. Non-cash charges included $5.9 million of stock-based compensation, $4.5 million of depreciation and amortization, $1.1 million of non-cash interest expense and a $0.8 million provision for doubtful accounts. The primary drivers of cash inflows from changes in operating assets and liabilities were a $5.9 million decrease in accounts receivable due to the timing of revenue as well as the impact of cash management efforts and a $8.5 million decrease in inventory due to a combination of supply chain management efforts and the impact of component shortages, which were partially offset by a $3.8 million decrease in accounts payable as a result of lower inventory levels and the timing of vendor payments.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from Investing Activities</w:t>
      </w:r>
    </w:p>
    <w:p>
      <w:pPr>
        <w:spacing w:after="0" w:line="200" w:lineRule="exact"/>
        <w:rPr>
          <w:sz w:val="20"/>
          <w:szCs w:val="20"/>
          <w:color w:val="auto"/>
        </w:rPr>
      </w:pPr>
    </w:p>
    <w:p>
      <w:pPr>
        <w:ind w:right="320" w:firstLine="388"/>
        <w:spacing w:after="0" w:line="273" w:lineRule="auto"/>
        <w:rPr>
          <w:sz w:val="20"/>
          <w:szCs w:val="20"/>
          <w:color w:val="auto"/>
        </w:rPr>
      </w:pPr>
      <w:r>
        <w:rPr>
          <w:rFonts w:ascii="Arial" w:cs="Arial" w:eastAsia="Arial" w:hAnsi="Arial"/>
          <w:sz w:val="14"/>
          <w:szCs w:val="14"/>
          <w:color w:val="auto"/>
        </w:rPr>
        <w:t>For the six months ended June 30, 2019, cash used in investing activities of $3.2 million was primarily from purchases of test and assembly equipment and related facility improvements, and capitalized costs related to internal-use software.</w:t>
      </w:r>
    </w:p>
    <w:p>
      <w:pPr>
        <w:spacing w:after="0" w:line="194" w:lineRule="exact"/>
        <w:rPr>
          <w:sz w:val="20"/>
          <w:szCs w:val="20"/>
          <w:color w:val="auto"/>
        </w:rPr>
      </w:pPr>
    </w:p>
    <w:p>
      <w:pPr>
        <w:ind w:right="140" w:firstLine="388"/>
        <w:spacing w:after="0" w:line="273" w:lineRule="auto"/>
        <w:rPr>
          <w:sz w:val="20"/>
          <w:szCs w:val="20"/>
          <w:color w:val="auto"/>
        </w:rPr>
      </w:pPr>
      <w:r>
        <w:rPr>
          <w:rFonts w:ascii="Arial" w:cs="Arial" w:eastAsia="Arial" w:hAnsi="Arial"/>
          <w:sz w:val="14"/>
          <w:szCs w:val="14"/>
          <w:color w:val="auto"/>
        </w:rPr>
        <w:t>For the six months ended June 30, 2018, cash used in investing activities of $1.5 million was primarily from purchases of test and assembly equipment and capitalized costs related to internal-use software.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from Financing Activities</w:t>
      </w:r>
    </w:p>
    <w:p>
      <w:pPr>
        <w:spacing w:after="0" w:line="200" w:lineRule="exact"/>
        <w:rPr>
          <w:sz w:val="20"/>
          <w:szCs w:val="20"/>
          <w:color w:val="auto"/>
        </w:rPr>
      </w:pPr>
    </w:p>
    <w:p>
      <w:pPr>
        <w:ind w:right="380" w:firstLine="388"/>
        <w:spacing w:after="0" w:line="262" w:lineRule="auto"/>
        <w:rPr>
          <w:sz w:val="20"/>
          <w:szCs w:val="20"/>
          <w:color w:val="auto"/>
        </w:rPr>
      </w:pPr>
      <w:r>
        <w:rPr>
          <w:rFonts w:ascii="Arial" w:cs="Arial" w:eastAsia="Arial" w:hAnsi="Arial"/>
          <w:sz w:val="14"/>
          <w:szCs w:val="14"/>
          <w:color w:val="auto"/>
        </w:rPr>
        <w:t>For the six months ended June 30, 2019, net cash provided by financing activities of $71.0 million was primarily from net proceeds of $128.0 million received from the issuance of our Notes due 2024, $29.8 million from sale of warrants, as well as $0.5 million net proceeds from issuance of common stock under our employee stock incentive program. These proceeds were partially offset by $45.1 million for principal payments on debts and financing fees associated with repayment of our term loan, $36.3 million for purchase of bond hedges related to our Notes due 2024 and $6.0 million attributable to inducement costs incurred for repurchase of our Notes due 2023.</w:t>
      </w:r>
    </w:p>
    <w:p>
      <w:pPr>
        <w:spacing w:after="0" w:line="202" w:lineRule="exact"/>
        <w:rPr>
          <w:sz w:val="20"/>
          <w:szCs w:val="20"/>
          <w:color w:val="auto"/>
        </w:rPr>
      </w:pPr>
    </w:p>
    <w:p>
      <w:pPr>
        <w:ind w:right="80" w:firstLine="388"/>
        <w:spacing w:after="0" w:line="273" w:lineRule="auto"/>
        <w:rPr>
          <w:sz w:val="20"/>
          <w:szCs w:val="20"/>
          <w:color w:val="auto"/>
        </w:rPr>
      </w:pPr>
      <w:r>
        <w:rPr>
          <w:rFonts w:ascii="Arial" w:cs="Arial" w:eastAsia="Arial" w:hAnsi="Arial"/>
          <w:sz w:val="14"/>
          <w:szCs w:val="14"/>
          <w:color w:val="auto"/>
        </w:rPr>
        <w:t>For the six months ended June 30, 2018, net cash provided by financing activities of $23.7 million was primarily from net proceeds of $21.3 million from sales of common stock and net proceeds of $5.6 million from the sale of certain long-term financing receivables. These proceeds were partially offset by a $3.1 million principal payment on our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287655</wp:posOffset>
            </wp:positionV>
            <wp:extent cx="708977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31</w:t>
      </w:r>
    </w:p>
    <w:p>
      <w:pPr>
        <w:sectPr>
          <w:pgSz w:w="11900" w:h="16838" w:orient="portrait"/>
          <w:cols w:equalWidth="0" w:num="1">
            <w:col w:w="11460"/>
          </w:cols>
          <w:pgMar w:left="220" w:top="254" w:right="219" w:bottom="1440" w:gutter="0" w:footer="0" w:header="0"/>
        </w:sectPr>
      </w:pPr>
    </w:p>
    <w:bookmarkStart w:id="33" w:name="page34"/>
    <w:bookmarkEnd w:id="33"/>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summarizes our outstanding contractual obligations as of June 30,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1"/>
                <w:szCs w:val="11"/>
                <w:b w:val="1"/>
                <w:bCs w:val="1"/>
                <w:color w:val="auto"/>
              </w:rPr>
              <w:t>Payments Due by Period</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36"/>
        </w:trPr>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2019 (remaining six</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57"/>
        </w:trPr>
        <w:tc>
          <w:tcPr>
            <w:tcW w:w="11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months)</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2020-2021</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2022-2023</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Beyond 2023</w:t>
            </w:r>
          </w:p>
        </w:tc>
      </w:tr>
      <w:tr>
        <w:trPr>
          <w:trHeight w:val="196"/>
        </w:trPr>
        <w:tc>
          <w:tcPr>
            <w:tcW w:w="1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leases</w:t>
            </w:r>
          </w:p>
        </w:tc>
        <w:tc>
          <w:tcPr>
            <w:tcW w:w="880" w:type="dxa"/>
            <w:vAlign w:val="bottom"/>
            <w:shd w:val="clear" w:color="auto" w:fill="CCEEFF"/>
          </w:tcPr>
          <w:p>
            <w:pPr>
              <w:jc w:val="right"/>
              <w:ind w:right="73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1,507</w:t>
            </w:r>
          </w:p>
        </w:tc>
      </w:tr>
      <w:tr>
        <w:trPr>
          <w:trHeight w:val="208"/>
        </w:trPr>
        <w:tc>
          <w:tcPr>
            <w:tcW w:w="3560" w:type="dxa"/>
            <w:vAlign w:val="bottom"/>
            <w:gridSpan w:val="2"/>
          </w:tcPr>
          <w:p>
            <w:pPr>
              <w:ind w:left="20"/>
              <w:spacing w:after="0"/>
              <w:rPr>
                <w:sz w:val="20"/>
                <w:szCs w:val="20"/>
                <w:color w:val="auto"/>
              </w:rPr>
            </w:pPr>
            <w:r>
              <w:rPr>
                <w:rFonts w:ascii="Arial" w:cs="Arial" w:eastAsia="Arial" w:hAnsi="Arial"/>
                <w:sz w:val="13"/>
                <w:szCs w:val="13"/>
                <w:color w:val="auto"/>
              </w:rPr>
              <w:t>Notes due 2023 principal and interest</w:t>
            </w:r>
          </w:p>
        </w:tc>
        <w:tc>
          <w:tcPr>
            <w:tcW w:w="880" w:type="dxa"/>
            <w:vAlign w:val="bottom"/>
          </w:tcPr>
          <w:p>
            <w:pPr>
              <w:spacing w:after="0"/>
              <w:rPr>
                <w:sz w:val="18"/>
                <w:szCs w:val="18"/>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6,000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5,400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2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Notes due 2024 principal and interest</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138,600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132,678</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3"/>
                <w:szCs w:val="13"/>
                <w:color w:val="auto"/>
              </w:rPr>
              <w:t xml:space="preserve">Purchase obligations </w:t>
            </w:r>
            <w:r>
              <w:rPr>
                <w:rFonts w:ascii="Arial" w:cs="Arial" w:eastAsia="Arial" w:hAnsi="Arial"/>
                <w:sz w:val="17"/>
                <w:szCs w:val="17"/>
                <w:color w:val="auto"/>
                <w:vertAlign w:val="superscript"/>
              </w:rPr>
              <w:t>(1)</w:t>
            </w:r>
          </w:p>
        </w:tc>
        <w:tc>
          <w:tcPr>
            <w:tcW w:w="880" w:type="dxa"/>
            <w:vAlign w:val="bottom"/>
          </w:tcPr>
          <w:p>
            <w:pPr>
              <w:spacing w:after="0"/>
              <w:rPr>
                <w:sz w:val="18"/>
                <w:szCs w:val="18"/>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55,475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55,475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82"/>
        </w:trPr>
        <w:tc>
          <w:tcPr>
            <w:tcW w:w="3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88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214,387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57,774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9,814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12,614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134,185</w:t>
            </w:r>
          </w:p>
        </w:tc>
      </w:tr>
      <w:tr>
        <w:trPr>
          <w:trHeight w:val="20"/>
        </w:trPr>
        <w:tc>
          <w:tcPr>
            <w:tcW w:w="1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3"/>
        </w:trPr>
        <w:tc>
          <w:tcPr>
            <w:tcW w:w="116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96" w:lineRule="exact"/>
        <w:rPr>
          <w:sz w:val="20"/>
          <w:szCs w:val="20"/>
          <w:color w:val="auto"/>
        </w:rPr>
      </w:pPr>
    </w:p>
    <w:p>
      <w:pPr>
        <w:jc w:val="both"/>
        <w:ind w:left="260" w:right="40" w:hanging="254"/>
        <w:spacing w:after="0" w:line="265"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Purchase obligations include amounts related to component inventory that our primary contract manufacturer procures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70" w:lineRule="exact"/>
        <w:rPr>
          <w:sz w:val="20"/>
          <w:szCs w:val="20"/>
          <w:color w:val="auto"/>
        </w:rPr>
      </w:pPr>
    </w:p>
    <w:p>
      <w:pPr>
        <w:ind w:right="500" w:firstLine="388"/>
        <w:spacing w:after="0" w:line="273" w:lineRule="auto"/>
        <w:rPr>
          <w:sz w:val="20"/>
          <w:szCs w:val="20"/>
          <w:color w:val="auto"/>
        </w:rPr>
      </w:pPr>
      <w:r>
        <w:rPr>
          <w:rFonts w:ascii="Arial" w:cs="Arial" w:eastAsia="Arial" w:hAnsi="Arial"/>
          <w:sz w:val="14"/>
          <w:szCs w:val="14"/>
          <w:color w:val="auto"/>
        </w:rPr>
        <w:t>On January 28, 2019, we repaid in full the remaining principal amount of the Term Loans of approximately $39.5 million plus accrued interest and fees owed to lenders affiliated with Tennenbaum Capital Partners, LLC.</w:t>
      </w:r>
    </w:p>
    <w:p>
      <w:pPr>
        <w:spacing w:after="0" w:line="151" w:lineRule="exact"/>
        <w:rPr>
          <w:sz w:val="20"/>
          <w:szCs w:val="20"/>
          <w:color w:val="auto"/>
        </w:rPr>
      </w:pPr>
    </w:p>
    <w:p>
      <w:pPr>
        <w:ind w:firstLine="388"/>
        <w:spacing w:after="0" w:line="262" w:lineRule="auto"/>
        <w:rPr>
          <w:sz w:val="20"/>
          <w:szCs w:val="20"/>
          <w:color w:val="auto"/>
        </w:rPr>
      </w:pPr>
      <w:r>
        <w:rPr>
          <w:rFonts w:ascii="Arial" w:cs="Arial" w:eastAsia="Arial" w:hAnsi="Arial"/>
          <w:sz w:val="14"/>
          <w:szCs w:val="14"/>
          <w:color w:val="auto"/>
        </w:rPr>
        <w:t>On May 30, 2019, we entered into separately and privately negotiated transactions with certain holders of our Notes due 2023 resulting in the repurchase and exchange, as of June 5, 2019, of $60.0 million aggregate principal amount of the notes in consideration for the issuance of 10,801,080 shares of common stock and separate cash payments totaling $6.0 million. As of June 30, 2019, $5.0 million aggregate principal amount of our Notes due 2023 were outstanding. See Note 8, “Debt,” of the notes to condensed consolidated financial statements included in Part I, Item 1 of this Form 10-Q for more information relating to the Notes due 2023.</w:t>
      </w:r>
    </w:p>
    <w:p>
      <w:pPr>
        <w:spacing w:after="0" w:line="159" w:lineRule="exact"/>
        <w:rPr>
          <w:sz w:val="20"/>
          <w:szCs w:val="20"/>
          <w:color w:val="auto"/>
        </w:rPr>
      </w:pPr>
    </w:p>
    <w:p>
      <w:pPr>
        <w:ind w:right="60" w:firstLine="388"/>
        <w:spacing w:after="0" w:line="261" w:lineRule="auto"/>
        <w:rPr>
          <w:sz w:val="20"/>
          <w:szCs w:val="20"/>
          <w:color w:val="auto"/>
        </w:rPr>
      </w:pPr>
      <w:r>
        <w:rPr>
          <w:rFonts w:ascii="Arial" w:cs="Arial" w:eastAsia="Arial" w:hAnsi="Arial"/>
          <w:sz w:val="14"/>
          <w:szCs w:val="14"/>
          <w:color w:val="auto"/>
        </w:rPr>
        <w:t>On June 5, 2019, we issued $132.0 million aggregate principal amount of Notes due 2024 in a private placement. The Notes due 2024 are general unsecured obligations and bear interest at a rate of 1.0% per year, payable semi-annually on June 1 and December 1 of each year, beginning on December 1, 2019. The Notes due 2024 will mature on June 1, 2024, unless earlier repurchased by us or converted at the option of the holders. As of June 30, 2019, $132.0 million aggregate principal amount of our Notes due 2024 were outstanding. See Note 8, “Debt,” of the notes to condensed consolidated financial statements included in Part I, Item 1 of this Form 10-Q for more information relating to the Notes due 2024.</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of June 30, 2019, we did not have any off-balance sheet arrangements, as defined in Item 303(a)(4)(ii) of SEC Regulation S-K.</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02" w:lineRule="exact"/>
        <w:rPr>
          <w:sz w:val="20"/>
          <w:szCs w:val="20"/>
          <w:color w:val="auto"/>
        </w:rPr>
      </w:pPr>
    </w:p>
    <w:p>
      <w:pPr>
        <w:ind w:right="40" w:firstLine="388"/>
        <w:spacing w:after="0" w:line="259" w:lineRule="auto"/>
        <w:rPr>
          <w:sz w:val="20"/>
          <w:szCs w:val="20"/>
          <w:color w:val="auto"/>
        </w:rPr>
      </w:pPr>
      <w:r>
        <w:rPr>
          <w:rFonts w:ascii="Arial" w:cs="Arial" w:eastAsia="Arial" w:hAnsi="Arial"/>
          <w:sz w:val="14"/>
          <w:szCs w:val="14"/>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240665</wp:posOffset>
            </wp:positionV>
            <wp:extent cx="708977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32</w:t>
      </w:r>
    </w:p>
    <w:p>
      <w:pPr>
        <w:sectPr>
          <w:pgSz w:w="11900" w:h="16838" w:orient="portrait"/>
          <w:cols w:equalWidth="0" w:num="1">
            <w:col w:w="11460"/>
          </w:cols>
          <w:pgMar w:left="220" w:top="254" w:right="219" w:bottom="1440" w:gutter="0" w:footer="0" w:header="0"/>
        </w:sectPr>
      </w:pPr>
    </w:p>
    <w:bookmarkStart w:id="34" w:name="page35"/>
    <w:bookmarkEnd w:id="34"/>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392" w:lineRule="exact"/>
        <w:rPr>
          <w:sz w:val="20"/>
          <w:szCs w:val="20"/>
          <w:color w:val="auto"/>
        </w:rPr>
      </w:pPr>
    </w:p>
    <w:p>
      <w:pPr>
        <w:ind w:right="100" w:firstLine="388"/>
        <w:spacing w:after="0" w:line="265" w:lineRule="auto"/>
        <w:rPr>
          <w:sz w:val="20"/>
          <w:szCs w:val="20"/>
          <w:color w:val="auto"/>
        </w:rPr>
      </w:pPr>
      <w:r>
        <w:rPr>
          <w:rFonts w:ascii="Arial" w:cs="Arial" w:eastAsia="Arial" w:hAnsi="Arial"/>
          <w:sz w:val="14"/>
          <w:szCs w:val="14"/>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Adoption of New and Recently Issued Accounting Pronouncements</w:t>
      </w:r>
    </w:p>
    <w:p>
      <w:pPr>
        <w:spacing w:after="0" w:line="200" w:lineRule="exact"/>
        <w:rPr>
          <w:sz w:val="20"/>
          <w:szCs w:val="20"/>
          <w:color w:val="auto"/>
        </w:rPr>
      </w:pPr>
    </w:p>
    <w:p>
      <w:pPr>
        <w:ind w:right="200" w:firstLine="388"/>
        <w:spacing w:after="0" w:line="273" w:lineRule="auto"/>
        <w:rPr>
          <w:sz w:val="20"/>
          <w:szCs w:val="20"/>
          <w:color w:val="auto"/>
        </w:rPr>
      </w:pPr>
      <w:r>
        <w:rPr>
          <w:rFonts w:ascii="Arial" w:cs="Arial" w:eastAsia="Arial" w:hAnsi="Arial"/>
          <w:sz w:val="14"/>
          <w:szCs w:val="14"/>
          <w:color w:val="auto"/>
        </w:rPr>
        <w:t>Refer to Note 1. “Summary of Significant Accounting Policies” of the notes to condensed consolidated financial statements included in Part I, Item 1 of this Form 10-Q for a discussion of adoption of new and recently issued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02" w:lineRule="exact"/>
        <w:rPr>
          <w:sz w:val="20"/>
          <w:szCs w:val="20"/>
          <w:color w:val="auto"/>
        </w:rPr>
      </w:pPr>
    </w:p>
    <w:p>
      <w:pPr>
        <w:ind w:right="80" w:firstLine="388"/>
        <w:spacing w:after="0" w:line="172" w:lineRule="exact"/>
        <w:rPr>
          <w:sz w:val="20"/>
          <w:szCs w:val="20"/>
          <w:color w:val="auto"/>
        </w:rPr>
      </w:pPr>
      <w:r>
        <w:rPr>
          <w:rFonts w:ascii="Arial" w:cs="Arial" w:eastAsia="Arial" w:hAnsi="Arial"/>
          <w:sz w:val="14"/>
          <w:szCs w:val="14"/>
          <w:color w:val="auto"/>
        </w:rPr>
        <w:t>For quantitative and qualitative disclosures about market risk, see Item 7A, “Quantitative and Qualitative Disclosures About Market Risk” of our Form 10</w:t>
      </w:r>
      <w:r>
        <w:rPr>
          <w:rFonts w:ascii="MS PGothic" w:cs="MS PGothic" w:eastAsia="MS PGothic" w:hAnsi="MS PGothic"/>
          <w:sz w:val="14"/>
          <w:szCs w:val="14"/>
          <w:color w:val="auto"/>
        </w:rPr>
        <w:t>‑</w:t>
      </w:r>
      <w:r>
        <w:rPr>
          <w:rFonts w:ascii="Arial" w:cs="Arial" w:eastAsia="Arial" w:hAnsi="Arial"/>
          <w:sz w:val="14"/>
          <w:szCs w:val="14"/>
          <w:color w:val="auto"/>
        </w:rPr>
        <w:t>K. Our exposures to market risk have not changed materially since December 31, 2018.</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02" w:lineRule="exact"/>
        <w:rPr>
          <w:sz w:val="20"/>
          <w:szCs w:val="20"/>
          <w:color w:val="auto"/>
        </w:rPr>
      </w:pPr>
    </w:p>
    <w:p>
      <w:pPr>
        <w:ind w:firstLine="388"/>
        <w:spacing w:after="0" w:line="260" w:lineRule="auto"/>
        <w:rPr>
          <w:sz w:val="20"/>
          <w:szCs w:val="20"/>
          <w:color w:val="auto"/>
        </w:rPr>
      </w:pPr>
      <w:r>
        <w:rPr>
          <w:rFonts w:ascii="Arial" w:cs="Arial" w:eastAsia="Arial" w:hAnsi="Arial"/>
          <w:sz w:val="14"/>
          <w:szCs w:val="14"/>
          <w:color w:val="auto"/>
        </w:rPr>
        <w:t>Our management, with the participation of our chief executive officer and chief financial officer, evaluated the effectiveness of our disclosure controls and procedures as of June 30, 2019.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161" w:lineRule="exact"/>
        <w:rPr>
          <w:sz w:val="20"/>
          <w:szCs w:val="20"/>
          <w:color w:val="auto"/>
        </w:rPr>
      </w:pPr>
    </w:p>
    <w:p>
      <w:pPr>
        <w:ind w:right="160" w:firstLine="388"/>
        <w:spacing w:after="0" w:line="273" w:lineRule="auto"/>
        <w:rPr>
          <w:sz w:val="20"/>
          <w:szCs w:val="20"/>
          <w:color w:val="auto"/>
        </w:rPr>
      </w:pPr>
      <w:r>
        <w:rPr>
          <w:rFonts w:ascii="Arial" w:cs="Arial" w:eastAsia="Arial" w:hAnsi="Arial"/>
          <w:sz w:val="14"/>
          <w:szCs w:val="14"/>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w:t>
      </w:r>
    </w:p>
    <w:p>
      <w:pPr>
        <w:spacing w:after="0" w:line="202" w:lineRule="exact"/>
        <w:rPr>
          <w:sz w:val="20"/>
          <w:szCs w:val="20"/>
          <w:color w:val="auto"/>
        </w:rPr>
      </w:pPr>
    </w:p>
    <w:p>
      <w:pPr>
        <w:ind w:right="220" w:firstLine="388"/>
        <w:spacing w:after="0" w:line="273" w:lineRule="auto"/>
        <w:rPr>
          <w:sz w:val="20"/>
          <w:szCs w:val="20"/>
          <w:color w:val="auto"/>
        </w:rPr>
      </w:pPr>
      <w:r>
        <w:rPr>
          <w:rFonts w:ascii="Arial" w:cs="Arial" w:eastAsia="Arial" w:hAnsi="Arial"/>
          <w:sz w:val="14"/>
          <w:szCs w:val="14"/>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452120</wp:posOffset>
            </wp:positionV>
            <wp:extent cx="70897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33</w:t>
      </w:r>
    </w:p>
    <w:p>
      <w:pPr>
        <w:sectPr>
          <w:pgSz w:w="11900" w:h="16838" w:orient="portrait"/>
          <w:cols w:equalWidth="0" w:num="1">
            <w:col w:w="11420"/>
          </w:cols>
          <w:pgMar w:left="220" w:top="254" w:right="259" w:bottom="1440" w:gutter="0" w:footer="0" w:header="0"/>
        </w:sectPr>
      </w:pPr>
    </w:p>
    <w:bookmarkStart w:id="35" w:name="page36"/>
    <w:bookmarkEnd w:id="35"/>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02" w:lineRule="exact"/>
        <w:rPr>
          <w:sz w:val="20"/>
          <w:szCs w:val="20"/>
          <w:color w:val="auto"/>
        </w:rPr>
      </w:pPr>
    </w:p>
    <w:p>
      <w:pPr>
        <w:ind w:right="60" w:firstLine="388"/>
        <w:spacing w:after="0" w:line="262" w:lineRule="auto"/>
        <w:rPr>
          <w:sz w:val="20"/>
          <w:szCs w:val="20"/>
          <w:color w:val="auto"/>
        </w:rPr>
      </w:pPr>
      <w:r>
        <w:rPr>
          <w:rFonts w:ascii="Arial" w:cs="Arial" w:eastAsia="Arial" w:hAnsi="Arial"/>
          <w:sz w:val="14"/>
          <w:szCs w:val="14"/>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2" w:lineRule="exact"/>
        <w:rPr>
          <w:sz w:val="20"/>
          <w:szCs w:val="20"/>
          <w:color w:val="auto"/>
        </w:rPr>
      </w:pPr>
    </w:p>
    <w:p>
      <w:pPr>
        <w:ind w:left="400"/>
        <w:spacing w:after="0" w:line="161" w:lineRule="exact"/>
        <w:rPr>
          <w:sz w:val="20"/>
          <w:szCs w:val="20"/>
          <w:color w:val="auto"/>
        </w:rPr>
      </w:pPr>
      <w:r>
        <w:rPr>
          <w:rFonts w:ascii="Arial" w:cs="Arial" w:eastAsia="Arial" w:hAnsi="Arial"/>
          <w:sz w:val="14"/>
          <w:szCs w:val="14"/>
          <w:color w:val="auto"/>
        </w:rPr>
        <w:t>Other than described below, there has been no material changes in our risk factors from those disclosed in Part I, Item 1A, in our Form 10</w:t>
      </w:r>
      <w:r>
        <w:rPr>
          <w:rFonts w:ascii="MS PGothic" w:cs="MS PGothic" w:eastAsia="MS PGothic" w:hAnsi="MS PGothic"/>
          <w:sz w:val="14"/>
          <w:szCs w:val="14"/>
          <w:color w:val="auto"/>
        </w:rPr>
        <w:t>‑</w:t>
      </w:r>
      <w:r>
        <w:rPr>
          <w:rFonts w:ascii="Arial" w:cs="Arial" w:eastAsia="Arial" w:hAnsi="Arial"/>
          <w:sz w:val="14"/>
          <w:szCs w:val="14"/>
          <w:color w:val="auto"/>
        </w:rPr>
        <w:t>K.</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our Convertible Notes may dilute the ownership interest of existing stockholders or may otherwise depress the price of our common stock.</w:t>
      </w:r>
    </w:p>
    <w:p>
      <w:pPr>
        <w:spacing w:after="0" w:line="200" w:lineRule="exact"/>
        <w:rPr>
          <w:sz w:val="20"/>
          <w:szCs w:val="20"/>
          <w:color w:val="auto"/>
        </w:rPr>
      </w:pPr>
    </w:p>
    <w:p>
      <w:pPr>
        <w:ind w:right="40" w:firstLine="388"/>
        <w:spacing w:after="0" w:line="262" w:lineRule="auto"/>
        <w:rPr>
          <w:sz w:val="20"/>
          <w:szCs w:val="20"/>
          <w:color w:val="auto"/>
        </w:rPr>
      </w:pPr>
      <w:r>
        <w:rPr>
          <w:rFonts w:ascii="Arial" w:cs="Arial" w:eastAsia="Arial" w:hAnsi="Arial"/>
          <w:sz w:val="14"/>
          <w:szCs w:val="14"/>
          <w:color w:val="auto"/>
        </w:rPr>
        <w:t>In August 2018, we issued and sold a total of $65.0 million aggregate principal amount of our convertible senior notes due 2023 (the “Notes due 2023”) in a private placement to qualified institutional buyers and an affiliate of the Company. In May 2019, we entered into separately and privately negotiated transactions with certain holders of the Notes due 2023 resulting in the repurchase and exchange of $60.0 million aggregate principal amount of the notes in consideration for the issuance of shares of common stock and separate cash payments. As of June 30, 2019, $5.0 million aggregate principal amount of the Notes due 2023 are outstanding.</w:t>
      </w:r>
    </w:p>
    <w:p>
      <w:pPr>
        <w:spacing w:after="0" w:line="159" w:lineRule="exact"/>
        <w:rPr>
          <w:sz w:val="20"/>
          <w:szCs w:val="20"/>
          <w:color w:val="auto"/>
        </w:rPr>
      </w:pPr>
    </w:p>
    <w:p>
      <w:pPr>
        <w:ind w:right="220" w:firstLine="388"/>
        <w:spacing w:after="0" w:line="273" w:lineRule="auto"/>
        <w:rPr>
          <w:sz w:val="20"/>
          <w:szCs w:val="20"/>
          <w:color w:val="auto"/>
        </w:rPr>
      </w:pPr>
      <w:r>
        <w:rPr>
          <w:rFonts w:ascii="Arial" w:cs="Arial" w:eastAsia="Arial" w:hAnsi="Arial"/>
          <w:sz w:val="14"/>
          <w:szCs w:val="14"/>
          <w:color w:val="auto"/>
        </w:rPr>
        <w:t>In June 2019, we issued and sold a total of $132.0 million aggregate principal amount of our convertible senior notes due 2024 (the “Notes due 2024” and together with the Notes due 2023, the “Convertible Notes”).</w:t>
      </w:r>
    </w:p>
    <w:p>
      <w:pPr>
        <w:spacing w:after="0" w:line="151" w:lineRule="exact"/>
        <w:rPr>
          <w:sz w:val="20"/>
          <w:szCs w:val="20"/>
          <w:color w:val="auto"/>
        </w:rPr>
      </w:pPr>
    </w:p>
    <w:p>
      <w:pPr>
        <w:ind w:right="40" w:firstLine="388"/>
        <w:spacing w:after="0" w:line="262" w:lineRule="auto"/>
        <w:rPr>
          <w:sz w:val="20"/>
          <w:szCs w:val="20"/>
          <w:color w:val="auto"/>
        </w:rPr>
      </w:pPr>
      <w:r>
        <w:rPr>
          <w:rFonts w:ascii="Arial" w:cs="Arial" w:eastAsia="Arial" w:hAnsi="Arial"/>
          <w:sz w:val="14"/>
          <w:szCs w:val="14"/>
          <w:color w:val="auto"/>
        </w:rPr>
        <w:t>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Servicing our debts requires a significant amount of cash, and we may not have sufficient cash flow from our business to pay our debts.</w:t>
      </w:r>
    </w:p>
    <w:p>
      <w:pPr>
        <w:spacing w:after="0" w:line="200" w:lineRule="exact"/>
        <w:rPr>
          <w:sz w:val="20"/>
          <w:szCs w:val="20"/>
          <w:color w:val="auto"/>
        </w:rPr>
      </w:pPr>
    </w:p>
    <w:p>
      <w:pPr>
        <w:ind w:firstLine="388"/>
        <w:spacing w:after="0" w:line="260" w:lineRule="auto"/>
        <w:rPr>
          <w:sz w:val="20"/>
          <w:szCs w:val="20"/>
          <w:color w:val="auto"/>
        </w:rPr>
      </w:pPr>
      <w:r>
        <w:rPr>
          <w:rFonts w:ascii="Arial" w:cs="Arial" w:eastAsia="Arial" w:hAnsi="Arial"/>
          <w:sz w:val="14"/>
          <w:szCs w:val="14"/>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debts,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239395</wp:posOffset>
            </wp:positionV>
            <wp:extent cx="708977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34</w:t>
      </w:r>
    </w:p>
    <w:p>
      <w:pPr>
        <w:sectPr>
          <w:pgSz w:w="11900" w:h="16838" w:orient="portrait"/>
          <w:cols w:equalWidth="0" w:num="1">
            <w:col w:w="11460"/>
          </w:cols>
          <w:pgMar w:left="220" w:top="254" w:right="219" w:bottom="1440" w:gutter="0" w:footer="0" w:header="0"/>
        </w:sectPr>
      </w:pPr>
    </w:p>
    <w:bookmarkStart w:id="36" w:name="page37"/>
    <w:bookmarkEnd w:id="36"/>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line="297" w:lineRule="auto"/>
        <w:rPr>
          <w:sz w:val="20"/>
          <w:szCs w:val="20"/>
          <w:color w:val="auto"/>
        </w:rPr>
      </w:pPr>
      <w:r>
        <w:rPr>
          <w:rFonts w:ascii="Arial" w:cs="Arial" w:eastAsia="Arial" w:hAnsi="Arial"/>
          <w:sz w:val="14"/>
          <w:szCs w:val="14"/>
          <w:b w:val="1"/>
          <w:bCs w:val="1"/>
          <w:i w:val="1"/>
          <w:iCs w:val="1"/>
          <w:color w:val="auto"/>
        </w:rPr>
        <w:t>We may not have the ability to raise the funds necessary to repurchase the Convertible Notes upon a fundamental change or to repay the Notes due 2023 and the Notes due 2024 at maturity.</w:t>
      </w:r>
    </w:p>
    <w:p>
      <w:pPr>
        <w:spacing w:after="0" w:line="135" w:lineRule="exact"/>
        <w:rPr>
          <w:sz w:val="20"/>
          <w:szCs w:val="20"/>
          <w:color w:val="auto"/>
        </w:rPr>
      </w:pPr>
    </w:p>
    <w:p>
      <w:pPr>
        <w:ind w:right="100" w:firstLine="388"/>
        <w:spacing w:after="0" w:line="260" w:lineRule="auto"/>
        <w:rPr>
          <w:sz w:val="20"/>
          <w:szCs w:val="20"/>
          <w:color w:val="auto"/>
        </w:rPr>
      </w:pPr>
      <w:r>
        <w:rPr>
          <w:rFonts w:ascii="Arial" w:cs="Arial" w:eastAsia="Arial" w:hAnsi="Arial"/>
          <w:sz w:val="14"/>
          <w:szCs w:val="14"/>
          <w:color w:val="auto"/>
        </w:rPr>
        <w:t>Holders of our Notes due 2023 will have the right to require us to repurchase all or a portion of their convertible notes upon the occurrence of a fundamental change at 100% of the principal amount of the Notes due 2023, plus accrued and unpaid interest. Fundamental change is defined in the Notes due 2023 Indenture entered into in connection with the Notes due 2023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Moreover, we will be required to repay the Notes due 2023 in cash at their maturity, unless earlier converted or repurchased. However, we may not have enough available cash or be able to obtain financing at the time we are required to make repurchases of the Notes due 2023 surrendered or repay the Notes due 2023 at maturity.</w:t>
      </w:r>
    </w:p>
    <w:p>
      <w:pPr>
        <w:spacing w:after="0" w:line="161" w:lineRule="exact"/>
        <w:rPr>
          <w:sz w:val="20"/>
          <w:szCs w:val="20"/>
          <w:color w:val="auto"/>
        </w:rPr>
      </w:pPr>
    </w:p>
    <w:p>
      <w:pPr>
        <w:ind w:right="80" w:firstLine="388"/>
        <w:spacing w:after="0" w:line="261" w:lineRule="auto"/>
        <w:rPr>
          <w:sz w:val="20"/>
          <w:szCs w:val="20"/>
          <w:color w:val="auto"/>
        </w:rPr>
      </w:pPr>
      <w:r>
        <w:rPr>
          <w:rFonts w:ascii="Arial" w:cs="Arial" w:eastAsia="Arial" w:hAnsi="Arial"/>
          <w:sz w:val="14"/>
          <w:szCs w:val="14"/>
          <w:color w:val="auto"/>
        </w:rPr>
        <w:t>Similarly, holders of our Notes due 2024 will have the right to require us to repurchase all or a portion of their convertible notes upon the occurrence of a fundamental change at 100% of the principal amount of the Notes due 2024, plus accrued and unpaid interest. Fundamental change is defined in the Notes due 2024 Indenture entered into in connection with the Notes due 2024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We may not have enough available cash or be able to obtain financing at the time we are required to make such repurchase of the Notes due 2024.</w:t>
      </w:r>
    </w:p>
    <w:p>
      <w:pPr>
        <w:spacing w:after="0" w:line="332" w:lineRule="exact"/>
        <w:rPr>
          <w:sz w:val="20"/>
          <w:szCs w:val="20"/>
          <w:color w:val="auto"/>
        </w:rPr>
      </w:pPr>
    </w:p>
    <w:p>
      <w:pPr>
        <w:ind w:right="220" w:firstLine="388"/>
        <w:spacing w:after="0" w:line="265" w:lineRule="auto"/>
        <w:rPr>
          <w:sz w:val="20"/>
          <w:szCs w:val="20"/>
          <w:color w:val="auto"/>
        </w:rPr>
      </w:pPr>
      <w:r>
        <w:rPr>
          <w:rFonts w:ascii="Arial" w:cs="Arial" w:eastAsia="Arial" w:hAnsi="Arial"/>
          <w:sz w:val="14"/>
          <w:szCs w:val="14"/>
          <w:color w:val="auto"/>
        </w:rPr>
        <w:t>If we do not have enough available cash at the time we are required to make the required repurchases of the Convertible Notes, we may be required to undertake one or more actions, such as selling assets, attempting to restructure the Convertible Notes or other debt, or obtaining additional capital on terms that may be onerous or highly dilutive. Any such actions could have a material adverse effect on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convertible note hedge and warrant transactions and/or their early termination may affect the value of our common stock.</w:t>
      </w:r>
    </w:p>
    <w:p>
      <w:pPr>
        <w:spacing w:after="0" w:line="200" w:lineRule="exact"/>
        <w:rPr>
          <w:sz w:val="20"/>
          <w:szCs w:val="20"/>
          <w:color w:val="auto"/>
        </w:rPr>
      </w:pPr>
    </w:p>
    <w:p>
      <w:pPr>
        <w:ind w:firstLine="388"/>
        <w:spacing w:after="0" w:line="259" w:lineRule="auto"/>
        <w:rPr>
          <w:sz w:val="20"/>
          <w:szCs w:val="20"/>
          <w:color w:val="auto"/>
        </w:rPr>
      </w:pPr>
      <w:r>
        <w:rPr>
          <w:rFonts w:ascii="Arial" w:cs="Arial" w:eastAsia="Arial" w:hAnsi="Arial"/>
          <w:sz w:val="14"/>
          <w:szCs w:val="14"/>
          <w:color w:val="auto"/>
        </w:rPr>
        <w:t>In connection with the offering of the Notes due 2024, we entered into privately negotiated convertible note hedge transactions pursuant to which we have the option to purchase approximately the same number of shares of our common stock initially issuable upon conversion of the Notes due 2024, at a price approximately the same as the initial conversion price of the Notes due 2024. These transactions are expected to reduce the potential dilution with respect to our common stock upon conversion of the Notes due 2024. Separately, we also entered into privately negotiated warrant transactions to acquire the same number of shares of our common stock initially issuable upon conversion of the Notes due 2024 (subject to customary anti-dilution adjustments) at an initial strike price of approximately $25.23 per share. If the market value per share of our common stock, as measured under the warrants, exceeds the strike price of the warrants, the warrants will have a dilutive effect on the ownership interests of existing stockholders and on our earnings per share, unless we elect, subject to certain conditions, to settle the warrants in cash. However, we may not have enough available cash or be able to obtain financing at the time of settlement.</w:t>
      </w:r>
    </w:p>
    <w:p>
      <w:pPr>
        <w:spacing w:after="0" w:line="336" w:lineRule="exact"/>
        <w:rPr>
          <w:sz w:val="20"/>
          <w:szCs w:val="20"/>
          <w:color w:val="auto"/>
        </w:rPr>
      </w:pPr>
    </w:p>
    <w:p>
      <w:pPr>
        <w:jc w:val="both"/>
        <w:ind w:right="60" w:firstLine="388"/>
        <w:spacing w:after="0" w:line="265" w:lineRule="auto"/>
        <w:rPr>
          <w:sz w:val="20"/>
          <w:szCs w:val="20"/>
          <w:color w:val="auto"/>
        </w:rPr>
      </w:pPr>
      <w:r>
        <w:rPr>
          <w:rFonts w:ascii="Arial" w:cs="Arial" w:eastAsia="Arial" w:hAnsi="Arial"/>
          <w:sz w:val="14"/>
          <w:szCs w:val="14"/>
          <w:color w:val="auto"/>
        </w:rPr>
        <w:t>In addition, the existence of the convertible note hedge and warrant transactions may encourage purchasing and selling share of our common stock, or other of our securities and instruments, in open market and/or privately negotiated transactions in order to modify hedge positions. Any of these activities could adversely affect the value of our common stock and the value of the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236855</wp:posOffset>
            </wp:positionV>
            <wp:extent cx="708977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35</w:t>
      </w:r>
    </w:p>
    <w:p>
      <w:pPr>
        <w:sectPr>
          <w:pgSz w:w="11900" w:h="16838" w:orient="portrait"/>
          <w:cols w:equalWidth="0" w:num="1">
            <w:col w:w="11440"/>
          </w:cols>
          <w:pgMar w:left="220" w:top="254" w:right="239" w:bottom="1440" w:gutter="0" w:footer="0" w:header="0"/>
        </w:sectPr>
      </w:pPr>
    </w:p>
    <w:bookmarkStart w:id="37" w:name="page38"/>
    <w:bookmarkEnd w:id="37"/>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b w:val="1"/>
          <w:bCs w:val="1"/>
          <w:i w:val="1"/>
          <w:iCs w:val="1"/>
          <w:color w:val="auto"/>
        </w:rPr>
        <w:t>Changes in current accounting methods, standards, or regulations applicable to the Convertible Notes due 2024 could have a material impact on our reported financial results, future financial results, future cash flows, and/or our stock price.</w:t>
      </w:r>
    </w:p>
    <w:p>
      <w:pPr>
        <w:spacing w:after="0" w:line="135" w:lineRule="exact"/>
        <w:rPr>
          <w:sz w:val="20"/>
          <w:szCs w:val="20"/>
          <w:color w:val="auto"/>
        </w:rPr>
      </w:pPr>
    </w:p>
    <w:p>
      <w:pPr>
        <w:ind w:firstLine="388"/>
        <w:spacing w:after="0" w:line="261" w:lineRule="auto"/>
        <w:rPr>
          <w:sz w:val="20"/>
          <w:szCs w:val="20"/>
          <w:color w:val="auto"/>
        </w:rPr>
      </w:pPr>
      <w:r>
        <w:rPr>
          <w:rFonts w:ascii="Arial" w:cs="Arial" w:eastAsia="Arial" w:hAnsi="Arial"/>
          <w:sz w:val="14"/>
          <w:szCs w:val="14"/>
          <w:color w:val="auto"/>
        </w:rPr>
        <w:t>Under Accounting Standards Codification (“ASC”) 470-20, “Debt with Conversion and Other Options,” an entity must separately account for the liability and equity components of convertible debt instruments, such as the Notes due 2024, that may be settled entirely or partially in cash upon conversion, in a manner that reflects the issuer’s economic interest cost. Accordingly, we have included the equity component in the additional paid-in capital section of stockholders’ equity on our consolidated balance sheet at the issuance date, and we have treated the value of the equity component as debt discount for the liability component. We are required to amortize the debt discount as non-cash interest expense over the term of the Notes due 2024, which could adversely affect our reported or future financial results or the trading price of our common stock.</w:t>
      </w:r>
    </w:p>
    <w:p>
      <w:pPr>
        <w:spacing w:after="0" w:line="73" w:lineRule="exact"/>
        <w:rPr>
          <w:sz w:val="20"/>
          <w:szCs w:val="20"/>
          <w:color w:val="auto"/>
        </w:rPr>
      </w:pPr>
    </w:p>
    <w:p>
      <w:pPr>
        <w:ind w:firstLine="388"/>
        <w:spacing w:after="0" w:line="260" w:lineRule="auto"/>
        <w:rPr>
          <w:sz w:val="20"/>
          <w:szCs w:val="20"/>
          <w:color w:val="auto"/>
        </w:rPr>
      </w:pPr>
      <w:r>
        <w:rPr>
          <w:rFonts w:ascii="Arial" w:cs="Arial" w:eastAsia="Arial" w:hAnsi="Arial"/>
          <w:sz w:val="14"/>
          <w:szCs w:val="14"/>
          <w:color w:val="auto"/>
        </w:rPr>
        <w:t>In addition, we use the treasury stock method for convertible debt instruments (such as the Notes due 2024) that may be settled entirely or partly in cash, and the effect of which is that any shares issuable upon conversion of the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conversion value, if we elected to settle such excess in shares, are issued. We cannot be sure that the accounting standards in the future will continue to permit use of the treasury stock method. If we are unable to use the treasury stock method in accounting for the shares issuable upon conversion of the Notes due 2024, then our diluted earnings per share will be adversely affected.</w:t>
      </w:r>
    </w:p>
    <w:p>
      <w:pPr>
        <w:spacing w:after="0" w:line="74" w:lineRule="exact"/>
        <w:rPr>
          <w:sz w:val="20"/>
          <w:szCs w:val="20"/>
          <w:color w:val="auto"/>
        </w:rPr>
      </w:pPr>
    </w:p>
    <w:p>
      <w:pPr>
        <w:ind w:firstLine="388"/>
        <w:spacing w:after="0" w:line="261" w:lineRule="auto"/>
        <w:rPr>
          <w:sz w:val="20"/>
          <w:szCs w:val="20"/>
          <w:color w:val="auto"/>
        </w:rPr>
      </w:pPr>
      <w:r>
        <w:rPr>
          <w:rFonts w:ascii="Arial" w:cs="Arial" w:eastAsia="Arial" w:hAnsi="Arial"/>
          <w:sz w:val="14"/>
          <w:szCs w:val="14"/>
          <w:color w:val="auto"/>
        </w:rPr>
        <w:t>Accounting Standards Update (“ASU”) 2016-15, “Statement of Cash Flows (Topic 230): Classification of Certain Cash Receipts and Cash Payments,” clarifies how certain cash receipts and payments should be classified in the statement of cash flows, including the cash settlement for our Notes due 2024. Upon cash settlement, repayment of the principal amount will be bifurcated between cash outflows for operating activities for the portion related to accreted interest attributable to debt discounts arising from the difference between the coupon interest rate and the effective interest rate, and financing activities for the remainder. This will require us to classify the $36.4 million of accreted interest as cash used in operating activities in our consolidated statement of cash flows upon cash settlement, which could adversely affect our future cash flow from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Except as previously disclosed on Form 8-K, there were no unregistered sales of common stock or other equity securities during the three months ended June 30, 2019.</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473075</wp:posOffset>
            </wp:positionV>
            <wp:extent cx="708977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36</w:t>
      </w:r>
    </w:p>
    <w:p>
      <w:pPr>
        <w:sectPr>
          <w:pgSz w:w="11900" w:h="16838" w:orient="portrait"/>
          <w:cols w:equalWidth="0" w:num="1">
            <w:col w:w="11460"/>
          </w:cols>
          <w:pgMar w:left="220" w:top="254" w:right="219" w:bottom="1440" w:gutter="0" w:footer="0" w:header="0"/>
        </w:sectPr>
      </w:pPr>
    </w:p>
    <w:bookmarkStart w:id="38" w:name="page39"/>
    <w:bookmarkEnd w:id="38"/>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list of exhibits filed with this report or incorporated herein by reference is found in the Exhibit Index below.</w:t>
      </w:r>
    </w:p>
    <w:p>
      <w:pPr>
        <w:spacing w:after="0" w:line="174" w:lineRule="exact"/>
        <w:rPr>
          <w:sz w:val="20"/>
          <w:szCs w:val="20"/>
          <w:color w:val="auto"/>
        </w:rPr>
      </w:pPr>
    </w:p>
    <w:p>
      <w:pPr>
        <w:jc w:val="right"/>
        <w:ind w:right="1760"/>
        <w:spacing w:after="0"/>
        <w:rPr>
          <w:sz w:val="20"/>
          <w:szCs w:val="20"/>
          <w:color w:val="auto"/>
        </w:rPr>
      </w:pPr>
      <w:r>
        <w:rPr>
          <w:rFonts w:ascii="Arial" w:cs="Arial" w:eastAsia="Arial" w:hAnsi="Arial"/>
          <w:sz w:val="11"/>
          <w:szCs w:val="11"/>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22225</wp:posOffset>
            </wp:positionV>
            <wp:extent cx="318198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1985" cy="6985"/>
                    </a:xfrm>
                    <a:prstGeom prst="rect">
                      <a:avLst/>
                    </a:prstGeom>
                    <a:noFill/>
                  </pic:spPr>
                </pic:pic>
              </a:graphicData>
            </a:graphic>
          </wp:anchor>
        </w:drawing>
      </w:r>
    </w:p>
    <w:p>
      <w:pPr>
        <w:sectPr>
          <w:pgSz w:w="11900" w:h="16838" w:orient="portrait"/>
          <w:cols w:equalWidth="0" w:num="1">
            <w:col w:w="11460"/>
          </w:cols>
          <w:pgMar w:left="220" w:top="254" w:right="219" w:bottom="1440" w:gutter="0" w:footer="0" w:header="0"/>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4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Number</w:t>
            </w:r>
          </w:p>
        </w:tc>
        <w:tc>
          <w:tcPr>
            <w:tcW w:w="4240" w:type="dxa"/>
            <w:vAlign w:val="bottom"/>
          </w:tcPr>
          <w:p>
            <w:pPr>
              <w:ind w:left="20"/>
              <w:spacing w:after="0"/>
              <w:rPr>
                <w:sz w:val="20"/>
                <w:szCs w:val="20"/>
                <w:color w:val="auto"/>
              </w:rPr>
            </w:pPr>
            <w:r>
              <w:rPr>
                <w:rFonts w:ascii="Arial" w:cs="Arial" w:eastAsia="Arial" w:hAnsi="Arial"/>
                <w:sz w:val="11"/>
                <w:szCs w:val="11"/>
                <w:b w:val="1"/>
                <w:bCs w:val="1"/>
                <w:color w:val="auto"/>
              </w:rPr>
              <w:t>Exhibit Description</w:t>
            </w:r>
          </w:p>
        </w:tc>
        <w:tc>
          <w:tcPr>
            <w:tcW w:w="0" w:type="dxa"/>
            <w:vAlign w:val="bottom"/>
          </w:tcPr>
          <w:p>
            <w:pPr>
              <w:spacing w:after="0"/>
              <w:rPr>
                <w:sz w:val="1"/>
                <w:szCs w:val="1"/>
                <w:color w:val="auto"/>
              </w:rPr>
            </w:pPr>
          </w:p>
        </w:tc>
      </w:tr>
      <w:tr>
        <w:trPr>
          <w:trHeight w:val="236"/>
        </w:trPr>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0"/>
                <w:szCs w:val="20"/>
                <w:color w:val="auto"/>
              </w:rPr>
            </w:pPr>
          </w:p>
        </w:tc>
        <w:tc>
          <w:tcPr>
            <w:tcW w:w="4240" w:type="dxa"/>
            <w:vAlign w:val="bottom"/>
            <w:tcBorders>
              <w:top w:val="single" w:sz="8" w:color="auto"/>
            </w:tcBorders>
          </w:tcPr>
          <w:p>
            <w:pPr>
              <w:ind w:left="20"/>
              <w:spacing w:after="0"/>
              <w:rPr>
                <w:rFonts w:ascii="Arial" w:cs="Arial" w:eastAsia="Arial" w:hAnsi="Arial"/>
                <w:sz w:val="11"/>
                <w:szCs w:val="11"/>
                <w:color w:val="auto"/>
              </w:rPr>
            </w:pPr>
            <w:hyperlink r:id="rId67">
              <w:r>
                <w:rPr>
                  <w:rFonts w:ascii="Arial" w:cs="Arial" w:eastAsia="Arial" w:hAnsi="Arial"/>
                  <w:sz w:val="11"/>
                  <w:szCs w:val="11"/>
                  <w:color w:val="auto"/>
                </w:rPr>
                <w:t>Indenture, dated June 5, 2019, between Enphase Energy, Inc. and U.S. Bank</w:t>
              </w:r>
            </w:hyperlink>
          </w:p>
        </w:tc>
        <w:tc>
          <w:tcPr>
            <w:tcW w:w="0" w:type="dxa"/>
            <w:vAlign w:val="bottom"/>
          </w:tcPr>
          <w:p>
            <w:pPr>
              <w:spacing w:after="0"/>
              <w:rPr>
                <w:sz w:val="1"/>
                <w:szCs w:val="1"/>
                <w:color w:val="auto"/>
              </w:rPr>
            </w:pPr>
          </w:p>
        </w:tc>
      </w:tr>
      <w:tr>
        <w:trPr>
          <w:trHeight w:val="73"/>
        </w:trPr>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40" w:type="dxa"/>
            <w:vAlign w:val="bottom"/>
            <w:vMerge w:val="restart"/>
          </w:tcPr>
          <w:p>
            <w:pPr>
              <w:ind w:left="20"/>
              <w:spacing w:after="0"/>
              <w:rPr>
                <w:rFonts w:ascii="Arial" w:cs="Arial" w:eastAsia="Arial" w:hAnsi="Arial"/>
                <w:sz w:val="11"/>
                <w:szCs w:val="11"/>
                <w:color w:val="auto"/>
              </w:rPr>
            </w:pPr>
            <w:hyperlink r:id="rId67">
              <w:r>
                <w:rPr>
                  <w:rFonts w:ascii="Arial" w:cs="Arial" w:eastAsia="Arial" w:hAnsi="Arial"/>
                  <w:sz w:val="11"/>
                  <w:szCs w:val="11"/>
                  <w:color w:val="auto"/>
                </w:rPr>
                <w:t>National Association.</w:t>
              </w:r>
            </w:hyperlink>
          </w:p>
        </w:tc>
        <w:tc>
          <w:tcPr>
            <w:tcW w:w="0" w:type="dxa"/>
            <w:vAlign w:val="bottom"/>
          </w:tcPr>
          <w:p>
            <w:pPr>
              <w:spacing w:after="0"/>
              <w:rPr>
                <w:sz w:val="1"/>
                <w:szCs w:val="1"/>
                <w:color w:val="auto"/>
              </w:rPr>
            </w:pPr>
          </w:p>
        </w:tc>
      </w:tr>
      <w:tr>
        <w:trPr>
          <w:trHeight w:val="65"/>
        </w:trPr>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4"/>
                <w:szCs w:val="24"/>
                <w:color w:val="auto"/>
              </w:rPr>
            </w:pPr>
          </w:p>
        </w:tc>
        <w:tc>
          <w:tcPr>
            <w:tcW w:w="4240" w:type="dxa"/>
            <w:vAlign w:val="bottom"/>
          </w:tcPr>
          <w:p>
            <w:pPr>
              <w:ind w:left="20"/>
              <w:spacing w:after="0"/>
              <w:rPr>
                <w:rFonts w:ascii="Arial" w:cs="Arial" w:eastAsia="Arial" w:hAnsi="Arial"/>
                <w:sz w:val="11"/>
                <w:szCs w:val="11"/>
                <w:color w:val="auto"/>
              </w:rPr>
            </w:pPr>
            <w:hyperlink r:id="rId67">
              <w:r>
                <w:rPr>
                  <w:rFonts w:ascii="Arial" w:cs="Arial" w:eastAsia="Arial" w:hAnsi="Arial"/>
                  <w:sz w:val="11"/>
                  <w:szCs w:val="11"/>
                  <w:color w:val="auto"/>
                </w:rPr>
                <w:t>Form of 1.00% Convertible Senior Note due 2024 (included in Exhibit 4.1).</w:t>
              </w:r>
            </w:hyperlink>
          </w:p>
        </w:tc>
        <w:tc>
          <w:tcPr>
            <w:tcW w:w="0" w:type="dxa"/>
            <w:vAlign w:val="bottom"/>
          </w:tcPr>
          <w:p>
            <w:pPr>
              <w:spacing w:after="0"/>
              <w:rPr>
                <w:sz w:val="1"/>
                <w:szCs w:val="1"/>
                <w:color w:val="auto"/>
              </w:rPr>
            </w:pPr>
          </w:p>
        </w:tc>
      </w:tr>
      <w:tr>
        <w:trPr>
          <w:trHeight w:val="336"/>
        </w:trPr>
        <w:tc>
          <w:tcPr>
            <w:tcW w:w="820" w:type="dxa"/>
            <w:vAlign w:val="bottom"/>
            <w:vMerge w:val="restart"/>
          </w:tcPr>
          <w:p>
            <w:pPr>
              <w:jc w:val="center"/>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4"/>
                <w:szCs w:val="24"/>
                <w:color w:val="auto"/>
              </w:rPr>
            </w:pPr>
          </w:p>
        </w:tc>
        <w:tc>
          <w:tcPr>
            <w:tcW w:w="4240" w:type="dxa"/>
            <w:vAlign w:val="bottom"/>
          </w:tcPr>
          <w:p>
            <w:pPr>
              <w:ind w:left="20"/>
              <w:spacing w:after="0"/>
              <w:rPr>
                <w:rFonts w:ascii="Arial" w:cs="Arial" w:eastAsia="Arial" w:hAnsi="Arial"/>
                <w:sz w:val="11"/>
                <w:szCs w:val="11"/>
                <w:color w:val="auto"/>
              </w:rPr>
            </w:pPr>
            <w:hyperlink r:id="rId68">
              <w:r>
                <w:rPr>
                  <w:rFonts w:ascii="Arial" w:cs="Arial" w:eastAsia="Arial" w:hAnsi="Arial"/>
                  <w:sz w:val="11"/>
                  <w:szCs w:val="11"/>
                  <w:color w:val="auto"/>
                </w:rPr>
                <w:t>Purchase Agreement, dated May 30, 2019, by and among Enphase Energy, Inc.,</w:t>
              </w:r>
            </w:hyperlink>
          </w:p>
        </w:tc>
        <w:tc>
          <w:tcPr>
            <w:tcW w:w="0" w:type="dxa"/>
            <w:vAlign w:val="bottom"/>
          </w:tcPr>
          <w:p>
            <w:pPr>
              <w:spacing w:after="0"/>
              <w:rPr>
                <w:sz w:val="1"/>
                <w:szCs w:val="1"/>
                <w:color w:val="auto"/>
              </w:rPr>
            </w:pPr>
          </w:p>
        </w:tc>
      </w:tr>
      <w:tr>
        <w:trPr>
          <w:trHeight w:val="73"/>
        </w:trPr>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40" w:type="dxa"/>
            <w:vAlign w:val="bottom"/>
            <w:vMerge w:val="restart"/>
          </w:tcPr>
          <w:p>
            <w:pPr>
              <w:ind w:left="20"/>
              <w:spacing w:after="0"/>
              <w:rPr>
                <w:rFonts w:ascii="Arial" w:cs="Arial" w:eastAsia="Arial" w:hAnsi="Arial"/>
                <w:sz w:val="11"/>
                <w:szCs w:val="11"/>
                <w:color w:val="auto"/>
              </w:rPr>
            </w:pPr>
            <w:hyperlink r:id="rId68">
              <w:r>
                <w:rPr>
                  <w:rFonts w:ascii="Arial" w:cs="Arial" w:eastAsia="Arial" w:hAnsi="Arial"/>
                  <w:sz w:val="11"/>
                  <w:szCs w:val="11"/>
                  <w:color w:val="auto"/>
                </w:rPr>
                <w:t>Credit Suisse Securities (USA) LLC and Barclays Capital Inc.</w:t>
              </w:r>
            </w:hyperlink>
          </w:p>
        </w:tc>
        <w:tc>
          <w:tcPr>
            <w:tcW w:w="0" w:type="dxa"/>
            <w:vAlign w:val="bottom"/>
          </w:tcPr>
          <w:p>
            <w:pPr>
              <w:spacing w:after="0"/>
              <w:rPr>
                <w:sz w:val="1"/>
                <w:szCs w:val="1"/>
                <w:color w:val="auto"/>
              </w:rPr>
            </w:pPr>
          </w:p>
        </w:tc>
      </w:tr>
      <w:tr>
        <w:trPr>
          <w:trHeight w:val="65"/>
        </w:trPr>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4"/>
                <w:szCs w:val="24"/>
                <w:color w:val="auto"/>
              </w:rPr>
            </w:pPr>
          </w:p>
        </w:tc>
        <w:tc>
          <w:tcPr>
            <w:tcW w:w="4240" w:type="dxa"/>
            <w:vAlign w:val="bottom"/>
          </w:tcPr>
          <w:p>
            <w:pPr>
              <w:ind w:left="20"/>
              <w:spacing w:after="0"/>
              <w:rPr>
                <w:rFonts w:ascii="Arial" w:cs="Arial" w:eastAsia="Arial" w:hAnsi="Arial"/>
                <w:sz w:val="11"/>
                <w:szCs w:val="11"/>
                <w:color w:val="auto"/>
              </w:rPr>
            </w:pPr>
            <w:hyperlink r:id="rId69">
              <w:r>
                <w:rPr>
                  <w:rFonts w:ascii="Arial" w:cs="Arial" w:eastAsia="Arial" w:hAnsi="Arial"/>
                  <w:sz w:val="11"/>
                  <w:szCs w:val="11"/>
                  <w:color w:val="auto"/>
                </w:rPr>
                <w:t>Form of Convertible Note Hedge Transaction Confirmation.</w:t>
              </w:r>
            </w:hyperlink>
          </w:p>
        </w:tc>
        <w:tc>
          <w:tcPr>
            <w:tcW w:w="0" w:type="dxa"/>
            <w:vAlign w:val="bottom"/>
          </w:tcPr>
          <w:p>
            <w:pPr>
              <w:spacing w:after="0"/>
              <w:rPr>
                <w:sz w:val="1"/>
                <w:szCs w:val="1"/>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24"/>
                <w:szCs w:val="24"/>
                <w:color w:val="auto"/>
              </w:rPr>
            </w:pPr>
          </w:p>
        </w:tc>
        <w:tc>
          <w:tcPr>
            <w:tcW w:w="4240" w:type="dxa"/>
            <w:vAlign w:val="bottom"/>
          </w:tcPr>
          <w:p>
            <w:pPr>
              <w:ind w:left="20"/>
              <w:spacing w:after="0"/>
              <w:rPr>
                <w:rFonts w:ascii="Arial" w:cs="Arial" w:eastAsia="Arial" w:hAnsi="Arial"/>
                <w:sz w:val="11"/>
                <w:szCs w:val="11"/>
                <w:color w:val="auto"/>
              </w:rPr>
            </w:pPr>
            <w:hyperlink r:id="rId70">
              <w:r>
                <w:rPr>
                  <w:rFonts w:ascii="Arial" w:cs="Arial" w:eastAsia="Arial" w:hAnsi="Arial"/>
                  <w:sz w:val="11"/>
                  <w:szCs w:val="11"/>
                  <w:color w:val="auto"/>
                </w:rPr>
                <w:t>Form of Warrant Confirmation.</w:t>
              </w:r>
            </w:hyperlink>
          </w:p>
        </w:tc>
        <w:tc>
          <w:tcPr>
            <w:tcW w:w="0" w:type="dxa"/>
            <w:vAlign w:val="bottom"/>
          </w:tcPr>
          <w:p>
            <w:pPr>
              <w:spacing w:after="0"/>
              <w:rPr>
                <w:sz w:val="1"/>
                <w:szCs w:val="1"/>
                <w:color w:val="auto"/>
              </w:rPr>
            </w:pPr>
          </w:p>
        </w:tc>
      </w:tr>
      <w:tr>
        <w:trPr>
          <w:trHeight w:val="336"/>
        </w:trPr>
        <w:tc>
          <w:tcPr>
            <w:tcW w:w="820" w:type="dxa"/>
            <w:vAlign w:val="bottom"/>
            <w:vMerge w:val="restart"/>
          </w:tcPr>
          <w:p>
            <w:pPr>
              <w:jc w:val="center"/>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24"/>
                <w:szCs w:val="24"/>
                <w:color w:val="auto"/>
              </w:rPr>
            </w:pPr>
          </w:p>
        </w:tc>
        <w:tc>
          <w:tcPr>
            <w:tcW w:w="4240" w:type="dxa"/>
            <w:vAlign w:val="bottom"/>
          </w:tcPr>
          <w:p>
            <w:pPr>
              <w:ind w:left="20"/>
              <w:spacing w:after="0"/>
              <w:rPr>
                <w:rFonts w:ascii="Arial" w:cs="Arial" w:eastAsia="Arial" w:hAnsi="Arial"/>
                <w:sz w:val="11"/>
                <w:szCs w:val="11"/>
                <w:color w:val="auto"/>
              </w:rPr>
            </w:pPr>
            <w:hyperlink w:anchor="page41">
              <w:r>
                <w:rPr>
                  <w:rFonts w:ascii="Arial" w:cs="Arial" w:eastAsia="Arial" w:hAnsi="Arial"/>
                  <w:sz w:val="11"/>
                  <w:szCs w:val="11"/>
                  <w:color w:val="auto"/>
                </w:rPr>
                <w:t>Offer Letter, dated January 16, 2018, and 2019 Merit Focal Review, dated May 10,</w:t>
              </w:r>
            </w:hyperlink>
          </w:p>
        </w:tc>
        <w:tc>
          <w:tcPr>
            <w:tcW w:w="0" w:type="dxa"/>
            <w:vAlign w:val="bottom"/>
          </w:tcPr>
          <w:p>
            <w:pPr>
              <w:spacing w:after="0"/>
              <w:rPr>
                <w:sz w:val="1"/>
                <w:szCs w:val="1"/>
                <w:color w:val="auto"/>
              </w:rPr>
            </w:pPr>
          </w:p>
        </w:tc>
      </w:tr>
      <w:tr>
        <w:trPr>
          <w:trHeight w:val="73"/>
        </w:trPr>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40" w:type="dxa"/>
            <w:vAlign w:val="bottom"/>
            <w:vMerge w:val="restart"/>
          </w:tcPr>
          <w:p>
            <w:pPr>
              <w:ind w:left="20"/>
              <w:spacing w:after="0"/>
              <w:rPr>
                <w:rFonts w:ascii="Arial" w:cs="Arial" w:eastAsia="Arial" w:hAnsi="Arial"/>
                <w:sz w:val="11"/>
                <w:szCs w:val="11"/>
                <w:color w:val="auto"/>
              </w:rPr>
            </w:pPr>
            <w:hyperlink w:anchor="page41">
              <w:r>
                <w:rPr>
                  <w:rFonts w:ascii="Arial" w:cs="Arial" w:eastAsia="Arial" w:hAnsi="Arial"/>
                  <w:sz w:val="11"/>
                  <w:szCs w:val="11"/>
                  <w:color w:val="auto"/>
                </w:rPr>
                <w:t>2019, to Jeffery McNeil.</w:t>
              </w:r>
            </w:hyperlink>
          </w:p>
        </w:tc>
        <w:tc>
          <w:tcPr>
            <w:tcW w:w="0" w:type="dxa"/>
            <w:vAlign w:val="bottom"/>
          </w:tcPr>
          <w:p>
            <w:pPr>
              <w:spacing w:after="0"/>
              <w:rPr>
                <w:sz w:val="1"/>
                <w:szCs w:val="1"/>
                <w:color w:val="auto"/>
              </w:rPr>
            </w:pPr>
          </w:p>
        </w:tc>
      </w:tr>
      <w:tr>
        <w:trPr>
          <w:trHeight w:val="65"/>
        </w:trPr>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1"/>
                <w:szCs w:val="11"/>
                <w:color w:val="auto"/>
              </w:rPr>
              <w:t>31.1</w:t>
            </w:r>
          </w:p>
        </w:tc>
        <w:tc>
          <w:tcPr>
            <w:tcW w:w="120" w:type="dxa"/>
            <w:vAlign w:val="bottom"/>
          </w:tcPr>
          <w:p>
            <w:pPr>
              <w:spacing w:after="0"/>
              <w:rPr>
                <w:sz w:val="24"/>
                <w:szCs w:val="24"/>
                <w:color w:val="auto"/>
              </w:rPr>
            </w:pPr>
          </w:p>
        </w:tc>
        <w:tc>
          <w:tcPr>
            <w:tcW w:w="4240" w:type="dxa"/>
            <w:vAlign w:val="bottom"/>
          </w:tcPr>
          <w:p>
            <w:pPr>
              <w:ind w:left="20"/>
              <w:spacing w:after="0"/>
              <w:rPr>
                <w:rFonts w:ascii="Arial" w:cs="Arial" w:eastAsia="Arial" w:hAnsi="Arial"/>
                <w:sz w:val="11"/>
                <w:szCs w:val="11"/>
                <w:color w:val="auto"/>
              </w:rPr>
            </w:pPr>
            <w:hyperlink w:anchor="page55">
              <w:r>
                <w:rPr>
                  <w:rFonts w:ascii="Arial" w:cs="Arial" w:eastAsia="Arial" w:hAnsi="Arial"/>
                  <w:sz w:val="11"/>
                  <w:szCs w:val="11"/>
                  <w:color w:val="auto"/>
                </w:rPr>
                <w:t>Certification of Chief Executive Officer pursuant to Rule 13a-14(a)/15d-14(a)</w:t>
              </w:r>
            </w:hyperlink>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1"/>
                <w:szCs w:val="11"/>
                <w:color w:val="auto"/>
              </w:rPr>
              <w:t>31.2</w:t>
            </w:r>
          </w:p>
        </w:tc>
        <w:tc>
          <w:tcPr>
            <w:tcW w:w="120" w:type="dxa"/>
            <w:vAlign w:val="bottom"/>
          </w:tcPr>
          <w:p>
            <w:pPr>
              <w:spacing w:after="0"/>
              <w:rPr>
                <w:sz w:val="24"/>
                <w:szCs w:val="24"/>
                <w:color w:val="auto"/>
              </w:rPr>
            </w:pPr>
          </w:p>
        </w:tc>
        <w:tc>
          <w:tcPr>
            <w:tcW w:w="4240" w:type="dxa"/>
            <w:vAlign w:val="bottom"/>
          </w:tcPr>
          <w:p>
            <w:pPr>
              <w:ind w:left="20"/>
              <w:spacing w:after="0"/>
              <w:rPr>
                <w:rFonts w:ascii="Arial" w:cs="Arial" w:eastAsia="Arial" w:hAnsi="Arial"/>
                <w:sz w:val="11"/>
                <w:szCs w:val="11"/>
                <w:color w:val="auto"/>
              </w:rPr>
            </w:pPr>
            <w:hyperlink w:anchor="page56">
              <w:r>
                <w:rPr>
                  <w:rFonts w:ascii="Arial" w:cs="Arial" w:eastAsia="Arial" w:hAnsi="Arial"/>
                  <w:sz w:val="11"/>
                  <w:szCs w:val="11"/>
                  <w:color w:val="auto"/>
                </w:rPr>
                <w:t>Certification of Chief Financial Officer pursuant to Rule 13a-14(a)/15d-14(a)</w:t>
              </w:r>
            </w:hyperlink>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36"/>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ind w:left="20"/>
              <w:spacing w:after="0"/>
              <w:rPr>
                <w:rFonts w:ascii="Arial" w:cs="Arial" w:eastAsia="Arial" w:hAnsi="Arial"/>
                <w:sz w:val="11"/>
                <w:szCs w:val="11"/>
                <w:color w:val="auto"/>
              </w:rPr>
            </w:pPr>
            <w:hyperlink w:anchor="page57">
              <w:r>
                <w:rPr>
                  <w:rFonts w:ascii="Arial" w:cs="Arial" w:eastAsia="Arial" w:hAnsi="Arial"/>
                  <w:sz w:val="11"/>
                  <w:szCs w:val="11"/>
                  <w:color w:val="auto"/>
                </w:rPr>
                <w:t>Certification of Chief Executive Officer and Chief Financial Officer pursuant to 18</w:t>
              </w:r>
            </w:hyperlink>
          </w:p>
        </w:tc>
        <w:tc>
          <w:tcPr>
            <w:tcW w:w="0" w:type="dxa"/>
            <w:vAlign w:val="bottom"/>
          </w:tcPr>
          <w:p>
            <w:pPr>
              <w:spacing w:after="0"/>
              <w:rPr>
                <w:sz w:val="1"/>
                <w:szCs w:val="1"/>
                <w:color w:val="auto"/>
              </w:rPr>
            </w:pPr>
          </w:p>
        </w:tc>
      </w:tr>
      <w:tr>
        <w:trPr>
          <w:trHeight w:val="129"/>
        </w:trPr>
        <w:tc>
          <w:tcPr>
            <w:tcW w:w="820" w:type="dxa"/>
            <w:vAlign w:val="bottom"/>
          </w:tcPr>
          <w:p>
            <w:pPr>
              <w:jc w:val="center"/>
              <w:spacing w:after="0"/>
              <w:rPr>
                <w:sz w:val="20"/>
                <w:szCs w:val="20"/>
                <w:color w:val="auto"/>
              </w:rPr>
            </w:pPr>
            <w:r>
              <w:rPr>
                <w:rFonts w:ascii="Arial" w:cs="Arial" w:eastAsia="Arial" w:hAnsi="Arial"/>
                <w:sz w:val="11"/>
                <w:szCs w:val="11"/>
                <w:color w:val="auto"/>
              </w:rPr>
              <w:t>32.1*</w:t>
            </w:r>
          </w:p>
        </w:tc>
        <w:tc>
          <w:tcPr>
            <w:tcW w:w="120" w:type="dxa"/>
            <w:vAlign w:val="bottom"/>
          </w:tcPr>
          <w:p>
            <w:pPr>
              <w:spacing w:after="0"/>
              <w:rPr>
                <w:sz w:val="11"/>
                <w:szCs w:val="11"/>
                <w:color w:val="auto"/>
              </w:rPr>
            </w:pPr>
          </w:p>
        </w:tc>
        <w:tc>
          <w:tcPr>
            <w:tcW w:w="4240" w:type="dxa"/>
            <w:vAlign w:val="bottom"/>
          </w:tcPr>
          <w:p>
            <w:pPr>
              <w:ind w:left="20"/>
              <w:spacing w:after="0"/>
              <w:rPr>
                <w:rFonts w:ascii="Arial" w:cs="Arial" w:eastAsia="Arial" w:hAnsi="Arial"/>
                <w:sz w:val="11"/>
                <w:szCs w:val="11"/>
                <w:color w:val="auto"/>
              </w:rPr>
            </w:pPr>
            <w:hyperlink w:anchor="page57">
              <w:r>
                <w:rPr>
                  <w:rFonts w:ascii="Arial" w:cs="Arial" w:eastAsia="Arial" w:hAnsi="Arial"/>
                  <w:sz w:val="11"/>
                  <w:szCs w:val="11"/>
                  <w:color w:val="auto"/>
                </w:rPr>
                <w:t>U.S.C. Section 1350 as Adopted Pursuant to Section 906 of the Sarbanes-Oxley</w:t>
              </w:r>
            </w:hyperlink>
          </w:p>
        </w:tc>
        <w:tc>
          <w:tcPr>
            <w:tcW w:w="0" w:type="dxa"/>
            <w:vAlign w:val="bottom"/>
          </w:tcPr>
          <w:p>
            <w:pPr>
              <w:spacing w:after="0"/>
              <w:rPr>
                <w:sz w:val="1"/>
                <w:szCs w:val="1"/>
                <w:color w:val="auto"/>
              </w:rPr>
            </w:pPr>
          </w:p>
        </w:tc>
      </w:tr>
      <w:tr>
        <w:trPr>
          <w:trHeight w:val="138"/>
        </w:trPr>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40" w:type="dxa"/>
            <w:vAlign w:val="bottom"/>
          </w:tcPr>
          <w:p>
            <w:pPr>
              <w:ind w:left="20"/>
              <w:spacing w:after="0"/>
              <w:rPr>
                <w:rFonts w:ascii="Arial" w:cs="Arial" w:eastAsia="Arial" w:hAnsi="Arial"/>
                <w:sz w:val="11"/>
                <w:szCs w:val="11"/>
                <w:color w:val="auto"/>
              </w:rPr>
            </w:pPr>
            <w:hyperlink w:anchor="page57">
              <w:r>
                <w:rPr>
                  <w:rFonts w:ascii="Arial" w:cs="Arial" w:eastAsia="Arial" w:hAnsi="Arial"/>
                  <w:sz w:val="11"/>
                  <w:szCs w:val="11"/>
                  <w:color w:val="auto"/>
                </w:rPr>
                <w:t>Act of 2002.</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11"/>
                <w:szCs w:val="11"/>
                <w:color w:val="auto"/>
              </w:rPr>
              <w:t>XBRL Instance Document - the instance document does not appear in the</w:t>
            </w:r>
          </w:p>
        </w:tc>
        <w:tc>
          <w:tcPr>
            <w:tcW w:w="0" w:type="dxa"/>
            <w:vAlign w:val="bottom"/>
          </w:tcPr>
          <w:p>
            <w:pPr>
              <w:spacing w:after="0"/>
              <w:rPr>
                <w:sz w:val="1"/>
                <w:szCs w:val="1"/>
                <w:color w:val="auto"/>
              </w:rPr>
            </w:pPr>
          </w:p>
        </w:tc>
      </w:tr>
      <w:tr>
        <w:trPr>
          <w:trHeight w:val="129"/>
        </w:trPr>
        <w:tc>
          <w:tcPr>
            <w:tcW w:w="940" w:type="dxa"/>
            <w:vAlign w:val="bottom"/>
            <w:gridSpan w:val="2"/>
          </w:tcPr>
          <w:p>
            <w:pPr>
              <w:jc w:val="center"/>
              <w:ind w:right="120"/>
              <w:spacing w:after="0"/>
              <w:rPr>
                <w:sz w:val="20"/>
                <w:szCs w:val="20"/>
                <w:color w:val="auto"/>
              </w:rPr>
            </w:pPr>
            <w:r>
              <w:rPr>
                <w:rFonts w:ascii="Arial" w:cs="Arial" w:eastAsia="Arial" w:hAnsi="Arial"/>
                <w:sz w:val="11"/>
                <w:szCs w:val="11"/>
                <w:color w:val="auto"/>
              </w:rPr>
              <w:t>101.INS</w:t>
            </w:r>
          </w:p>
        </w:tc>
        <w:tc>
          <w:tcPr>
            <w:tcW w:w="4240" w:type="dxa"/>
            <w:vAlign w:val="bottom"/>
          </w:tcPr>
          <w:p>
            <w:pPr>
              <w:ind w:left="20"/>
              <w:spacing w:after="0"/>
              <w:rPr>
                <w:sz w:val="20"/>
                <w:szCs w:val="20"/>
                <w:color w:val="auto"/>
              </w:rPr>
            </w:pPr>
            <w:r>
              <w:rPr>
                <w:rFonts w:ascii="Arial" w:cs="Arial" w:eastAsia="Arial" w:hAnsi="Arial"/>
                <w:sz w:val="11"/>
                <w:szCs w:val="11"/>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138"/>
        </w:trPr>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40" w:type="dxa"/>
            <w:vAlign w:val="bottom"/>
          </w:tcPr>
          <w:p>
            <w:pPr>
              <w:ind w:left="20"/>
              <w:spacing w:after="0"/>
              <w:rPr>
                <w:sz w:val="20"/>
                <w:szCs w:val="20"/>
                <w:color w:val="auto"/>
              </w:rPr>
            </w:pPr>
            <w:r>
              <w:rPr>
                <w:rFonts w:ascii="Arial" w:cs="Arial" w:eastAsia="Arial" w:hAnsi="Arial"/>
                <w:sz w:val="11"/>
                <w:szCs w:val="11"/>
                <w:color w:val="auto"/>
              </w:rPr>
              <w:t>document.</w:t>
            </w:r>
          </w:p>
        </w:tc>
        <w:tc>
          <w:tcPr>
            <w:tcW w:w="0" w:type="dxa"/>
            <w:vAlign w:val="bottom"/>
          </w:tcPr>
          <w:p>
            <w:pPr>
              <w:spacing w:after="0"/>
              <w:rPr>
                <w:sz w:val="1"/>
                <w:szCs w:val="1"/>
                <w:color w:val="auto"/>
              </w:rPr>
            </w:pPr>
          </w:p>
        </w:tc>
      </w:tr>
      <w:tr>
        <w:trPr>
          <w:trHeight w:val="259"/>
        </w:trPr>
        <w:tc>
          <w:tcPr>
            <w:tcW w:w="940" w:type="dxa"/>
            <w:vAlign w:val="bottom"/>
            <w:gridSpan w:val="2"/>
          </w:tcPr>
          <w:p>
            <w:pPr>
              <w:jc w:val="center"/>
              <w:ind w:right="120"/>
              <w:spacing w:after="0"/>
              <w:rPr>
                <w:sz w:val="20"/>
                <w:szCs w:val="20"/>
                <w:color w:val="auto"/>
              </w:rPr>
            </w:pPr>
            <w:r>
              <w:rPr>
                <w:rFonts w:ascii="Arial" w:cs="Arial" w:eastAsia="Arial" w:hAnsi="Arial"/>
                <w:sz w:val="11"/>
                <w:szCs w:val="11"/>
                <w:color w:val="auto"/>
              </w:rPr>
              <w:t>101.SCH</w:t>
            </w:r>
          </w:p>
        </w:tc>
        <w:tc>
          <w:tcPr>
            <w:tcW w:w="4240" w:type="dxa"/>
            <w:vAlign w:val="bottom"/>
          </w:tcPr>
          <w:p>
            <w:pPr>
              <w:ind w:left="20"/>
              <w:spacing w:after="0"/>
              <w:rPr>
                <w:sz w:val="20"/>
                <w:szCs w:val="20"/>
                <w:color w:val="auto"/>
              </w:rPr>
            </w:pPr>
            <w:r>
              <w:rPr>
                <w:rFonts w:ascii="Arial" w:cs="Arial" w:eastAsia="Arial" w:hAnsi="Arial"/>
                <w:sz w:val="11"/>
                <w:szCs w:val="11"/>
                <w:color w:val="auto"/>
              </w:rPr>
              <w:t>XBRL Taxonomy Extension Schema Document.</w:t>
            </w:r>
          </w:p>
        </w:tc>
        <w:tc>
          <w:tcPr>
            <w:tcW w:w="0" w:type="dxa"/>
            <w:vAlign w:val="bottom"/>
          </w:tcPr>
          <w:p>
            <w:pPr>
              <w:spacing w:after="0"/>
              <w:rPr>
                <w:sz w:val="1"/>
                <w:szCs w:val="1"/>
                <w:color w:val="auto"/>
              </w:rPr>
            </w:pPr>
          </w:p>
        </w:tc>
      </w:tr>
      <w:tr>
        <w:trPr>
          <w:trHeight w:val="345"/>
        </w:trPr>
        <w:tc>
          <w:tcPr>
            <w:tcW w:w="940" w:type="dxa"/>
            <w:vAlign w:val="bottom"/>
            <w:gridSpan w:val="2"/>
          </w:tcPr>
          <w:p>
            <w:pPr>
              <w:jc w:val="center"/>
              <w:ind w:right="120"/>
              <w:spacing w:after="0"/>
              <w:rPr>
                <w:sz w:val="20"/>
                <w:szCs w:val="20"/>
                <w:color w:val="auto"/>
              </w:rPr>
            </w:pPr>
            <w:r>
              <w:rPr>
                <w:rFonts w:ascii="Arial" w:cs="Arial" w:eastAsia="Arial" w:hAnsi="Arial"/>
                <w:sz w:val="11"/>
                <w:szCs w:val="11"/>
                <w:color w:val="auto"/>
              </w:rPr>
              <w:t>101.CAL</w:t>
            </w:r>
          </w:p>
        </w:tc>
        <w:tc>
          <w:tcPr>
            <w:tcW w:w="4240" w:type="dxa"/>
            <w:vAlign w:val="bottom"/>
          </w:tcPr>
          <w:p>
            <w:pPr>
              <w:ind w:left="20"/>
              <w:spacing w:after="0"/>
              <w:rPr>
                <w:sz w:val="20"/>
                <w:szCs w:val="20"/>
                <w:color w:val="auto"/>
              </w:rPr>
            </w:pPr>
            <w:r>
              <w:rPr>
                <w:rFonts w:ascii="Arial" w:cs="Arial" w:eastAsia="Arial" w:hAnsi="Arial"/>
                <w:sz w:val="11"/>
                <w:szCs w:val="11"/>
                <w:color w:val="auto"/>
              </w:rPr>
              <w:t>XBRL Taxonomy Extension Calculation Linkbase Document.</w:t>
            </w:r>
          </w:p>
        </w:tc>
        <w:tc>
          <w:tcPr>
            <w:tcW w:w="0" w:type="dxa"/>
            <w:vAlign w:val="bottom"/>
          </w:tcPr>
          <w:p>
            <w:pPr>
              <w:spacing w:after="0"/>
              <w:rPr>
                <w:sz w:val="1"/>
                <w:szCs w:val="1"/>
                <w:color w:val="auto"/>
              </w:rPr>
            </w:pPr>
          </w:p>
        </w:tc>
      </w:tr>
      <w:tr>
        <w:trPr>
          <w:trHeight w:val="345"/>
        </w:trPr>
        <w:tc>
          <w:tcPr>
            <w:tcW w:w="940" w:type="dxa"/>
            <w:vAlign w:val="bottom"/>
            <w:gridSpan w:val="2"/>
          </w:tcPr>
          <w:p>
            <w:pPr>
              <w:jc w:val="center"/>
              <w:ind w:right="120"/>
              <w:spacing w:after="0"/>
              <w:rPr>
                <w:sz w:val="20"/>
                <w:szCs w:val="20"/>
                <w:color w:val="auto"/>
              </w:rPr>
            </w:pPr>
            <w:r>
              <w:rPr>
                <w:rFonts w:ascii="Arial" w:cs="Arial" w:eastAsia="Arial" w:hAnsi="Arial"/>
                <w:sz w:val="11"/>
                <w:szCs w:val="11"/>
                <w:color w:val="auto"/>
              </w:rPr>
              <w:t>101.DEF</w:t>
            </w:r>
          </w:p>
        </w:tc>
        <w:tc>
          <w:tcPr>
            <w:tcW w:w="4240" w:type="dxa"/>
            <w:vAlign w:val="bottom"/>
          </w:tcPr>
          <w:p>
            <w:pPr>
              <w:ind w:left="20"/>
              <w:spacing w:after="0"/>
              <w:rPr>
                <w:sz w:val="20"/>
                <w:szCs w:val="20"/>
                <w:color w:val="auto"/>
              </w:rPr>
            </w:pPr>
            <w:r>
              <w:rPr>
                <w:rFonts w:ascii="Arial" w:cs="Arial" w:eastAsia="Arial" w:hAnsi="Arial"/>
                <w:sz w:val="11"/>
                <w:szCs w:val="11"/>
                <w:color w:val="auto"/>
              </w:rPr>
              <w:t>XBRL Taxonomy Extension Definition Linkbase Document.</w:t>
            </w:r>
          </w:p>
        </w:tc>
        <w:tc>
          <w:tcPr>
            <w:tcW w:w="0" w:type="dxa"/>
            <w:vAlign w:val="bottom"/>
          </w:tcPr>
          <w:p>
            <w:pPr>
              <w:spacing w:after="0"/>
              <w:rPr>
                <w:sz w:val="1"/>
                <w:szCs w:val="1"/>
                <w:color w:val="auto"/>
              </w:rPr>
            </w:pPr>
          </w:p>
        </w:tc>
      </w:tr>
      <w:tr>
        <w:trPr>
          <w:trHeight w:val="345"/>
        </w:trPr>
        <w:tc>
          <w:tcPr>
            <w:tcW w:w="940" w:type="dxa"/>
            <w:vAlign w:val="bottom"/>
            <w:gridSpan w:val="2"/>
          </w:tcPr>
          <w:p>
            <w:pPr>
              <w:jc w:val="center"/>
              <w:ind w:right="100"/>
              <w:spacing w:after="0"/>
              <w:rPr>
                <w:sz w:val="20"/>
                <w:szCs w:val="20"/>
                <w:color w:val="auto"/>
              </w:rPr>
            </w:pPr>
            <w:r>
              <w:rPr>
                <w:rFonts w:ascii="Arial" w:cs="Arial" w:eastAsia="Arial" w:hAnsi="Arial"/>
                <w:sz w:val="11"/>
                <w:szCs w:val="11"/>
                <w:color w:val="auto"/>
              </w:rPr>
              <w:t>101.LAB</w:t>
            </w:r>
          </w:p>
        </w:tc>
        <w:tc>
          <w:tcPr>
            <w:tcW w:w="4240" w:type="dxa"/>
            <w:vAlign w:val="bottom"/>
          </w:tcPr>
          <w:p>
            <w:pPr>
              <w:ind w:left="20"/>
              <w:spacing w:after="0"/>
              <w:rPr>
                <w:sz w:val="20"/>
                <w:szCs w:val="20"/>
                <w:color w:val="auto"/>
              </w:rPr>
            </w:pPr>
            <w:r>
              <w:rPr>
                <w:rFonts w:ascii="Arial" w:cs="Arial" w:eastAsia="Arial" w:hAnsi="Arial"/>
                <w:sz w:val="11"/>
                <w:szCs w:val="11"/>
                <w:color w:val="auto"/>
              </w:rPr>
              <w:t>XBRL Taxonomy Extension Label Linkbase Document.</w:t>
            </w:r>
          </w:p>
        </w:tc>
        <w:tc>
          <w:tcPr>
            <w:tcW w:w="0" w:type="dxa"/>
            <w:vAlign w:val="bottom"/>
          </w:tcPr>
          <w:p>
            <w:pPr>
              <w:spacing w:after="0"/>
              <w:rPr>
                <w:sz w:val="1"/>
                <w:szCs w:val="1"/>
                <w:color w:val="auto"/>
              </w:rPr>
            </w:pPr>
          </w:p>
        </w:tc>
      </w:tr>
      <w:tr>
        <w:trPr>
          <w:trHeight w:val="345"/>
        </w:trPr>
        <w:tc>
          <w:tcPr>
            <w:tcW w:w="940" w:type="dxa"/>
            <w:vAlign w:val="bottom"/>
            <w:gridSpan w:val="2"/>
          </w:tcPr>
          <w:p>
            <w:pPr>
              <w:jc w:val="center"/>
              <w:ind w:right="120"/>
              <w:spacing w:after="0"/>
              <w:rPr>
                <w:sz w:val="20"/>
                <w:szCs w:val="20"/>
                <w:color w:val="auto"/>
              </w:rPr>
            </w:pPr>
            <w:r>
              <w:rPr>
                <w:rFonts w:ascii="Arial" w:cs="Arial" w:eastAsia="Arial" w:hAnsi="Arial"/>
                <w:sz w:val="11"/>
                <w:szCs w:val="11"/>
                <w:color w:val="auto"/>
              </w:rPr>
              <w:t>101.PRE</w:t>
            </w:r>
          </w:p>
        </w:tc>
        <w:tc>
          <w:tcPr>
            <w:tcW w:w="4240" w:type="dxa"/>
            <w:vAlign w:val="bottom"/>
          </w:tcPr>
          <w:p>
            <w:pPr>
              <w:ind w:left="20"/>
              <w:spacing w:after="0"/>
              <w:rPr>
                <w:sz w:val="20"/>
                <w:szCs w:val="20"/>
                <w:color w:val="auto"/>
              </w:rPr>
            </w:pPr>
            <w:r>
              <w:rPr>
                <w:rFonts w:ascii="Arial" w:cs="Arial" w:eastAsia="Arial" w:hAnsi="Arial"/>
                <w:sz w:val="11"/>
                <w:szCs w:val="11"/>
                <w:color w:val="auto"/>
              </w:rPr>
              <w:t>XBRL Taxonomy Extension Presentation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45148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4514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SEC File No.</w:t>
            </w:r>
          </w:p>
        </w:tc>
        <w:tc>
          <w:tcPr>
            <w:tcW w:w="120" w:type="dxa"/>
            <w:vAlign w:val="bottom"/>
          </w:tcPr>
          <w:p>
            <w:pPr>
              <w:spacing w:after="0"/>
              <w:rPr>
                <w:sz w:val="13"/>
                <w:szCs w:val="13"/>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Filing Date</w:t>
            </w:r>
          </w:p>
        </w:tc>
        <w:tc>
          <w:tcPr>
            <w:tcW w:w="100" w:type="dxa"/>
            <w:vAlign w:val="bottom"/>
          </w:tcPr>
          <w:p>
            <w:pPr>
              <w:spacing w:after="0"/>
              <w:rPr>
                <w:sz w:val="13"/>
                <w:szCs w:val="13"/>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Filed Herewith</w:t>
            </w:r>
          </w:p>
        </w:tc>
      </w:tr>
      <w:tr>
        <w:trPr>
          <w:trHeight w:val="310"/>
        </w:trPr>
        <w:tc>
          <w:tcPr>
            <w:tcW w:w="1160" w:type="dxa"/>
            <w:vAlign w:val="bottom"/>
            <w:gridSpan w:val="2"/>
          </w:tcPr>
          <w:p>
            <w:pPr>
              <w:jc w:val="center"/>
              <w:ind w:right="14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6/5/2019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1160" w:type="dxa"/>
            <w:vAlign w:val="bottom"/>
            <w:gridSpan w:val="2"/>
          </w:tcPr>
          <w:p>
            <w:pPr>
              <w:jc w:val="center"/>
              <w:ind w:right="14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6/5/2019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1160" w:type="dxa"/>
            <w:vAlign w:val="bottom"/>
            <w:gridSpan w:val="2"/>
          </w:tcPr>
          <w:p>
            <w:pPr>
              <w:jc w:val="center"/>
              <w:ind w:right="14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6/5/2019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1160" w:type="dxa"/>
            <w:vAlign w:val="bottom"/>
            <w:gridSpan w:val="2"/>
          </w:tcPr>
          <w:p>
            <w:pPr>
              <w:jc w:val="center"/>
              <w:ind w:right="14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6/5/2019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5"/>
        </w:trPr>
        <w:tc>
          <w:tcPr>
            <w:tcW w:w="1160" w:type="dxa"/>
            <w:vAlign w:val="bottom"/>
            <w:gridSpan w:val="2"/>
          </w:tcPr>
          <w:p>
            <w:pPr>
              <w:jc w:val="center"/>
              <w:ind w:right="14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6/5/2019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-1204595</wp:posOffset>
            </wp:positionV>
            <wp:extent cx="7274560" cy="307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74560" cy="30797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-678180</wp:posOffset>
            </wp:positionV>
            <wp:extent cx="7274560" cy="300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74560" cy="300990"/>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-158115</wp:posOffset>
            </wp:positionV>
            <wp:extent cx="7274560" cy="219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74560" cy="219075"/>
                    </a:xfrm>
                    <a:prstGeom prst="rect">
                      <a:avLst/>
                    </a:prstGeom>
                    <a:noFill/>
                  </pic:spPr>
                </pic:pic>
              </a:graphicData>
            </a:graphic>
          </wp:anchor>
        </w:drawing>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108585</wp:posOffset>
            </wp:positionV>
            <wp:extent cx="7274560" cy="2190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74560" cy="219075"/>
                    </a:xfrm>
                    <a:prstGeom prst="rect">
                      <a:avLst/>
                    </a:prstGeom>
                    <a:noFill/>
                  </pic:spPr>
                </pic:pic>
              </a:graphicData>
            </a:graphic>
          </wp:anchor>
        </w:drawing>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X</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67945</wp:posOffset>
            </wp:positionV>
            <wp:extent cx="7274560" cy="382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74560" cy="382905"/>
                    </a:xfrm>
                    <a:prstGeom prst="rect">
                      <a:avLst/>
                    </a:prstGeom>
                    <a:noFill/>
                  </pic:spPr>
                </pic:pic>
              </a:graphicData>
            </a:graphic>
          </wp:anchor>
        </w:drawing>
      </w: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423545</wp:posOffset>
            </wp:positionV>
            <wp:extent cx="7274560" cy="2190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74560" cy="21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X</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67945</wp:posOffset>
            </wp:positionV>
            <wp:extent cx="7274560" cy="2190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74560" cy="219075"/>
                    </a:xfrm>
                    <a:prstGeom prst="rect">
                      <a:avLst/>
                    </a:prstGeom>
                    <a:noFill/>
                  </pic:spPr>
                </pic:pic>
              </a:graphicData>
            </a:graphic>
          </wp:anchor>
        </w:drawing>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X</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67945</wp:posOffset>
            </wp:positionV>
            <wp:extent cx="7274560" cy="219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74560" cy="219075"/>
                    </a:xfrm>
                    <a:prstGeom prst="rect">
                      <a:avLst/>
                    </a:prstGeom>
                    <a:noFill/>
                  </pic:spPr>
                </pic:pic>
              </a:graphicData>
            </a:graphic>
          </wp:anchor>
        </w:drawing>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ectPr>
          <w:pgSz w:w="11900" w:h="16838" w:orient="portrait"/>
          <w:cols w:equalWidth="0" w:num="2">
            <w:col w:w="5180" w:space="120"/>
            <w:col w:w="6160"/>
          </w:cols>
          <w:pgMar w:left="220" w:top="254" w:right="219" w:bottom="1440" w:gutter="0" w:footer="0" w:header="0"/>
          <w:type w:val="continuous"/>
        </w:sectPr>
      </w:pPr>
    </w:p>
    <w:p>
      <w:pPr>
        <w:spacing w:after="0" w:line="110" w:lineRule="exact"/>
        <w:rPr>
          <w:sz w:val="20"/>
          <w:szCs w:val="20"/>
          <w:color w:val="auto"/>
        </w:rPr>
      </w:pPr>
    </w:p>
    <w:p>
      <w:pPr>
        <w:ind w:left="260" w:right="500" w:hanging="254"/>
        <w:spacing w:after="0" w:line="273"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397510</wp:posOffset>
            </wp:positionV>
            <wp:extent cx="70897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37</w:t>
      </w:r>
    </w:p>
    <w:p>
      <w:pPr>
        <w:sectPr>
          <w:pgSz w:w="11900" w:h="16838" w:orient="portrait"/>
          <w:cols w:equalWidth="0" w:num="1">
            <w:col w:w="11460"/>
          </w:cols>
          <w:pgMar w:left="220" w:top="254" w:right="219" w:bottom="1440" w:gutter="0" w:footer="0" w:header="0"/>
          <w:type w:val="continuous"/>
        </w:sectPr>
      </w:pPr>
    </w:p>
    <w:bookmarkStart w:id="39" w:name="page40"/>
    <w:bookmarkEnd w:id="39"/>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SIGNATURE</w:t>
      </w:r>
    </w:p>
    <w:p>
      <w:pPr>
        <w:spacing w:after="0" w:line="202" w:lineRule="exact"/>
        <w:rPr>
          <w:sz w:val="20"/>
          <w:szCs w:val="20"/>
          <w:color w:val="auto"/>
        </w:rPr>
      </w:pPr>
    </w:p>
    <w:p>
      <w:pPr>
        <w:ind w:firstLine="388"/>
        <w:spacing w:after="0" w:line="27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Quarterly Report on Form 10-Q to be signed on its behalf by the undersigned, thereunto duly authorized.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Dated: July 30, 2019</w:t>
      </w:r>
    </w:p>
    <w:p>
      <w:pPr>
        <w:spacing w:after="0" w:line="295"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ENPHASE ENERGY, INC.</w:t>
      </w:r>
    </w:p>
    <w:p>
      <w:pPr>
        <w:spacing w:after="0" w:line="170" w:lineRule="exact"/>
        <w:rPr>
          <w:sz w:val="20"/>
          <w:szCs w:val="20"/>
          <w:color w:val="auto"/>
        </w:rPr>
      </w:pPr>
    </w:p>
    <w:p>
      <w:pPr>
        <w:ind w:left="4960"/>
        <w:spacing w:after="0"/>
        <w:tabs>
          <w:tab w:leader="none" w:pos="59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21590</wp:posOffset>
            </wp:positionV>
            <wp:extent cx="297688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976880" cy="6985"/>
                    </a:xfrm>
                    <a:prstGeom prst="rect">
                      <a:avLst/>
                    </a:prstGeom>
                    <a:noFill/>
                  </pic:spPr>
                </pic:pic>
              </a:graphicData>
            </a:graphic>
          </wp:anchor>
        </w:drawing>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Eric Branderiz</w:t>
      </w:r>
    </w:p>
    <w:p>
      <w:pPr>
        <w:spacing w:after="0" w:line="5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Vice President and Chief Financial Officer</w:t>
      </w:r>
    </w:p>
    <w:p>
      <w:pPr>
        <w:spacing w:after="0" w:line="5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(Duly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260985</wp:posOffset>
            </wp:positionV>
            <wp:extent cx="708977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9"/>
          <w:szCs w:val="9"/>
          <w:color w:val="828282"/>
        </w:rPr>
        <w:t xml:space="preserve">Enphase Energy, Inc. | Q2 2019 Form 10-Q | </w:t>
      </w:r>
      <w:r>
        <w:rPr>
          <w:rFonts w:ascii="Arial" w:cs="Arial" w:eastAsia="Arial" w:hAnsi="Arial"/>
          <w:sz w:val="9"/>
          <w:szCs w:val="9"/>
          <w:b w:val="1"/>
          <w:bCs w:val="1"/>
          <w:color w:val="828282"/>
        </w:rPr>
        <w:t>38</w:t>
      </w:r>
    </w:p>
    <w:p>
      <w:pPr>
        <w:sectPr>
          <w:pgSz w:w="11900" w:h="16838" w:orient="portrait"/>
          <w:cols w:equalWidth="0" w:num="1">
            <w:col w:w="11120"/>
          </w:cols>
          <w:pgMar w:left="220" w:top="254" w:right="559" w:bottom="1440"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auto"/>
        </w:rPr>
        <w:t>Exhibit 31.1</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 Badrinarayanan Kothandaraman, certify that:</w:t>
      </w:r>
    </w:p>
    <w:p>
      <w:pPr>
        <w:spacing w:after="0" w:line="162" w:lineRule="exact"/>
        <w:rPr>
          <w:sz w:val="20"/>
          <w:szCs w:val="20"/>
          <w:color w:val="auto"/>
        </w:rPr>
      </w:pPr>
    </w:p>
    <w:p>
      <w:pPr>
        <w:ind w:left="260" w:hanging="254"/>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Form 10-Q of Enphase Energy, Inc.;</w:t>
      </w:r>
    </w:p>
    <w:p>
      <w:pPr>
        <w:spacing w:after="0" w:line="162" w:lineRule="exact"/>
        <w:rPr>
          <w:rFonts w:ascii="Arial" w:cs="Arial" w:eastAsia="Arial" w:hAnsi="Arial"/>
          <w:sz w:val="14"/>
          <w:szCs w:val="14"/>
          <w:color w:val="auto"/>
        </w:rPr>
      </w:pPr>
    </w:p>
    <w:p>
      <w:pPr>
        <w:ind w:left="260" w:right="120" w:hanging="254"/>
        <w:spacing w:after="0" w:line="273"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4"/>
          <w:szCs w:val="14"/>
          <w:color w:val="auto"/>
        </w:rPr>
      </w:pPr>
    </w:p>
    <w:p>
      <w:pPr>
        <w:ind w:left="260" w:right="180" w:hanging="254"/>
        <w:spacing w:after="0" w:line="273"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4"/>
          <w:szCs w:val="14"/>
          <w:color w:val="auto"/>
        </w:rPr>
      </w:pPr>
    </w:p>
    <w:p>
      <w:pPr>
        <w:ind w:left="260" w:right="20" w:hanging="254"/>
        <w:spacing w:after="0" w:line="273"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4"/>
          <w:szCs w:val="14"/>
          <w:color w:val="auto"/>
        </w:rPr>
      </w:pPr>
    </w:p>
    <w:p>
      <w:pPr>
        <w:ind w:left="920" w:right="40" w:hanging="267"/>
        <w:spacing w:after="0" w:line="265"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left="920" w:right="320" w:hanging="267"/>
        <w:spacing w:after="0" w:line="265"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left="920" w:right="660" w:hanging="267"/>
        <w:spacing w:after="0" w:line="273"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4"/>
          <w:szCs w:val="14"/>
          <w:color w:val="auto"/>
        </w:rPr>
      </w:pPr>
    </w:p>
    <w:p>
      <w:pPr>
        <w:ind w:left="920" w:right="140" w:hanging="267"/>
        <w:spacing w:after="0" w:line="265"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4"/>
          <w:szCs w:val="14"/>
          <w:color w:val="auto"/>
        </w:rPr>
      </w:pPr>
    </w:p>
    <w:p>
      <w:pPr>
        <w:ind w:left="260" w:right="240" w:hanging="254"/>
        <w:spacing w:after="0" w:line="273"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4"/>
          <w:szCs w:val="14"/>
          <w:color w:val="auto"/>
        </w:rPr>
      </w:pPr>
    </w:p>
    <w:p>
      <w:pPr>
        <w:ind w:left="920" w:hanging="267"/>
        <w:spacing w:after="0" w:line="273"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4"/>
          <w:szCs w:val="14"/>
          <w:color w:val="auto"/>
        </w:rPr>
      </w:pPr>
    </w:p>
    <w:p>
      <w:pPr>
        <w:ind w:left="920" w:right="620" w:hanging="267"/>
        <w:spacing w:after="0" w:line="273"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Date: July 30, 2019</w:t>
      </w:r>
    </w:p>
    <w:p>
      <w:pPr>
        <w:spacing w:after="0" w:line="346"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21590</wp:posOffset>
            </wp:positionV>
            <wp:extent cx="363347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Badrinarayanan Kothandaraman</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President and Chief Executive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460"/>
          </w:cols>
          <w:pgMar w:left="220" w:top="767"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b w:val="1"/>
          <w:bCs w:val="1"/>
          <w:color w:val="auto"/>
        </w:rPr>
        <w:t>Exhibit 31.2</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 Eric Branderiz, certify that:</w:t>
      </w:r>
    </w:p>
    <w:p>
      <w:pPr>
        <w:spacing w:after="0" w:line="162" w:lineRule="exact"/>
        <w:rPr>
          <w:sz w:val="20"/>
          <w:szCs w:val="20"/>
          <w:color w:val="auto"/>
        </w:rPr>
      </w:pPr>
    </w:p>
    <w:p>
      <w:pPr>
        <w:ind w:left="260" w:hanging="254"/>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Form 10-Q of Enphase Energy, Inc.;</w:t>
      </w:r>
    </w:p>
    <w:p>
      <w:pPr>
        <w:spacing w:after="0" w:line="162" w:lineRule="exact"/>
        <w:rPr>
          <w:rFonts w:ascii="Arial" w:cs="Arial" w:eastAsia="Arial" w:hAnsi="Arial"/>
          <w:sz w:val="14"/>
          <w:szCs w:val="14"/>
          <w:color w:val="auto"/>
        </w:rPr>
      </w:pPr>
    </w:p>
    <w:p>
      <w:pPr>
        <w:ind w:left="260" w:right="120" w:hanging="254"/>
        <w:spacing w:after="0" w:line="27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4"/>
          <w:szCs w:val="14"/>
          <w:color w:val="auto"/>
        </w:rPr>
      </w:pPr>
    </w:p>
    <w:p>
      <w:pPr>
        <w:ind w:left="260" w:right="180" w:hanging="254"/>
        <w:spacing w:after="0" w:line="27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4"/>
          <w:szCs w:val="14"/>
          <w:color w:val="auto"/>
        </w:rPr>
      </w:pPr>
    </w:p>
    <w:p>
      <w:pPr>
        <w:ind w:left="260" w:right="20" w:hanging="254"/>
        <w:spacing w:after="0" w:line="27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4"/>
          <w:szCs w:val="14"/>
          <w:color w:val="auto"/>
        </w:rPr>
      </w:pPr>
    </w:p>
    <w:p>
      <w:pPr>
        <w:ind w:left="920" w:right="40" w:hanging="267"/>
        <w:spacing w:after="0" w:line="265"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left="920" w:right="320" w:hanging="267"/>
        <w:spacing w:after="0" w:line="265"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left="920" w:right="660" w:hanging="267"/>
        <w:spacing w:after="0" w:line="273"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4"/>
          <w:szCs w:val="14"/>
          <w:color w:val="auto"/>
        </w:rPr>
      </w:pPr>
    </w:p>
    <w:p>
      <w:pPr>
        <w:ind w:left="920" w:right="140" w:hanging="267"/>
        <w:spacing w:after="0" w:line="265"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4"/>
          <w:szCs w:val="14"/>
          <w:color w:val="auto"/>
        </w:rPr>
      </w:pPr>
    </w:p>
    <w:p>
      <w:pPr>
        <w:ind w:left="260" w:right="240" w:hanging="254"/>
        <w:spacing w:after="0" w:line="27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4"/>
          <w:szCs w:val="14"/>
          <w:color w:val="auto"/>
        </w:rPr>
      </w:pPr>
    </w:p>
    <w:p>
      <w:pPr>
        <w:ind w:left="920" w:hanging="267"/>
        <w:spacing w:after="0" w:line="273"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4"/>
          <w:szCs w:val="14"/>
          <w:color w:val="auto"/>
        </w:rPr>
      </w:pPr>
    </w:p>
    <w:p>
      <w:pPr>
        <w:ind w:left="920" w:right="620" w:hanging="267"/>
        <w:spacing w:after="0" w:line="273"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Date: July 30, 2019</w:t>
      </w:r>
    </w:p>
    <w:p>
      <w:pPr>
        <w:spacing w:after="0" w:line="346"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21590</wp:posOffset>
            </wp:positionV>
            <wp:extent cx="363347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Eric Branderiz</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Vice President and Chief Financial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460"/>
          </w:cols>
          <w:pgMar w:left="220" w:top="767" w:right="21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b w:val="1"/>
          <w:bCs w:val="1"/>
          <w:color w:val="auto"/>
        </w:rPr>
        <w:t>Exhibit 32.1</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59"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Eric Branderiz, Vice President and Chief Financial Officer of the Company, each hereby certifies that, to the best of his or her knowledge:</w:t>
      </w:r>
    </w:p>
    <w:p>
      <w:pPr>
        <w:spacing w:after="0" w:line="135" w:lineRule="exact"/>
        <w:rPr>
          <w:sz w:val="20"/>
          <w:szCs w:val="20"/>
          <w:color w:val="auto"/>
        </w:rPr>
      </w:pPr>
    </w:p>
    <w:p>
      <w:pPr>
        <w:ind w:right="200" w:firstLine="6"/>
        <w:spacing w:after="0" w:line="273" w:lineRule="auto"/>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period ended June 30, 2019, to which this Certification is attached as Exhibit 32.1 (the “Periodic Report”), fully complies with the requirements of Section 13(a) or Section 15(d) of the Exchange Act; and</w:t>
      </w:r>
    </w:p>
    <w:p>
      <w:pPr>
        <w:spacing w:after="0" w:line="129" w:lineRule="exact"/>
        <w:rPr>
          <w:rFonts w:ascii="Arial" w:cs="Arial" w:eastAsia="Arial" w:hAnsi="Arial"/>
          <w:sz w:val="14"/>
          <w:szCs w:val="14"/>
          <w:color w:val="auto"/>
        </w:rPr>
      </w:pPr>
    </w:p>
    <w:p>
      <w:pPr>
        <w:ind w:left="160" w:hanging="154"/>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contained in the Periodic Report fairly presents, in all material respects, the financial condition and results of operations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undersigned have set their hands hereto as of the 30th day of July, 2019.</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/s/ BADRINARAYANAN KOTHANDARAMAN</w:t>
            </w:r>
          </w:p>
        </w:tc>
        <w:tc>
          <w:tcPr>
            <w:tcW w:w="5720" w:type="dxa"/>
            <w:vAlign w:val="bottom"/>
          </w:tcPr>
          <w:p>
            <w:pPr>
              <w:ind w:left="20"/>
              <w:spacing w:after="0"/>
              <w:rPr>
                <w:sz w:val="20"/>
                <w:szCs w:val="20"/>
                <w:color w:val="auto"/>
              </w:rPr>
            </w:pPr>
            <w:r>
              <w:rPr>
                <w:rFonts w:ascii="Arial" w:cs="Arial" w:eastAsia="Arial" w:hAnsi="Arial"/>
                <w:sz w:val="14"/>
                <w:szCs w:val="14"/>
                <w:color w:val="auto"/>
              </w:rPr>
              <w:t>/s/ ERIC BRANDERIZ</w:t>
            </w:r>
          </w:p>
        </w:tc>
      </w:tr>
      <w:tr>
        <w:trPr>
          <w:trHeight w:val="23"/>
        </w:trPr>
        <w:tc>
          <w:tcPr>
            <w:tcW w:w="5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r>
      <w:tr>
        <w:trPr>
          <w:trHeight w:val="184"/>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Badrinarayanan Kothandaraman</w:t>
            </w:r>
          </w:p>
        </w:tc>
        <w:tc>
          <w:tcPr>
            <w:tcW w:w="5720" w:type="dxa"/>
            <w:vAlign w:val="bottom"/>
          </w:tcPr>
          <w:p>
            <w:pPr>
              <w:ind w:left="20"/>
              <w:spacing w:after="0"/>
              <w:rPr>
                <w:sz w:val="20"/>
                <w:szCs w:val="20"/>
                <w:color w:val="auto"/>
              </w:rPr>
            </w:pPr>
            <w:r>
              <w:rPr>
                <w:rFonts w:ascii="Arial" w:cs="Arial" w:eastAsia="Arial" w:hAnsi="Arial"/>
                <w:sz w:val="14"/>
                <w:szCs w:val="14"/>
                <w:color w:val="auto"/>
              </w:rPr>
              <w:t>Eric Branderiz</w:t>
            </w: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President and Chief Executive Officer</w:t>
            </w:r>
          </w:p>
        </w:tc>
        <w:tc>
          <w:tcPr>
            <w:tcW w:w="5720" w:type="dxa"/>
            <w:vAlign w:val="bottom"/>
          </w:tcPr>
          <w:p>
            <w:pPr>
              <w:ind w:left="20"/>
              <w:spacing w:after="0"/>
              <w:rPr>
                <w:sz w:val="20"/>
                <w:szCs w:val="20"/>
                <w:color w:val="auto"/>
              </w:rPr>
            </w:pPr>
            <w:r>
              <w:rPr>
                <w:rFonts w:ascii="Arial" w:cs="Arial" w:eastAsia="Arial" w:hAnsi="Arial"/>
                <w:sz w:val="14"/>
                <w:szCs w:val="14"/>
                <w:color w:val="auto"/>
              </w:rPr>
              <w:t>Vice President and Chief Financial Officer</w:t>
            </w:r>
          </w:p>
        </w:tc>
      </w:tr>
    </w:tbl>
    <w:p>
      <w:pPr>
        <w:spacing w:after="0" w:line="76"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60"/>
      </w:cols>
      <w:pgMar w:left="220" w:top="76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9"/>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0"/>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1"/>
    </w:lvl>
  </w:abstractNum>
  <w:abstractNum w:abstractNumId="23">
    <w:nsid w:val="71F32454"/>
    <w:multiLevelType w:val="hybridMultilevel"/>
    <w:lvl w:ilvl="0">
      <w:lvlJc w:val="left"/>
      <w:lvlText w:val="%1."/>
      <w:numFmt w:val="decimal"/>
      <w:start w:val="12"/>
    </w:lvl>
  </w:abstractNum>
  <w:abstractNum w:abstractNumId="24">
    <w:nsid w:val="2CA88611"/>
    <w:multiLevelType w:val="hybridMultilevel"/>
    <w:lvl w:ilvl="0">
      <w:lvlJc w:val="left"/>
      <w:lvlText w:val="%1."/>
      <w:numFmt w:val="decimal"/>
      <w:start w:val="13"/>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67" Type="http://schemas.openxmlformats.org/officeDocument/2006/relationships/hyperlink" Target="http://www.sec.gov/Archives/edgar/data/1463101/000110465919034028/a19-11111_1ex4d1.htm" TargetMode="External"/><Relationship Id="rId68" Type="http://schemas.openxmlformats.org/officeDocument/2006/relationships/hyperlink" Target="http://www.sec.gov/Archives/edgar/data/1463101/000110465919034028/a19-11111_1ex10d1.htm" TargetMode="External"/><Relationship Id="rId69" Type="http://schemas.openxmlformats.org/officeDocument/2006/relationships/hyperlink" Target="http://www.sec.gov/Archives/edgar/data/1463101/000110465919034028/a19-11111_1ex10d2.htm" TargetMode="External"/><Relationship Id="rId70" Type="http://schemas.openxmlformats.org/officeDocument/2006/relationships/hyperlink" Target="http://www.sec.gov/Archives/edgar/data/1463101/000110465919034028/a19-11111_1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2019-12-28T09:11:07Z</dcterms:created>
  <dcterms:modified xsi:type="dcterms:W3CDTF">2019-12-28T09:11:07Z</dcterms:modified>
</cp:coreProperties>
</file>