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36"/>
          <w:szCs w:val="36"/>
          <w:b w:val="1"/>
          <w:bCs w:val="1"/>
          <w:color w:val="auto"/>
        </w:rPr>
        <mc:AlternateContent>
          <mc:Choice Requires="wps">
            <w:drawing>
              <wp:anchor simplePos="0" relativeHeight="251657728" behindDoc="1" locked="0" layoutInCell="0" allowOverlap="1">
                <wp:simplePos x="0" y="0"/>
                <wp:positionH relativeFrom="page">
                  <wp:posOffset>628650</wp:posOffset>
                </wp:positionH>
                <wp:positionV relativeFrom="page">
                  <wp:posOffset>685800</wp:posOffset>
                </wp:positionV>
                <wp:extent cx="650557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5pt,54pt" to="561.75pt,54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628650</wp:posOffset>
                </wp:positionH>
                <wp:positionV relativeFrom="page">
                  <wp:posOffset>733425</wp:posOffset>
                </wp:positionV>
                <wp:extent cx="65055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5pt,57.75pt" to="561.75pt,57.75pt" o:allowincell="f" strokecolor="#000000" strokeweight="1pt">
                <w10:wrap anchorx="page" anchory="page"/>
              </v:line>
            </w:pict>
          </mc:Fallback>
        </mc:AlternateContent>
        <w:t>UNITED STATES</w:t>
      </w:r>
    </w:p>
    <w:p>
      <w:pPr>
        <w:spacing w:after="0" w:line="138"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SECURITIES AND EXCHANGE COMMISSION</w:t>
      </w:r>
    </w:p>
    <w:p>
      <w:pPr>
        <w:spacing w:after="0" w:line="171" w:lineRule="exact"/>
        <w:rPr>
          <w:sz w:val="24"/>
          <w:szCs w:val="24"/>
          <w:color w:val="auto"/>
        </w:rPr>
      </w:pPr>
    </w:p>
    <w:p>
      <w:pPr>
        <w:jc w:val="center"/>
        <w:ind w:right="-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2486025</wp:posOffset>
                </wp:positionH>
                <wp:positionV relativeFrom="paragraph">
                  <wp:posOffset>125730</wp:posOffset>
                </wp:positionV>
                <wp:extent cx="1524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75pt,9.9pt" to="315.75pt,9.9pt" o:allowincell="f" strokecolor="#000000" strokeweight="1pt"/>
            </w:pict>
          </mc:Fallback>
        </mc:AlternateContent>
      </w:r>
    </w:p>
    <w:p>
      <w:pPr>
        <w:spacing w:after="0" w:line="374"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2476500</wp:posOffset>
                </wp:positionH>
                <wp:positionV relativeFrom="paragraph">
                  <wp:posOffset>198120</wp:posOffset>
                </wp:positionV>
                <wp:extent cx="1524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15.6pt" to="315pt,15.6pt" o:allowincell="f" strokecolor="#000000" strokeweight="1pt"/>
            </w:pict>
          </mc:Fallback>
        </mc:AlternateContent>
      </w:r>
    </w:p>
    <w:p>
      <w:pPr>
        <w:spacing w:after="0" w:line="200" w:lineRule="exact"/>
        <w:rPr>
          <w:sz w:val="24"/>
          <w:szCs w:val="24"/>
          <w:color w:val="auto"/>
        </w:rPr>
      </w:pPr>
    </w:p>
    <w:p>
      <w:pPr>
        <w:spacing w:after="0" w:line="274" w:lineRule="exact"/>
        <w:rPr>
          <w:sz w:val="24"/>
          <w:szCs w:val="24"/>
          <w:color w:val="auto"/>
        </w:rPr>
      </w:pPr>
    </w:p>
    <w:p>
      <w:pPr>
        <w:ind w:left="10"/>
        <w:spacing w:after="0"/>
        <w:rPr>
          <w:sz w:val="20"/>
          <w:szCs w:val="20"/>
          <w:color w:val="auto"/>
        </w:rPr>
      </w:pPr>
      <w:r>
        <w:rPr>
          <w:rFonts w:ascii="Arial" w:cs="Arial" w:eastAsia="Arial" w:hAnsi="Arial"/>
          <w:sz w:val="14"/>
          <w:szCs w:val="14"/>
          <w:b w:val="1"/>
          <w:bCs w:val="1"/>
          <w:color w:val="auto"/>
        </w:rPr>
        <w:t>(Mark One)</w:t>
      </w:r>
    </w:p>
    <w:p>
      <w:pPr>
        <w:spacing w:after="0" w:line="125" w:lineRule="exact"/>
        <w:rPr>
          <w:sz w:val="24"/>
          <w:szCs w:val="24"/>
          <w:color w:val="auto"/>
        </w:rPr>
      </w:pPr>
    </w:p>
    <w:p>
      <w:pPr>
        <w:ind w:left="330" w:hanging="330"/>
        <w:spacing w:after="0"/>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130" w:lineRule="exact"/>
        <w:rPr>
          <w:sz w:val="24"/>
          <w:szCs w:val="24"/>
          <w:color w:val="auto"/>
        </w:rPr>
      </w:pPr>
    </w:p>
    <w:p>
      <w:pPr>
        <w:jc w:val="center"/>
        <w:ind w:right="10"/>
        <w:spacing w:after="0"/>
        <w:rPr>
          <w:sz w:val="20"/>
          <w:szCs w:val="20"/>
          <w:color w:val="auto"/>
        </w:rPr>
      </w:pPr>
      <w:r>
        <w:rPr>
          <w:rFonts w:ascii="Arial" w:cs="Arial" w:eastAsia="Arial" w:hAnsi="Arial"/>
          <w:sz w:val="20"/>
          <w:szCs w:val="20"/>
          <w:b w:val="1"/>
          <w:bCs w:val="1"/>
          <w:color w:val="auto"/>
        </w:rPr>
        <w:t>or</w:t>
      </w:r>
    </w:p>
    <w:p>
      <w:pPr>
        <w:spacing w:after="0" w:line="144" w:lineRule="exact"/>
        <w:rPr>
          <w:sz w:val="24"/>
          <w:szCs w:val="24"/>
          <w:color w:val="auto"/>
        </w:rPr>
      </w:pPr>
    </w:p>
    <w:p>
      <w:pPr>
        <w:ind w:left="470" w:hanging="470"/>
        <w:spacing w:after="0"/>
        <w:tabs>
          <w:tab w:leader="none" w:pos="47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w:t>
      </w:r>
    </w:p>
    <w:p>
      <w:pPr>
        <w:spacing w:after="0" w:line="16" w:lineRule="exact"/>
        <w:rPr>
          <w:rFonts w:ascii="Arial" w:cs="Arial" w:eastAsia="Arial" w:hAnsi="Arial"/>
          <w:sz w:val="22"/>
          <w:szCs w:val="22"/>
          <w:b w:val="1"/>
          <w:bCs w:val="1"/>
          <w:color w:val="auto"/>
        </w:rPr>
      </w:pPr>
    </w:p>
    <w:p>
      <w:pPr>
        <w:ind w:left="10"/>
        <w:spacing w:after="0"/>
        <w:rPr>
          <w:rFonts w:ascii="Arial" w:cs="Arial" w:eastAsia="Arial" w:hAnsi="Arial"/>
          <w:sz w:val="22"/>
          <w:szCs w:val="22"/>
          <w:b w:val="1"/>
          <w:bCs w:val="1"/>
          <w:color w:val="auto"/>
        </w:rPr>
      </w:pPr>
      <w:r>
        <w:rPr>
          <w:rFonts w:ascii="Arial" w:cs="Arial" w:eastAsia="Arial" w:hAnsi="Arial"/>
          <w:sz w:val="20"/>
          <w:szCs w:val="20"/>
          <w:b w:val="1"/>
          <w:bCs w:val="1"/>
          <w:color w:val="auto"/>
        </w:rPr>
        <w:t>1934</w:t>
      </w:r>
    </w:p>
    <w:p>
      <w:pPr>
        <w:spacing w:after="0" w:line="110" w:lineRule="exact"/>
        <w:rPr>
          <w:sz w:val="24"/>
          <w:szCs w:val="24"/>
          <w:color w:val="auto"/>
        </w:rPr>
      </w:pPr>
    </w:p>
    <w:p>
      <w:pPr>
        <w:ind w:left="2890"/>
        <w:spacing w:after="0"/>
        <w:tabs>
          <w:tab w:leader="none" w:pos="645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130" w:lineRule="exact"/>
        <w:rPr>
          <w:sz w:val="24"/>
          <w:szCs w:val="24"/>
          <w:color w:val="auto"/>
        </w:rPr>
      </w:pPr>
    </w:p>
    <w:p>
      <w:pPr>
        <w:jc w:val="center"/>
        <w:ind w:right="10"/>
        <w:spacing w:after="0"/>
        <w:rPr>
          <w:sz w:val="20"/>
          <w:szCs w:val="20"/>
          <w:color w:val="auto"/>
        </w:rPr>
      </w:pPr>
      <w:r>
        <w:rPr>
          <w:rFonts w:ascii="Arial" w:cs="Arial" w:eastAsia="Arial" w:hAnsi="Arial"/>
          <w:sz w:val="20"/>
          <w:szCs w:val="20"/>
          <w:b w:val="1"/>
          <w:bCs w:val="1"/>
          <w:color w:val="auto"/>
        </w:rPr>
        <w:t>Commission File Number: 001-35480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1957070</wp:posOffset>
                </wp:positionH>
                <wp:positionV relativeFrom="paragraph">
                  <wp:posOffset>117475</wp:posOffset>
                </wp:positionV>
                <wp:extent cx="26003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0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1pt,9.25pt" to="358.85pt,9.25pt" o:allowincell="f" strokecolor="#000000" strokeweight="1pt"/>
            </w:pict>
          </mc:Fallback>
        </mc:AlternateContent>
        <w:drawing>
          <wp:anchor simplePos="0" relativeHeight="251657728" behindDoc="1" locked="0" layoutInCell="0" allowOverlap="1">
            <wp:simplePos x="0" y="0"/>
            <wp:positionH relativeFrom="column">
              <wp:posOffset>2019300</wp:posOffset>
            </wp:positionH>
            <wp:positionV relativeFrom="paragraph">
              <wp:posOffset>304800</wp:posOffset>
            </wp:positionV>
            <wp:extent cx="2476500" cy="431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extLst>
                    </a:blip>
                    <a:srcRect/>
                    <a:stretch>
                      <a:fillRect/>
                    </a:stretch>
                  </pic:blipFill>
                  <pic:spPr bwMode="auto">
                    <a:xfrm>
                      <a:off x="0" y="0"/>
                      <a:ext cx="2476500" cy="431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Enphase Energy, Inc.</w:t>
      </w:r>
    </w:p>
    <w:p>
      <w:pPr>
        <w:spacing w:after="0" w:line="139"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1957070</wp:posOffset>
                </wp:positionH>
                <wp:positionV relativeFrom="paragraph">
                  <wp:posOffset>104775</wp:posOffset>
                </wp:positionV>
                <wp:extent cx="260032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0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1pt,8.25pt" to="358.85pt,8.25pt" o:allowincell="f" strokecolor="#000000" strokeweight="1pt"/>
            </w:pict>
          </mc:Fallback>
        </mc:AlternateContent>
      </w:r>
    </w:p>
    <w:p>
      <w:pPr>
        <w:spacing w:after="0" w:line="200" w:lineRule="exact"/>
        <w:rPr>
          <w:sz w:val="24"/>
          <w:szCs w:val="24"/>
          <w:color w:val="auto"/>
        </w:rPr>
      </w:pPr>
    </w:p>
    <w:p>
      <w:pPr>
        <w:spacing w:after="0" w:line="238" w:lineRule="exact"/>
        <w:rPr>
          <w:sz w:val="24"/>
          <w:szCs w:val="24"/>
          <w:color w:val="auto"/>
        </w:rPr>
      </w:pPr>
    </w:p>
    <w:tbl>
      <w:tblPr>
        <w:tblLayout w:type="fixed"/>
        <w:tblInd w:w="1650" w:type="dxa"/>
        <w:tblCellMar>
          <w:top w:w="0" w:type="dxa"/>
          <w:left w:w="0" w:type="dxa"/>
          <w:bottom w:w="0" w:type="dxa"/>
          <w:right w:w="0" w:type="dxa"/>
        </w:tblCellMar>
      </w:tblPr>
      <w:tr>
        <w:trPr>
          <w:trHeight w:val="275"/>
        </w:trPr>
        <w:tc>
          <w:tcPr>
            <w:tcW w:w="3640" w:type="dxa"/>
            <w:vAlign w:val="bottom"/>
          </w:tcPr>
          <w:p>
            <w:pPr>
              <w:jc w:val="center"/>
              <w:ind w:right="1760"/>
              <w:spacing w:after="0"/>
              <w:rPr>
                <w:sz w:val="20"/>
                <w:szCs w:val="20"/>
                <w:color w:val="auto"/>
              </w:rPr>
            </w:pPr>
            <w:r>
              <w:rPr>
                <w:rFonts w:ascii="Arial" w:cs="Arial" w:eastAsia="Arial" w:hAnsi="Arial"/>
                <w:sz w:val="20"/>
                <w:szCs w:val="20"/>
                <w:b w:val="1"/>
                <w:bCs w:val="1"/>
                <w:color w:val="auto"/>
              </w:rPr>
              <w:t>Delaware</w:t>
            </w:r>
          </w:p>
        </w:tc>
        <w:tc>
          <w:tcPr>
            <w:tcW w:w="2920" w:type="dxa"/>
            <w:vAlign w:val="bottom"/>
          </w:tcPr>
          <w:p>
            <w:pPr>
              <w:jc w:val="center"/>
              <w:ind w:left="1760"/>
              <w:spacing w:after="0"/>
              <w:rPr>
                <w:sz w:val="20"/>
                <w:szCs w:val="20"/>
                <w:color w:val="auto"/>
              </w:rPr>
            </w:pPr>
            <w:r>
              <w:rPr>
                <w:rFonts w:ascii="Arial" w:cs="Arial" w:eastAsia="Arial" w:hAnsi="Arial"/>
                <w:sz w:val="20"/>
                <w:szCs w:val="20"/>
                <w:b w:val="1"/>
                <w:bCs w:val="1"/>
                <w:color w:val="auto"/>
              </w:rPr>
              <w:t>20-4645388</w:t>
            </w:r>
          </w:p>
        </w:tc>
      </w:tr>
      <w:tr>
        <w:trPr>
          <w:trHeight w:val="167"/>
        </w:trPr>
        <w:tc>
          <w:tcPr>
            <w:tcW w:w="3640" w:type="dxa"/>
            <w:vAlign w:val="bottom"/>
          </w:tcPr>
          <w:p>
            <w:pPr>
              <w:jc w:val="center"/>
              <w:ind w:right="1740"/>
              <w:spacing w:after="0"/>
              <w:rPr>
                <w:sz w:val="20"/>
                <w:szCs w:val="20"/>
                <w:color w:val="auto"/>
              </w:rPr>
            </w:pPr>
            <w:r>
              <w:rPr>
                <w:rFonts w:ascii="Arial" w:cs="Arial" w:eastAsia="Arial" w:hAnsi="Arial"/>
                <w:sz w:val="14"/>
                <w:szCs w:val="14"/>
                <w:b w:val="1"/>
                <w:bCs w:val="1"/>
                <w:color w:val="auto"/>
                <w:w w:val="90"/>
              </w:rPr>
              <w:t>(State or other jurisdiction of</w:t>
            </w:r>
          </w:p>
        </w:tc>
        <w:tc>
          <w:tcPr>
            <w:tcW w:w="2920" w:type="dxa"/>
            <w:vAlign w:val="bottom"/>
          </w:tcPr>
          <w:p>
            <w:pPr>
              <w:jc w:val="center"/>
              <w:ind w:left="1760"/>
              <w:spacing w:after="0"/>
              <w:rPr>
                <w:sz w:val="20"/>
                <w:szCs w:val="20"/>
                <w:color w:val="auto"/>
              </w:rPr>
            </w:pPr>
            <w:r>
              <w:rPr>
                <w:rFonts w:ascii="Arial" w:cs="Arial" w:eastAsia="Arial" w:hAnsi="Arial"/>
                <w:sz w:val="14"/>
                <w:szCs w:val="14"/>
                <w:b w:val="1"/>
                <w:bCs w:val="1"/>
                <w:color w:val="auto"/>
                <w:w w:val="96"/>
              </w:rPr>
              <w:t>(I.R.S. Employer</w:t>
            </w:r>
          </w:p>
        </w:tc>
      </w:tr>
      <w:tr>
        <w:trPr>
          <w:trHeight w:val="185"/>
        </w:trPr>
        <w:tc>
          <w:tcPr>
            <w:tcW w:w="364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incorporation or organization)</w:t>
            </w:r>
          </w:p>
        </w:tc>
        <w:tc>
          <w:tcPr>
            <w:tcW w:w="2920" w:type="dxa"/>
            <w:vAlign w:val="bottom"/>
          </w:tcPr>
          <w:p>
            <w:pPr>
              <w:jc w:val="center"/>
              <w:ind w:left="1760"/>
              <w:spacing w:after="0"/>
              <w:rPr>
                <w:sz w:val="20"/>
                <w:szCs w:val="20"/>
                <w:color w:val="auto"/>
              </w:rPr>
            </w:pPr>
            <w:r>
              <w:rPr>
                <w:rFonts w:ascii="Arial" w:cs="Arial" w:eastAsia="Arial" w:hAnsi="Arial"/>
                <w:sz w:val="14"/>
                <w:szCs w:val="14"/>
                <w:b w:val="1"/>
                <w:bCs w:val="1"/>
                <w:color w:val="auto"/>
                <w:w w:val="91"/>
              </w:rPr>
              <w:t>Identification No.)</w:t>
            </w:r>
          </w:p>
        </w:tc>
      </w:tr>
    </w:tbl>
    <w:p>
      <w:pPr>
        <w:spacing w:after="0" w:line="111" w:lineRule="exact"/>
        <w:rPr>
          <w:sz w:val="24"/>
          <w:szCs w:val="24"/>
          <w:color w:val="auto"/>
        </w:rPr>
      </w:pPr>
    </w:p>
    <w:p>
      <w:pPr>
        <w:jc w:val="center"/>
        <w:ind w:right="10"/>
        <w:spacing w:after="0"/>
        <w:rPr>
          <w:sz w:val="20"/>
          <w:szCs w:val="20"/>
          <w:color w:val="auto"/>
        </w:rPr>
      </w:pPr>
      <w:r>
        <w:rPr>
          <w:rFonts w:ascii="Arial" w:cs="Arial" w:eastAsia="Arial" w:hAnsi="Arial"/>
          <w:sz w:val="20"/>
          <w:szCs w:val="20"/>
          <w:b w:val="1"/>
          <w:bCs w:val="1"/>
          <w:color w:val="auto"/>
        </w:rPr>
        <w:t>47281 Bayside Parkway</w:t>
      </w:r>
    </w:p>
    <w:p>
      <w:pPr>
        <w:spacing w:after="0" w:line="30"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Fremont, CA 94538</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45"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(707) 774-7000</w:t>
      </w:r>
    </w:p>
    <w:p>
      <w:pPr>
        <w:spacing w:after="0" w:line="41"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10"/>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36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90"/>
              </w:rPr>
              <w:t>Title of each class:</w:t>
            </w:r>
          </w:p>
        </w:tc>
        <w:tc>
          <w:tcPr>
            <w:tcW w:w="740" w:type="dxa"/>
            <w:vAlign w:val="bottom"/>
          </w:tcPr>
          <w:p>
            <w:pPr>
              <w:spacing w:after="0"/>
              <w:rPr>
                <w:sz w:val="14"/>
                <w:szCs w:val="14"/>
                <w:color w:val="auto"/>
              </w:rPr>
            </w:pPr>
          </w:p>
        </w:tc>
        <w:tc>
          <w:tcPr>
            <w:tcW w:w="20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Trading Symbol(s)</w:t>
            </w:r>
          </w:p>
        </w:tc>
        <w:tc>
          <w:tcPr>
            <w:tcW w:w="240" w:type="dxa"/>
            <w:vAlign w:val="bottom"/>
          </w:tcPr>
          <w:p>
            <w:pPr>
              <w:spacing w:after="0"/>
              <w:rPr>
                <w:sz w:val="14"/>
                <w:szCs w:val="14"/>
                <w:color w:val="auto"/>
              </w:rPr>
            </w:pPr>
          </w:p>
        </w:tc>
        <w:tc>
          <w:tcPr>
            <w:tcW w:w="34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7"/>
        </w:trPr>
        <w:tc>
          <w:tcPr>
            <w:tcW w:w="38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Common Stock, $0.00001 par value per share</w:t>
            </w:r>
          </w:p>
        </w:tc>
        <w:tc>
          <w:tcPr>
            <w:tcW w:w="740" w:type="dxa"/>
            <w:vAlign w:val="bottom"/>
          </w:tcPr>
          <w:p>
            <w:pPr>
              <w:spacing w:after="0"/>
              <w:rPr>
                <w:sz w:val="22"/>
                <w:szCs w:val="22"/>
                <w:color w:val="auto"/>
              </w:rPr>
            </w:pPr>
          </w:p>
        </w:tc>
        <w:tc>
          <w:tcPr>
            <w:tcW w:w="2040" w:type="dxa"/>
            <w:vAlign w:val="bottom"/>
            <w:gridSpan w:val="2"/>
          </w:tcPr>
          <w:p>
            <w:pPr>
              <w:jc w:val="center"/>
              <w:ind w:right="880"/>
              <w:spacing w:after="0"/>
              <w:rPr>
                <w:sz w:val="20"/>
                <w:szCs w:val="20"/>
                <w:color w:val="auto"/>
              </w:rPr>
            </w:pPr>
            <w:r>
              <w:rPr>
                <w:rFonts w:ascii="Arial" w:cs="Arial" w:eastAsia="Arial" w:hAnsi="Arial"/>
                <w:sz w:val="16"/>
                <w:szCs w:val="16"/>
                <w:b w:val="1"/>
                <w:bCs w:val="1"/>
                <w:color w:val="auto"/>
                <w:w w:val="98"/>
              </w:rPr>
              <w:t>ENPH</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0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w w:val="98"/>
              </w:rPr>
              <w:t>Nasdaq Global Market</w:t>
            </w:r>
          </w:p>
        </w:tc>
      </w:tr>
      <w:tr>
        <w:trPr>
          <w:trHeight w:val="406"/>
        </w:trPr>
        <w:tc>
          <w:tcPr>
            <w:tcW w:w="1440" w:type="dxa"/>
            <w:vAlign w:val="bottom"/>
          </w:tcPr>
          <w:p>
            <w:pPr>
              <w:spacing w:after="0"/>
              <w:rPr>
                <w:sz w:val="24"/>
                <w:szCs w:val="24"/>
                <w:color w:val="auto"/>
              </w:rPr>
            </w:pPr>
          </w:p>
        </w:tc>
        <w:tc>
          <w:tcPr>
            <w:tcW w:w="8820" w:type="dxa"/>
            <w:vAlign w:val="bottom"/>
            <w:gridSpan w:val="10"/>
          </w:tcPr>
          <w:p>
            <w:pPr>
              <w:jc w:val="center"/>
              <w:ind w:right="1460"/>
              <w:spacing w:after="0"/>
              <w:rPr>
                <w:sz w:val="20"/>
                <w:szCs w:val="20"/>
                <w:color w:val="auto"/>
              </w:rPr>
            </w:pPr>
            <w:r>
              <w:rPr>
                <w:rFonts w:ascii="Arial" w:cs="Arial" w:eastAsia="Arial" w:hAnsi="Arial"/>
                <w:sz w:val="20"/>
                <w:szCs w:val="20"/>
                <w:b w:val="1"/>
                <w:bCs w:val="1"/>
                <w:color w:val="auto"/>
                <w:w w:val="99"/>
              </w:rPr>
              <w:t>Securities registered pursuant to Section 12(g) of the Act: None</w:t>
            </w:r>
          </w:p>
        </w:tc>
      </w:tr>
      <w:tr>
        <w:trPr>
          <w:trHeight w:val="185"/>
        </w:trPr>
        <w:tc>
          <w:tcPr>
            <w:tcW w:w="3080" w:type="dxa"/>
            <w:vAlign w:val="bottom"/>
            <w:gridSpan w:val="3"/>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spacing w:after="0"/>
              <w:rPr>
                <w:sz w:val="16"/>
                <w:szCs w:val="16"/>
                <w:color w:val="auto"/>
              </w:rPr>
            </w:pPr>
          </w:p>
        </w:tc>
        <w:tc>
          <w:tcPr>
            <w:tcW w:w="580" w:type="dxa"/>
            <w:vAlign w:val="bottom"/>
            <w:tcBorders>
              <w:bottom w:val="single" w:sz="8" w:color="auto"/>
            </w:tcBorders>
            <w:gridSpan w:val="2"/>
          </w:tcPr>
          <w:p>
            <w:pPr>
              <w:spacing w:after="0"/>
              <w:rPr>
                <w:sz w:val="16"/>
                <w:szCs w:val="16"/>
                <w:color w:val="auto"/>
              </w:rPr>
            </w:pPr>
          </w:p>
        </w:tc>
        <w:tc>
          <w:tcPr>
            <w:tcW w:w="3100" w:type="dxa"/>
            <w:vAlign w:val="bottom"/>
            <w:gridSpan w:val="2"/>
          </w:tcPr>
          <w:p>
            <w:pPr>
              <w:spacing w:after="0"/>
              <w:rPr>
                <w:sz w:val="16"/>
                <w:szCs w:val="16"/>
                <w:color w:val="auto"/>
              </w:rPr>
            </w:pPr>
          </w:p>
        </w:tc>
      </w:tr>
      <w:tr>
        <w:trPr>
          <w:trHeight w:val="351"/>
        </w:trPr>
        <w:tc>
          <w:tcPr>
            <w:tcW w:w="38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5"/>
              </w:rPr>
              <w:t>Indicate  by  check  mark  if  the  registrant  is</w:t>
            </w:r>
          </w:p>
        </w:tc>
        <w:tc>
          <w:tcPr>
            <w:tcW w:w="278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a  well-known  seasoned  issuer,</w:t>
            </w:r>
          </w:p>
        </w:tc>
        <w:tc>
          <w:tcPr>
            <w:tcW w:w="368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as  defined  in  Rule  405  of  the  Securities</w:t>
            </w:r>
          </w:p>
        </w:tc>
      </w:tr>
      <w:tr>
        <w:trPr>
          <w:trHeight w:val="307"/>
        </w:trPr>
        <w:tc>
          <w:tcPr>
            <w:tcW w:w="3800" w:type="dxa"/>
            <w:vAlign w:val="bottom"/>
            <w:gridSpan w:val="4"/>
          </w:tcPr>
          <w:p>
            <w:pPr>
              <w:jc w:val="right"/>
              <w:ind w:right="2400"/>
              <w:spacing w:after="0" w:line="295" w:lineRule="exact"/>
              <w:rPr>
                <w:sz w:val="20"/>
                <w:szCs w:val="20"/>
                <w:color w:val="auto"/>
              </w:rPr>
            </w:pPr>
            <w:r>
              <w:rPr>
                <w:rFonts w:ascii="Arial" w:cs="Arial" w:eastAsia="Arial" w:hAnsi="Arial"/>
                <w:sz w:val="18"/>
                <w:szCs w:val="18"/>
                <w:b w:val="1"/>
                <w:bCs w:val="1"/>
                <w:color w:val="auto"/>
                <w:w w:val="96"/>
              </w:rPr>
              <w:t xml:space="preserve">Act. Yes </w:t>
            </w:r>
            <w:r>
              <w:rPr>
                <w:rFonts w:ascii="Arial Unicode MS" w:cs="Arial Unicode MS" w:eastAsia="Arial Unicode MS" w:hAnsi="Arial Unicode MS"/>
                <w:sz w:val="22"/>
                <w:szCs w:val="22"/>
                <w:b w:val="1"/>
                <w:bCs w:val="1"/>
                <w:color w:val="auto"/>
                <w:w w:val="96"/>
              </w:rPr>
              <w:t>☒</w:t>
            </w:r>
            <w:r>
              <w:rPr>
                <w:rFonts w:ascii="Arial" w:cs="Arial" w:eastAsia="Arial" w:hAnsi="Arial"/>
                <w:sz w:val="18"/>
                <w:szCs w:val="18"/>
                <w:b w:val="1"/>
                <w:bCs w:val="1"/>
                <w:color w:val="auto"/>
                <w:w w:val="96"/>
              </w:rPr>
              <w:t xml:space="preserve"> No </w:t>
            </w:r>
            <w:r>
              <w:rPr>
                <w:rFonts w:ascii="Arial Unicode MS" w:cs="Arial Unicode MS" w:eastAsia="Arial Unicode MS" w:hAnsi="Arial Unicode MS"/>
                <w:sz w:val="22"/>
                <w:szCs w:val="22"/>
                <w:b w:val="1"/>
                <w:bCs w:val="1"/>
                <w:color w:val="auto"/>
                <w:w w:val="96"/>
              </w:rPr>
              <w:t>☐</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2" w:lineRule="exact"/>
        <w:rPr>
          <w:sz w:val="24"/>
          <w:szCs w:val="24"/>
          <w:color w:val="auto"/>
        </w:rPr>
      </w:pPr>
    </w:p>
    <w:p>
      <w:pPr>
        <w:jc w:val="both"/>
        <w:ind w:left="10"/>
        <w:spacing w:after="0" w:line="249" w:lineRule="exact"/>
        <w:rPr>
          <w:sz w:val="20"/>
          <w:szCs w:val="20"/>
          <w:color w:val="auto"/>
        </w:rPr>
      </w:pPr>
      <w:r>
        <w:rPr>
          <w:rFonts w:ascii="Arial" w:cs="Arial" w:eastAsia="Arial" w:hAnsi="Arial"/>
          <w:sz w:val="18"/>
          <w:szCs w:val="18"/>
          <w:b w:val="1"/>
          <w:bCs w:val="1"/>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22"/>
          <w:szCs w:val="22"/>
          <w:b w:val="1"/>
          <w:bCs w:val="1"/>
          <w:color w:val="auto"/>
        </w:rPr>
        <w:t>☐</w:t>
      </w:r>
      <w:r>
        <w:rPr>
          <w:rFonts w:ascii="Arial" w:cs="Arial" w:eastAsia="Arial" w:hAnsi="Arial"/>
          <w:sz w:val="18"/>
          <w:szCs w:val="18"/>
          <w:b w:val="1"/>
          <w:bCs w:val="1"/>
          <w:color w:val="auto"/>
        </w:rPr>
        <w:t xml:space="preserve"> No </w:t>
      </w:r>
      <w:r>
        <w:rPr>
          <w:rFonts w:ascii="Arial Unicode MS" w:cs="Arial Unicode MS" w:eastAsia="Arial Unicode MS" w:hAnsi="Arial Unicode MS"/>
          <w:sz w:val="22"/>
          <w:szCs w:val="22"/>
          <w:b w:val="1"/>
          <w:bCs w:val="1"/>
          <w:color w:val="auto"/>
        </w:rPr>
        <w:t>☒</w:t>
      </w:r>
    </w:p>
    <w:p>
      <w:pPr>
        <w:sectPr>
          <w:pgSz w:w="12240" w:h="15840" w:orient="portrait"/>
          <w:cols w:equalWidth="0" w:num="1">
            <w:col w:w="10270"/>
          </w:cols>
          <w:pgMar w:left="990" w:top="1275" w:right="980" w:bottom="1054" w:gutter="0" w:footer="0" w:header="0"/>
        </w:sectPr>
      </w:pPr>
    </w:p>
    <w:bookmarkStart w:id="1" w:name="page2"/>
    <w:bookmarkEnd w:id="1"/>
    <w:p>
      <w:pPr>
        <w:jc w:val="both"/>
        <w:spacing w:after="0" w:line="265"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w:t>
      </w:r>
    </w:p>
    <w:p>
      <w:pPr>
        <w:spacing w:after="0" w:line="295" w:lineRule="exact"/>
        <w:rPr>
          <w:sz w:val="20"/>
          <w:szCs w:val="20"/>
          <w:color w:val="auto"/>
        </w:rPr>
      </w:pPr>
      <w:r>
        <w:rPr>
          <w:rFonts w:ascii="Arial" w:cs="Arial" w:eastAsia="Arial" w:hAnsi="Arial"/>
          <w:sz w:val="18"/>
          <w:szCs w:val="18"/>
          <w:b w:val="1"/>
          <w:bCs w:val="1"/>
          <w:color w:val="auto"/>
        </w:rPr>
        <w:t xml:space="preserve">reports), and (2) has been subject to such filing requirements for the past 90 days. Yes </w:t>
      </w:r>
      <w:r>
        <w:rPr>
          <w:rFonts w:ascii="Arial Unicode MS" w:cs="Arial Unicode MS" w:eastAsia="Arial Unicode MS" w:hAnsi="Arial Unicode MS"/>
          <w:sz w:val="22"/>
          <w:szCs w:val="22"/>
          <w:b w:val="1"/>
          <w:bCs w:val="1"/>
          <w:color w:val="auto"/>
        </w:rPr>
        <w:t>☒</w:t>
      </w:r>
      <w:r>
        <w:rPr>
          <w:rFonts w:ascii="Arial" w:cs="Arial" w:eastAsia="Arial" w:hAnsi="Arial"/>
          <w:sz w:val="18"/>
          <w:szCs w:val="18"/>
          <w:b w:val="1"/>
          <w:bCs w:val="1"/>
          <w:color w:val="auto"/>
        </w:rPr>
        <w:t xml:space="preserve"> No </w:t>
      </w:r>
      <w:r>
        <w:rPr>
          <w:rFonts w:ascii="Arial Unicode MS" w:cs="Arial Unicode MS" w:eastAsia="Arial Unicode MS" w:hAnsi="Arial Unicode MS"/>
          <w:sz w:val="22"/>
          <w:szCs w:val="22"/>
          <w:b w:val="1"/>
          <w:bCs w:val="1"/>
          <w:color w:val="auto"/>
        </w:rPr>
        <w:t>☐</w:t>
      </w:r>
    </w:p>
    <w:p>
      <w:pPr>
        <w:spacing w:after="0" w:line="115"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w:t>
      </w:r>
    </w:p>
    <w:p>
      <w:pPr>
        <w:spacing w:after="0" w:line="295" w:lineRule="exact"/>
        <w:rPr>
          <w:sz w:val="20"/>
          <w:szCs w:val="20"/>
          <w:color w:val="auto"/>
        </w:rPr>
      </w:pPr>
      <w:r>
        <w:rPr>
          <w:rFonts w:ascii="Arial" w:cs="Arial" w:eastAsia="Arial" w:hAnsi="Arial"/>
          <w:sz w:val="18"/>
          <w:szCs w:val="18"/>
          <w:b w:val="1"/>
          <w:bCs w:val="1"/>
          <w:color w:val="auto"/>
        </w:rPr>
        <w:t xml:space="preserve">that the registrant was required to submit such files). Yes </w:t>
      </w:r>
      <w:r>
        <w:rPr>
          <w:rFonts w:ascii="Arial Unicode MS" w:cs="Arial Unicode MS" w:eastAsia="Arial Unicode MS" w:hAnsi="Arial Unicode MS"/>
          <w:sz w:val="22"/>
          <w:szCs w:val="22"/>
          <w:b w:val="1"/>
          <w:bCs w:val="1"/>
          <w:color w:val="auto"/>
        </w:rPr>
        <w:t>☒</w:t>
      </w:r>
      <w:r>
        <w:rPr>
          <w:rFonts w:ascii="Arial" w:cs="Arial" w:eastAsia="Arial" w:hAnsi="Arial"/>
          <w:sz w:val="18"/>
          <w:szCs w:val="18"/>
          <w:b w:val="1"/>
          <w:bCs w:val="1"/>
          <w:color w:val="auto"/>
        </w:rPr>
        <w:t xml:space="preserve"> No </w:t>
      </w:r>
      <w:r>
        <w:rPr>
          <w:rFonts w:ascii="Arial Unicode MS" w:cs="Arial Unicode MS" w:eastAsia="Arial Unicode MS" w:hAnsi="Arial Unicode MS"/>
          <w:sz w:val="22"/>
          <w:szCs w:val="22"/>
          <w:b w:val="1"/>
          <w:bCs w:val="1"/>
          <w:color w:val="auto"/>
        </w:rPr>
        <w: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2240" w:h="15840" w:orient="portrait"/>
          <w:cols w:equalWidth="0" w:num="1">
            <w:col w:w="10260"/>
          </w:cols>
          <w:pgMar w:left="1000" w:top="1030" w:right="980" w:bottom="1440" w:gutter="0" w:footer="0" w:header="0"/>
        </w:sectPr>
      </w:pPr>
    </w:p>
    <w:p>
      <w:pPr>
        <w:spacing w:after="0" w:line="141" w:lineRule="exact"/>
        <w:rPr>
          <w:sz w:val="20"/>
          <w:szCs w:val="20"/>
          <w:color w:val="auto"/>
        </w:rPr>
      </w:pPr>
    </w:p>
    <w:p>
      <w:pPr>
        <w:ind w:left="40" w:right="220"/>
        <w:spacing w:after="0" w:line="443" w:lineRule="auto"/>
        <w:rPr>
          <w:sz w:val="20"/>
          <w:szCs w:val="20"/>
          <w:color w:val="auto"/>
        </w:rPr>
      </w:pPr>
      <w:r>
        <w:rPr>
          <w:rFonts w:ascii="Arial" w:cs="Arial" w:eastAsia="Arial" w:hAnsi="Arial"/>
          <w:sz w:val="16"/>
          <w:szCs w:val="16"/>
          <w:b w:val="1"/>
          <w:bCs w:val="1"/>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2180" w:type="dxa"/>
            <w:vAlign w:val="bottom"/>
          </w:tcPr>
          <w:p>
            <w:pPr>
              <w:spacing w:after="0" w:line="295" w:lineRule="exact"/>
              <w:rPr>
                <w:sz w:val="20"/>
                <w:szCs w:val="20"/>
                <w:color w:val="auto"/>
              </w:rPr>
            </w:pPr>
            <w:r>
              <w:rPr>
                <w:rFonts w:ascii="Arial Unicode MS" w:cs="Arial Unicode MS" w:eastAsia="Arial Unicode MS" w:hAnsi="Arial Unicode MS"/>
                <w:sz w:val="22"/>
                <w:szCs w:val="22"/>
                <w:b w:val="1"/>
                <w:bCs w:val="1"/>
                <w:color w:val="auto"/>
              </w:rPr>
              <w:t>☒</w:t>
            </w:r>
          </w:p>
        </w:tc>
        <w:tc>
          <w:tcPr>
            <w:tcW w:w="4580" w:type="dxa"/>
            <w:vAlign w:val="bottom"/>
          </w:tcPr>
          <w:p>
            <w:pPr>
              <w:ind w:left="2040"/>
              <w:spacing w:after="0"/>
              <w:rPr>
                <w:sz w:val="20"/>
                <w:szCs w:val="20"/>
                <w:color w:val="auto"/>
              </w:rPr>
            </w:pPr>
            <w:r>
              <w:rPr>
                <w:rFonts w:ascii="Arial" w:cs="Arial" w:eastAsia="Arial" w:hAnsi="Arial"/>
                <w:sz w:val="18"/>
                <w:szCs w:val="18"/>
                <w:b w:val="1"/>
                <w:bCs w:val="1"/>
                <w:color w:val="auto"/>
              </w:rPr>
              <w:t>Accelerated filer</w:t>
            </w:r>
          </w:p>
        </w:tc>
        <w:tc>
          <w:tcPr>
            <w:tcW w:w="540" w:type="dxa"/>
            <w:vAlign w:val="bottom"/>
          </w:tcPr>
          <w:p>
            <w:pPr>
              <w:ind w:left="380"/>
              <w:spacing w:after="0" w:line="295" w:lineRule="exact"/>
              <w:rPr>
                <w:sz w:val="20"/>
                <w:szCs w:val="20"/>
                <w:color w:val="auto"/>
              </w:rPr>
            </w:pPr>
            <w:r>
              <w:rPr>
                <w:rFonts w:ascii="Arial Unicode MS" w:cs="Arial Unicode MS" w:eastAsia="Arial Unicode MS" w:hAnsi="Arial Unicode MS"/>
                <w:sz w:val="22"/>
                <w:szCs w:val="22"/>
                <w:b w:val="1"/>
                <w:bCs w:val="1"/>
                <w:color w:val="auto"/>
                <w:w w:val="86"/>
              </w:rPr>
              <w:t>☐</w:t>
            </w:r>
          </w:p>
        </w:tc>
      </w:tr>
      <w:tr>
        <w:trPr>
          <w:trHeight w:val="285"/>
        </w:trPr>
        <w:tc>
          <w:tcPr>
            <w:tcW w:w="2180" w:type="dxa"/>
            <w:vAlign w:val="bottom"/>
          </w:tcPr>
          <w:p>
            <w:pPr>
              <w:spacing w:after="0" w:line="285" w:lineRule="exact"/>
              <w:rPr>
                <w:sz w:val="20"/>
                <w:szCs w:val="20"/>
                <w:color w:val="auto"/>
              </w:rPr>
            </w:pPr>
            <w:r>
              <w:rPr>
                <w:rFonts w:ascii="Arial Unicode MS" w:cs="Arial Unicode MS" w:eastAsia="Arial Unicode MS" w:hAnsi="Arial Unicode MS"/>
                <w:sz w:val="22"/>
                <w:szCs w:val="22"/>
                <w:b w:val="1"/>
                <w:bCs w:val="1"/>
                <w:color w:val="auto"/>
              </w:rPr>
              <w:t>☐</w:t>
            </w:r>
          </w:p>
        </w:tc>
        <w:tc>
          <w:tcPr>
            <w:tcW w:w="4580" w:type="dxa"/>
            <w:vAlign w:val="bottom"/>
          </w:tcPr>
          <w:p>
            <w:pPr>
              <w:ind w:left="2040"/>
              <w:spacing w:after="0"/>
              <w:rPr>
                <w:sz w:val="20"/>
                <w:szCs w:val="20"/>
                <w:color w:val="auto"/>
              </w:rPr>
            </w:pPr>
            <w:r>
              <w:rPr>
                <w:rFonts w:ascii="Arial" w:cs="Arial" w:eastAsia="Arial" w:hAnsi="Arial"/>
                <w:sz w:val="18"/>
                <w:szCs w:val="18"/>
                <w:b w:val="1"/>
                <w:bCs w:val="1"/>
                <w:color w:val="auto"/>
              </w:rPr>
              <w:t>Smaller reporting company</w:t>
            </w:r>
          </w:p>
        </w:tc>
        <w:tc>
          <w:tcPr>
            <w:tcW w:w="540" w:type="dxa"/>
            <w:vAlign w:val="bottom"/>
          </w:tcPr>
          <w:p>
            <w:pPr>
              <w:ind w:left="380"/>
              <w:spacing w:after="0" w:line="285" w:lineRule="exact"/>
              <w:rPr>
                <w:sz w:val="20"/>
                <w:szCs w:val="20"/>
                <w:color w:val="auto"/>
              </w:rPr>
            </w:pPr>
            <w:r>
              <w:rPr>
                <w:rFonts w:ascii="Arial Unicode MS" w:cs="Arial Unicode MS" w:eastAsia="Arial Unicode MS" w:hAnsi="Arial Unicode MS"/>
                <w:sz w:val="22"/>
                <w:szCs w:val="22"/>
                <w:b w:val="1"/>
                <w:bCs w:val="1"/>
                <w:color w:val="auto"/>
                <w:w w:val="86"/>
              </w:rPr>
              <w:t>☐</w:t>
            </w:r>
          </w:p>
        </w:tc>
      </w:tr>
      <w:tr>
        <w:trPr>
          <w:trHeight w:val="307"/>
        </w:trPr>
        <w:tc>
          <w:tcPr>
            <w:tcW w:w="2180" w:type="dxa"/>
            <w:vAlign w:val="bottom"/>
          </w:tcPr>
          <w:p>
            <w:pPr>
              <w:spacing w:after="0"/>
              <w:rPr>
                <w:sz w:val="24"/>
                <w:szCs w:val="24"/>
                <w:color w:val="auto"/>
              </w:rPr>
            </w:pPr>
          </w:p>
        </w:tc>
        <w:tc>
          <w:tcPr>
            <w:tcW w:w="4580" w:type="dxa"/>
            <w:vAlign w:val="bottom"/>
          </w:tcPr>
          <w:p>
            <w:pPr>
              <w:ind w:left="2040"/>
              <w:spacing w:after="0"/>
              <w:rPr>
                <w:sz w:val="20"/>
                <w:szCs w:val="20"/>
                <w:color w:val="auto"/>
              </w:rPr>
            </w:pPr>
            <w:r>
              <w:rPr>
                <w:rFonts w:ascii="Arial" w:cs="Arial" w:eastAsia="Arial" w:hAnsi="Arial"/>
                <w:sz w:val="18"/>
                <w:szCs w:val="18"/>
                <w:b w:val="1"/>
                <w:bCs w:val="1"/>
                <w:color w:val="auto"/>
              </w:rPr>
              <w:t>Emerging growth company</w:t>
            </w:r>
          </w:p>
        </w:tc>
        <w:tc>
          <w:tcPr>
            <w:tcW w:w="540" w:type="dxa"/>
            <w:vAlign w:val="bottom"/>
          </w:tcPr>
          <w:p>
            <w:pPr>
              <w:ind w:left="380"/>
              <w:spacing w:after="0" w:line="295" w:lineRule="exact"/>
              <w:rPr>
                <w:sz w:val="20"/>
                <w:szCs w:val="20"/>
                <w:color w:val="auto"/>
              </w:rPr>
            </w:pPr>
            <w:r>
              <w:rPr>
                <w:rFonts w:ascii="Arial Unicode MS" w:cs="Arial Unicode MS" w:eastAsia="Arial Unicode MS" w:hAnsi="Arial Unicode MS"/>
                <w:sz w:val="22"/>
                <w:szCs w:val="22"/>
                <w:b w:val="1"/>
                <w:bCs w:val="1"/>
                <w:color w:val="auto"/>
                <w:w w:val="86"/>
              </w:rPr>
              <w:t>☐</w:t>
            </w:r>
          </w:p>
        </w:tc>
      </w:tr>
    </w:tbl>
    <w:p>
      <w:pPr>
        <w:spacing w:after="0" w:line="174" w:lineRule="exact"/>
        <w:rPr>
          <w:sz w:val="20"/>
          <w:szCs w:val="20"/>
          <w:color w:val="auto"/>
        </w:rPr>
      </w:pPr>
    </w:p>
    <w:p>
      <w:pPr>
        <w:sectPr>
          <w:pgSz w:w="12240" w:h="15840" w:orient="portrait"/>
          <w:cols w:equalWidth="0" w:num="2">
            <w:col w:w="2040" w:space="720"/>
            <w:col w:w="7500"/>
          </w:cols>
          <w:pgMar w:left="1000" w:top="1030" w:right="980" w:bottom="1440" w:gutter="0" w:footer="0" w:header="0"/>
          <w:type w:val="continuous"/>
        </w:sectPr>
      </w:pPr>
    </w:p>
    <w:p>
      <w:pPr>
        <w:spacing w:after="0" w:line="249" w:lineRule="exact"/>
        <w:rPr>
          <w:sz w:val="20"/>
          <w:szCs w:val="20"/>
          <w:color w:val="auto"/>
        </w:rPr>
      </w:pPr>
      <w:r>
        <w:rPr>
          <w:rFonts w:ascii="Arial" w:cs="Arial" w:eastAsia="Arial" w:hAnsi="Arial"/>
          <w:sz w:val="16"/>
          <w:szCs w:val="16"/>
          <w:b w:val="1"/>
          <w:bCs w:val="1"/>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20"/>
          <w:szCs w:val="20"/>
          <w:b w:val="1"/>
          <w:bCs w:val="1"/>
          <w:color w:val="auto"/>
        </w:rPr>
        <w:t>☐</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w:t>
      </w:r>
    </w:p>
    <w:p>
      <w:pPr>
        <w:spacing w:after="0" w:line="1" w:lineRule="exact"/>
        <w:rPr>
          <w:sz w:val="20"/>
          <w:szCs w:val="20"/>
          <w:color w:val="auto"/>
        </w:rPr>
      </w:pPr>
    </w:p>
    <w:p>
      <w:pPr>
        <w:spacing w:after="0" w:line="295" w:lineRule="exact"/>
        <w:rPr>
          <w:sz w:val="20"/>
          <w:szCs w:val="20"/>
          <w:color w:val="auto"/>
        </w:rPr>
      </w:pPr>
      <w:r>
        <w:rPr>
          <w:rFonts w:ascii="Arial" w:cs="Arial" w:eastAsia="Arial" w:hAnsi="Arial"/>
          <w:sz w:val="18"/>
          <w:szCs w:val="18"/>
          <w:b w:val="1"/>
          <w:bCs w:val="1"/>
          <w:color w:val="auto"/>
        </w:rPr>
        <w:t xml:space="preserve">by the registered public accounting firm that prepared or issued its audit report. </w:t>
      </w:r>
      <w:r>
        <w:rPr>
          <w:rFonts w:ascii="Arial Unicode MS" w:cs="Arial Unicode MS" w:eastAsia="Arial Unicode MS" w:hAnsi="Arial Unicode MS"/>
          <w:sz w:val="22"/>
          <w:szCs w:val="22"/>
          <w:b w:val="1"/>
          <w:bCs w:val="1"/>
          <w:color w:val="auto"/>
        </w:rPr>
        <w:t>☒</w:t>
      </w:r>
    </w:p>
    <w:p>
      <w:pPr>
        <w:spacing w:after="0" w:line="115" w:lineRule="exact"/>
        <w:rPr>
          <w:sz w:val="20"/>
          <w:szCs w:val="20"/>
          <w:color w:val="auto"/>
        </w:rPr>
      </w:pPr>
    </w:p>
    <w:p>
      <w:pPr>
        <w:spacing w:after="0" w:line="233" w:lineRule="exact"/>
        <w:rPr>
          <w:sz w:val="20"/>
          <w:szCs w:val="20"/>
          <w:color w:val="auto"/>
        </w:rPr>
      </w:pPr>
      <w:r>
        <w:rPr>
          <w:rFonts w:ascii="Arial" w:cs="Arial" w:eastAsia="Arial" w:hAnsi="Arial"/>
          <w:sz w:val="17"/>
          <w:szCs w:val="17"/>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b w:val="1"/>
          <w:bCs w:val="1"/>
          <w:color w:val="auto"/>
        </w:rPr>
        <w:t>☐</w:t>
      </w:r>
    </w:p>
    <w:p>
      <w:pPr>
        <w:spacing w:after="0" w:line="86" w:lineRule="exact"/>
        <w:rPr>
          <w:sz w:val="20"/>
          <w:szCs w:val="20"/>
          <w:color w:val="auto"/>
        </w:rPr>
      </w:pPr>
    </w:p>
    <w:p>
      <w:pPr>
        <w:ind w:right="380"/>
        <w:spacing w:after="0" w:line="227" w:lineRule="exact"/>
        <w:rPr>
          <w:sz w:val="20"/>
          <w:szCs w:val="20"/>
          <w:color w:val="auto"/>
        </w:rPr>
      </w:pPr>
      <w:r>
        <w:rPr>
          <w:rFonts w:ascii="Arial" w:cs="Arial" w:eastAsia="Arial" w:hAnsi="Arial"/>
          <w:sz w:val="18"/>
          <w:szCs w:val="18"/>
          <w:b w:val="1"/>
          <w:bCs w:val="1"/>
          <w:color w:val="auto"/>
        </w:rPr>
        <w:t xml:space="preserve">Indicate by check mark whether any of those error corrections are restatements that require a recovery analysis of incentive-based compensation received by any of the registrant’s executive officers during the relevant recovery period pursuant to § 240.10D-1(b). </w:t>
      </w:r>
      <w:r>
        <w:rPr>
          <w:rFonts w:ascii="MS PGothic" w:cs="MS PGothic" w:eastAsia="MS PGothic" w:hAnsi="MS PGothic"/>
          <w:sz w:val="18"/>
          <w:szCs w:val="18"/>
          <w:b w:val="1"/>
          <w:bCs w:val="1"/>
          <w:color w:val="auto"/>
        </w:rPr>
        <w:t>☐</w:t>
      </w:r>
    </w:p>
    <w:p>
      <w:pPr>
        <w:spacing w:after="0" w:line="62" w:lineRule="exact"/>
        <w:rPr>
          <w:sz w:val="20"/>
          <w:szCs w:val="20"/>
          <w:color w:val="auto"/>
        </w:rPr>
      </w:pPr>
    </w:p>
    <w:p>
      <w:pPr>
        <w:spacing w:after="0" w:line="282" w:lineRule="exact"/>
        <w:rPr>
          <w:sz w:val="20"/>
          <w:szCs w:val="20"/>
          <w:color w:val="auto"/>
        </w:rPr>
      </w:pPr>
      <w:r>
        <w:rPr>
          <w:rFonts w:ascii="Arial" w:cs="Arial" w:eastAsia="Arial" w:hAnsi="Arial"/>
          <w:sz w:val="17"/>
          <w:szCs w:val="17"/>
          <w:b w:val="1"/>
          <w:bCs w:val="1"/>
          <w:color w:val="auto"/>
        </w:rPr>
        <w:t xml:space="preserve">Indicate by check mark whether the registrant is a shell company (as defined in Rule 12b-2 of the Exchange Act). Yes </w:t>
      </w:r>
      <w:r>
        <w:rPr>
          <w:rFonts w:ascii="Arial Unicode MS" w:cs="Arial Unicode MS" w:eastAsia="Arial Unicode MS" w:hAnsi="Arial Unicode MS"/>
          <w:sz w:val="21"/>
          <w:szCs w:val="21"/>
          <w:b w:val="1"/>
          <w:bCs w:val="1"/>
          <w:color w:val="auto"/>
        </w:rPr>
        <w:t>☐</w:t>
      </w:r>
      <w:r>
        <w:rPr>
          <w:rFonts w:ascii="Arial" w:cs="Arial" w:eastAsia="Arial" w:hAnsi="Arial"/>
          <w:sz w:val="17"/>
          <w:szCs w:val="17"/>
          <w:b w:val="1"/>
          <w:bCs w:val="1"/>
          <w:color w:val="auto"/>
        </w:rPr>
        <w:t xml:space="preserve"> No </w:t>
      </w:r>
      <w:r>
        <w:rPr>
          <w:rFonts w:ascii="Arial Unicode MS" w:cs="Arial Unicode MS" w:eastAsia="Arial Unicode MS" w:hAnsi="Arial Unicode MS"/>
          <w:sz w:val="21"/>
          <w:szCs w:val="21"/>
          <w:b w:val="1"/>
          <w:bCs w:val="1"/>
          <w:color w:val="auto"/>
        </w:rPr>
        <w:t>☒</w:t>
      </w:r>
    </w:p>
    <w:p>
      <w:pPr>
        <w:spacing w:after="0" w:line="128" w:lineRule="exact"/>
        <w:rPr>
          <w:sz w:val="20"/>
          <w:szCs w:val="20"/>
          <w:color w:val="auto"/>
        </w:rPr>
      </w:pPr>
    </w:p>
    <w:p>
      <w:pPr>
        <w:jc w:val="both"/>
        <w:spacing w:after="0" w:line="353" w:lineRule="auto"/>
        <w:rPr>
          <w:sz w:val="20"/>
          <w:szCs w:val="20"/>
          <w:color w:val="auto"/>
        </w:rPr>
      </w:pPr>
      <w:r>
        <w:rPr>
          <w:rFonts w:ascii="Arial" w:cs="Arial" w:eastAsia="Arial" w:hAnsi="Arial"/>
          <w:sz w:val="16"/>
          <w:szCs w:val="16"/>
          <w:b w:val="1"/>
          <w:bCs w:val="1"/>
          <w:color w:val="auto"/>
        </w:rPr>
        <w:t>The aggregate market value of the voting stock held by non-affiliates of the registrant on June 30, 2025, based upon the closing price of $39.65 of the registrant’s common stock as reported on the Nasdaq Global Market, was approximately $3.0 billion.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February 5, 2026, there were 131,098,819 shares of the registrant’s common stock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2822575</wp:posOffset>
                </wp:positionH>
                <wp:positionV relativeFrom="paragraph">
                  <wp:posOffset>113030</wp:posOffset>
                </wp:positionV>
                <wp:extent cx="15240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25pt,8.9pt" to="342.25pt,8.9pt" o:allowincell="f" strokecolor="#000000" strokeweight="1pt"/>
            </w:pict>
          </mc:Fallback>
        </mc:AlternateConten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Portions of the registrant’s Proxy Statement for the 2026 Annual Meeting of Stockholders to be filed with the Securities and Exchange Commission within 120 days after the end of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66040</wp:posOffset>
                </wp:positionV>
                <wp:extent cx="65049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5.2pt" to="512.1pt,5.2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113665</wp:posOffset>
                </wp:positionV>
                <wp:extent cx="650494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8.95pt" to="512.1pt,8.95pt" o:allowincell="f" strokecolor="#000000" strokeweight="1pt"/>
            </w:pict>
          </mc:Fallback>
        </mc:AlternateContent>
      </w:r>
    </w:p>
    <w:p>
      <w:pPr>
        <w:sectPr>
          <w:pgSz w:w="12240" w:h="15840" w:orient="portrait"/>
          <w:cols w:equalWidth="0" w:num="1">
            <w:col w:w="10260"/>
          </w:cols>
          <w:pgMar w:left="1000" w:top="1030" w:right="98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800" w:type="dxa"/>
            <w:vAlign w:val="bottom"/>
          </w:tcPr>
          <w:p>
            <w:pPr>
              <w:spacing w:after="0"/>
              <w:rPr>
                <w:sz w:val="23"/>
                <w:szCs w:val="23"/>
                <w:color w:val="auto"/>
              </w:rPr>
            </w:pPr>
          </w:p>
        </w:tc>
        <w:tc>
          <w:tcPr>
            <w:tcW w:w="8580" w:type="dxa"/>
            <w:vAlign w:val="bottom"/>
          </w:tcPr>
          <w:p>
            <w:pPr>
              <w:ind w:left="3240"/>
              <w:spacing w:after="0"/>
              <w:rPr>
                <w:sz w:val="20"/>
                <w:szCs w:val="20"/>
                <w:color w:val="auto"/>
              </w:rPr>
            </w:pPr>
            <w:r>
              <w:rPr>
                <w:rFonts w:ascii="Arial" w:cs="Arial" w:eastAsia="Arial" w:hAnsi="Arial"/>
                <w:sz w:val="20"/>
                <w:szCs w:val="20"/>
                <w:b w:val="1"/>
                <w:bCs w:val="1"/>
                <w:color w:val="auto"/>
              </w:rPr>
              <w:t>Enphase Energy, Inc.</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800" w:type="dxa"/>
            <w:vAlign w:val="bottom"/>
          </w:tcPr>
          <w:p>
            <w:pPr>
              <w:spacing w:after="0"/>
              <w:rPr>
                <w:sz w:val="24"/>
                <w:szCs w:val="24"/>
                <w:color w:val="auto"/>
              </w:rPr>
            </w:pPr>
          </w:p>
        </w:tc>
        <w:tc>
          <w:tcPr>
            <w:tcW w:w="8580" w:type="dxa"/>
            <w:vAlign w:val="bottom"/>
          </w:tcPr>
          <w:p>
            <w:pPr>
              <w:ind w:left="3420"/>
              <w:spacing w:after="0"/>
              <w:rPr>
                <w:sz w:val="20"/>
                <w:szCs w:val="20"/>
                <w:color w:val="auto"/>
              </w:rPr>
            </w:pPr>
            <w:r>
              <w:rPr>
                <w:rFonts w:ascii="Arial" w:cs="Arial" w:eastAsia="Arial" w:hAnsi="Arial"/>
                <w:sz w:val="20"/>
                <w:szCs w:val="20"/>
                <w:b w:val="1"/>
                <w:bCs w:val="1"/>
                <w:color w:val="auto"/>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8580" w:type="dxa"/>
            <w:vAlign w:val="bottom"/>
          </w:tcPr>
          <w:p>
            <w:pPr>
              <w:spacing w:after="0"/>
              <w:rPr>
                <w:sz w:val="23"/>
                <w:szCs w:val="23"/>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63"/>
        </w:trPr>
        <w:tc>
          <w:tcPr>
            <w:tcW w:w="800" w:type="dxa"/>
            <w:vAlign w:val="bottom"/>
          </w:tcPr>
          <w:p>
            <w:pPr>
              <w:spacing w:after="0"/>
              <w:rPr>
                <w:sz w:val="24"/>
                <w:szCs w:val="24"/>
                <w:color w:val="auto"/>
              </w:rPr>
            </w:pPr>
          </w:p>
        </w:tc>
        <w:tc>
          <w:tcPr>
            <w:tcW w:w="8580" w:type="dxa"/>
            <w:vAlign w:val="bottom"/>
          </w:tcPr>
          <w:p>
            <w:pPr>
              <w:jc w:val="center"/>
              <w:ind w:left="9"/>
              <w:spacing w:after="0"/>
              <w:rPr>
                <w:sz w:val="20"/>
                <w:szCs w:val="20"/>
                <w:color w:val="auto"/>
              </w:rPr>
            </w:pPr>
            <w:r>
              <w:rPr>
                <w:rFonts w:ascii="Arial" w:cs="Arial" w:eastAsia="Arial" w:hAnsi="Arial"/>
                <w:sz w:val="18"/>
                <w:szCs w:val="18"/>
                <w:b w:val="1"/>
                <w:bCs w:val="1"/>
                <w:color w:val="0000FF"/>
              </w:rPr>
              <w:t>PART 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Business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6</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1A.</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Risk Factors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17</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1B.</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Unresolved Staff Comments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44</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1C.</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Cybersecurity</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44</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2.</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Properties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45</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3.</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Legal Proceedings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46</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4.</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Mine Safety Disclosures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47</w:t>
            </w:r>
          </w:p>
        </w:tc>
        <w:tc>
          <w:tcPr>
            <w:tcW w:w="0" w:type="dxa"/>
            <w:vAlign w:val="bottom"/>
          </w:tcPr>
          <w:p>
            <w:pPr>
              <w:spacing w:after="0"/>
              <w:rPr>
                <w:sz w:val="1"/>
                <w:szCs w:val="1"/>
                <w:color w:val="auto"/>
              </w:rPr>
            </w:pPr>
          </w:p>
        </w:tc>
      </w:tr>
      <w:tr>
        <w:trPr>
          <w:trHeight w:val="383"/>
        </w:trPr>
        <w:tc>
          <w:tcPr>
            <w:tcW w:w="800" w:type="dxa"/>
            <w:vAlign w:val="bottom"/>
          </w:tcPr>
          <w:p>
            <w:pPr>
              <w:spacing w:after="0"/>
              <w:rPr>
                <w:sz w:val="24"/>
                <w:szCs w:val="24"/>
                <w:color w:val="auto"/>
              </w:rPr>
            </w:pPr>
          </w:p>
        </w:tc>
        <w:tc>
          <w:tcPr>
            <w:tcW w:w="8580" w:type="dxa"/>
            <w:vAlign w:val="bottom"/>
          </w:tcPr>
          <w:p>
            <w:pPr>
              <w:jc w:val="center"/>
              <w:ind w:left="9"/>
              <w:spacing w:after="0"/>
              <w:rPr>
                <w:sz w:val="20"/>
                <w:szCs w:val="20"/>
                <w:color w:val="auto"/>
              </w:rPr>
            </w:pPr>
            <w:r>
              <w:rPr>
                <w:rFonts w:ascii="Arial" w:cs="Arial" w:eastAsia="Arial" w:hAnsi="Arial"/>
                <w:sz w:val="18"/>
                <w:szCs w:val="18"/>
                <w:b w:val="1"/>
                <w:bCs w:val="1"/>
                <w:color w:val="0000FF"/>
                <w:w w:val="99"/>
              </w:rPr>
              <w:t>PART 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5.</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w w:val="93"/>
              </w:rPr>
              <w:t>Market for the Registrant’s Common Equity, Related Stockholder Matters and Issuer Purchases of Equity</w:t>
            </w: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0000FF"/>
                <w:w w:val="99"/>
              </w:rPr>
              <w:t>47</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Securities</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6.</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[Reserved]</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49</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7.</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49</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7A.</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63</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8.</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Financial Statements and Supplementary Data</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64</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9.</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Changes in and Disagreements with Accountants on Accounting and Financial Disclosure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116</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9A.</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Controls and Procedures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116</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9B.</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Other Information</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116</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9C.</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Disclosure Regarding Foreign Jurisdictions that Prevent Inspections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116</w:t>
            </w:r>
          </w:p>
        </w:tc>
        <w:tc>
          <w:tcPr>
            <w:tcW w:w="0" w:type="dxa"/>
            <w:vAlign w:val="bottom"/>
          </w:tcPr>
          <w:p>
            <w:pPr>
              <w:spacing w:after="0"/>
              <w:rPr>
                <w:sz w:val="1"/>
                <w:szCs w:val="1"/>
                <w:color w:val="auto"/>
              </w:rPr>
            </w:pPr>
          </w:p>
        </w:tc>
      </w:tr>
      <w:tr>
        <w:trPr>
          <w:trHeight w:val="383"/>
        </w:trPr>
        <w:tc>
          <w:tcPr>
            <w:tcW w:w="800" w:type="dxa"/>
            <w:vAlign w:val="bottom"/>
          </w:tcPr>
          <w:p>
            <w:pPr>
              <w:spacing w:after="0"/>
              <w:rPr>
                <w:sz w:val="24"/>
                <w:szCs w:val="24"/>
                <w:color w:val="auto"/>
              </w:rPr>
            </w:pPr>
          </w:p>
        </w:tc>
        <w:tc>
          <w:tcPr>
            <w:tcW w:w="8580" w:type="dxa"/>
            <w:vAlign w:val="bottom"/>
          </w:tcPr>
          <w:p>
            <w:pPr>
              <w:jc w:val="center"/>
              <w:ind w:left="9"/>
              <w:spacing w:after="0"/>
              <w:rPr>
                <w:sz w:val="20"/>
                <w:szCs w:val="20"/>
                <w:color w:val="auto"/>
              </w:rPr>
            </w:pPr>
            <w:r>
              <w:rPr>
                <w:rFonts w:ascii="Arial" w:cs="Arial" w:eastAsia="Arial" w:hAnsi="Arial"/>
                <w:sz w:val="18"/>
                <w:szCs w:val="18"/>
                <w:b w:val="1"/>
                <w:bCs w:val="1"/>
                <w:color w:val="0000FF"/>
                <w:w w:val="98"/>
              </w:rPr>
              <w:t>PART III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10.</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Directors, Executive Officers and Corporate Governance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117</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11.</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Executive Compensation</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117</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12.</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w w:val="98"/>
              </w:rPr>
              <w:t>Security Ownership of Certain Beneficial Owners and Management and Related Stockholder Matters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117</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13.</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Certain Relationships and Related Transactions, and Director Independence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117</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14.</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Principal Accountant Fees and Services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118</w:t>
            </w:r>
          </w:p>
        </w:tc>
        <w:tc>
          <w:tcPr>
            <w:tcW w:w="0" w:type="dxa"/>
            <w:vAlign w:val="bottom"/>
          </w:tcPr>
          <w:p>
            <w:pPr>
              <w:spacing w:after="0"/>
              <w:rPr>
                <w:sz w:val="1"/>
                <w:szCs w:val="1"/>
                <w:color w:val="auto"/>
              </w:rPr>
            </w:pPr>
          </w:p>
        </w:tc>
      </w:tr>
      <w:tr>
        <w:trPr>
          <w:trHeight w:val="383"/>
        </w:trPr>
        <w:tc>
          <w:tcPr>
            <w:tcW w:w="800" w:type="dxa"/>
            <w:vAlign w:val="bottom"/>
          </w:tcPr>
          <w:p>
            <w:pPr>
              <w:spacing w:after="0"/>
              <w:rPr>
                <w:sz w:val="24"/>
                <w:szCs w:val="24"/>
                <w:color w:val="auto"/>
              </w:rPr>
            </w:pPr>
          </w:p>
        </w:tc>
        <w:tc>
          <w:tcPr>
            <w:tcW w:w="8580" w:type="dxa"/>
            <w:vAlign w:val="bottom"/>
          </w:tcPr>
          <w:p>
            <w:pPr>
              <w:jc w:val="center"/>
              <w:ind w:left="9"/>
              <w:spacing w:after="0"/>
              <w:rPr>
                <w:sz w:val="20"/>
                <w:szCs w:val="20"/>
                <w:color w:val="auto"/>
              </w:rPr>
            </w:pPr>
            <w:r>
              <w:rPr>
                <w:rFonts w:ascii="Arial" w:cs="Arial" w:eastAsia="Arial" w:hAnsi="Arial"/>
                <w:sz w:val="18"/>
                <w:szCs w:val="18"/>
                <w:b w:val="1"/>
                <w:bCs w:val="1"/>
                <w:color w:val="0000FF"/>
              </w:rPr>
              <w:t>PART IV</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15.</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Exhibits and Financial Statement Schedules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3"/>
              </w:rPr>
              <w:t>118</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Arial" w:cs="Arial" w:eastAsia="Arial" w:hAnsi="Arial"/>
                <w:sz w:val="18"/>
                <w:szCs w:val="18"/>
                <w:b w:val="1"/>
                <w:bCs w:val="1"/>
                <w:color w:val="0000FF"/>
              </w:rPr>
              <w:t>Item 16.</w:t>
            </w: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Form 10-K Summary</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0000FF"/>
                <w:w w:val="99"/>
              </w:rPr>
              <w:t>121</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2"/>
                <w:szCs w:val="22"/>
                <w:color w:val="auto"/>
              </w:rPr>
            </w:pPr>
          </w:p>
        </w:tc>
        <w:tc>
          <w:tcPr>
            <w:tcW w:w="8580" w:type="dxa"/>
            <w:vAlign w:val="bottom"/>
          </w:tcPr>
          <w:p>
            <w:pPr>
              <w:ind w:left="140"/>
              <w:spacing w:after="0"/>
              <w:rPr>
                <w:sz w:val="20"/>
                <w:szCs w:val="20"/>
                <w:color w:val="auto"/>
              </w:rPr>
            </w:pPr>
            <w:r>
              <w:rPr>
                <w:rFonts w:ascii="Arial" w:cs="Arial" w:eastAsia="Arial" w:hAnsi="Arial"/>
                <w:sz w:val="18"/>
                <w:szCs w:val="18"/>
                <w:b w:val="1"/>
                <w:bCs w:val="1"/>
                <w:color w:val="0000FF"/>
              </w:rPr>
              <w:t>Signatures</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2240" w:h="15840" w:orient="portrait"/>
          <w:cols w:equalWidth="0" w:num="1">
            <w:col w:w="10180"/>
          </w:cols>
          <w:pgMar w:left="1060" w:top="1024" w:right="1000" w:bottom="1440" w:gutter="0" w:footer="0" w:header="0"/>
        </w:sectPr>
      </w:pPr>
    </w:p>
    <w:bookmarkStart w:id="3" w:name="page4"/>
    <w:bookmarkEnd w:id="3"/>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Cautionary Note Regarding Forward-Looking Statements</w:t>
      </w:r>
    </w:p>
    <w:p>
      <w:pPr>
        <w:spacing w:after="0" w:line="120"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8"/>
          <w:szCs w:val="18"/>
          <w:b w:val="1"/>
          <w:bCs w:val="1"/>
          <w:i w:val="1"/>
          <w:iCs w:val="1"/>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in this Annual Report on the Form 10-K are forward-looking statements. In some cases, forward-looking statements can be identified by terms such as “anticipates,” “believes,” “could,” “seeks,” “estimates,” “expects,” “intends,” “may,” “plans,” “potential,” “predicts, “projects,” “should,” “will,” “would” or similar expressions and the negatives of those terms. These forward-looking statements are contained principally in Part I, Item 1, Business; Part I, Item 1A, Risk Factors; Part II, Item 7, Management’s Discussion and Analysis of Financial Condition and Results of Operations; and other sections of this Annual Report on Form 10-K. Such statements include, but are not limited to, statements concerning the following:</w:t>
      </w:r>
    </w:p>
    <w:p>
      <w:pPr>
        <w:spacing w:after="0" w:line="62" w:lineRule="exact"/>
        <w:rPr>
          <w:sz w:val="20"/>
          <w:szCs w:val="20"/>
          <w:color w:val="auto"/>
        </w:rPr>
      </w:pPr>
    </w:p>
    <w:p>
      <w:pPr>
        <w:ind w:left="720" w:right="20" w:hanging="370"/>
        <w:spacing w:after="0" w:line="284" w:lineRule="auto"/>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expectations as to our future financial performance, including revenue, cost of revenue, expenses, liquidity, cash requirements and our ability to maintain and grow our profitability;</w:t>
      </w:r>
    </w:p>
    <w:p>
      <w:pPr>
        <w:spacing w:after="0" w:line="55" w:lineRule="exact"/>
        <w:rPr>
          <w:rFonts w:ascii="Arial" w:cs="Arial" w:eastAsia="Arial" w:hAnsi="Arial"/>
          <w:sz w:val="20"/>
          <w:szCs w:val="20"/>
          <w:b w:val="1"/>
          <w:bCs w:val="1"/>
          <w:i w:val="1"/>
          <w:iCs w:val="1"/>
          <w:color w:val="auto"/>
        </w:rPr>
      </w:pPr>
    </w:p>
    <w:p>
      <w:pPr>
        <w:ind w:left="720" w:right="20" w:hanging="370"/>
        <w:spacing w:after="0" w:line="284" w:lineRule="auto"/>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capabilities, performance and competitive advantage of our technology and products and planned changes;</w:t>
      </w:r>
    </w:p>
    <w:p>
      <w:pPr>
        <w:spacing w:after="0" w:line="55"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timing of new product releases, and the anticipated market adoption of our current and future products;</w:t>
      </w:r>
    </w:p>
    <w:p>
      <w:pPr>
        <w:spacing w:after="0" w:line="141" w:lineRule="exact"/>
        <w:rPr>
          <w:rFonts w:ascii="Arial" w:cs="Arial" w:eastAsia="Arial" w:hAnsi="Arial"/>
          <w:sz w:val="19"/>
          <w:szCs w:val="19"/>
          <w:b w:val="1"/>
          <w:bCs w:val="1"/>
          <w:i w:val="1"/>
          <w:i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expectations regarding, and our ability to meet, demand for our products;</w:t>
      </w:r>
    </w:p>
    <w:p>
      <w:pPr>
        <w:spacing w:after="0" w:line="13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business strategies, including anticipating trends and operating conditions;</w:t>
      </w:r>
    </w:p>
    <w:p>
      <w:pPr>
        <w:spacing w:after="0" w:line="130" w:lineRule="exact"/>
        <w:rPr>
          <w:rFonts w:ascii="Arial" w:cs="Arial" w:eastAsia="Arial" w:hAnsi="Arial"/>
          <w:sz w:val="20"/>
          <w:szCs w:val="20"/>
          <w:b w:val="1"/>
          <w:bCs w:val="1"/>
          <w:i w:val="1"/>
          <w:iCs w:val="1"/>
          <w:color w:val="auto"/>
        </w:rPr>
      </w:pPr>
    </w:p>
    <w:p>
      <w:pPr>
        <w:ind w:left="720" w:right="20" w:hanging="370"/>
        <w:spacing w:after="0" w:line="284" w:lineRule="auto"/>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growth of and development in markets in which we target; and our expansion into new and existing markets;</w:t>
      </w:r>
    </w:p>
    <w:p>
      <w:pPr>
        <w:spacing w:after="0" w:line="55" w:lineRule="exact"/>
        <w:rPr>
          <w:rFonts w:ascii="Arial" w:cs="Arial" w:eastAsia="Arial" w:hAnsi="Arial"/>
          <w:sz w:val="20"/>
          <w:szCs w:val="20"/>
          <w:b w:val="1"/>
          <w:bCs w:val="1"/>
          <w:i w:val="1"/>
          <w:iCs w:val="1"/>
          <w:color w:val="auto"/>
        </w:rPr>
      </w:pPr>
    </w:p>
    <w:p>
      <w:pPr>
        <w:ind w:left="720" w:right="20" w:hanging="370"/>
        <w:spacing w:after="0" w:line="284" w:lineRule="auto"/>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performance in operations, including supply chain management and manufacturing operations and timelines;</w:t>
      </w:r>
    </w:p>
    <w:p>
      <w:pPr>
        <w:spacing w:after="0" w:line="55"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product quality and customer service;</w:t>
      </w:r>
    </w:p>
    <w:p>
      <w:pPr>
        <w:spacing w:after="0" w:line="130" w:lineRule="exact"/>
        <w:rPr>
          <w:rFonts w:ascii="Arial" w:cs="Arial" w:eastAsia="Arial" w:hAnsi="Arial"/>
          <w:sz w:val="20"/>
          <w:szCs w:val="20"/>
          <w:b w:val="1"/>
          <w:bCs w:val="1"/>
          <w:i w:val="1"/>
          <w:iCs w:val="1"/>
          <w:color w:val="auto"/>
        </w:rPr>
      </w:pPr>
    </w:p>
    <w:p>
      <w:pPr>
        <w:ind w:left="720" w:right="20" w:hanging="370"/>
        <w:spacing w:after="0" w:line="284" w:lineRule="auto"/>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expectations regarding the effects on our business and financial performance of compliance with applicable laws and regulations;</w:t>
      </w:r>
    </w:p>
    <w:p>
      <w:pPr>
        <w:spacing w:after="0" w:line="55"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impact of changes to government and tax incentives, as well as changes to the tax laws;</w:t>
      </w:r>
    </w:p>
    <w:p>
      <w:pPr>
        <w:spacing w:after="0" w:line="130" w:lineRule="exact"/>
        <w:rPr>
          <w:rFonts w:ascii="Arial" w:cs="Arial" w:eastAsia="Arial" w:hAnsi="Arial"/>
          <w:sz w:val="20"/>
          <w:szCs w:val="20"/>
          <w:b w:val="1"/>
          <w:bCs w:val="1"/>
          <w:i w:val="1"/>
          <w:iCs w:val="1"/>
          <w:color w:val="auto"/>
        </w:rPr>
      </w:pPr>
    </w:p>
    <w:p>
      <w:pPr>
        <w:ind w:left="720" w:right="20" w:hanging="370"/>
        <w:spacing w:after="0" w:line="284" w:lineRule="auto"/>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expectations regarding qualification of our products for domestic content credit under U.S. tax laws and our ability to meet FEOC requirements for our U.S. products;</w:t>
      </w:r>
    </w:p>
    <w:p>
      <w:pPr>
        <w:spacing w:after="0" w:line="55"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expectations about the number of microinverter units that can be produced per quarter;</w:t>
      </w:r>
    </w:p>
    <w:p>
      <w:pPr>
        <w:spacing w:after="0" w:line="130" w:lineRule="exact"/>
        <w:rPr>
          <w:rFonts w:ascii="Arial" w:cs="Arial" w:eastAsia="Arial" w:hAnsi="Arial"/>
          <w:sz w:val="20"/>
          <w:szCs w:val="20"/>
          <w:b w:val="1"/>
          <w:bCs w:val="1"/>
          <w:i w:val="1"/>
          <w:iCs w:val="1"/>
          <w:color w:val="auto"/>
        </w:rPr>
      </w:pPr>
    </w:p>
    <w:p>
      <w:pPr>
        <w:jc w:val="both"/>
        <w:ind w:left="720" w:right="20" w:hanging="370"/>
        <w:spacing w:after="0" w:line="267" w:lineRule="auto"/>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expectations regarding macroeconomic events, geopolitical developments, supply chain disruptions and inflationary pressures and their impact on our business operations, financial performance and the markets in which we, our suppliers, manufacturers and installers operate;</w:t>
      </w:r>
    </w:p>
    <w:p>
      <w:pPr>
        <w:spacing w:after="0" w:line="72"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market risks associated with financial instruments and foreign currency exchange rates; and</w:t>
      </w:r>
    </w:p>
    <w:p>
      <w:pPr>
        <w:spacing w:after="0" w:line="13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anticipated benefits and risks relating to acquisitions and investments.</w:t>
      </w:r>
    </w:p>
    <w:p>
      <w:pPr>
        <w:spacing w:after="0" w:line="130"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20"/>
          <w:szCs w:val="20"/>
          <w:b w:val="1"/>
          <w:bCs w:val="1"/>
          <w:i w:val="1"/>
          <w:iCs w:val="1"/>
          <w:color w:val="auto"/>
        </w:rPr>
        <w:t>Our actual results or experience could differ significantly from the forward-looking statements. Factors that could cause or contribute to these differences include those discussed in Part I, Item 1A, Risk Factors and Part II, Item 7, Management’s Discussion and Analysis of Financial Condition and Results of Operations, as well as those discussed elsewhere in this Annual Report on Form 10-K.</w:t>
      </w:r>
    </w:p>
    <w:p>
      <w:pPr>
        <w:spacing w:after="0" w:line="8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 The forward-looking statements in this Annual Report on Form 10-K are intended to be subject to protection afforded by the safe harbor for forward-looking statements contained in the Private Securities Litigation Reform Act of 1995.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454660</wp:posOffset>
                </wp:positionV>
                <wp:extent cx="633412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5.8pt" to="505.35pt,35.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454660</wp:posOffset>
                </wp:positionV>
                <wp:extent cx="63341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5.8pt" to="505.35pt,35.8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w:t>
      </w:r>
    </w:p>
    <w:p>
      <w:pPr>
        <w:sectPr>
          <w:pgSz w:w="12240" w:h="15840" w:orient="portrait"/>
          <w:cols w:equalWidth="0" w:num="1">
            <w:col w:w="10260"/>
          </w:cols>
          <w:pgMar w:left="1000" w:top="216" w:right="980" w:bottom="40" w:gutter="0" w:footer="0" w:header="0"/>
          <w:type w:val="continuous"/>
        </w:sectPr>
      </w:pPr>
    </w:p>
    <w:bookmarkStart w:id="4" w:name="page5"/>
    <w:bookmarkEnd w:id="4"/>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380" w:firstLine="540"/>
        <w:spacing w:after="0" w:line="267" w:lineRule="auto"/>
        <w:rPr>
          <w:sz w:val="20"/>
          <w:szCs w:val="20"/>
          <w:color w:val="auto"/>
        </w:rPr>
      </w:pPr>
      <w:r>
        <w:rPr>
          <w:rFonts w:ascii="Arial" w:cs="Arial" w:eastAsia="Arial" w:hAnsi="Arial"/>
          <w:sz w:val="20"/>
          <w:szCs w:val="20"/>
          <w:b w:val="1"/>
          <w:bCs w:val="1"/>
          <w:i w:val="1"/>
          <w:iCs w:val="1"/>
          <w:color w:val="auto"/>
        </w:rPr>
        <w:t>In this Annual Report on Form 10-K, unless otherwise indicated or the context otherwise requires, “Enphase Energy,” “Enphase,” “the Company,” “we,” “us,” and “our” refer to Enphase Energy, Inc., a Delaware corporation, and its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Summary</w:t>
      </w:r>
    </w:p>
    <w:p>
      <w:pPr>
        <w:spacing w:after="0" w:line="13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Investing in our securities involves a high degree of risk. The following is a summary of the principal factors that make an investment in our securities speculative or risky, as more fully described below in the section titled “Risk Factors.” This summary should be read in conjunction with the “Risk Factors” section and should not be relied upon as an exhaustive summary of the material risks facing our business. In addition to this summary, you should consider the information set forth in the “Risk Factors” section and the other information contained in this Annual Report on Form 10-K before investing in our securities: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Related to our Business, Operations and Our Industry</w:t>
      </w:r>
    </w:p>
    <w:p>
      <w:pPr>
        <w:spacing w:after="0" w:line="128" w:lineRule="exact"/>
        <w:rPr>
          <w:sz w:val="20"/>
          <w:szCs w:val="20"/>
          <w:color w:val="auto"/>
        </w:rPr>
      </w:pPr>
    </w:p>
    <w:p>
      <w:pPr>
        <w:ind w:left="720" w:right="20" w:hanging="370"/>
        <w:spacing w:after="0" w:line="345" w:lineRule="auto"/>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The reduction, elimination or expiration of government subsidies and economic incentives for on-grid solar electricity applications could reduce demand for solar photovoltaic systems and harm our business.</w:t>
      </w:r>
    </w:p>
    <w:p>
      <w:pPr>
        <w:spacing w:after="0" w:line="4" w:lineRule="exact"/>
        <w:rPr>
          <w:rFonts w:ascii="Arial" w:cs="Arial" w:eastAsia="Arial" w:hAnsi="Arial"/>
          <w:sz w:val="18"/>
          <w:szCs w:val="18"/>
          <w:b w:val="1"/>
          <w:bCs w:val="1"/>
          <w:color w:val="auto"/>
        </w:rPr>
      </w:pPr>
    </w:p>
    <w:p>
      <w:pPr>
        <w:ind w:left="720" w:right="20" w:hanging="370"/>
        <w:spacing w:after="0" w:line="345" w:lineRule="auto"/>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The inability of our products to comply with the minimum domestic content tax credit thresholds, inclusive of FEOC regulations, could negatively impact our business, financial condition and results of operations.</w:t>
      </w:r>
    </w:p>
    <w:p>
      <w:pPr>
        <w:spacing w:after="0" w:line="4" w:lineRule="exact"/>
        <w:rPr>
          <w:rFonts w:ascii="Arial" w:cs="Arial" w:eastAsia="Arial" w:hAnsi="Arial"/>
          <w:sz w:val="18"/>
          <w:szCs w:val="18"/>
          <w:b w:val="1"/>
          <w:bCs w:val="1"/>
          <w:color w:val="auto"/>
        </w:rPr>
      </w:pPr>
    </w:p>
    <w:p>
      <w:pPr>
        <w:ind w:left="720" w:right="20" w:hanging="370"/>
        <w:spacing w:after="0" w:line="287" w:lineRule="auto"/>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Unfavorable macroeconomic and market conditions may adversely affect our industry, business and financial results.</w:t>
      </w:r>
    </w:p>
    <w:p>
      <w:pPr>
        <w:spacing w:after="0" w:line="49" w:lineRule="exact"/>
        <w:rPr>
          <w:rFonts w:ascii="Arial" w:cs="Arial" w:eastAsia="Arial" w:hAnsi="Arial"/>
          <w:sz w:val="20"/>
          <w:szCs w:val="20"/>
          <w:b w:val="1"/>
          <w:bCs w:val="1"/>
          <w:i w:val="1"/>
          <w:iCs w:val="1"/>
          <w:color w:val="auto"/>
        </w:rPr>
      </w:pPr>
    </w:p>
    <w:p>
      <w:pPr>
        <w:ind w:left="720" w:right="20" w:hanging="370"/>
        <w:spacing w:after="0" w:line="287"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If demand for solar energy solutions does not grow or grows at a slower rate than we anticipate, our business will suffer.</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The solar industry is highly competitive, and we expect to face increased competition as new and existing competitors introduce products or develop alternative technologies.</w:t>
      </w:r>
    </w:p>
    <w:p>
      <w:pPr>
        <w:spacing w:after="0" w:line="49" w:lineRule="exact"/>
        <w:rPr>
          <w:rFonts w:ascii="Arial" w:cs="Arial" w:eastAsia="Arial" w:hAnsi="Arial"/>
          <w:sz w:val="20"/>
          <w:szCs w:val="20"/>
          <w:b w:val="1"/>
          <w:bCs w:val="1"/>
          <w:color w:val="auto"/>
        </w:rPr>
      </w:pPr>
    </w:p>
    <w:p>
      <w:pPr>
        <w:ind w:left="720" w:hanging="370"/>
        <w:spacing w:after="0" w:line="314" w:lineRule="auto"/>
        <w:tabs>
          <w:tab w:leader="none" w:pos="7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the United States trade environment, including the recent imposition of import tariffs, has and could adversely affect the amount or timing of our revenue, results of operations or cash flows.</w:t>
      </w:r>
    </w:p>
    <w:p>
      <w:pPr>
        <w:spacing w:after="0" w:line="28" w:lineRule="exact"/>
        <w:rPr>
          <w:rFonts w:ascii="Arial" w:cs="Arial" w:eastAsia="Arial" w:hAnsi="Arial"/>
          <w:sz w:val="19"/>
          <w:szCs w:val="19"/>
          <w:b w:val="1"/>
          <w:bCs w:val="1"/>
          <w:color w:val="auto"/>
        </w:rPr>
      </w:pPr>
    </w:p>
    <w:p>
      <w:pPr>
        <w:ind w:left="720" w:hanging="370"/>
        <w:spacing w:after="0"/>
        <w:tabs>
          <w:tab w:leader="none" w:pos="7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We may fail to capture customers as we design and develop new products, and update existing products.</w:t>
      </w:r>
    </w:p>
    <w:p>
      <w:pPr>
        <w:spacing w:after="0" w:line="141" w:lineRule="exact"/>
        <w:rPr>
          <w:rFonts w:ascii="Arial" w:cs="Arial" w:eastAsia="Arial" w:hAnsi="Arial"/>
          <w:sz w:val="19"/>
          <w:szCs w:val="19"/>
          <w:b w:val="1"/>
          <w:bCs w:val="1"/>
          <w:color w:val="auto"/>
        </w:rPr>
      </w:pPr>
    </w:p>
    <w:p>
      <w:pPr>
        <w:ind w:left="720" w:right="20" w:hanging="370"/>
        <w:spacing w:after="0" w:line="287"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We depend upon a small number of outside contract manufacturers, and our business and operations could be disrupted if we encounter problems with these contract manufacturers.</w:t>
      </w:r>
    </w:p>
    <w:p>
      <w:pPr>
        <w:spacing w:after="0" w:line="49" w:lineRule="exact"/>
        <w:rPr>
          <w:rFonts w:ascii="Arial" w:cs="Arial" w:eastAsia="Arial" w:hAnsi="Arial"/>
          <w:sz w:val="20"/>
          <w:szCs w:val="20"/>
          <w:b w:val="1"/>
          <w:bCs w:val="1"/>
          <w:color w:val="auto"/>
        </w:rPr>
      </w:pPr>
    </w:p>
    <w:p>
      <w:pPr>
        <w:jc w:val="both"/>
        <w:ind w:left="720" w:right="20" w:hanging="370"/>
        <w:spacing w:after="0" w:line="268"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We depend on solar distributors, installers and providers of solar financing to assist in selling our products to customers, and if they fail to perform at the expected level, or at all, our business, financial condition and results of our operations could be harmed.</w:t>
      </w:r>
    </w:p>
    <w:p>
      <w:pPr>
        <w:spacing w:after="0" w:line="69" w:lineRule="exact"/>
        <w:rPr>
          <w:rFonts w:ascii="Arial" w:cs="Arial" w:eastAsia="Arial" w:hAnsi="Arial"/>
          <w:sz w:val="20"/>
          <w:szCs w:val="20"/>
          <w:b w:val="1"/>
          <w:bCs w:val="1"/>
          <w:color w:val="auto"/>
        </w:rPr>
      </w:pPr>
    </w:p>
    <w:p>
      <w:pPr>
        <w:ind w:left="720" w:right="20" w:hanging="370"/>
        <w:spacing w:after="0" w:line="345" w:lineRule="auto"/>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depend on limited-source suppliers for key components and products. If we are unable to source these components and products on a timely basis, we will not be able to deliver our products to our customers.</w:t>
      </w:r>
    </w:p>
    <w:p>
      <w:pPr>
        <w:spacing w:after="0" w:line="4" w:lineRule="exact"/>
        <w:rPr>
          <w:rFonts w:ascii="Arial" w:cs="Arial" w:eastAsia="Arial" w:hAnsi="Arial"/>
          <w:sz w:val="18"/>
          <w:szCs w:val="18"/>
          <w:b w:val="1"/>
          <w:bCs w:val="1"/>
          <w:color w:val="auto"/>
        </w:rPr>
      </w:pPr>
    </w:p>
    <w:p>
      <w:pPr>
        <w:jc w:val="both"/>
        <w:ind w:left="720" w:right="20" w:hanging="370"/>
        <w:spacing w:after="0" w:line="268"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6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Our recent and planned expansion into existing and new markets could subject us to additional business, financial and competitive risks.</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Manufacturing problems could result in delays in product shipments, which would adversely affect our revenue, competitive position and reputation.</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The loss of, or events affecting, one of our major customers could reduce our sales and have an adverse effect on our business, financial condition and results of operations.</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If our products contain manufacturing or software defects, our business and financial results could be harmed.</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If we fail to retain our key personnel or if we fail to attract additional qualified personnel, we may not be able to maintain or achieve our anticipated level of growth and our business could suffer.</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Restructuring activities could disrupt our business and adversely affect our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478155</wp:posOffset>
                </wp:positionV>
                <wp:extent cx="633412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7.65pt" to="505.35pt,37.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478155</wp:posOffset>
                </wp:positionV>
                <wp:extent cx="63341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7.65pt" to="505.35pt,37.6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w:t>
      </w:r>
    </w:p>
    <w:p>
      <w:pPr>
        <w:sectPr>
          <w:pgSz w:w="12240" w:h="15840" w:orient="portrait"/>
          <w:cols w:equalWidth="0" w:num="1">
            <w:col w:w="10260"/>
          </w:cols>
          <w:pgMar w:left="1000" w:top="216" w:right="980" w:bottom="40" w:gutter="0" w:footer="0" w:header="0"/>
          <w:type w:val="continuous"/>
        </w:sectPr>
      </w:pPr>
    </w:p>
    <w:bookmarkStart w:id="5" w:name="page6"/>
    <w:bookmarkEnd w:id="5"/>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Related to our Intellectual Property and Technology</w:t>
      </w:r>
    </w:p>
    <w:p>
      <w:pPr>
        <w:spacing w:after="0" w:line="128" w:lineRule="exact"/>
        <w:rPr>
          <w:sz w:val="20"/>
          <w:szCs w:val="20"/>
          <w:color w:val="auto"/>
        </w:rPr>
      </w:pPr>
    </w:p>
    <w:p>
      <w:pPr>
        <w:jc w:val="both"/>
        <w:ind w:left="720" w:right="20" w:hanging="370"/>
        <w:spacing w:after="0" w:line="300"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are dependent on information technology systems, infrastructure and data. We or third parties whom we interact with could be subject to breaches of information technology systems caused by system security risks, failure of data protection, cyber-attacks and erroneous or non-malicious actions or failures to act by employees or others, which could cause significant reputational, legal and financial damages.</w:t>
      </w:r>
    </w:p>
    <w:p>
      <w:pPr>
        <w:spacing w:after="0" w:line="45" w:lineRule="exact"/>
        <w:rPr>
          <w:rFonts w:ascii="Arial" w:cs="Arial" w:eastAsia="Arial" w:hAnsi="Arial"/>
          <w:sz w:val="18"/>
          <w:szCs w:val="18"/>
          <w:b w:val="1"/>
          <w:bCs w:val="1"/>
          <w:color w:val="auto"/>
        </w:rPr>
      </w:pPr>
    </w:p>
    <w:p>
      <w:pPr>
        <w:jc w:val="both"/>
        <w:ind w:left="720" w:right="20" w:hanging="370"/>
        <w:spacing w:after="0" w:line="262"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We are subject to stringent and evolving data privacy and security laws, contractual obligations, information security policies and other obligations governing the use, processing and transfer of personal information, and any unauthorized access to, or disclosure or theft of personal information we gather, store or use could harm our reputation and subject us to claims or litigation.</w:t>
      </w:r>
    </w:p>
    <w:p>
      <w:pPr>
        <w:spacing w:after="0" w:line="75" w:lineRule="exact"/>
        <w:rPr>
          <w:rFonts w:ascii="Arial" w:cs="Arial" w:eastAsia="Arial" w:hAnsi="Arial"/>
          <w:sz w:val="20"/>
          <w:szCs w:val="20"/>
          <w:b w:val="1"/>
          <w:bCs w:val="1"/>
          <w:color w:val="auto"/>
        </w:rPr>
      </w:pPr>
    </w:p>
    <w:p>
      <w:pPr>
        <w:ind w:left="720" w:hanging="370"/>
        <w:spacing w:after="0" w:line="287"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We may be subject to disruptions or failures in information technology systems and network infrastructures that could have a material adverse effect on our business and financial condition.</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If we fail to protect, or incur significant costs in enforcing, our intellectual property and other proprietary rights, our business and results of operations could be materially harmed.</w:t>
      </w:r>
    </w:p>
    <w:p>
      <w:pPr>
        <w:spacing w:after="0" w:line="49" w:lineRule="exact"/>
        <w:rPr>
          <w:rFonts w:ascii="Arial" w:cs="Arial" w:eastAsia="Arial" w:hAnsi="Arial"/>
          <w:sz w:val="20"/>
          <w:szCs w:val="20"/>
          <w:b w:val="1"/>
          <w:bCs w:val="1"/>
          <w:color w:val="auto"/>
        </w:rPr>
      </w:pPr>
    </w:p>
    <w:p>
      <w:pPr>
        <w:jc w:val="both"/>
        <w:ind w:left="720" w:right="20" w:hanging="370"/>
        <w:spacing w:after="0" w:line="268"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69" w:lineRule="exact"/>
        <w:rPr>
          <w:rFonts w:ascii="Arial" w:cs="Arial" w:eastAsia="Arial" w:hAnsi="Arial"/>
          <w:sz w:val="20"/>
          <w:szCs w:val="20"/>
          <w:b w:val="1"/>
          <w:bCs w:val="1"/>
          <w:color w:val="auto"/>
        </w:rPr>
      </w:pPr>
    </w:p>
    <w:p>
      <w:pPr>
        <w:jc w:val="both"/>
        <w:ind w:left="720" w:right="20" w:hanging="370"/>
        <w:spacing w:after="0" w:line="268"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Related to Legal Proceedings and Regulations</w:t>
      </w:r>
    </w:p>
    <w:p>
      <w:pPr>
        <w:spacing w:after="0" w:line="128" w:lineRule="exact"/>
        <w:rPr>
          <w:sz w:val="20"/>
          <w:szCs w:val="20"/>
          <w:color w:val="auto"/>
        </w:rPr>
      </w:pPr>
    </w:p>
    <w:p>
      <w:pPr>
        <w:jc w:val="both"/>
        <w:ind w:left="720" w:right="20" w:hanging="370"/>
        <w:spacing w:after="0" w:line="262" w:lineRule="auto"/>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current laws or regulations or the imposition of new laws or regulations, or new interpretations thereof, in the solar energy sector, by federal or state agencies in the United States or foreign jurisdictions could impair our ability to compete, and could materially harm our business, financial condition and results of operations.</w:t>
      </w:r>
    </w:p>
    <w:p>
      <w:pPr>
        <w:spacing w:after="0" w:line="75"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Our significant international operations subject us to additional risks that could adversely affect our business, results of operations and financial condition.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Related to our Financial Condition and Liquidity</w:t>
      </w:r>
    </w:p>
    <w:p>
      <w:pPr>
        <w:spacing w:after="0" w:line="128" w:lineRule="exact"/>
        <w:rPr>
          <w:sz w:val="20"/>
          <w:szCs w:val="20"/>
          <w:color w:val="auto"/>
        </w:rPr>
      </w:pPr>
    </w:p>
    <w:p>
      <w:pPr>
        <w:ind w:left="720" w:hanging="370"/>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Our gross profit may fluctuate over time, which could impair our ability to achieve or maintain profitability.</w:t>
      </w:r>
    </w:p>
    <w:p>
      <w:pPr>
        <w:spacing w:after="0" w:line="153" w:lineRule="exact"/>
        <w:rPr>
          <w:rFonts w:ascii="Arial" w:cs="Arial" w:eastAsia="Arial" w:hAnsi="Arial"/>
          <w:sz w:val="18"/>
          <w:szCs w:val="18"/>
          <w:b w:val="1"/>
          <w:bCs w:val="1"/>
          <w:color w:val="auto"/>
        </w:rPr>
      </w:pPr>
    </w:p>
    <w:p>
      <w:pPr>
        <w:ind w:left="720" w:right="20" w:hanging="370"/>
        <w:spacing w:after="0" w:line="287" w:lineRule="auto"/>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We are under continuous pressure to reduce the prices of our products, which has adversely affected, and may continue to adversely affect, our gross margins.</w:t>
      </w:r>
    </w:p>
    <w:p>
      <w:pPr>
        <w:spacing w:after="0" w:line="49" w:lineRule="exact"/>
        <w:rPr>
          <w:rFonts w:ascii="Arial" w:cs="Arial" w:eastAsia="Arial" w:hAnsi="Arial"/>
          <w:sz w:val="20"/>
          <w:szCs w:val="20"/>
          <w:b w:val="1"/>
          <w:bCs w:val="1"/>
          <w:color w:val="auto"/>
        </w:rPr>
      </w:pPr>
    </w:p>
    <w:p>
      <w:pPr>
        <w:jc w:val="both"/>
        <w:ind w:left="720" w:right="20" w:hanging="370"/>
        <w:spacing w:after="0" w:line="268" w:lineRule="auto"/>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If we do not forecast demand for our products accurately, we may experience product shortages, delays in product shipment or excess product inventory, any of which will adversely affect our business and financial condition.</w:t>
      </w:r>
    </w:p>
    <w:p>
      <w:pPr>
        <w:spacing w:after="0" w:line="69" w:lineRule="exact"/>
        <w:rPr>
          <w:rFonts w:ascii="Arial" w:cs="Arial" w:eastAsia="Arial" w:hAnsi="Arial"/>
          <w:sz w:val="20"/>
          <w:szCs w:val="20"/>
          <w:b w:val="1"/>
          <w:bCs w:val="1"/>
          <w:color w:val="auto"/>
        </w:rPr>
      </w:pPr>
    </w:p>
    <w:p>
      <w:pPr>
        <w:ind w:left="720" w:hanging="370"/>
        <w:spacing w:after="0" w:line="314" w:lineRule="auto"/>
        <w:tabs>
          <w:tab w:leader="none" w:pos="72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Related to our Acquisition Activity</w:t>
      </w:r>
    </w:p>
    <w:p>
      <w:pPr>
        <w:spacing w:after="0" w:line="128" w:lineRule="exact"/>
        <w:rPr>
          <w:sz w:val="20"/>
          <w:szCs w:val="20"/>
          <w:color w:val="auto"/>
        </w:rPr>
      </w:pPr>
    </w:p>
    <w:p>
      <w:pPr>
        <w:jc w:val="both"/>
        <w:ind w:left="720" w:right="20" w:hanging="370"/>
        <w:spacing w:after="0" w:line="268"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As part of growing our business, we have made and expect to continue to make acquisitions. If we fail to successfully select, execute or integrate our acquisitions, then our business and operating results could be harmed.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Related to our Debt and Equity Securities</w:t>
      </w:r>
    </w:p>
    <w:p>
      <w:pPr>
        <w:spacing w:after="0" w:line="128" w:lineRule="exact"/>
        <w:rPr>
          <w:sz w:val="20"/>
          <w:szCs w:val="20"/>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Our financial results may vary significantly from quarter to quarter due to a number of factors.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13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744855</wp:posOffset>
                </wp:positionV>
                <wp:extent cx="633412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8.65pt" to="505.35pt,58.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744855</wp:posOffset>
                </wp:positionV>
                <wp:extent cx="633412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8.65pt" to="505.35pt,58.6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6</w:t>
      </w:r>
    </w:p>
    <w:p>
      <w:pPr>
        <w:sectPr>
          <w:pgSz w:w="12240" w:h="15840" w:orient="portrait"/>
          <w:cols w:equalWidth="0" w:num="1">
            <w:col w:w="10260"/>
          </w:cols>
          <w:pgMar w:left="1000" w:top="216" w:right="980" w:bottom="40" w:gutter="0" w:footer="0" w:header="0"/>
          <w:type w:val="continuous"/>
        </w:sectPr>
      </w:pPr>
    </w:p>
    <w:bookmarkStart w:id="6" w:name="page7"/>
    <w:bookmarkEnd w:id="6"/>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Company</w:t>
      </w:r>
    </w:p>
    <w:p>
      <w:pPr>
        <w:spacing w:after="0" w:line="130"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We are a global energy technology company originally founded in March 2006. We deliver smart, easy-to-use solutions that manage solar generation, storage and communication on one platform. Our intelligent microinverters work with virtually every solar panel made, and when paired with our smart technology, result in one of the industry’s best-performing clean energy systems.</w:t>
      </w:r>
    </w:p>
    <w:p>
      <w:pPr>
        <w:spacing w:after="0" w:line="76" w:lineRule="exact"/>
        <w:rPr>
          <w:sz w:val="20"/>
          <w:szCs w:val="20"/>
          <w:color w:val="auto"/>
        </w:rPr>
      </w:pPr>
    </w:p>
    <w:p>
      <w:pPr>
        <w:jc w:val="both"/>
        <w:ind w:right="20" w:firstLine="540"/>
        <w:spacing w:after="0" w:line="276" w:lineRule="auto"/>
        <w:rPr>
          <w:sz w:val="20"/>
          <w:szCs w:val="20"/>
          <w:color w:val="auto"/>
        </w:rPr>
      </w:pPr>
      <w:r>
        <w:rPr>
          <w:rFonts w:ascii="Arial" w:cs="Arial" w:eastAsia="Arial" w:hAnsi="Arial"/>
          <w:sz w:val="19"/>
          <w:szCs w:val="19"/>
          <w:b w:val="1"/>
          <w:bCs w:val="1"/>
          <w:color w:val="auto"/>
        </w:rPr>
        <w:t>For the first time in the evolution of our centuries-old grid, people can get paid for the clean energy they produce and share with their communities, helping to build a new energy future that harnesses the sun. This clean, free, abundant source of energy can power our lives and ultimately help greatly reduce our dependence on fossil fuels. As of December 31, 2025, we have shipped approximately 86.4 million microinverters, and more than 5.1 million Enphase residential and commercial systems have been deployed in over 160 countries.</w:t>
      </w:r>
    </w:p>
    <w:p>
      <w:pPr>
        <w:spacing w:after="0" w:line="64"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We design, develop, manufacture and sell home energy solutions that manage energy generation, energy storage, and control and communications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a string inverter system using string modules, whether with or without an optimizer, which only converts the energy of the entire array of solar modules from a single high voltage electrical unit and lacks intelligence about the energy producing capacity of the solar array.</w:t>
      </w:r>
    </w:p>
    <w:p>
      <w:pPr>
        <w:spacing w:after="0" w:line="85"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19"/>
          <w:szCs w:val="19"/>
          <w:b w:val="1"/>
          <w:bCs w:val="1"/>
          <w:color w:val="auto"/>
        </w:rPr>
        <w:t>The Enphase</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Energy System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Energy System uses a single technology platform for seamless management of the whole solution, of IQ</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Microinverters, IQ</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Batteries, IQ</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Load Controllers, and IQ</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EV Charger, allowing rapid commissioning with the Enphase</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Installer App, consumption monitoring with our IQ</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Combiner™ device with our Enphase IQ</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Gateway™ device, and our Enphase</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App, a cloud-based energy management platform. System owners can use the Enphase App to monitor their home’s solar generation, energy storage and consumption from any web-enabled device. Unlike some of our competitors, who utilize a traditional inverter, or offer separate components of solutions, we have built-in system redundancy in both photovoltaic (“PV”) generation and energy storage, eliminating the risk that comes with a single point of failure. Further, the nature of our cloud-based, monitored system allows for remote firmware and software updates, enabling cost-effective remote maintenance and ongoing utility compliance.</w:t>
      </w:r>
    </w:p>
    <w:p>
      <w:pPr>
        <w:spacing w:after="0" w:line="108"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20"/>
          <w:szCs w:val="20"/>
          <w:b w:val="1"/>
          <w:bCs w:val="1"/>
          <w:color w:val="auto"/>
        </w:rPr>
        <w:t>We have transitioned from solar only systems to complete energy management solutions, which consist of solar, batteries, load control, electrical vehicle (“EV”) charging, compatibility with third-party generators, and grid services. This transition follows the rising global interest in the full electrification of homes and businesses through renewable sources of energy.</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Our objective is to build best-in-class home energy systems and deliver them to homeowners through our installer and distribution partners, enabled by a comprehensive digital platform. Key elements of our strategy include:</w:t>
      </w:r>
    </w:p>
    <w:p>
      <w:pPr>
        <w:spacing w:after="0" w:line="70" w:lineRule="exact"/>
        <w:rPr>
          <w:sz w:val="20"/>
          <w:szCs w:val="20"/>
          <w:color w:val="auto"/>
        </w:rPr>
      </w:pPr>
    </w:p>
    <w:p>
      <w:pPr>
        <w:jc w:val="both"/>
        <w:ind w:left="720" w:right="20" w:hanging="370"/>
        <w:spacing w:after="0" w:line="272" w:lineRule="auto"/>
        <w:tabs>
          <w:tab w:leader="none" w:pos="72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Best-in-class customer experience. </w:t>
      </w:r>
      <w:r>
        <w:rPr>
          <w:rFonts w:ascii="Arial" w:cs="Arial" w:eastAsia="Arial" w:hAnsi="Arial"/>
          <w:sz w:val="19"/>
          <w:szCs w:val="19"/>
          <w:b w:val="1"/>
          <w:bCs w:val="1"/>
          <w:color w:val="auto"/>
        </w:rPr>
        <w:t>Our value proposition is to deliver products that are productive, reliable,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smart, simple and safe, with superior customer service, to enable homeowners’ storage and energy independence. On the service front, our installer, distributor and module partners are our first line of association with our ultimate customer, the homeowner and business user. Our goals are to partner better with these service providers so that we can provide exceptional, high quality service to homeowners who have installed our products. We are convinced that continued reinforcement of customer experience improvements by providing 24x7 support can be a competitive advantage for us.</w:t>
      </w:r>
    </w:p>
    <w:p>
      <w:pPr>
        <w:spacing w:after="0" w:line="66" w:lineRule="exact"/>
        <w:rPr>
          <w:rFonts w:ascii="Arial" w:cs="Arial" w:eastAsia="Arial" w:hAnsi="Arial"/>
          <w:sz w:val="19"/>
          <w:szCs w:val="19"/>
          <w:b w:val="1"/>
          <w:bCs w:val="1"/>
          <w:color w:val="auto"/>
        </w:rPr>
      </w:pPr>
    </w:p>
    <w:p>
      <w:pPr>
        <w:jc w:val="both"/>
        <w:ind w:left="720" w:right="20" w:hanging="370"/>
        <w:spacing w:after="0" w:line="276" w:lineRule="auto"/>
        <w:tabs>
          <w:tab w:leader="none" w:pos="72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Expand our product offerings. </w:t>
      </w:r>
      <w:r>
        <w:rPr>
          <w:rFonts w:ascii="Arial" w:cs="Arial" w:eastAsia="Arial" w:hAnsi="Arial"/>
          <w:sz w:val="19"/>
          <w:szCs w:val="19"/>
          <w:b w:val="1"/>
          <w:bCs w:val="1"/>
          <w:color w:val="auto"/>
        </w:rPr>
        <w:t>We distinguish ourselves from other inverter companies with our systems-based and high technology approach, as we continue to invest in research and development to develop all components of our home energy management systems and remain committed to providing our customers and partners with best-in-class power electronics, storage solutions, communications and load control, all managed by a cloud-based home energy management system.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359410</wp:posOffset>
                </wp:positionV>
                <wp:extent cx="633412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3pt" to="505.35pt,2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359410</wp:posOffset>
                </wp:positionV>
                <wp:extent cx="63341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3pt" to="505.35pt,28.3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7</w:t>
      </w:r>
    </w:p>
    <w:p>
      <w:pPr>
        <w:sectPr>
          <w:pgSz w:w="12240" w:h="15840" w:orient="portrait"/>
          <w:cols w:equalWidth="0" w:num="1">
            <w:col w:w="10260"/>
          </w:cols>
          <w:pgMar w:left="1000" w:top="216" w:right="980" w:bottom="40" w:gutter="0" w:footer="0" w:header="0"/>
          <w:type w:val="continuous"/>
        </w:sectPr>
      </w:pPr>
    </w:p>
    <w:bookmarkStart w:id="7" w:name="page8"/>
    <w:bookmarkEnd w:id="7"/>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left="720" w:right="20" w:hanging="370"/>
        <w:spacing w:after="0" w:line="289" w:lineRule="auto"/>
        <w:tabs>
          <w:tab w:leader="none" w:pos="72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Increase power and efficiency and reduce cost per watt. </w:t>
      </w:r>
      <w:r>
        <w:rPr>
          <w:rFonts w:ascii="Arial" w:cs="Arial" w:eastAsia="Arial" w:hAnsi="Arial"/>
          <w:sz w:val="19"/>
          <w:szCs w:val="19"/>
          <w:b w:val="1"/>
          <w:bCs w:val="1"/>
          <w:color w:val="auto"/>
        </w:rPr>
        <w:t>Our engineering team is focused on continuing to</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increase average power conversion efficiency and alternating current (“AC”) output power in order to pair with higher rated direct current (“DC”) modules while reducing costs per watt.</w:t>
      </w:r>
    </w:p>
    <w:p>
      <w:pPr>
        <w:spacing w:after="0" w:line="50" w:lineRule="exact"/>
        <w:rPr>
          <w:rFonts w:ascii="Arial" w:cs="Arial" w:eastAsia="Arial" w:hAnsi="Arial"/>
          <w:sz w:val="19"/>
          <w:szCs w:val="19"/>
          <w:b w:val="1"/>
          <w:bCs w:val="1"/>
          <w:color w:val="auto"/>
        </w:rPr>
      </w:pPr>
    </w:p>
    <w:p>
      <w:pPr>
        <w:jc w:val="both"/>
        <w:ind w:left="720" w:right="20" w:hanging="370"/>
        <w:spacing w:after="0" w:line="262"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Increase storage energy density and reduce installation time and cost per kWh</w:t>
      </w:r>
      <w:r>
        <w:rPr>
          <w:rFonts w:ascii="Arial" w:cs="Arial" w:eastAsia="Arial" w:hAnsi="Arial"/>
          <w:sz w:val="20"/>
          <w:szCs w:val="20"/>
          <w:b w:val="1"/>
          <w:bCs w:val="1"/>
          <w:color w:val="auto"/>
        </w:rPr>
        <w:t>. Our engineering team 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focused on increasing the energy density of our battery capacity, quality and reducing installation time and cost per kilowatt hour (“kWh”) to make solar-plus-storage resilient, sustainable and affordable for the masses.</w:t>
      </w:r>
    </w:p>
    <w:p>
      <w:pPr>
        <w:spacing w:after="0" w:line="75" w:lineRule="exact"/>
        <w:rPr>
          <w:rFonts w:ascii="Arial" w:cs="Arial" w:eastAsia="Arial" w:hAnsi="Arial"/>
          <w:sz w:val="20"/>
          <w:szCs w:val="20"/>
          <w:b w:val="1"/>
          <w:bCs w:val="1"/>
          <w:color w:val="auto"/>
        </w:rPr>
      </w:pPr>
    </w:p>
    <w:p>
      <w:pPr>
        <w:jc w:val="both"/>
        <w:ind w:left="720" w:hanging="370"/>
        <w:spacing w:after="0" w:line="257"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Focus on the homeowner, distributor and installer partners. </w:t>
      </w:r>
      <w:r>
        <w:rPr>
          <w:rFonts w:ascii="Arial" w:cs="Arial" w:eastAsia="Arial" w:hAnsi="Arial"/>
          <w:sz w:val="20"/>
          <w:szCs w:val="20"/>
          <w:b w:val="1"/>
          <w:bCs w:val="1"/>
          <w:color w:val="auto"/>
        </w:rPr>
        <w:t>We are focused on making it easier for our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distributors, installers and customers to do business and generating revenue through digitalization of the business-to-business and business-to-customer process of the distributor, installer and customer journey. Our key focus is to expand our digital presence through enhancing our array of tools on our digital platform to keep us continually connected with our installers and homeowners, as well as increasing the use of our online store significantly.</w:t>
      </w:r>
    </w:p>
    <w:p>
      <w:pPr>
        <w:spacing w:after="0" w:line="82" w:lineRule="exact"/>
        <w:rPr>
          <w:rFonts w:ascii="Arial" w:cs="Arial" w:eastAsia="Arial" w:hAnsi="Arial"/>
          <w:sz w:val="20"/>
          <w:szCs w:val="20"/>
          <w:b w:val="1"/>
          <w:bCs w:val="1"/>
          <w:color w:val="auto"/>
        </w:rPr>
      </w:pPr>
    </w:p>
    <w:p>
      <w:pPr>
        <w:jc w:val="both"/>
        <w:ind w:left="720" w:right="20" w:hanging="370"/>
        <w:spacing w:after="0" w:line="259"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Grow market share worldwide. </w:t>
      </w:r>
      <w:r>
        <w:rPr>
          <w:rFonts w:ascii="Arial" w:cs="Arial" w:eastAsia="Arial" w:hAnsi="Arial"/>
          <w:sz w:val="20"/>
          <w:szCs w:val="20"/>
          <w:b w:val="1"/>
          <w:bCs w:val="1"/>
          <w:color w:val="auto"/>
        </w:rPr>
        <w:t>We intend to capitalize on our market leadership in the microinverter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category and our momentum with installers and homeowners to expand our market share position in our core markets. In addition, we hope to further increase our market share in the Europe, Asia Pacific and Latin America regions. Further, we intend to continue our expansion into new markets, including emerging markets, with new and existing products and local go-to-market capabilities.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w:t>
      </w:r>
    </w:p>
    <w:p>
      <w:pPr>
        <w:spacing w:after="0" w:line="130"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The Enphase Energy System, powered by IQ Microinverters, IQ Batteries and other products and services, is an integrated solar, storage and energy management offering that enables self-consumption and delivers our core value proposition of yielding more energy, simplifying design and installation, and improving system uptime and reliability.</w:t>
      </w:r>
    </w:p>
    <w:p>
      <w:pPr>
        <w:spacing w:after="0" w:line="76" w:lineRule="exact"/>
        <w:rPr>
          <w:sz w:val="20"/>
          <w:szCs w:val="20"/>
          <w:color w:val="auto"/>
        </w:rPr>
      </w:pPr>
    </w:p>
    <w:p>
      <w:pPr>
        <w:jc w:val="both"/>
        <w:ind w:firstLine="540"/>
        <w:spacing w:after="0" w:line="269" w:lineRule="auto"/>
        <w:rPr>
          <w:sz w:val="20"/>
          <w:szCs w:val="20"/>
          <w:color w:val="auto"/>
        </w:rPr>
      </w:pPr>
      <w:r>
        <w:rPr>
          <w:rFonts w:ascii="Arial" w:cs="Arial" w:eastAsia="Arial" w:hAnsi="Arial"/>
          <w:sz w:val="19"/>
          <w:szCs w:val="19"/>
          <w:b w:val="1"/>
          <w:bCs w:val="1"/>
          <w:i w:val="1"/>
          <w:iCs w:val="1"/>
          <w:color w:val="auto"/>
        </w:rPr>
        <w:t>IQ Microinverters</w:t>
      </w:r>
      <w:r>
        <w:rPr>
          <w:rFonts w:ascii="Arial" w:cs="Arial" w:eastAsia="Arial" w:hAnsi="Arial"/>
          <w:sz w:val="19"/>
          <w:szCs w:val="19"/>
          <w:b w:val="1"/>
          <w:bCs w:val="1"/>
          <w:color w:val="auto"/>
        </w:rPr>
        <w:t>. We ship IQ8™ Microinverters into 58 countries worldwide. Our IQ8P 3P™ Microinverters,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with peak output power of 480 W AC, are designed to maximize energy production and can manage a continuous DC current of 14 amperes, supporting higher powered solar modules through increased energy harvesting. These microinverters are offered for residential and small commercial applications in North America and for grid-tied applications in South Africa, Mexico, Brazil, India, Thailand, the Philippines, France, Spain, Switzerland, Poland, Colombia, Panama, Costa Rica, Vietnam, Malaysia, Australia and 13 Caribbean countries. We began shipping our new IQ9N-3P™ Commercial Microinverter in December 2025. This is the first microinverter powered by advanced gallium nitride technology and designed for three-phase 480Y/277 V (wye) grid configurations, without using external transformers. The IQ9N-3P Commercial Microinverter helps simplify design complexity, lowers installation and balance of system costs, and improves system efficiency for 480 V commercial projects.</w:t>
      </w:r>
    </w:p>
    <w:p>
      <w:pPr>
        <w:spacing w:after="0" w:line="71"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In 2025, we released a software update that enables homeowners with existing legacy IQ7™ Microinverter-based systems to expand their solar capacity with IQ8 Microinverters. This software facilitates seamless interoperability between legacy and current system architectures and is available in North America, Europe, Australia, South Africa, the Philippines and other key markets.</w:t>
      </w:r>
    </w:p>
    <w:p>
      <w:pPr>
        <w:spacing w:after="0" w:line="76" w:lineRule="exact"/>
        <w:rPr>
          <w:sz w:val="20"/>
          <w:szCs w:val="20"/>
          <w:color w:val="auto"/>
        </w:rPr>
      </w:pPr>
    </w:p>
    <w:p>
      <w:pPr>
        <w:jc w:val="both"/>
        <w:ind w:right="20" w:firstLine="540"/>
        <w:spacing w:after="0" w:line="241" w:lineRule="auto"/>
        <w:rPr>
          <w:sz w:val="20"/>
          <w:szCs w:val="20"/>
          <w:color w:val="auto"/>
        </w:rPr>
      </w:pPr>
      <w:r>
        <w:rPr>
          <w:rFonts w:ascii="Arial" w:cs="Arial" w:eastAsia="Arial" w:hAnsi="Arial"/>
          <w:sz w:val="20"/>
          <w:szCs w:val="20"/>
          <w:b w:val="1"/>
          <w:bCs w:val="1"/>
          <w:color w:val="auto"/>
        </w:rPr>
        <w:t>We ship our IQ8HC™ Microinverters, IQ8X™ Microinverters, IQ8P-3P Commercial Microinverters, IQ9N-3P™ Commercial Microinverters, IQ</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Battery 5Ps and IQ</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Battery 10Cs supplied from manufacturing facilities in the United States with higher domestic content than previous models, that when paired with other U.S.-made solar equipment could qualify for the domestic content bonus tax credit under the Inflation Reduction Act of 2022 (the “IRA”).</w:t>
      </w:r>
    </w:p>
    <w:p>
      <w:pPr>
        <w:spacing w:after="0" w:line="96"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i w:val="1"/>
          <w:iCs w:val="1"/>
          <w:color w:val="auto"/>
        </w:rPr>
        <w:t xml:space="preserve">IQ Batteries. </w:t>
      </w:r>
      <w:r>
        <w:rPr>
          <w:rFonts w:ascii="Arial" w:cs="Arial" w:eastAsia="Arial" w:hAnsi="Arial"/>
          <w:sz w:val="20"/>
          <w:szCs w:val="20"/>
          <w:b w:val="1"/>
          <w:bCs w:val="1"/>
          <w:color w:val="auto"/>
        </w:rPr>
        <w:t>Our Enphase IQ Battery storage systems, with usable and scalable capacity of 10.1 kWh 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3.4 kWh for the United States, and 10.5 kWh and 3.5 kWh for Europe and other international countries, are based on our Ensemble OS™ software, which powers our grid-independent microinverter-based storage systems. We currently ship our Enphase IQ Battery storage systems to customers in the United States, Puerto Rico, Canada, Mexico, Australia, New Zealand, Belgium, Germany, the United Kingdom, Italy, Austria, France, the Netherlands, Luxembourg, Finland, Switzerland, Spain, Portugal, Sweden, Denmark and Greece. Enphase IQ Batteries in Europe can be installed with both single-phase and three-phase third-party solar energy inverters, enabling homeowners to upgrade their existing home solar systems with a residential battery storage solution that reduces costs while providing increased self-reliance.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370205</wp:posOffset>
                </wp:positionV>
                <wp:extent cx="633412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9.15pt" to="505.35pt,29.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370205</wp:posOffset>
                </wp:positionV>
                <wp:extent cx="63341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9.15pt" to="505.35pt,29.1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8</w:t>
      </w:r>
    </w:p>
    <w:p>
      <w:pPr>
        <w:sectPr>
          <w:pgSz w:w="12240" w:h="15840" w:orient="portrait"/>
          <w:cols w:equalWidth="0" w:num="1">
            <w:col w:w="10260"/>
          </w:cols>
          <w:pgMar w:left="1000" w:top="216" w:right="980" w:bottom="40" w:gutter="0" w:footer="0" w:header="0"/>
          <w:type w:val="continuous"/>
        </w:sectPr>
      </w:pPr>
    </w:p>
    <w:bookmarkStart w:id="8" w:name="page9"/>
    <w:bookmarkEnd w:id="8"/>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firstLine="540"/>
        <w:spacing w:after="0" w:line="258" w:lineRule="auto"/>
        <w:rPr>
          <w:sz w:val="20"/>
          <w:szCs w:val="20"/>
          <w:color w:val="auto"/>
        </w:rPr>
      </w:pPr>
      <w:r>
        <w:rPr>
          <w:rFonts w:ascii="Arial" w:cs="Arial" w:eastAsia="Arial" w:hAnsi="Arial"/>
          <w:sz w:val="19"/>
          <w:szCs w:val="19"/>
          <w:b w:val="1"/>
          <w:bCs w:val="1"/>
          <w:color w:val="auto"/>
        </w:rPr>
        <w:t>Our IQ</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Battery 5P is modular with 5 kWh capacity and provides a peak output power of 384 W. Our IQ Battery 5P is available for customers in the United States, Australia, New Zealand, Puerto Rico, Mexico, Canada, the United Kingdom, Italy, France, the Netherlands, Luxembourg, Belgium, Romania and India. We currently ship our IQ Battery 5P with FlexPhase™ technology, an all-in-one AC-coupled system that delivers reliable backup power and supports both single-phase and three-phase applications, to customers in Germany, Austria, Switzerland, Luxembourg, Poland, Spain, Portugal, France, the Netherlands, Belgium, Sweden, Denmark, Greece, Croatia, Slovenia, Slovakia, Latvia, Lithuania, Estonia, Romania, Australia, New Zealand and India.</w:t>
      </w:r>
    </w:p>
    <w:p>
      <w:pPr>
        <w:spacing w:after="0" w:line="82"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18"/>
          <w:szCs w:val="18"/>
          <w:b w:val="1"/>
          <w:bCs w:val="1"/>
          <w:color w:val="auto"/>
        </w:rPr>
        <w:t>We started shipping our fourth-generation Enphase Energy System, featuring the IQ</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Battery 10C, IQ</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Meter Collar and the IQ</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Combiner 6C into the United States in June 2025. The IQ Battery 10C is designed to be 30% more energy-dense, occupy 60% less wall space, and cost less than previous models. The IQ Meter Collar simplifies whole-home backup by providing microgrid interconnection device functionality, while the IQ</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Combiner 6C further streamlines installation by consolidating interconnection equipment into one enclosure. Together, these components are designed to simplify the entire backup installation process and enhance reliability. In August 2025, we announced the initial shipments of our IQ Battery 10C, supplied from manufacturing facilities in the United States, delivering additional value in growing third-party ownership (“TPO”) market.</w:t>
      </w:r>
    </w:p>
    <w:p>
      <w:pPr>
        <w:spacing w:after="0" w:line="82" w:lineRule="exact"/>
        <w:rPr>
          <w:sz w:val="20"/>
          <w:szCs w:val="20"/>
          <w:color w:val="auto"/>
        </w:rPr>
      </w:pPr>
    </w:p>
    <w:p>
      <w:pPr>
        <w:jc w:val="both"/>
        <w:ind w:right="20" w:firstLine="540"/>
        <w:spacing w:after="0" w:line="280" w:lineRule="auto"/>
        <w:rPr>
          <w:sz w:val="20"/>
          <w:szCs w:val="20"/>
          <w:color w:val="auto"/>
        </w:rPr>
      </w:pPr>
      <w:r>
        <w:rPr>
          <w:rFonts w:ascii="Arial" w:cs="Arial" w:eastAsia="Arial" w:hAnsi="Arial"/>
          <w:sz w:val="19"/>
          <w:szCs w:val="19"/>
          <w:b w:val="1"/>
          <w:bCs w:val="1"/>
          <w:color w:val="auto"/>
        </w:rPr>
        <w:t>In October 2025, we announced support in the United States for complete off-grid system configurations that are capable of operating without a utility connection when needed. The system requires the IQ Battery 5P with embedded grid-forming microinverters, IQ8 Series Microinverters with Sunlight JumpStart™ technology and a third-party standby AC generator, which all work together to power the home.</w:t>
      </w:r>
    </w:p>
    <w:p>
      <w:pPr>
        <w:spacing w:after="0" w:line="60" w:lineRule="exact"/>
        <w:rPr>
          <w:sz w:val="20"/>
          <w:szCs w:val="20"/>
          <w:color w:val="auto"/>
        </w:rPr>
      </w:pPr>
    </w:p>
    <w:p>
      <w:pPr>
        <w:jc w:val="both"/>
        <w:ind w:right="20" w:firstLine="540"/>
        <w:spacing w:after="0" w:line="239" w:lineRule="auto"/>
        <w:rPr>
          <w:sz w:val="20"/>
          <w:szCs w:val="20"/>
          <w:color w:val="auto"/>
        </w:rPr>
      </w:pPr>
      <w:r>
        <w:rPr>
          <w:rFonts w:ascii="Arial" w:cs="Arial" w:eastAsia="Arial" w:hAnsi="Arial"/>
          <w:sz w:val="20"/>
          <w:szCs w:val="20"/>
          <w:b w:val="1"/>
          <w:bCs w:val="1"/>
          <w:color w:val="auto"/>
        </w:rPr>
        <w:t>In December 2025, we launched our PowerMatch™ technology, a battery software upgrade. PowerMatch intelligently adjusts IQ</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Battery output to match a home’s real-time power needs, delivering more usable energy, longer battery life and greater long-term savings. The efficiency gains achieved with this technology can improve battery performance by as much as 40%.</w:t>
      </w:r>
    </w:p>
    <w:p>
      <w:pPr>
        <w:spacing w:after="0" w:line="95" w:lineRule="exact"/>
        <w:rPr>
          <w:sz w:val="20"/>
          <w:szCs w:val="20"/>
          <w:color w:val="auto"/>
        </w:rPr>
      </w:pPr>
    </w:p>
    <w:p>
      <w:pPr>
        <w:jc w:val="both"/>
        <w:ind w:right="20" w:firstLine="540"/>
        <w:spacing w:after="0" w:line="239" w:lineRule="auto"/>
        <w:rPr>
          <w:sz w:val="20"/>
          <w:szCs w:val="20"/>
          <w:color w:val="auto"/>
        </w:rPr>
      </w:pPr>
      <w:r>
        <w:rPr>
          <w:rFonts w:ascii="Arial" w:cs="Arial" w:eastAsia="Arial" w:hAnsi="Arial"/>
          <w:sz w:val="20"/>
          <w:szCs w:val="20"/>
          <w:b w:val="1"/>
          <w:bCs w:val="1"/>
          <w:i w:val="1"/>
          <w:iCs w:val="1"/>
          <w:color w:val="auto"/>
        </w:rPr>
        <w:t>IQ</w:t>
      </w:r>
      <w:r>
        <w:rPr>
          <w:rFonts w:ascii="Arial" w:cs="Arial" w:eastAsia="Arial" w:hAnsi="Arial"/>
          <w:sz w:val="26"/>
          <w:szCs w:val="26"/>
          <w:b w:val="1"/>
          <w:bCs w:val="1"/>
          <w:color w:val="auto"/>
          <w:vertAlign w:val="superscript"/>
        </w:rPr>
        <w:t>®</w:t>
      </w:r>
      <w:r>
        <w:rPr>
          <w:rFonts w:ascii="Arial" w:cs="Arial" w:eastAsia="Arial" w:hAnsi="Arial"/>
          <w:sz w:val="20"/>
          <w:szCs w:val="20"/>
          <w:b w:val="1"/>
          <w:bCs w:val="1"/>
          <w:i w:val="1"/>
          <w:iCs w:val="1"/>
          <w:color w:val="auto"/>
        </w:rPr>
        <w:t xml:space="preserve"> PowerPack 1500</w:t>
      </w:r>
      <w:r>
        <w:rPr>
          <w:rFonts w:ascii="Arial" w:cs="Arial" w:eastAsia="Arial" w:hAnsi="Arial"/>
          <w:sz w:val="20"/>
          <w:szCs w:val="20"/>
          <w:b w:val="1"/>
          <w:bCs w:val="1"/>
          <w:color w:val="auto"/>
        </w:rPr>
        <w:t>. The IQ PowerPack 1500™portable energy system is now available in the United States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and Canada. This product is a 1,500 Wh smart, go-anywhere portable energy system that can power most small appliances in the home, at work, or outdoors. It is designed to provide battery backup, helping to ensure essential electronics stay up and running during power outages.</w:t>
      </w:r>
    </w:p>
    <w:p>
      <w:pPr>
        <w:spacing w:after="0" w:line="95" w:lineRule="exact"/>
        <w:rPr>
          <w:sz w:val="20"/>
          <w:szCs w:val="20"/>
          <w:color w:val="auto"/>
        </w:rPr>
      </w:pPr>
    </w:p>
    <w:p>
      <w:pPr>
        <w:jc w:val="both"/>
        <w:ind w:right="20" w:firstLine="540"/>
        <w:spacing w:after="0" w:line="274" w:lineRule="auto"/>
        <w:rPr>
          <w:sz w:val="20"/>
          <w:szCs w:val="20"/>
          <w:color w:val="auto"/>
        </w:rPr>
      </w:pPr>
      <w:r>
        <w:rPr>
          <w:rFonts w:ascii="Arial" w:cs="Arial" w:eastAsia="Arial" w:hAnsi="Arial"/>
          <w:sz w:val="18"/>
          <w:szCs w:val="18"/>
          <w:b w:val="1"/>
          <w:bCs w:val="1"/>
          <w:i w:val="1"/>
          <w:iCs w:val="1"/>
          <w:color w:val="auto"/>
        </w:rPr>
        <w:t>IQ</w:t>
      </w:r>
      <w:r>
        <w:rPr>
          <w:rFonts w:ascii="Arial" w:cs="Arial" w:eastAsia="Arial" w:hAnsi="Arial"/>
          <w:sz w:val="23"/>
          <w:szCs w:val="23"/>
          <w:b w:val="1"/>
          <w:bCs w:val="1"/>
          <w:color w:val="auto"/>
          <w:vertAlign w:val="superscript"/>
        </w:rPr>
        <w:t>®</w:t>
      </w:r>
      <w:r>
        <w:rPr>
          <w:rFonts w:ascii="Arial" w:cs="Arial" w:eastAsia="Arial" w:hAnsi="Arial"/>
          <w:sz w:val="18"/>
          <w:szCs w:val="18"/>
          <w:b w:val="1"/>
          <w:bCs w:val="1"/>
          <w:i w:val="1"/>
          <w:iCs w:val="1"/>
          <w:color w:val="auto"/>
        </w:rPr>
        <w:t xml:space="preserve"> Balcony Solar System. </w:t>
      </w:r>
      <w:r>
        <w:rPr>
          <w:rFonts w:ascii="Arial" w:cs="Arial" w:eastAsia="Arial" w:hAnsi="Arial"/>
          <w:sz w:val="18"/>
          <w:szCs w:val="18"/>
          <w:b w:val="1"/>
          <w:bCs w:val="1"/>
          <w:color w:val="auto"/>
        </w:rPr>
        <w:t>We launched our IQ Balcony Solar System in Germany and Belgium in May 2025.</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This system is designed for plug-and-play installation and enables apartment residents and homeowners with limited roof space to generate solar energy from balconies, patios and small outdoor areas. Our IQ Balcony Solar System includes Enphase IQ8HC Microinverters, our IQ</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Balcony Gateway™ device and other components.</w:t>
      </w:r>
    </w:p>
    <w:p>
      <w:pPr>
        <w:spacing w:after="0" w:line="3" w:lineRule="exact"/>
        <w:rPr>
          <w:sz w:val="20"/>
          <w:szCs w:val="20"/>
          <w:color w:val="auto"/>
        </w:rPr>
      </w:pPr>
    </w:p>
    <w:p>
      <w:pPr>
        <w:jc w:val="both"/>
        <w:ind w:right="20" w:firstLine="540"/>
        <w:spacing w:after="0" w:line="245" w:lineRule="auto"/>
        <w:rPr>
          <w:sz w:val="20"/>
          <w:szCs w:val="20"/>
          <w:color w:val="auto"/>
        </w:rPr>
      </w:pPr>
      <w:r>
        <w:rPr>
          <w:rFonts w:ascii="Arial" w:cs="Arial" w:eastAsia="Arial" w:hAnsi="Arial"/>
          <w:sz w:val="20"/>
          <w:szCs w:val="20"/>
          <w:b w:val="1"/>
          <w:bCs w:val="1"/>
          <w:i w:val="1"/>
          <w:iCs w:val="1"/>
          <w:color w:val="auto"/>
        </w:rPr>
        <w:t>IQ</w:t>
      </w:r>
      <w:r>
        <w:rPr>
          <w:rFonts w:ascii="Arial" w:cs="Arial" w:eastAsia="Arial" w:hAnsi="Arial"/>
          <w:sz w:val="26"/>
          <w:szCs w:val="26"/>
          <w:b w:val="1"/>
          <w:bCs w:val="1"/>
          <w:color w:val="auto"/>
          <w:vertAlign w:val="superscript"/>
        </w:rPr>
        <w:t>®</w:t>
      </w:r>
      <w:r>
        <w:rPr>
          <w:rFonts w:ascii="Arial" w:cs="Arial" w:eastAsia="Arial" w:hAnsi="Arial"/>
          <w:sz w:val="20"/>
          <w:szCs w:val="20"/>
          <w:b w:val="1"/>
          <w:bCs w:val="1"/>
          <w:i w:val="1"/>
          <w:iCs w:val="1"/>
          <w:color w:val="auto"/>
        </w:rPr>
        <w:t xml:space="preserve"> Energy Management. </w:t>
      </w:r>
      <w:r>
        <w:rPr>
          <w:rFonts w:ascii="Arial" w:cs="Arial" w:eastAsia="Arial" w:hAnsi="Arial"/>
          <w:sz w:val="20"/>
          <w:szCs w:val="20"/>
          <w:b w:val="1"/>
          <w:bCs w:val="1"/>
          <w:color w:val="auto"/>
        </w:rPr>
        <w:t>We introduced the IQ</w:t>
      </w:r>
      <w:r>
        <w:rPr>
          <w:rFonts w:ascii="Arial" w:cs="Arial" w:eastAsia="Arial" w:hAnsi="Arial"/>
          <w:sz w:val="26"/>
          <w:szCs w:val="26"/>
          <w:b w:val="1"/>
          <w:bCs w:val="1"/>
          <w:color w:val="auto"/>
          <w:vertAlign w:val="superscript"/>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Energy Router™ family of devices in Germany, Austria,</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Switzerland, France, Belgium and the Netherlands. The IQ Energy Router enables the integration of select third-party EV chargers and heat pumps into Enphase solar and battery systems. These devices monitor and control energy usage between the Enphase Energy System, EV chargers and heat pumps, working in coordination with our system intelligence to deploy AI-based solar production forecasting, consumption forecasting and an optimization engine to maximize self-consumption.</w:t>
      </w:r>
    </w:p>
    <w:p>
      <w:pPr>
        <w:spacing w:after="0" w:line="81"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Building on the foundation of the IQ Energy Router, we introduced IQ Energy Management technology in France in May 2025. This solution integrates with Enphase solar and battery systems to enable smart management of variable electricity rates and supports integration with select third-party EV chargers, heat pumps and resistive electric water heaters—helping homeowners optimize energy consumption and costs. We recently expanded IQ Energy Management capabilities to include support for select electric water heaters in Belgium, the Netherlands and Switzerland.</w:t>
      </w:r>
    </w:p>
    <w:p>
      <w:pPr>
        <w:spacing w:after="0" w:line="82"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i w:val="1"/>
          <w:iCs w:val="1"/>
          <w:color w:val="auto"/>
        </w:rPr>
        <w:t>IQ EV Chargers</w:t>
      </w:r>
      <w:r>
        <w:rPr>
          <w:rFonts w:ascii="Arial" w:cs="Arial" w:eastAsia="Arial" w:hAnsi="Arial"/>
          <w:sz w:val="20"/>
          <w:szCs w:val="20"/>
          <w:b w:val="1"/>
          <w:bCs w:val="1"/>
          <w:color w:val="auto"/>
        </w:rPr>
        <w:t>. Our IQ EV chargers are compatible with most EVs sold in North America. Customers are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able to purchase Enphase-branded EV chargers, which support both J1772 and North American Charging Standard connectors with a charging power range between 32 amperes and 64 amperes.</w:t>
      </w:r>
    </w:p>
    <w:p>
      <w:pPr>
        <w:spacing w:after="0" w:line="70" w:lineRule="exact"/>
        <w:rPr>
          <w:sz w:val="20"/>
          <w:szCs w:val="20"/>
          <w:color w:val="auto"/>
        </w:rPr>
      </w:pPr>
    </w:p>
    <w:p>
      <w:pPr>
        <w:jc w:val="both"/>
        <w:ind w:right="20" w:firstLine="540"/>
        <w:spacing w:after="0" w:line="289" w:lineRule="auto"/>
        <w:rPr>
          <w:sz w:val="20"/>
          <w:szCs w:val="20"/>
          <w:color w:val="auto"/>
        </w:rPr>
      </w:pPr>
      <w:r>
        <w:rPr>
          <w:rFonts w:ascii="Arial" w:cs="Arial" w:eastAsia="Arial" w:hAnsi="Arial"/>
          <w:sz w:val="19"/>
          <w:szCs w:val="19"/>
          <w:b w:val="1"/>
          <w:bCs w:val="1"/>
          <w:color w:val="auto"/>
        </w:rPr>
        <w:t>Our smart IQ EV Chargers sold in the United States and Canada are equipped with Wi-Fi and include smart control and monitoring capabilities. Our IQ EV Charger is designed to seamlessly integrate into our solar and battery systems to help homeowners maximize electricity cost savings by charging directly from solar energy.</w:t>
      </w:r>
    </w:p>
    <w:p>
      <w:pPr>
        <w:spacing w:after="0" w:line="51" w:lineRule="exact"/>
        <w:rPr>
          <w:sz w:val="20"/>
          <w:szCs w:val="20"/>
          <w:color w:val="auto"/>
        </w:rPr>
      </w:pPr>
    </w:p>
    <w:p>
      <w:pPr>
        <w:jc w:val="both"/>
        <w:ind w:right="20" w:firstLine="540"/>
        <w:spacing w:after="0" w:line="249" w:lineRule="auto"/>
        <w:rPr>
          <w:sz w:val="20"/>
          <w:szCs w:val="20"/>
          <w:color w:val="auto"/>
        </w:rPr>
      </w:pPr>
      <w:r>
        <w:rPr>
          <w:rFonts w:ascii="Arial" w:cs="Arial" w:eastAsia="Arial" w:hAnsi="Arial"/>
          <w:sz w:val="19"/>
          <w:szCs w:val="19"/>
          <w:b w:val="1"/>
          <w:bCs w:val="1"/>
          <w:color w:val="auto"/>
        </w:rPr>
        <w:t>Our most advanced residential charger to date, the IQ</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EV Charger 2 supports up to 22 kW of three-phase charging and can operate either as a standalone charger or fully integrated with our IQ Microinverters and IQ Batteries. We ship the IQ EV Charger 2 into 14 countries in Europe and recently expanded across Europe to now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146685</wp:posOffset>
                </wp:positionV>
                <wp:extent cx="63341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55pt" to="505.35pt,11.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146685</wp:posOffset>
                </wp:positionV>
                <wp:extent cx="63341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55pt" to="505.35pt,11.5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9</w:t>
      </w:r>
    </w:p>
    <w:p>
      <w:pPr>
        <w:sectPr>
          <w:pgSz w:w="12240" w:h="15840" w:orient="portrait"/>
          <w:cols w:equalWidth="0" w:num="1">
            <w:col w:w="10260"/>
          </w:cols>
          <w:pgMar w:left="1000" w:top="216" w:right="980" w:bottom="40" w:gutter="0" w:footer="0" w:header="0"/>
          <w:type w:val="continuous"/>
        </w:sectPr>
      </w:pPr>
    </w:p>
    <w:bookmarkStart w:id="9" w:name="page10"/>
    <w:bookmarkEnd w:id="9"/>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314" w:lineRule="auto"/>
        <w:rPr>
          <w:sz w:val="20"/>
          <w:szCs w:val="20"/>
          <w:color w:val="auto"/>
        </w:rPr>
      </w:pPr>
      <w:r>
        <w:rPr>
          <w:rFonts w:ascii="Arial" w:cs="Arial" w:eastAsia="Arial" w:hAnsi="Arial"/>
          <w:sz w:val="19"/>
          <w:szCs w:val="19"/>
          <w:b w:val="1"/>
          <w:bCs w:val="1"/>
          <w:color w:val="auto"/>
        </w:rPr>
        <w:t>include Greece, Romania, Ireland and Poland. In June 2025, we started shipping IQ EV Charger 2 to Australia and New Zealand. We also started shipping the IQ EV Charger 2 to the United States and Canada in December 2025.</w:t>
      </w:r>
    </w:p>
    <w:p>
      <w:pPr>
        <w:spacing w:after="0" w:line="28"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new CS-100 EV Charger, our most powerful EV charger to date, is designed to provide up to 19.2 kW of continuous power, and is available for customers with commercial fleet EVs in the United States.</w:t>
      </w:r>
    </w:p>
    <w:p>
      <w:pPr>
        <w:spacing w:after="0" w:line="50" w:lineRule="exact"/>
        <w:rPr>
          <w:sz w:val="20"/>
          <w:szCs w:val="20"/>
          <w:color w:val="auto"/>
        </w:rPr>
      </w:pPr>
    </w:p>
    <w:p>
      <w:pPr>
        <w:jc w:val="both"/>
        <w:ind w:right="20" w:firstLine="540"/>
        <w:spacing w:after="0" w:line="239" w:lineRule="auto"/>
        <w:rPr>
          <w:sz w:val="20"/>
          <w:szCs w:val="20"/>
          <w:color w:val="auto"/>
        </w:rPr>
      </w:pPr>
      <w:r>
        <w:rPr>
          <w:rFonts w:ascii="Arial" w:cs="Arial" w:eastAsia="Arial" w:hAnsi="Arial"/>
          <w:sz w:val="20"/>
          <w:szCs w:val="20"/>
          <w:b w:val="1"/>
          <w:bCs w:val="1"/>
          <w:color w:val="auto"/>
        </w:rPr>
        <w:t>We announced a new IQ</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Bidirectional EV Charger architecture in September 2025, featuring vehicle-to-home and vehicle-to-grid capability. This charger is expected to connect to the DC port of the EV and lets homeowners charge their EV, power their home seamlessly during outages, and share energy with the grid – all managed through the Enphase App.</w:t>
      </w:r>
    </w:p>
    <w:p>
      <w:pPr>
        <w:spacing w:after="0" w:line="95" w:lineRule="exact"/>
        <w:rPr>
          <w:sz w:val="20"/>
          <w:szCs w:val="20"/>
          <w:color w:val="auto"/>
        </w:rPr>
      </w:pPr>
    </w:p>
    <w:p>
      <w:pPr>
        <w:jc w:val="both"/>
        <w:ind w:right="20" w:firstLine="540"/>
        <w:spacing w:after="0" w:line="291" w:lineRule="auto"/>
        <w:rPr>
          <w:sz w:val="20"/>
          <w:szCs w:val="20"/>
          <w:color w:val="auto"/>
        </w:rPr>
      </w:pPr>
      <w:r>
        <w:rPr>
          <w:rFonts w:ascii="Arial" w:cs="Arial" w:eastAsia="Arial" w:hAnsi="Arial"/>
          <w:sz w:val="18"/>
          <w:szCs w:val="18"/>
          <w:b w:val="1"/>
          <w:bCs w:val="1"/>
          <w:i w:val="1"/>
          <w:iCs w:val="1"/>
          <w:color w:val="auto"/>
        </w:rPr>
        <w:t xml:space="preserve">Grid Services or Virtual Power Plants. </w:t>
      </w:r>
      <w:r>
        <w:rPr>
          <w:rFonts w:ascii="Arial" w:cs="Arial" w:eastAsia="Arial" w:hAnsi="Arial"/>
          <w:sz w:val="18"/>
          <w:szCs w:val="18"/>
          <w:b w:val="1"/>
          <w:bCs w:val="1"/>
          <w:color w:val="auto"/>
        </w:rPr>
        <w:t>Grid services or virtual power plant (“VPP”) programs are managed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regional utilities and use energy stored in home batteries to help power communities when it is needed most, like during periods of peak electricity demand. This reduces reliance on costly and polluting power plants for electricity and, in return, provides incentives to homeowners from their own utilities. Incentive programs may serve as a discount on the purchase of an Enphase Energy System with IQ Batteries or as ongoing payments to participating homeowners. We are currently participating in incentive programs across the United States, Canada and Europe.</w:t>
      </w:r>
    </w:p>
    <w:p>
      <w:pPr>
        <w:spacing w:after="0" w:line="54"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19"/>
          <w:szCs w:val="19"/>
          <w:b w:val="1"/>
          <w:bCs w:val="1"/>
          <w:i w:val="1"/>
          <w:iCs w:val="1"/>
          <w:color w:val="auto"/>
        </w:rPr>
        <w:t>Solargraf</w:t>
      </w:r>
      <w:r>
        <w:rPr>
          <w:rFonts w:ascii="Arial" w:cs="Arial" w:eastAsia="Arial" w:hAnsi="Arial"/>
          <w:sz w:val="25"/>
          <w:szCs w:val="25"/>
          <w:b w:val="1"/>
          <w:bCs w:val="1"/>
          <w:i w:val="1"/>
          <w:iCs w:val="1"/>
          <w:color w:val="auto"/>
          <w:vertAlign w:val="superscript"/>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We offer our Solargraf Design and Proposal™ platform, a cloud-based solar and battery design,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proposal software and permitting service for both residential and commercial customers. Solargraf is offered in the United States, Canada, Brazil, Germany, Austria, the Netherlands, France, Australia, Japan and India. In 2025, we introduced updates to the Solargraf platform, including integrations with leading TPO financing providers, enabling finance-ready proposal generation within the platform. The platform also received independent validation from the National Renewable Energy Laboratory (“NREL”) for accuracy in system modeling.</w:t>
      </w:r>
    </w:p>
    <w:p>
      <w:pPr>
        <w:spacing w:after="0" w:line="82" w:lineRule="exact"/>
        <w:rPr>
          <w:sz w:val="20"/>
          <w:szCs w:val="20"/>
          <w:color w:val="auto"/>
        </w:rPr>
      </w:pPr>
    </w:p>
    <w:p>
      <w:pPr>
        <w:jc w:val="both"/>
        <w:ind w:right="20" w:firstLine="540"/>
        <w:spacing w:after="0" w:line="300" w:lineRule="auto"/>
        <w:rPr>
          <w:sz w:val="20"/>
          <w:szCs w:val="20"/>
          <w:color w:val="auto"/>
        </w:rPr>
      </w:pPr>
      <w:r>
        <w:rPr>
          <w:rFonts w:ascii="Arial" w:cs="Arial" w:eastAsia="Arial" w:hAnsi="Arial"/>
          <w:sz w:val="18"/>
          <w:szCs w:val="18"/>
          <w:b w:val="1"/>
          <w:bCs w:val="1"/>
          <w:color w:val="auto"/>
        </w:rPr>
        <w:t>We also offer digital platforms that support installers and cleantech asset owners across the project lifecycle. Our on-demand service platform matches cleantech asset owners with a local network of independent professionals for installation, maintenance and repair services. In addition, our Enphase Appointments Program provides qualified solar appointments to installers to help increase volumes and improve customer acquisition efficiency.</w:t>
      </w:r>
    </w:p>
    <w:p>
      <w:pPr>
        <w:spacing w:after="0" w:line="45"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9"/>
          <w:szCs w:val="19"/>
          <w:b w:val="1"/>
          <w:bCs w:val="1"/>
          <w:i w:val="1"/>
          <w:iCs w:val="1"/>
          <w:color w:val="auto"/>
        </w:rPr>
        <w:t xml:space="preserve">Enphase Care. </w:t>
      </w:r>
      <w:r>
        <w:rPr>
          <w:rFonts w:ascii="Arial" w:cs="Arial" w:eastAsia="Arial" w:hAnsi="Arial"/>
          <w:sz w:val="19"/>
          <w:szCs w:val="19"/>
          <w:b w:val="1"/>
          <w:bCs w:val="1"/>
          <w:color w:val="auto"/>
        </w:rPr>
        <w:t>We also launched a new offering, the Enphase Care™ service, an optional service and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maintenance plan that complements the standard Enphase hardware limited warranties. Enphase Care provides continuous system monitoring through the Enphase App, remote diagnostics and troubleshooting, and priority access to Enphase support personnel to help customers maintain reliable long-term performance of Enphase Energy Systems. Where a covered Enphase component requires in-person service, Enphase Care includes $0 on-site labor for covered repairs performed by Enphase-trained technicians.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 and Sales</w:t>
      </w:r>
    </w:p>
    <w:p>
      <w:pPr>
        <w:spacing w:after="0" w:line="13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We currently offer solutions targeting the residential and commercial markets in the United States, Canada, Mexico, Puerto Rico, Europe, Australia, New Zealand, India, Thailand, Central America, the Caribbean and certain Asian countries. We primarily sell to solar distributors who combine our products with others, including solar module products and racking systems, and resell to installers in each target region. In addition to our solar distributors, we sell directly to select large installers, original equipment manufacturers (“OEM”) and strategic partners. Our OEM customers include solar module manufacturers who integrate our microinverters with their solar module products and resell to both distributors and installers. Strategic partners include a variety of companies, including industrial equipment suppliers, module companies, energy suppliers and developers of third-party solar finance offerings (such as TPOs).</w:t>
      </w:r>
    </w:p>
    <w:p>
      <w:pPr>
        <w:spacing w:after="0" w:line="81" w:lineRule="exact"/>
        <w:rPr>
          <w:sz w:val="20"/>
          <w:szCs w:val="20"/>
          <w:color w:val="auto"/>
        </w:rPr>
      </w:pPr>
    </w:p>
    <w:p>
      <w:pPr>
        <w:jc w:val="both"/>
        <w:ind w:right="20" w:firstLine="540"/>
        <w:spacing w:after="0" w:line="295" w:lineRule="auto"/>
        <w:rPr>
          <w:sz w:val="20"/>
          <w:szCs w:val="20"/>
          <w:color w:val="auto"/>
        </w:rPr>
      </w:pPr>
      <w:r>
        <w:rPr>
          <w:rFonts w:ascii="Arial" w:cs="Arial" w:eastAsia="Arial" w:hAnsi="Arial"/>
          <w:sz w:val="18"/>
          <w:szCs w:val="18"/>
          <w:b w:val="1"/>
          <w:bCs w:val="1"/>
          <w:color w:val="auto"/>
        </w:rPr>
        <w:t>We also sell certain products to homeowners through third-party marketplaces, and offer additional products and services through our online store, primarily to support our warranty programs and product upgrade initiatives. In the years ended December 31, 2025, 2024 and 2023, one customer accounted for approximately 39%, 48% and 40%, respectively, of our net revenues. Our revenue generated from the United States market has represented 81%, 70% and 64% of our net revenues for the years ended on December 31, 2025, 2024 and 2023,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1263650</wp:posOffset>
                </wp:positionV>
                <wp:extent cx="633412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9.5pt" to="505.35pt,9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1263650</wp:posOffset>
                </wp:positionV>
                <wp:extent cx="633412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9.5pt" to="505.35pt,99.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10</w:t>
      </w:r>
    </w:p>
    <w:p>
      <w:pPr>
        <w:sectPr>
          <w:pgSz w:w="12240" w:h="15840" w:orient="portrait"/>
          <w:cols w:equalWidth="0" w:num="1">
            <w:col w:w="10260"/>
          </w:cols>
          <w:pgMar w:left="1000" w:top="216" w:right="980" w:bottom="40" w:gutter="0" w:footer="0" w:header="0"/>
          <w:type w:val="continuous"/>
        </w:sectPr>
      </w:pPr>
    </w:p>
    <w:bookmarkStart w:id="10" w:name="page11"/>
    <w:bookmarkEnd w:id="10"/>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 markets for our products are highly competitive and we compete with central and string inverter manufacturers, storage system manufacturers and new technologies that compete with our business. The principal areas in which we compete with other companies include:</w:t>
      </w:r>
    </w:p>
    <w:p>
      <w:pPr>
        <w:spacing w:after="0" w:line="70" w:lineRule="exact"/>
        <w:rPr>
          <w:sz w:val="20"/>
          <w:szCs w:val="20"/>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product performance and features;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total cost of ownership;</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breadth of product line;</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local sales and distribution capabilities;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module compatibility and interoperability;</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reliability and duration of product warranty;</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technological expertise;</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brand recognition;</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customer service and support;</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industry standards and certifications;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current and planned local electrical codes;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integration with storage offerings;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size and financial stability of operations;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size of installed base; and</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local manufacturing and product content.</w:t>
      </w:r>
    </w:p>
    <w:p>
      <w:pPr>
        <w:spacing w:after="0" w:line="13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We believe that traditional string inverters have a number of design and performance challenges limiting innovation and their ability to reduce the cost of solar power systems, including the following:</w:t>
      </w:r>
    </w:p>
    <w:p>
      <w:pPr>
        <w:spacing w:after="0" w:line="79" w:lineRule="exact"/>
        <w:rPr>
          <w:sz w:val="20"/>
          <w:szCs w:val="20"/>
          <w:color w:val="auto"/>
        </w:rPr>
      </w:pPr>
    </w:p>
    <w:p>
      <w:pPr>
        <w:jc w:val="both"/>
        <w:ind w:left="720" w:right="20" w:hanging="370"/>
        <w:spacing w:after="0" w:line="262"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Productivity limits</w:t>
      </w:r>
      <w:r>
        <w:rPr>
          <w:rFonts w:ascii="Arial" w:cs="Arial" w:eastAsia="Arial" w:hAnsi="Arial"/>
          <w:sz w:val="20"/>
          <w:szCs w:val="20"/>
          <w:b w:val="1"/>
          <w:bCs w:val="1"/>
          <w:color w:val="auto"/>
        </w:rPr>
        <w:t>. If solar modules are wired using a traditional central inverter—a group or “string”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modules are wired in series, then an entire string’s output is limited by the output of the lowest-performing module. Because of its string design, there is a single point of failure risk with the traditional string inverter approach.</w:t>
      </w:r>
    </w:p>
    <w:p>
      <w:pPr>
        <w:spacing w:after="0" w:line="75" w:lineRule="exact"/>
        <w:rPr>
          <w:rFonts w:ascii="Arial" w:cs="Arial" w:eastAsia="Arial" w:hAnsi="Arial"/>
          <w:sz w:val="20"/>
          <w:szCs w:val="20"/>
          <w:b w:val="1"/>
          <w:bCs w:val="1"/>
          <w:color w:val="auto"/>
        </w:rPr>
      </w:pPr>
    </w:p>
    <w:p>
      <w:pPr>
        <w:jc w:val="both"/>
        <w:ind w:left="720" w:right="20" w:hanging="370"/>
        <w:spacing w:after="0" w:line="268"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Reli</w:t>
      </w:r>
      <w:r>
        <w:rPr>
          <w:rFonts w:ascii="Arial" w:cs="Arial" w:eastAsia="Arial" w:hAnsi="Arial"/>
          <w:sz w:val="20"/>
          <w:szCs w:val="20"/>
          <w:b w:val="1"/>
          <w:bCs w:val="1"/>
          <w:color w:val="auto"/>
        </w:rPr>
        <w:t>a</w:t>
      </w:r>
      <w:r>
        <w:rPr>
          <w:rFonts w:ascii="Arial" w:cs="Arial" w:eastAsia="Arial" w:hAnsi="Arial"/>
          <w:sz w:val="20"/>
          <w:szCs w:val="20"/>
          <w:b w:val="1"/>
          <w:bCs w:val="1"/>
          <w:i w:val="1"/>
          <w:iCs w:val="1"/>
          <w:color w:val="auto"/>
        </w:rPr>
        <w:t>bility issues</w:t>
      </w:r>
      <w:r>
        <w:rPr>
          <w:rFonts w:ascii="Arial" w:cs="Arial" w:eastAsia="Arial" w:hAnsi="Arial"/>
          <w:sz w:val="20"/>
          <w:szCs w:val="20"/>
          <w:b w:val="1"/>
          <w:bCs w:val="1"/>
          <w:color w:val="auto"/>
        </w:rPr>
        <w:t>. Traditional string inverters are the single most common component of solar installations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fail, resulting in system downtime and adversely impacting total energy output. As a result, string inverters typically carry warranties of only 8 to 12 years.</w:t>
      </w:r>
    </w:p>
    <w:p>
      <w:pPr>
        <w:spacing w:after="0" w:line="69" w:lineRule="exact"/>
        <w:rPr>
          <w:rFonts w:ascii="Arial" w:cs="Arial" w:eastAsia="Arial" w:hAnsi="Arial"/>
          <w:sz w:val="20"/>
          <w:szCs w:val="20"/>
          <w:b w:val="1"/>
          <w:bCs w:val="1"/>
          <w:color w:val="auto"/>
        </w:rPr>
      </w:pPr>
    </w:p>
    <w:p>
      <w:pPr>
        <w:jc w:val="both"/>
        <w:ind w:left="720" w:right="20" w:hanging="370"/>
        <w:spacing w:after="0" w:line="276" w:lineRule="auto"/>
        <w:tabs>
          <w:tab w:leader="none" w:pos="72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Complex design and installation requirements</w:t>
      </w:r>
      <w:r>
        <w:rPr>
          <w:rFonts w:ascii="Arial" w:cs="Arial" w:eastAsia="Arial" w:hAnsi="Arial"/>
          <w:sz w:val="19"/>
          <w:szCs w:val="19"/>
          <w:b w:val="1"/>
          <w:bCs w:val="1"/>
          <w:color w:val="auto"/>
        </w:rPr>
        <w:t>. The string inverter-based solar PV installation requires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greater effort on the part of the installer, both in terms of design and on-site labor. String inverter installations require string design and calculations for safe and reliable operation, as well as specialized equipment such as DC combiners, conduits and disconnects. In addition, the use of high-voltage DC requires specialized knowledge and training and safety precautions to install string inverter technology.</w:t>
      </w:r>
    </w:p>
    <w:p>
      <w:pPr>
        <w:spacing w:after="0" w:line="63" w:lineRule="exact"/>
        <w:rPr>
          <w:rFonts w:ascii="Arial" w:cs="Arial" w:eastAsia="Arial" w:hAnsi="Arial"/>
          <w:sz w:val="19"/>
          <w:szCs w:val="19"/>
          <w:b w:val="1"/>
          <w:bCs w:val="1"/>
          <w:color w:val="auto"/>
        </w:rPr>
      </w:pPr>
    </w:p>
    <w:p>
      <w:pPr>
        <w:jc w:val="both"/>
        <w:ind w:left="720" w:right="20" w:hanging="370"/>
        <w:spacing w:after="0" w:line="262"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Safety issues</w:t>
      </w:r>
      <w:r>
        <w:rPr>
          <w:rFonts w:ascii="Arial" w:cs="Arial" w:eastAsia="Arial" w:hAnsi="Arial"/>
          <w:sz w:val="20"/>
          <w:szCs w:val="20"/>
          <w:b w:val="1"/>
          <w:bCs w:val="1"/>
          <w:color w:val="auto"/>
        </w:rPr>
        <w:t>. String inverter solar PV installations have a wide distribution of high-voltage (600 volts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1,000 volts) DC wiring. If damaged, DC wires can generate sustained electrical arcs, reaching temperatures of more than 5,000°F. This creates the risk of fire for solar PV installation owners and injury for installers and maintenance personnel.</w:t>
      </w:r>
    </w:p>
    <w:p>
      <w:pPr>
        <w:spacing w:after="0" w:line="76" w:lineRule="exact"/>
        <w:rPr>
          <w:sz w:val="20"/>
          <w:szCs w:val="20"/>
          <w:color w:val="auto"/>
        </w:rPr>
      </w:pPr>
    </w:p>
    <w:p>
      <w:pPr>
        <w:ind w:right="20" w:firstLine="540"/>
        <w:spacing w:after="0" w:line="287" w:lineRule="auto"/>
        <w:rPr>
          <w:sz w:val="20"/>
          <w:szCs w:val="20"/>
          <w:color w:val="auto"/>
        </w:rPr>
      </w:pPr>
      <w:r>
        <w:rPr>
          <w:rFonts w:ascii="Arial" w:cs="Arial" w:eastAsia="Arial" w:hAnsi="Arial"/>
          <w:sz w:val="20"/>
          <w:szCs w:val="20"/>
          <w:b w:val="1"/>
          <w:bCs w:val="1"/>
          <w:color w:val="auto"/>
        </w:rPr>
        <w:t>These challenges of traditional string inverters have a direct impact on the cost and expected return on investment of solar installations to both installers and system owners:</w:t>
      </w:r>
    </w:p>
    <w:p>
      <w:pPr>
        <w:spacing w:after="0" w:line="50" w:lineRule="exact"/>
        <w:rPr>
          <w:sz w:val="20"/>
          <w:szCs w:val="20"/>
          <w:color w:val="auto"/>
        </w:rPr>
      </w:pPr>
    </w:p>
    <w:p>
      <w:pPr>
        <w:jc w:val="both"/>
        <w:ind w:left="720" w:hanging="370"/>
        <w:spacing w:after="0" w:line="311" w:lineRule="auto"/>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Installer</w:t>
      </w:r>
      <w:r>
        <w:rPr>
          <w:rFonts w:ascii="Arial" w:cs="Arial" w:eastAsia="Arial" w:hAnsi="Arial"/>
          <w:sz w:val="18"/>
          <w:szCs w:val="18"/>
          <w:b w:val="1"/>
          <w:bCs w:val="1"/>
          <w:color w:val="auto"/>
        </w:rPr>
        <w:t>. Solar PV installers aim for simple installation design, fast installation times and maximum system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performance and predictability. The installation of high-voltage DC string inverter technology, however, requires significant preparation, precautionary safety measures, time-consuming string calculations,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189230</wp:posOffset>
                </wp:positionV>
                <wp:extent cx="633412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4.9pt" to="505.35pt,14.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189230</wp:posOffset>
                </wp:positionV>
                <wp:extent cx="63341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4.9pt" to="505.35pt,14.9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11</w:t>
      </w:r>
    </w:p>
    <w:p>
      <w:pPr>
        <w:sectPr>
          <w:pgSz w:w="12240" w:h="15840" w:orient="portrait"/>
          <w:cols w:equalWidth="0" w:num="1">
            <w:col w:w="10260"/>
          </w:cols>
          <w:pgMar w:left="1000" w:top="216" w:right="980" w:bottom="40" w:gutter="0" w:footer="0" w:header="0"/>
          <w:type w:val="continuous"/>
        </w:sectPr>
      </w:pPr>
    </w:p>
    <w:bookmarkStart w:id="11" w:name="page12"/>
    <w:bookmarkEnd w:id="11"/>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720"/>
        <w:spacing w:after="0" w:line="345" w:lineRule="auto"/>
        <w:rPr>
          <w:sz w:val="20"/>
          <w:szCs w:val="20"/>
          <w:color w:val="auto"/>
        </w:rPr>
      </w:pPr>
      <w:r>
        <w:rPr>
          <w:rFonts w:ascii="Arial" w:cs="Arial" w:eastAsia="Arial" w:hAnsi="Arial"/>
          <w:sz w:val="18"/>
          <w:szCs w:val="18"/>
          <w:b w:val="1"/>
          <w:bCs w:val="1"/>
          <w:color w:val="auto"/>
        </w:rPr>
        <w:t>extensive design expertise and specialized installation equipment, training and knowledge. Together, these factors significantly increase complexity and cost of installation and limit overall productivity for the installer.</w:t>
      </w:r>
    </w:p>
    <w:p>
      <w:pPr>
        <w:spacing w:after="0" w:line="5" w:lineRule="exact"/>
        <w:rPr>
          <w:sz w:val="20"/>
          <w:szCs w:val="20"/>
          <w:color w:val="auto"/>
        </w:rPr>
      </w:pPr>
    </w:p>
    <w:p>
      <w:pPr>
        <w:jc w:val="both"/>
        <w:ind w:left="720" w:right="20" w:hanging="370"/>
        <w:spacing w:after="0" w:line="289" w:lineRule="auto"/>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System owner</w:t>
      </w:r>
      <w:r>
        <w:rPr>
          <w:rFonts w:ascii="Arial" w:cs="Arial" w:eastAsia="Arial" w:hAnsi="Arial"/>
          <w:sz w:val="18"/>
          <w:szCs w:val="18"/>
          <w:b w:val="1"/>
          <w:bCs w:val="1"/>
          <w:color w:val="auto"/>
        </w:rPr>
        <w:t>. Solar power system owners aim for high energy production, low cost, high reliability, and low</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maintenance requirements, as well as reduced fire risks. With traditional string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string inverter installations operate at high-voltage DC, which bears significant fire risks. Further, due to their large size, string inverter installations can affect architectural aesthetics of the house or commercial building.</w:t>
      </w:r>
    </w:p>
    <w:p>
      <w:pPr>
        <w:spacing w:after="0" w:line="55"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Several of our existing and potential competitors are significantly larger than us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in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may have caused and could in the future cause us to lose sales or market share or require us to lower prices of our products in order to compete effectively.</w:t>
      </w:r>
    </w:p>
    <w:p>
      <w:pPr>
        <w:spacing w:after="0" w:line="68"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Competitors in the inverter market include, among others, SolarEdge Technologies, Inc. (“SolarEdge”), Huawei Technologies Co. Ltd., (“Huawei”), Tesla, Inc. (“Tesla”), Sungrow Power Supply Co., Ltd., Growatt New Energy Co., Ltd and other companies offering microinverters and/or string inverters with and without solar optimizers. We believe that our microinverter solutions offer significant advantages and competitive differentiation relative to traditional central or string inverter technology, even when supplemented by DC-to-DC optimizers on the roof.</w:t>
      </w:r>
    </w:p>
    <w:p>
      <w:pPr>
        <w:spacing w:after="0" w:line="82" w:lineRule="exact"/>
        <w:rPr>
          <w:sz w:val="20"/>
          <w:szCs w:val="20"/>
          <w:color w:val="auto"/>
        </w:rPr>
      </w:pPr>
    </w:p>
    <w:p>
      <w:pPr>
        <w:jc w:val="both"/>
        <w:ind w:right="20" w:firstLine="540"/>
        <w:spacing w:after="0" w:line="289" w:lineRule="auto"/>
        <w:rPr>
          <w:sz w:val="20"/>
          <w:szCs w:val="20"/>
          <w:color w:val="auto"/>
        </w:rPr>
      </w:pPr>
      <w:r>
        <w:rPr>
          <w:rFonts w:ascii="Arial" w:cs="Arial" w:eastAsia="Arial" w:hAnsi="Arial"/>
          <w:sz w:val="19"/>
          <w:szCs w:val="19"/>
          <w:b w:val="1"/>
          <w:bCs w:val="1"/>
          <w:color w:val="auto"/>
        </w:rPr>
        <w:t>Competitors in the storage market include Tesla, SolarEdge, Huawei, BYD Company Limited (“BYD”), Franklin Solar Battery and other producers of battery cells and integrated storage systems. Competitors in the EV charger market include Wallbox N.V., ChargePoint Holdings, Inc., Tesla and EVBox Group, among others.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Quality Control and Supply Chain Management</w:t>
      </w:r>
    </w:p>
    <w:p>
      <w:pPr>
        <w:spacing w:after="0" w:line="130"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We utilize a sourcing strategy that emphasizes global procurement of materials and product manufacturing in lower cost regions. We outsource the manufacturing of some of our products to third-party contract manufacturers. We utilize Flex Ltd. and affiliates (“Flex”), Salcomp Manufacturing India PVT and Sunwoda Electric Co. Ltd. to assemble and test certain of our IQ microinverters, IQ Battery storage systems, EV chargers and IQ Gateway products. Prices for such services are agreed to by the parties on a quarterly basis, and under our agreements we are obligated to purchase manufactured products and raw materials that cannot be resold upon the termination of the applicable agreements. DHL, Flex and other service providers also provide receiving, kitting, storage, transportation, inventory visibility and other value-added logistics services. In addition, we rely on several unaffiliated companies to supply certain components used in the fabrication of our products.</w:t>
      </w:r>
    </w:p>
    <w:p>
      <w:pPr>
        <w:spacing w:after="0" w:line="68"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18"/>
          <w:szCs w:val="18"/>
          <w:b w:val="1"/>
          <w:bCs w:val="1"/>
          <w:color w:val="auto"/>
        </w:rPr>
        <w:t>In November 2025, we commenced Enphase manufacturing at our Arlington, Texas facility previously operated by Salcomp Manufacturing USA Corp. This in-house facility, together with our contract manufacturer relationship with Flex, provides us with strategic manufacturing capabilities and enhanced operational flexibility in the United States. We are currently shipping both residential and commercial IQ Microinverters and IQ Batteries with higher domestic content from the U.S.-based manufacturing facilities in South Carolina and Texas, where we have added several new production lines across the two sites. Moving manufacturing to the United States allows us to benefit from certain incentives under the IRA, improve service to our customers by reducing delivery times, diversifying our supply chain and supporting solar projects to qualify for the Domestic Content Bonus Credit.</w:t>
      </w:r>
    </w:p>
    <w:p>
      <w:pPr>
        <w:spacing w:after="0" w:line="60"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9"/>
          <w:szCs w:val="19"/>
          <w:b w:val="1"/>
          <w:bCs w:val="1"/>
          <w:color w:val="auto"/>
        </w:rPr>
        <w:t>We are committed to delivering products and services that meet consistently high standards of quality. We maintain rigorous quality-control practices across all aspects of our operations, including design, research, production, and sales. To ensure that our products and services satisfy our internal benchmarks and specifications, we have implemented comprehensive quality-control procedures throughout our business processes. We also provide post-installation support services to our customers and homeowners.</w:t>
      </w:r>
    </w:p>
    <w:p>
      <w:pPr>
        <w:spacing w:after="0" w:line="31" w:lineRule="exact"/>
        <w:rPr>
          <w:sz w:val="20"/>
          <w:szCs w:val="20"/>
          <w:color w:val="auto"/>
        </w:rPr>
      </w:pPr>
    </w:p>
    <w:p>
      <w:pPr>
        <w:jc w:val="both"/>
        <w:ind w:firstLine="540"/>
        <w:spacing w:after="0" w:line="378" w:lineRule="auto"/>
        <w:rPr>
          <w:sz w:val="20"/>
          <w:szCs w:val="20"/>
          <w:color w:val="auto"/>
        </w:rPr>
      </w:pPr>
      <w:r>
        <w:rPr>
          <w:rFonts w:ascii="Arial" w:cs="Arial" w:eastAsia="Arial" w:hAnsi="Arial"/>
          <w:sz w:val="18"/>
          <w:szCs w:val="18"/>
          <w:b w:val="1"/>
          <w:bCs w:val="1"/>
          <w:color w:val="auto"/>
        </w:rPr>
        <w:t>Quality control is a cross-functional responsibility shared by teams across supply chain management, quality assurance, safety and compliance. These teams are responsible for establishing quality-control standards,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142875</wp:posOffset>
                </wp:positionV>
                <wp:extent cx="63341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25pt" to="505.35pt,11.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142875</wp:posOffset>
                </wp:positionV>
                <wp:extent cx="633412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25pt" to="505.35pt,11.2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12</w:t>
      </w:r>
    </w:p>
    <w:p>
      <w:pPr>
        <w:sectPr>
          <w:pgSz w:w="12240" w:h="15840" w:orient="portrait"/>
          <w:cols w:equalWidth="0" w:num="1">
            <w:col w:w="10260"/>
          </w:cols>
          <w:pgMar w:left="1000" w:top="216" w:right="980" w:bottom="40" w:gutter="0" w:footer="0" w:header="0"/>
          <w:type w:val="continuous"/>
        </w:sectPr>
      </w:pPr>
    </w:p>
    <w:bookmarkStart w:id="12" w:name="page13"/>
    <w:bookmarkEnd w:id="12"/>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color w:val="auto"/>
        </w:rPr>
        <w:t>implementing inspection procedures for raw materials and finished products, and evaluating supplier performance. They also oversee the handling of customer complaints and ensure adherence to applicable laws as well as international and national standards.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 Service</w:t>
      </w:r>
    </w:p>
    <w:p>
      <w:pPr>
        <w:spacing w:after="0" w:line="130"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8"/>
          <w:szCs w:val="18"/>
          <w:b w:val="1"/>
          <w:bCs w:val="1"/>
          <w:color w:val="auto"/>
        </w:rPr>
        <w:t>We continue to cultivate an organizational focus on customer satisfaction and are committed to providing a best-in-class customer experience. We maintain high levels of customer engagement through our global customer support group, the Enphase Community and the Enphase App. We continue to provide 24/7 support for installers and Enphase system owners worldwide through phone, online chat and email channels. We invest in ongoing training for our customer service agents and in advanced artificial intelligence tools designed to improve system diagnostics, enhance the quality and consistency of customer responses, and reduce average wait times to under two minutes. We also continue to expand our network of field service technicians in the United States, Europe and Australia to provide direct homeowner support. In addition, we have established an inside sales team to assist customers with services and system upgrades. Our Net Promoter Score (commonly referred to as “NPS”) improved to 78% in both 2025 and 2024, compared to 76% in 2023, reflecting the impact of these customer service initiatives.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3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We plan to continue to devote substantial resources to research and development with the objective of developing new products and systems and increasing the value or reducing the cost of existing products and systems. Our research and development roadmap identifies new product features and defines improvement targets for existing products that enhance the benefit of our energy management solutions to our customers and support our growth plans. We measure the effectiveness of our research and development using metrics that include product cost, performance and reliability, homeowner and installer experience, as well as development cost and performance to schedule.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3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We operate in an industry in which innovation, investment in new ideas and protection of our intellectual property rights are critical for success. We protect our technology through a variety of means, including through patent, trademark, copyright and trade secrets laws in the United States and similar laws in other countries, confidentiality agreements and other contractual arrangements. As of December 31, 2025, we have approximately 400 global patents and 200 pending patent applications. The majority of our patents are expiring on an ongoing basis between the present and approximately 2045, but there is not a material portion of our patent portfolio expiring in the near future.</w:t>
      </w:r>
    </w:p>
    <w:p>
      <w:pPr>
        <w:spacing w:after="0" w:line="83"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We have licensed certain technologies for application in hardware and software in our products. Such licenses are generally fully-paid, royalty-free licenses. Given the volume and pace of new patents worldwide, it may become necessary in the future to license intellectual property on terms that are yet unknown to us, and that may be less favorable than licenses in the past. In addition, we license open source software from various third parties for use in hardware and software. Such open source software is licensed under open source licenses, and we take efforts to maintain compliance with such licenses.</w:t>
      </w:r>
    </w:p>
    <w:p>
      <w:pPr>
        <w:spacing w:after="0" w:line="82"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We continually assess the need for patent protection for those aspects of our technology that we believe provide significant competitive advantages. A majority of our patents relate to DC to AC power conversion, energy storage devices and related energy environments.</w:t>
      </w:r>
    </w:p>
    <w:p>
      <w:pPr>
        <w:spacing w:after="0" w:line="7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With respect to proprietary know-how that is not patentable and processes for which patents are difficult to enforce, we rely on trade secret protection and confidentiality agreements to safeguard our interests. We believe that many elements of our microinverter and storage manufacturing processes involve proprietary know-how, technology or data that are not covered by patents or patent applications, including technical processes, test equipment designs, algorithms and procedures.</w:t>
      </w:r>
    </w:p>
    <w:p>
      <w:pPr>
        <w:spacing w:after="0" w:line="79"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We own or have rights to various trademarks and service marks in the United States and in other countries, including Enphase, the Enphase “e”, IQ, and many other marks. We rely on both registration of our marks as well as common law protection where available.</w:t>
      </w:r>
    </w:p>
    <w:p>
      <w:pPr>
        <w:spacing w:after="0" w:line="70" w:lineRule="exact"/>
        <w:rPr>
          <w:sz w:val="20"/>
          <w:szCs w:val="20"/>
          <w:color w:val="auto"/>
        </w:rPr>
      </w:pPr>
    </w:p>
    <w:p>
      <w:pPr>
        <w:jc w:val="both"/>
        <w:ind w:right="20" w:firstLine="540"/>
        <w:spacing w:after="0" w:line="311" w:lineRule="auto"/>
        <w:rPr>
          <w:sz w:val="20"/>
          <w:szCs w:val="20"/>
          <w:color w:val="auto"/>
        </w:rPr>
      </w:pPr>
      <w:r>
        <w:rPr>
          <w:rFonts w:ascii="Arial" w:cs="Arial" w:eastAsia="Arial" w:hAnsi="Arial"/>
          <w:sz w:val="18"/>
          <w:szCs w:val="18"/>
          <w:b w:val="1"/>
          <w:bCs w:val="1"/>
          <w:color w:val="auto"/>
        </w:rPr>
        <w:t>All of our research and development personnel have entered into confidentiality and proprietary information agreements with us. These agreements address intellectual property protection and require our employees to assign to us all of the inventions, designs and technologies they develop during the course of employment with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341630</wp:posOffset>
                </wp:positionV>
                <wp:extent cx="633412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6.9pt" to="505.35pt,26.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341630</wp:posOffset>
                </wp:positionV>
                <wp:extent cx="633412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6.9pt" to="505.35pt,26.9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13</w:t>
      </w:r>
    </w:p>
    <w:p>
      <w:pPr>
        <w:sectPr>
          <w:pgSz w:w="12240" w:h="15840" w:orient="portrait"/>
          <w:cols w:equalWidth="0" w:num="1">
            <w:col w:w="10260"/>
          </w:cols>
          <w:pgMar w:left="1000" w:top="216" w:right="980" w:bottom="40" w:gutter="0" w:footer="0" w:header="0"/>
          <w:type w:val="continuous"/>
        </w:sectPr>
      </w:pPr>
    </w:p>
    <w:bookmarkStart w:id="13" w:name="page14"/>
    <w:bookmarkEnd w:id="13"/>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We also require our customers and business partners to enter into confidentiality agreements before we disclose any sensitive aspects of our technology or business plans.</w:t>
      </w:r>
    </w:p>
    <w:p>
      <w:pPr>
        <w:spacing w:after="0" w:line="5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As part of our overall strategy to protect our intellectual property, we may take legal actions to prevent third parties from infringing or misappropriating our intellectual property or from otherwise gaining access to our technology.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Regulations</w:t>
      </w:r>
    </w:p>
    <w:p>
      <w:pPr>
        <w:spacing w:after="0" w:line="13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18"/>
          <w:szCs w:val="18"/>
          <w:b w:val="1"/>
          <w:bCs w:val="1"/>
          <w:color w:val="auto"/>
        </w:rPr>
        <w:t>Our business activities are subject to a changing patchwork of laws and regulations that prevail at the federal, state, regional and local levels as well as in foreign jurisdictions. For example, substantially all of our import operations are subject to complex trade and customs laws, regulations and tax requirements such as sanctions orders or tariffs set by governments through mutual agreements or unilateral actions. In addition, countries may from time to time adversely modify or impose additional duties, tariffs or other restrictions on the import or export of our fully manufactured products or the material components needed to make our products. Changes in tax policies or trade regulations, the disallowance of tax deductions on imported merchandise, or the imposition of new tariffs on imported products, could have an adverse effect on our business and results of operations.</w:t>
      </w:r>
    </w:p>
    <w:p>
      <w:pPr>
        <w:spacing w:after="0" w:line="60"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20"/>
          <w:szCs w:val="20"/>
          <w:b w:val="1"/>
          <w:bCs w:val="1"/>
          <w:color w:val="auto"/>
        </w:rPr>
        <w:t>We are also subject to other complex foreign and U.S. laws and regulations related to anti-bribery and corruption, antitrust or competition, and data privacy and security, such as the EU General Data Protection Regulation, among others. In addition, our business and operations are currently subject to environmental laws in various jurisdictions around the world, including the Waste Electrical and Electronic Equipment and Restriction of the Use of Certain Hazardous Substances in Electrical and Electronic Equipment regulations adopted by the EU. We are also subject to disclosure and related requirements that apply to the presence of “conflict minerals” in our products or supply chain. We have policies and procedures in place to promote compliance with these laws and regulations. To date, our compliance actions and costs relating to these laws, rules and regulations have not resulted in a material cost or effect on our capital expenditures, earnings or competitive position. Government regulations are subject to change, and accordingly we are unable to assess the possible effect of compliance with future requirements or whether our compliance with existing regulations will materially impact our business in the future.</w:t>
      </w:r>
    </w:p>
    <w:p>
      <w:pPr>
        <w:spacing w:after="0" w:line="91"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Uncertainty related to tariffs and global trade policies continues to affect our operations, the solar industry, and our customers. We have relocated a significant portion of our manufacturing to the United States while continuing to utilize contract manufacturing in China and India; however, certain critical components remain sourced from outside the United States.</w:t>
      </w:r>
    </w:p>
    <w:p>
      <w:pPr>
        <w:spacing w:after="0" w:line="76"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For example, lithium iron phosphate ("LFP") battery cells used in our energy storage systems are still supplied exclusively by two vendors located in China. While we are actively exploring alternative suppliers outside of China, the global supply chain for LFP battery cells remains heavily concentrated in China, and identifying qualified suppliers with the necessary expertise and capacity remains challenging.</w:t>
      </w:r>
    </w:p>
    <w:p>
      <w:pPr>
        <w:spacing w:after="0" w:line="76"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An escalation in trade tensions or the implementation of broader tariffs, trade restrictions or retaliatory measures on our products or components originating from countries outside the United States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2350770</wp:posOffset>
                </wp:positionV>
                <wp:extent cx="633412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85.1pt" to="505.35pt,185.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2350770</wp:posOffset>
                </wp:positionV>
                <wp:extent cx="633412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85.1pt" to="505.35pt,185.1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14</w:t>
      </w:r>
    </w:p>
    <w:p>
      <w:pPr>
        <w:sectPr>
          <w:pgSz w:w="12240" w:h="15840" w:orient="portrait"/>
          <w:cols w:equalWidth="0" w:num="1">
            <w:col w:w="10260"/>
          </w:cols>
          <w:pgMar w:left="1000" w:top="216" w:right="980" w:bottom="40" w:gutter="0" w:footer="0" w:header="0"/>
          <w:type w:val="continuous"/>
        </w:sectPr>
      </w:pPr>
    </w:p>
    <w:bookmarkStart w:id="14" w:name="page15"/>
    <w:bookmarkEnd w:id="14"/>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Incentives</w:t>
      </w:r>
    </w:p>
    <w:p>
      <w:pPr>
        <w:spacing w:after="0" w:line="130" w:lineRule="exact"/>
        <w:rPr>
          <w:sz w:val="20"/>
          <w:szCs w:val="20"/>
          <w:color w:val="auto"/>
        </w:rPr>
      </w:pPr>
    </w:p>
    <w:p>
      <w:pPr>
        <w:jc w:val="both"/>
        <w:ind w:firstLine="540"/>
        <w:spacing w:after="0" w:line="283" w:lineRule="auto"/>
        <w:rPr>
          <w:sz w:val="20"/>
          <w:szCs w:val="20"/>
          <w:color w:val="auto"/>
        </w:rPr>
      </w:pPr>
      <w:r>
        <w:rPr>
          <w:rFonts w:ascii="Arial" w:cs="Arial" w:eastAsia="Arial" w:hAnsi="Arial"/>
          <w:sz w:val="18"/>
          <w:szCs w:val="18"/>
          <w:b w:val="1"/>
          <w:bCs w:val="1"/>
          <w:color w:val="auto"/>
        </w:rPr>
        <w:t>U.S. federal, state and local government bodies, as well as non-U.S. government bodies provide supportive policies and incentives to owners, distributors, system integrators and manufacturers of solar energy and battery storage systems to promote the use of these resources in the form of rebates, tax credits, lower VAT rate and other financial incentives, such as system performance payments, payments for renewable energy credits associated with renewable energy generation and exclusion of solar energy systems from property tax assessments. The market for on-grid rooftop solar applications, where solar power, possibly coupled with battery storage, is used to supplement a customer’s electricity purchased from the utility network or sold to a utility under tariff, often depends in large part on the availability and size of these government-issued subsidies and economic incentives, which help to catalyze customer acceptance of solar energy as an alternative to utility-provisioned power. The modifications to, or disallowance of, government subsidies or economic incentives could have an adverse effect on our business and results of operations. Among other government-established incentives, net energy metering (“NEM”) and related policies have supported the growth of on-grid rooftop solar and storage products, and changes to such policies may significantly reduce demand for electricity from our solar and storage service offerings. NEM tariffs provide customers with compensation for exporting excess solar generation to the electrical grid.</w:t>
      </w:r>
    </w:p>
    <w:p>
      <w:pPr>
        <w:spacing w:after="0" w:line="63"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i w:val="1"/>
          <w:iCs w:val="1"/>
          <w:color w:val="auto"/>
        </w:rPr>
        <w:t xml:space="preserve">One Big Beautiful Bill Act. </w:t>
      </w:r>
      <w:r>
        <w:rPr>
          <w:rFonts w:ascii="Arial" w:cs="Arial" w:eastAsia="Arial" w:hAnsi="Arial"/>
          <w:sz w:val="20"/>
          <w:szCs w:val="20"/>
          <w:b w:val="1"/>
          <w:bCs w:val="1"/>
          <w:color w:val="auto"/>
        </w:rPr>
        <w:t>In July 2025, the One Big Beautiful Bill Act (the “OBBBA”) was enacted, introducing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material changes to certain federal clean energy tax credit programs that are significant to our business and may impact our financial condition, results of operations and future prospects.</w:t>
      </w:r>
    </w:p>
    <w:p>
      <w:pPr>
        <w:spacing w:after="0" w:line="70"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18"/>
          <w:szCs w:val="18"/>
          <w:b w:val="1"/>
          <w:bCs w:val="1"/>
          <w:color w:val="auto"/>
        </w:rPr>
        <w:t>The OBBBA scales back the Investment Tax Credit (the “ITC”) available under Section 25D of the Internal Revenue Code of 1986, as amended (the “Code”), for residential solar and storage systems purchased through cash or loans. Under the new law, the Section 25D credit expired on December 31, 2025. In addition, the OBBBA imposes new timing requirements for eligibility under Section 48E of the Code, which governs ITCs for leased solar and storage systems. Specifically, solar-only projects that do not commence construction within 12 months of the OBBBA’s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w:t>
      </w:r>
    </w:p>
    <w:p>
      <w:pPr>
        <w:spacing w:after="0" w:line="6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OBBBA also amends the domestic content bonus credit rules for Section 48E projects. Projects commencing construction after June 16, 2025 must meet a 45% domestic cost threshold, up from 40%.</w:t>
      </w:r>
    </w:p>
    <w:p>
      <w:pPr>
        <w:spacing w:after="0" w:line="5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Additionally, the OBBBA introduces new compliance requirements under the Foreign Entity of Concern (“FEOC”) provisions for both Section 48E and the Advanced Manufacturing Production Tax Credit (“AMPTC”) under Section 45X of the Code. These provisions establish an escalating threshold of non-FEOC content that must be met by solar and storage projects beginning construction in 2026 and by manufactured components produced beginning in 2026.</w:t>
      </w:r>
    </w:p>
    <w:p>
      <w:pPr>
        <w:spacing w:after="0" w:line="79"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9"/>
          <w:szCs w:val="19"/>
          <w:b w:val="1"/>
          <w:bCs w:val="1"/>
          <w:color w:val="auto"/>
        </w:rPr>
        <w:t>On July 7, 2025, the President issued an Executive Order directing the Secretary of the Treasury to issue updated guidance within 45 days on the “beginning of construction” requirements applicable to Section 48E projects. In August 2025, Treasury and the IRS issued revised “beginning of construction” guidance for clean energy tax credits that only applies to projects above 1MW. The Executive Order also requires the Secretary to implement the FEOC restrictions set forth in the OBBBA. Additional guidance around FEOC is still forthcoming and is expected to be finalized in 2026, which could make existing requirements more stringent.</w:t>
      </w:r>
    </w:p>
    <w:p>
      <w:pPr>
        <w:spacing w:after="0" w:line="69"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These legislative and regulatory developments have impacted and may in the future negatively impact our eligibility for certain tax credits, the attractiveness of our offerings to solar and storage system lease providers, or the overall demand for our products. If we are unable to meet the revised domestic content or FEOC requirements, our ability to qualify for these incentives could be impaired, which may adversely affect our revenue, gross margins, business operations and competitive position.</w:t>
      </w:r>
    </w:p>
    <w:p>
      <w:pPr>
        <w:spacing w:after="0" w:line="79"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8"/>
          <w:szCs w:val="18"/>
          <w:b w:val="1"/>
          <w:bCs w:val="1"/>
          <w:color w:val="auto"/>
        </w:rPr>
        <w:t>In December 2022, the California Public Utilities Commission (“CPUC”) approved a NEM policy, called Net Energy Metering 3.0 (“NEM 3.0”), which went into effect starting April 15, 2023. The new policy substantially reduces the compensation that solar customers can earn by selling excess solar energy to the electric grid. The average hourly export rate in California under NEM 3.0 is approximately $0.05/kWh to $0.08/kWh compared to the prior average of $0.25/kWh to $0.35/kWh under Net Energy Metering 2.0 (“NEM 2.0”). In November 2023, the CPUC also adopted changes to its “Virtual NEM” and “NEM Aggregation” programs that prohibit multi-meter commercial or agricultural property owners from netting solar energy generated at or adjacent to those properties against import charges recorded on the meters at the property, except for residential account holders in a multi-family residential property. Both of these policy changes in California reduced demand for solar PV systems in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128905</wp:posOffset>
                </wp:positionV>
                <wp:extent cx="633412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15pt" to="505.35pt,10.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128905</wp:posOffset>
                </wp:positionV>
                <wp:extent cx="633412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15pt" to="505.35pt,10.1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15</w:t>
      </w:r>
    </w:p>
    <w:p>
      <w:pPr>
        <w:sectPr>
          <w:pgSz w:w="12240" w:h="15840" w:orient="portrait"/>
          <w:cols w:equalWidth="0" w:num="1">
            <w:col w:w="10260"/>
          </w:cols>
          <w:pgMar w:left="1000" w:top="216" w:right="980" w:bottom="40" w:gutter="0" w:footer="0" w:header="0"/>
          <w:type w:val="continuous"/>
        </w:sectPr>
      </w:pPr>
    </w:p>
    <w:bookmarkStart w:id="15" w:name="page16"/>
    <w:bookmarkEnd w:id="15"/>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years ended December 31, 2025, 2024 and 2023 and may continue to do so. However, the reduction in export compensation under NEM 3.0, coupled with rising utility rates, may encourage deployment of battery energy storage with solar PV systems and mitigate some of the demand reductions.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130"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Historically, the majority of our revenue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Although these seasonal factors are common in the solar sector, historical patterns should not be considered a reliable indicator of our future sales activity or performance.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 and Climate Change</w:t>
      </w:r>
    </w:p>
    <w:p>
      <w:pPr>
        <w:spacing w:after="0" w:line="13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We have understood the climate change threat from the beginning and have been creating clean energy technologies needed to directly combat it, protect our environment and enable sustainable development. We recognize our ability to do so rests on our capacity to understand, anticipate and successfully navigate various types of climate risk. Our strategy is advancing solutions to meet any number of climate risk mitigation opportunities – solar energy equipment, battery storage, EV charging, smart load management and integration with grid modernization efforts.</w:t>
      </w:r>
    </w:p>
    <w:p>
      <w:pPr>
        <w:spacing w:after="0" w:line="82"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We align our risk assessment and climate strategy with the recommendations of the Taskforce for Climate-Related Financial Disclosures (“TCFD”), as all existing and emerging climate risk disclosure regulations are modeled on this framework. We issued our fifth TCFD aligned Environmental, Social and Governance Report in 2025 and plan to follow up with another aligned report in 2026.</w:t>
      </w:r>
    </w:p>
    <w:p>
      <w:pPr>
        <w:spacing w:after="0" w:line="76" w:lineRule="exact"/>
        <w:rPr>
          <w:sz w:val="20"/>
          <w:szCs w:val="20"/>
          <w:color w:val="auto"/>
        </w:rPr>
      </w:pPr>
    </w:p>
    <w:p>
      <w:pPr>
        <w:jc w:val="both"/>
        <w:ind w:right="20" w:firstLine="540"/>
        <w:spacing w:after="0" w:line="300" w:lineRule="auto"/>
        <w:rPr>
          <w:sz w:val="20"/>
          <w:szCs w:val="20"/>
          <w:color w:val="auto"/>
        </w:rPr>
      </w:pPr>
      <w:r>
        <w:rPr>
          <w:rFonts w:ascii="Arial" w:cs="Arial" w:eastAsia="Arial" w:hAnsi="Arial"/>
          <w:sz w:val="18"/>
          <w:szCs w:val="18"/>
          <w:b w:val="1"/>
          <w:bCs w:val="1"/>
          <w:color w:val="auto"/>
        </w:rPr>
        <w:t>We believe that sound corporate governance is critical to helping us achieve our goals, including with respect to designing products that address both energy generation and consumption. We continue to evolve a governance framework that exercises appropriate oversight of responsibilities at all levels throughout the company and manages its affairs consistent with high principles of business ethics and advancing a sustainable future for all.</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13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As of December 31, 2025, we had 2,872 full-time employees. Of the full-time employees, 1,300 were engaged in sales and marketing, 1,081 were engaged in research and development, 254 in general and administration, 148 in manufacturing and 89 in solar system configuration design and permitting services. Of these employees, 1,743 were in India, 717 in the United States, 202 in Europe, 133 in New Zealand, 21 in Australia, 21 in China and 35 in other countries.</w:t>
      </w:r>
    </w:p>
    <w:p>
      <w:pPr>
        <w:spacing w:after="0" w:line="79"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None of our employees are represented by a labor union; however, our employees in France are represented by a collective bargaining agreement. We have not experienced any employment-related work stoppages, and we consider our relations with our employees to be good.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Culture</w:t>
      </w:r>
    </w:p>
    <w:p>
      <w:pPr>
        <w:spacing w:after="0" w:line="128"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Supporting our purpose of “Advancing a sustainable future for all,” all employees are expected to uphold the following core values that drive our culture:</w:t>
      </w:r>
    </w:p>
    <w:p>
      <w:pPr>
        <w:spacing w:after="0" w:line="50" w:lineRule="exact"/>
        <w:rPr>
          <w:sz w:val="20"/>
          <w:szCs w:val="20"/>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Customer First</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Integrity</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Innovation</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Teamwork</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Quality</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These core values are represented by how we work together, how we perform and how we all get rewarded.</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are reinforced in new hire training, culture workshops and everyday interactions.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Talent</w:t>
      </w:r>
    </w:p>
    <w:p>
      <w:pPr>
        <w:spacing w:after="0" w:line="128" w:lineRule="exact"/>
        <w:rPr>
          <w:sz w:val="20"/>
          <w:szCs w:val="20"/>
          <w:color w:val="auto"/>
        </w:rPr>
      </w:pPr>
    </w:p>
    <w:p>
      <w:pPr>
        <w:ind w:right="20" w:firstLine="540"/>
        <w:spacing w:after="0" w:line="345" w:lineRule="auto"/>
        <w:rPr>
          <w:sz w:val="20"/>
          <w:szCs w:val="20"/>
          <w:color w:val="auto"/>
        </w:rPr>
      </w:pPr>
      <w:r>
        <w:rPr>
          <w:rFonts w:ascii="Arial" w:cs="Arial" w:eastAsia="Arial" w:hAnsi="Arial"/>
          <w:sz w:val="18"/>
          <w:szCs w:val="18"/>
          <w:b w:val="1"/>
          <w:bCs w:val="1"/>
          <w:color w:val="auto"/>
        </w:rPr>
        <w:t>Our talent and culture are critical to our success. Our human capital management philosophy and objectives focus on creating a high-performance culture in which our employees deliver, succeed and lead. We achieve our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169545</wp:posOffset>
                </wp:positionV>
                <wp:extent cx="633412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35pt" to="505.35pt,13.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169545</wp:posOffset>
                </wp:positionV>
                <wp:extent cx="633412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35pt" to="505.35pt,13.3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16</w:t>
      </w:r>
    </w:p>
    <w:p>
      <w:pPr>
        <w:sectPr>
          <w:pgSz w:w="12240" w:h="15840" w:orient="portrait"/>
          <w:cols w:equalWidth="0" w:num="1">
            <w:col w:w="10260"/>
          </w:cols>
          <w:pgMar w:left="1000" w:top="216" w:right="980" w:bottom="40" w:gutter="0" w:footer="0" w:header="0"/>
          <w:type w:val="continuous"/>
        </w:sectPr>
      </w:pPr>
    </w:p>
    <w:bookmarkStart w:id="16" w:name="page17"/>
    <w:bookmarkEnd w:id="16"/>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objectives through various employee engagement and talent development efforts. Our employee engagement efforts include our quarterly all-employee town hall meetings, through which we aim to keep our employees well-informed and to increase transparency, and employee engagement events, through which we foster teamwork, networking, and enhance our workplace culture. We have established relationships with top universities worldwide, professional associations and industry groups to build a talent pipeline and established the Enphase Learning Academy to provide employees with regularly scheduled and on demand relevant technical and professional programs.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Philosophy</w:t>
      </w:r>
    </w:p>
    <w:p>
      <w:pPr>
        <w:spacing w:after="0" w:line="128"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Our compensation philosophy creates the framework for our rewards strategy. We have a pay-for-performance culture that ties compensation to the performance of the individual and our company. We provide competitive compensation programs that focus on the following five key elements:</w:t>
      </w:r>
    </w:p>
    <w:p>
      <w:pPr>
        <w:spacing w:after="0" w:line="70" w:lineRule="exact"/>
        <w:rPr>
          <w:sz w:val="20"/>
          <w:szCs w:val="20"/>
          <w:color w:val="auto"/>
        </w:rPr>
      </w:pPr>
    </w:p>
    <w:p>
      <w:pPr>
        <w:jc w:val="both"/>
        <w:ind w:left="720" w:right="20" w:hanging="370"/>
        <w:spacing w:after="0" w:line="268" w:lineRule="auto"/>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Pay-for-performance: Reward and recognize leading contributors and high potential employees by paying market competitive total direct compensation, which includes base salary, quarterly bonus or commission, and stock-based compensation</w:t>
      </w:r>
    </w:p>
    <w:p>
      <w:pPr>
        <w:spacing w:after="0" w:line="6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External market-based research: Pay levels that are competitive with respect to the labor markets and industries in which we compete for talent</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Internal equity: Maintaining internally consistent and non-discriminatory pay and pay practices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Fiscal responsibility: Providing programs in line with economic conditions and our company’s financial health</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Legal compliance: Ensure the organization is legally compliant with employee compensation laws in all states and countries in which we operate</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 and Wellness</w:t>
      </w:r>
    </w:p>
    <w:p>
      <w:pPr>
        <w:spacing w:after="0" w:line="128" w:lineRule="exact"/>
        <w:rPr>
          <w:sz w:val="20"/>
          <w:szCs w:val="20"/>
          <w:color w:val="auto"/>
        </w:rPr>
      </w:pPr>
    </w:p>
    <w:p>
      <w:pPr>
        <w:jc w:val="both"/>
        <w:ind w:right="20" w:firstLine="540"/>
        <w:spacing w:after="0" w:line="272" w:lineRule="auto"/>
        <w:rPr>
          <w:sz w:val="20"/>
          <w:szCs w:val="20"/>
          <w:color w:val="auto"/>
        </w:rPr>
      </w:pPr>
      <w:r>
        <w:rPr>
          <w:rFonts w:ascii="Arial" w:cs="Arial" w:eastAsia="Arial" w:hAnsi="Arial"/>
          <w:sz w:val="19"/>
          <w:szCs w:val="19"/>
          <w:b w:val="1"/>
          <w:bCs w:val="1"/>
          <w:color w:val="auto"/>
        </w:rPr>
        <w:t>We invest in our employees through high-quality benefits and various health and wellness initiatives. Our benefits packages provide a balance of protection along with the flexibility to meet the individual needs of our employees. Our flexible workplace philosophy allows employees in certain countries and locations to work in a remote or hybrid mode as business necessitates. Our focus remains on the wellbeing of our employees and business partners by providing technology to our employees, end-customers and business partners to help them do their best work. We will continue to monitor our global workplace practices, and will make further changes to our business operations as may be necessary to retain and broaden our talent pool of employees.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30"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 xml:space="preserve">We file electronically with the U.S. Securities and Exchange Commission (“SEC”), our Annual Reports on Form 10-K, Quarterly Reports on Form 10-Q, Current Reports on Form 8-K and amendments to those reports filed pursuant to Section 13(a) or 15(d) of the Exchange Act can be accessed on our Investor Relations website at </w:t>
      </w:r>
      <w:r>
        <w:rPr>
          <w:rFonts w:ascii="Arial" w:cs="Arial" w:eastAsia="Arial" w:hAnsi="Arial"/>
          <w:sz w:val="19"/>
          <w:szCs w:val="19"/>
          <w:b w:val="1"/>
          <w:bCs w:val="1"/>
          <w:i w:val="1"/>
          <w:iCs w:val="1"/>
          <w:color w:val="auto"/>
        </w:rPr>
        <w:t>investor.enphase.com</w:t>
      </w:r>
      <w:r>
        <w:rPr>
          <w:rFonts w:ascii="Arial" w:cs="Arial" w:eastAsia="Arial" w:hAnsi="Arial"/>
          <w:sz w:val="19"/>
          <w:szCs w:val="19"/>
          <w:b w:val="1"/>
          <w:bCs w:val="1"/>
          <w:color w:val="auto"/>
        </w:rPr>
        <w:t>. Alternatively, you may access these reports at the SEC’s website at</w:t>
      </w:r>
      <w:r>
        <w:rPr>
          <w:rFonts w:ascii="Arial" w:cs="Arial" w:eastAsia="Arial" w:hAnsi="Arial"/>
          <w:sz w:val="19"/>
          <w:szCs w:val="19"/>
          <w:b w:val="1"/>
          <w:bCs w:val="1"/>
          <w:i w:val="1"/>
          <w:iCs w:val="1"/>
          <w:color w:val="auto"/>
        </w:rPr>
        <w:t xml:space="preserve"> www.sec.gov</w:t>
      </w:r>
      <w:r>
        <w:rPr>
          <w:rFonts w:ascii="Arial" w:cs="Arial" w:eastAsia="Arial" w:hAnsi="Arial"/>
          <w:sz w:val="19"/>
          <w:szCs w:val="19"/>
          <w:b w:val="1"/>
          <w:bCs w:val="1"/>
          <w:color w:val="auto"/>
        </w:rPr>
        <w:t>. We make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available, free of charge, copies of these reports as soon as reasonably practicable after filing these reports with the SEC or otherwise furnishing it to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3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 See also “Forward-Looking Statements” in the forepart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678180</wp:posOffset>
                </wp:positionV>
                <wp:extent cx="633412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3.4pt" to="505.35pt,53.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678180</wp:posOffset>
                </wp:positionV>
                <wp:extent cx="633412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3.4pt" to="505.35pt,53.4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17</w:t>
      </w:r>
    </w:p>
    <w:p>
      <w:pPr>
        <w:sectPr>
          <w:pgSz w:w="12240" w:h="15840" w:orient="portrait"/>
          <w:cols w:equalWidth="0" w:num="1">
            <w:col w:w="10260"/>
          </w:cols>
          <w:pgMar w:left="1000" w:top="216" w:right="980" w:bottom="40" w:gutter="0" w:footer="0" w:header="0"/>
          <w:type w:val="continuous"/>
        </w:sectPr>
      </w:pPr>
    </w:p>
    <w:bookmarkStart w:id="17" w:name="page18"/>
    <w:bookmarkEnd w:id="17"/>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Operations and Our Industry</w:t>
      </w:r>
    </w:p>
    <w:p>
      <w:pPr>
        <w:spacing w:after="0" w:line="132"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33"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20"/>
          <w:szCs w:val="20"/>
          <w:b w:val="1"/>
          <w:bCs w:val="1"/>
          <w:color w:val="auto"/>
        </w:rPr>
        <w:t>Our business and the broader solar and energy storage industry depend significantly on government-issued subsidies and economic incentives that promote the adoption and cost competitiveness of solar photovoltaic (“PV”) and energy storage systems for on-grid applications. These incentives include, among others, ITCs, feed-in tariffs (“FiTs”), NEM programs, rebates, and other policies that vary by jurisdiction. Many of these programs are subject to expiration, phase-outs, funding limitations, or policy changes, and some have already been reduced or eliminated in key markets.</w:t>
      </w:r>
    </w:p>
    <w:p>
      <w:pPr>
        <w:spacing w:after="0" w:line="82" w:lineRule="exact"/>
        <w:rPr>
          <w:sz w:val="20"/>
          <w:szCs w:val="20"/>
          <w:color w:val="auto"/>
        </w:rPr>
      </w:pPr>
    </w:p>
    <w:p>
      <w:pPr>
        <w:jc w:val="both"/>
        <w:ind w:firstLine="720"/>
        <w:spacing w:after="0" w:line="285" w:lineRule="auto"/>
        <w:rPr>
          <w:sz w:val="20"/>
          <w:szCs w:val="20"/>
          <w:color w:val="auto"/>
        </w:rPr>
      </w:pPr>
      <w:r>
        <w:rPr>
          <w:rFonts w:ascii="Arial" w:cs="Arial" w:eastAsia="Arial" w:hAnsi="Arial"/>
          <w:sz w:val="18"/>
          <w:szCs w:val="18"/>
          <w:b w:val="1"/>
          <w:bCs w:val="1"/>
          <w:color w:val="auto"/>
        </w:rPr>
        <w:t>For example, the IRA and subsequent legislation, including the OBBBA, introduced significant changes to ITC eligibility and domestic content requirements. The Section 25D credit for residential solar and storage systems expired on December 31, 2025. In addition, the OBBBA imposes new timing requirements for eligibility under Section 48E of the Code, which governs ITCs for leased solar and storage systems. Specifically, solar-only projects that do not commence construction within 12 months of the OBBBA’s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 If we are unable to meet revised compliance thresholds or if these incentives are further reduced or eliminated, the cost competitiveness of our products may decline, which could reduce demand for our offerings, adversely affect our revenue and margins, and harm our business.</w:t>
      </w:r>
    </w:p>
    <w:p>
      <w:pPr>
        <w:spacing w:after="0" w:line="62"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0"/>
          <w:szCs w:val="20"/>
          <w:b w:val="1"/>
          <w:bCs w:val="1"/>
          <w:color w:val="auto"/>
        </w:rPr>
        <w:t>Outside the United States, several European countries, including Germany, Belgium, Austria and the Netherlands, have adopted reductions in or ended their NEM or FiT programs. Certain countries have proposed or enacted higher grid fees or taxes levied on renewable energy. These and related developments have significantly impacted the solar industry in Europe and may adversely affect the future demand for solar energy solutions in those markets.</w:t>
      </w:r>
    </w:p>
    <w:p>
      <w:pPr>
        <w:spacing w:after="0" w:line="79" w:lineRule="exact"/>
        <w:rPr>
          <w:sz w:val="20"/>
          <w:szCs w:val="20"/>
          <w:color w:val="auto"/>
        </w:rPr>
      </w:pPr>
    </w:p>
    <w:p>
      <w:pPr>
        <w:jc w:val="both"/>
        <w:ind w:firstLine="540"/>
        <w:spacing w:after="0" w:line="267" w:lineRule="auto"/>
        <w:rPr>
          <w:sz w:val="20"/>
          <w:szCs w:val="20"/>
          <w:color w:val="auto"/>
        </w:rPr>
      </w:pPr>
      <w:r>
        <w:rPr>
          <w:rFonts w:ascii="Arial" w:cs="Arial" w:eastAsia="Arial" w:hAnsi="Arial"/>
          <w:sz w:val="19"/>
          <w:szCs w:val="19"/>
          <w:b w:val="1"/>
          <w:bCs w:val="1"/>
          <w:color w:val="auto"/>
        </w:rPr>
        <w:t>Among other government-established incentives, NEM and related policies have supported the growth of on-grid rooftop solar products, and changes to such policies may reduce demand for electricity from our solar service offerings. NEM is a tariffed utility rate program that permits a consumer to sell the excess solar energy that the consumer’s solar panels produce to the electric utility company at a predetermined price. For example, in California, CPUC approved NEM 3.0, which substantially reduced the compensation that solar customers can earn by selling excess solar energy to the electric grid. The average hourly export rate under NEM 3.0 is approximately $0.05/kWh to $0.08/kWh compared to the prior average of $0.25/kWh to $0.35/kWh under NEM 2.0. CPUC also adopted changes to its “Virtual NEM” and “NEM Aggregation” programs that prohibit multi-meter commercial or agricultural property owners from netting solar energy generated at or adjacent to those properties against import charges recorded on the meters at the property, except for residential account holders in a multi-family residential property. These types of modifications to NEM policies have impacted and could further harm our business, both in California, where we have derived a significant portion of historical revenues in the United States, and in other jurisdictions if similar changes are adopted.</w:t>
      </w:r>
    </w:p>
    <w:p>
      <w:pPr>
        <w:spacing w:after="0" w:line="80"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b w:val="1"/>
          <w:bCs w:val="1"/>
          <w:color w:val="auto"/>
        </w:rPr>
        <w:t>Because our customers’ sales of solar power are typically into the on-grid market, the reduction, elimination or expiration of government subsidies and economic incentives for on-grid solar electricity may negatively affect the competitiveness of rooftop solar electricity relative to centralized sources of electricity (including from conventional thermal or utility-scale renewable generation) and could harm or halt the growth of the solar electricity industry and our business. In addition, our ability to successfully penetrate new geographic markets may depend on new countries adopting and maintaining tax credits, tax incentives, NEM policies, or other programs to promote solar electricity and storage, to the extent such incentives or programs are not currently in place. Furthermore, electric utility companies may establish rate structures or interconnection requirements that could be harmful to the solar industry and adversely affect our sales and our overall business.</w:t>
      </w:r>
    </w:p>
    <w:p>
      <w:pPr>
        <w:spacing w:after="0" w:line="70"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The inability of our products to comply with the minimum domestic content tax credit thresholds, inclusive of FEOC regulations, could negatively impact our business, financial condition and results of operations.</w:t>
      </w:r>
    </w:p>
    <w:p>
      <w:pPr>
        <w:spacing w:after="0" w:line="33"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9"/>
          <w:szCs w:val="19"/>
          <w:b w:val="1"/>
          <w:bCs w:val="1"/>
          <w:color w:val="auto"/>
        </w:rPr>
        <w:t>Recent legislative and regulatory changes, including those introduced under the OBBBA and related executive actions, impose stricter domestic content requirements and FEOC restrictions on projects seeking to qualify for ITCs, AMPTC and other clean energy incentives. For example, projects commencing construction after June 16, 2025 must meet a 45% domestic cost threshold, and beginning in 2026, escalating non-FEOC content requirements will apply to solar and storage projects and to manufactured components.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130810</wp:posOffset>
                </wp:positionV>
                <wp:extent cx="633412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3pt" to="505.35pt,1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130810</wp:posOffset>
                </wp:positionV>
                <wp:extent cx="633412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3pt" to="505.35pt,10.3pt" o:allowincell="f" strokecolor="#828282" strokeweight="0.25pt"/>
            </w:pict>
          </mc:Fallback>
        </mc:AlternateContent>
      </w:r>
    </w:p>
    <w:p>
      <w:pPr>
        <w:sectPr>
          <w:pgSz w:w="12240" w:h="15840" w:orient="portrait"/>
          <w:cols w:equalWidth="0" w:num="1">
            <w:col w:w="10240"/>
          </w:cols>
          <w:pgMar w:left="1000" w:top="216" w:right="1000" w:bottom="40"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828282"/>
        </w:rPr>
        <w:t>Enphase Energy, Inc. | 2025 Form 10-K | 18</w:t>
      </w:r>
    </w:p>
    <w:p>
      <w:pPr>
        <w:sectPr>
          <w:pgSz w:w="12240" w:h="15840" w:orient="portrait"/>
          <w:cols w:equalWidth="0" w:num="1">
            <w:col w:w="10240"/>
          </w:cols>
          <w:pgMar w:left="1000" w:top="216" w:right="1000" w:bottom="40" w:gutter="0" w:footer="0" w:header="0"/>
          <w:type w:val="continuous"/>
        </w:sectPr>
      </w:pPr>
    </w:p>
    <w:bookmarkStart w:id="18" w:name="page19"/>
    <w:bookmarkEnd w:id="18"/>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firstLine="720"/>
        <w:spacing w:after="0" w:line="270" w:lineRule="auto"/>
        <w:rPr>
          <w:sz w:val="20"/>
          <w:szCs w:val="20"/>
          <w:color w:val="auto"/>
        </w:rPr>
      </w:pPr>
      <w:r>
        <w:rPr>
          <w:rFonts w:ascii="Arial" w:cs="Arial" w:eastAsia="Arial" w:hAnsi="Arial"/>
          <w:sz w:val="19"/>
          <w:szCs w:val="19"/>
          <w:b w:val="1"/>
          <w:bCs w:val="1"/>
          <w:color w:val="auto"/>
        </w:rPr>
        <w:t>Our microinverters and residential battery systems incorporate components sourced globally, and certain critical parts may originate from suppliers located in jurisdictions that could be designated as FEOCs. If we are unable to meet these domestic content or non-FEOC compliance thresholds, our products may not qualify for applicable tax credits, including the AMPTC, which could reduce the attractiveness of our offerings to installers, developers and customers. Failure to comply with these requirements could adversely affect demand for our products, limit our ability to compete in key markets, and negatively impact our revenue, gross margins, business operations and competitive position. Furthermore, evolving guidance and definitions under the OBBBA create uncertainty, which may require us to adjust our supply chain strategy and increase compliance costs.</w:t>
      </w:r>
    </w:p>
    <w:p>
      <w:pPr>
        <w:spacing w:after="0" w:line="76"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Unfavorable macroeconomic and market conditions may adversely affect our industry, business and financial results.</w:t>
      </w:r>
    </w:p>
    <w:p>
      <w:pPr>
        <w:spacing w:after="0" w:line="33"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Our business depends on the overall demand for our solar energy products and on the economic health and willingness of our customers and potential customers to make capital commitments to purchase our products and services. As we have a growing global footprint, we are subject to risk and exposure from the evolving macroeconomic environment, including the effects of increased global inflationary pressures, tariffs and interest rates, fluctuations in foreign currency exchange rates, potential economic slowdowns or recessions, geopolitical pressures and potential regulatory changes through future legislative or executive action, which may cause, and has caused, customers to delay purchasing our products and services or to not purchase at all. In addition, a number of the risks associated with our business, which are disclosed in these risk factors, may increase in likelihood, magnitude or duration, and we may face new risks that we have not yet identified.</w:t>
      </w:r>
    </w:p>
    <w:p>
      <w:pPr>
        <w:spacing w:after="0" w:line="68" w:lineRule="exact"/>
        <w:rPr>
          <w:sz w:val="20"/>
          <w:szCs w:val="20"/>
          <w:color w:val="auto"/>
        </w:rPr>
      </w:pPr>
    </w:p>
    <w:p>
      <w:pPr>
        <w:jc w:val="both"/>
        <w:ind w:firstLine="540"/>
        <w:spacing w:after="0" w:line="276" w:lineRule="auto"/>
        <w:rPr>
          <w:sz w:val="20"/>
          <w:szCs w:val="20"/>
          <w:color w:val="auto"/>
        </w:rPr>
      </w:pPr>
      <w:r>
        <w:rPr>
          <w:rFonts w:ascii="Arial" w:cs="Arial" w:eastAsia="Arial" w:hAnsi="Arial"/>
          <w:sz w:val="19"/>
          <w:szCs w:val="19"/>
          <w:b w:val="1"/>
          <w:bCs w:val="1"/>
          <w:color w:val="auto"/>
        </w:rPr>
        <w:t>Unfavorable macroeconomic and market conditions can result and have previously resulted in sustained periods of decreased demand. Macroeconomic and market conditions could be adversely affected by a variety of political, economic or other factors in the United States and international markets, which could, in turn, adversely affect spending levels of installers and end users and could create volatility or deteriorating conditions in the markets in which we operate. Macroeconomic uncertainty or weakness could result in:</w:t>
      </w:r>
    </w:p>
    <w:p>
      <w:pPr>
        <w:spacing w:after="0" w:line="64" w:lineRule="exact"/>
        <w:rPr>
          <w:sz w:val="20"/>
          <w:szCs w:val="20"/>
          <w:color w:val="auto"/>
        </w:rPr>
      </w:pPr>
    </w:p>
    <w:p>
      <w:pPr>
        <w:ind w:left="720" w:right="20" w:hanging="370"/>
        <w:spacing w:after="0" w:line="287"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reduced demand for our products as a result of constraints on capital spending for residential solar energy systems by our customers;</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price competition for our products that may adversely affect revenue, gross margin and profitability;</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decreased ability to forecast operating results and make decisions about budgeting, planning and future investments;</w:t>
      </w:r>
    </w:p>
    <w:p>
      <w:pPr>
        <w:spacing w:after="0" w:line="49" w:lineRule="exact"/>
        <w:rPr>
          <w:rFonts w:ascii="Arial" w:cs="Arial" w:eastAsia="Arial" w:hAnsi="Arial"/>
          <w:sz w:val="20"/>
          <w:szCs w:val="20"/>
          <w:b w:val="1"/>
          <w:bCs w:val="1"/>
          <w:color w:val="auto"/>
        </w:rPr>
      </w:pPr>
    </w:p>
    <w:p>
      <w:pPr>
        <w:jc w:val="both"/>
        <w:ind w:left="720" w:right="20" w:hanging="370"/>
        <w:spacing w:after="0" w:line="289" w:lineRule="auto"/>
        <w:tabs>
          <w:tab w:leader="none" w:pos="72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business and financial difficulties faced by our suppliers, distributors or other partners, including impacts to material costs, sales, liquidity levels, ability to continue investing in their businesses, ability to import or export goods, ability to meet development commitments and manufacturing capability; and</w:t>
      </w:r>
    </w:p>
    <w:p>
      <w:pPr>
        <w:spacing w:after="0" w:line="50" w:lineRule="exact"/>
        <w:rPr>
          <w:rFonts w:ascii="Arial" w:cs="Arial" w:eastAsia="Arial" w:hAnsi="Arial"/>
          <w:sz w:val="19"/>
          <w:szCs w:val="19"/>
          <w:b w:val="1"/>
          <w:bCs w:val="1"/>
          <w:color w:val="auto"/>
        </w:rPr>
      </w:pPr>
    </w:p>
    <w:p>
      <w:pPr>
        <w:ind w:left="720" w:hanging="37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overhead and production costs as a percentage of revenue.</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Reductions in customer spending in response to unfavorable or uncertain macroeconomic and market conditions, globally or in a particular region where we operate, as well as uncertainty in the regulatory landscape, would adversely affect our business, results of operations and financial condition.</w:t>
      </w:r>
    </w:p>
    <w:p>
      <w:pPr>
        <w:spacing w:after="0" w:line="132"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If demand for solar energy solutions does not grow or grows at a slower rate than we anticipate, our business will suffer.</w:t>
      </w:r>
    </w:p>
    <w:p>
      <w:pPr>
        <w:spacing w:after="0" w:line="33" w:lineRule="exact"/>
        <w:rPr>
          <w:sz w:val="20"/>
          <w:szCs w:val="20"/>
          <w:color w:val="auto"/>
        </w:rPr>
      </w:pPr>
    </w:p>
    <w:p>
      <w:pPr>
        <w:jc w:val="both"/>
        <w:ind w:firstLine="540"/>
        <w:spacing w:after="0" w:line="286" w:lineRule="auto"/>
        <w:rPr>
          <w:sz w:val="20"/>
          <w:szCs w:val="20"/>
          <w:color w:val="auto"/>
        </w:rPr>
      </w:pPr>
      <w:r>
        <w:rPr>
          <w:rFonts w:ascii="Arial" w:cs="Arial" w:eastAsia="Arial" w:hAnsi="Arial"/>
          <w:sz w:val="18"/>
          <w:szCs w:val="18"/>
          <w:b w:val="1"/>
          <w:bCs w:val="1"/>
          <w:color w:val="auto"/>
        </w:rPr>
        <w:t>Our IQ Microinverters and IQ Battery storage systems are utilized in solar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over the years, and we cannot be certain that consumers and businesses will adopt solar PV systems as an alternative energy source at levels sufficient to continue to grow our business. Traditional electricity distribution is based on the regulated industry model under which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60" w:lineRule="exact"/>
        <w:rPr>
          <w:sz w:val="20"/>
          <w:szCs w:val="20"/>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market acceptance of solar PV systems based on our product platform;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440055</wp:posOffset>
                </wp:positionV>
                <wp:extent cx="63341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4.65pt" to="505.35pt,3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440055</wp:posOffset>
                </wp:positionV>
                <wp:extent cx="633412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4.65pt" to="505.35pt,34.6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19</w:t>
      </w:r>
    </w:p>
    <w:p>
      <w:pPr>
        <w:sectPr>
          <w:pgSz w:w="12240" w:h="15840" w:orient="portrait"/>
          <w:cols w:equalWidth="0" w:num="1">
            <w:col w:w="10260"/>
          </w:cols>
          <w:pgMar w:left="1000" w:top="216" w:right="980" w:bottom="40" w:gutter="0" w:footer="0" w:header="0"/>
          <w:type w:val="continuous"/>
        </w:sectPr>
      </w:pPr>
    </w:p>
    <w:bookmarkStart w:id="19" w:name="page20"/>
    <w:bookmarkEnd w:id="19"/>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720" w:right="20" w:hanging="370"/>
        <w:spacing w:after="0" w:line="287"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availability and amount of government subsidies and incentives to support the development and deployment of solar energy solutions;</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cost competitiveness, reliability and performance of solar PV systems compared to conventional and non-solar renewable energy sources and products;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timely introduce and complete new designs and timely qualify and certify our products;</w:t>
      </w:r>
    </w:p>
    <w:p>
      <w:pPr>
        <w:spacing w:after="0" w:line="141" w:lineRule="exact"/>
        <w:rPr>
          <w:rFonts w:ascii="Arial" w:cs="Arial" w:eastAsia="Arial" w:hAnsi="Arial"/>
          <w:sz w:val="19"/>
          <w:szCs w:val="19"/>
          <w:b w:val="1"/>
          <w:bCs w:val="1"/>
          <w:color w:val="auto"/>
        </w:rPr>
      </w:pPr>
    </w:p>
    <w:p>
      <w:pPr>
        <w:ind w:left="720" w:hanging="370"/>
        <w:spacing w:after="0"/>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in the United States, our ability to comply with domestic content and non-FEOC requirements;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the extent to which the electric power industry and broader energy industries are deregulated to permit broader adoption of solar electricity generation;</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cost and availability of key raw materials and components used in the production of solar PV systems;</w:t>
      </w:r>
    </w:p>
    <w:p>
      <w:pPr>
        <w:spacing w:after="0" w:line="153" w:lineRule="exact"/>
        <w:rPr>
          <w:rFonts w:ascii="Arial" w:cs="Arial" w:eastAsia="Arial" w:hAnsi="Arial"/>
          <w:sz w:val="18"/>
          <w:szCs w:val="18"/>
          <w:b w:val="1"/>
          <w:bCs w:val="1"/>
          <w:color w:val="auto"/>
        </w:rPr>
      </w:pPr>
    </w:p>
    <w:p>
      <w:pPr>
        <w:ind w:left="720" w:hanging="370"/>
        <w:spacing w:after="0"/>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prices of traditional utility-provided energy sources;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whether installers, system owners and solar financing providers will adopt our solutions;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the ability of prospective system owners to obtain long-term financing for solar PV installations based on our product platform on acceptable terms or at all;</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levels of investment by end-users of solar energy products, which tend to decrease when economic growth slows; and</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the emergence, continuance or success of, or increased government support for, other alternative energy generation technologies and products.</w:t>
      </w:r>
    </w:p>
    <w:p>
      <w:pPr>
        <w:spacing w:after="0" w:line="5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If demand for solar energy solutions does not grow, demand for our customers’ products from residential homeowners and commercial businesses will decrease, which would have an adverse impact on our ability to increase our revenue and grow our business.</w:t>
      </w:r>
    </w:p>
    <w:p>
      <w:pPr>
        <w:spacing w:after="0" w:line="7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Further, our success depends on continued demand for solar energy solutions and the ability of solar equipment vendors to meet this demand. Supply chain disruptions, increased interest rates and higher inflation, have caused and may continue to cause various negative effects, including an inability to meet the needs of our existing or potential end customers. If demand for solar energy solutions decreases or does not grow, demand for our customers’ products as well as demand for our products will decrease, which would have an adverse impact on our ability to increase our revenue and grow our business.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The solar industry is highly competitive, and we expect to face increased competition as new and existing competitors introduce products or develop alternative technologies, which could negatively impact our business, financial condition and results of operations.</w:t>
      </w:r>
    </w:p>
    <w:p>
      <w:pPr>
        <w:spacing w:after="0" w:line="56"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We compete primarily against central and string inverter manufacturers, as well as against new solutions and emerging technologies that directly compete with our business. A number of companies have developed or are developing microinverters and other products that will compete directly with our solutions in the module-level power electronics market. We also compete against manufacturers of energy storage systems and EV chargers for our solutions in these markets.</w:t>
      </w:r>
    </w:p>
    <w:p>
      <w:pPr>
        <w:spacing w:after="0" w:line="79" w:lineRule="exact"/>
        <w:rPr>
          <w:sz w:val="20"/>
          <w:szCs w:val="20"/>
          <w:color w:val="auto"/>
        </w:rPr>
      </w:pPr>
    </w:p>
    <w:p>
      <w:pPr>
        <w:jc w:val="both"/>
        <w:ind w:right="20" w:firstLine="540"/>
        <w:spacing w:after="0" w:line="276" w:lineRule="auto"/>
        <w:rPr>
          <w:sz w:val="20"/>
          <w:szCs w:val="20"/>
          <w:color w:val="auto"/>
        </w:rPr>
      </w:pPr>
      <w:r>
        <w:rPr>
          <w:rFonts w:ascii="Arial" w:cs="Arial" w:eastAsia="Arial" w:hAnsi="Arial"/>
          <w:sz w:val="19"/>
          <w:szCs w:val="19"/>
          <w:b w:val="1"/>
          <w:bCs w:val="1"/>
          <w:color w:val="auto"/>
        </w:rPr>
        <w:t>Competitors in the inverter market include, among others, SolarEdge, Huawei, Tesla, Sungrow Power Supply Co., Ltd., Growatt New Energy Co., Ltd and other companies offering string inverters with and without solar optimizers. Competitors in the storage market include Tesla, SolarEdge, Huawei, BYD, Franklin Solar Battery, and other producers of battery cells and integrated storage systems market. Competitors in the EV charger market include Wallbox, ChargePoint, Tesla and EVBox Group, among others.</w:t>
      </w:r>
    </w:p>
    <w:p>
      <w:pPr>
        <w:spacing w:after="0" w:line="64"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8"/>
          <w:szCs w:val="18"/>
          <w:b w:val="1"/>
          <w:bCs w:val="1"/>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may have caused and could in the future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130175</wp:posOffset>
                </wp:positionV>
                <wp:extent cx="633412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25pt" to="505.35pt,10.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130175</wp:posOffset>
                </wp:positionV>
                <wp:extent cx="633412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25pt" to="505.35pt,10.2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20</w:t>
      </w:r>
    </w:p>
    <w:p>
      <w:pPr>
        <w:sectPr>
          <w:pgSz w:w="12240" w:h="15840" w:orient="portrait"/>
          <w:cols w:equalWidth="0" w:num="1">
            <w:col w:w="10260"/>
          </w:cols>
          <w:pgMar w:left="1000" w:top="216" w:right="980" w:bottom="40" w:gutter="0" w:footer="0" w:header="0"/>
          <w:type w:val="continuous"/>
        </w:sectPr>
      </w:pPr>
    </w:p>
    <w:bookmarkStart w:id="20" w:name="page21"/>
    <w:bookmarkEnd w:id="20"/>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color w:val="auto"/>
        </w:rPr>
        <w:t>declining revenues. If we have to reduce our prices, or if we are unable to offset any future reductions in our average selling prices (“ASPs”) by increasing our sales volume, reducing our costs and expenses or introducing new products, our revenue and gross profit would suffer.</w:t>
      </w:r>
    </w:p>
    <w:p>
      <w:pPr>
        <w:spacing w:after="0" w:line="70"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9"/>
          <w:szCs w:val="19"/>
          <w:b w:val="1"/>
          <w:bCs w:val="1"/>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69"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We also may face competition from some of our customers or potential customers who evaluate our capabilities against the merits of manufacturing products internally. Other solar module manufacturers could also develop or acquire competing inverter technology or attempt to develop components that directly perform DC-to-AC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systems or sell products that compete with our systems, which would negatively impact our revenue and gross profit.</w:t>
      </w:r>
    </w:p>
    <w:p>
      <w:pPr>
        <w:spacing w:after="0" w:line="87"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Changes in the United States trade environment, including the imposition of import tariffs, has and could adversely affect the amount or timing of our revenue, results of operations or cash flows.</w:t>
      </w:r>
    </w:p>
    <w:p>
      <w:pPr>
        <w:spacing w:after="0" w:line="33"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The United States has imposed significant new tariffs on nearly all products and components imported into the United States and could propose additional tariffs or increases to those already in place. A subset of our products is sourced from China and India, and certain components necessary to manufacture our products in the United States, including our microinverters, batteries and related accessories, are imported from China, India, Taiwan, Vietnam and Japan, among other countries. It is unknown whether and to what extent these tariffs will remain in place or if other new laws or regulations will be adopted. Due to broad uncertainty regarding the timing, content and extent of any regulatory changes in the United States or abroad, we cannot predict the impact, if any, that these changes could have to our business, financial condition and results of operations.</w:t>
      </w:r>
    </w:p>
    <w:p>
      <w:pPr>
        <w:spacing w:after="0" w:line="74"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9"/>
          <w:szCs w:val="19"/>
          <w:b w:val="1"/>
          <w:bCs w:val="1"/>
          <w:color w:val="auto"/>
        </w:rPr>
        <w:t>It is unknown what effect any such new tariffs or retaliatory actions will have on the solar industry and our customers. We have moved a significant portion of our manufacturing to the United States, while retaining limited contract manufacturing in China and India. However, certain components necessary for our products are still required to be imported from outside the United States. Our LFP battery cells for our storage products are supplied solely via our two suppliers in China. Although we are in the process of searching for other vendors outside of China for future supplies, the expertise and industry for the LFP battery cell is primarily in China, and it will require significant effort to identify qualified suppliers with the right expertise to develop our battery cells. The resulting environment of retaliatory trade or other practices or additional trade restrictions or barriers, if implemented on a broader range of products or components from outside the United States, could harm our ability to obtain necessary product components or to sell our products at prices customers are willing to pay, which could have a material adverse effect on our business, prospects, results of operations and cash flows.</w:t>
      </w:r>
    </w:p>
    <w:p>
      <w:pPr>
        <w:spacing w:after="0" w:line="76"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19"/>
          <w:szCs w:val="19"/>
          <w:b w:val="1"/>
          <w:bCs w:val="1"/>
          <w:color w:val="auto"/>
        </w:rPr>
        <w:t>Further, if the price of solar power systems in the United States increases, as well as the cost of manufacturing our products in the United States, the use of solar power systems could become less economically feasible and could reduce our gross margins or reduce the demand of solar power systems manufactured and sold, which in turn may decrease demand for our products. Additionally, existing or future tariffs may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It is difficult to predict what further trade-related actions the U.S. and other governments may take, which may include additional or increased tariffs and trade restrictions, and we may be unable to quickly and effectively react to such actions. As additional new tariffs, legislation and/or regulations are implemented, or if existing trade agreements are renegotiated or if affected countries take retaliatory trade actions, such changes could have a material adverse effect on our business, financial condition, results of operations or cash flows.</w:t>
      </w:r>
    </w:p>
    <w:p>
      <w:pPr>
        <w:spacing w:after="0" w:line="72" w:lineRule="exact"/>
        <w:rPr>
          <w:sz w:val="20"/>
          <w:szCs w:val="20"/>
          <w:color w:val="auto"/>
        </w:rPr>
      </w:pPr>
    </w:p>
    <w:p>
      <w:pPr>
        <w:jc w:val="both"/>
        <w:ind w:right="20" w:firstLine="720"/>
        <w:spacing w:after="0" w:line="289" w:lineRule="auto"/>
        <w:rPr>
          <w:sz w:val="20"/>
          <w:szCs w:val="20"/>
          <w:color w:val="auto"/>
        </w:rPr>
      </w:pPr>
      <w:r>
        <w:rPr>
          <w:rFonts w:ascii="Arial" w:cs="Arial" w:eastAsia="Arial" w:hAnsi="Arial"/>
          <w:sz w:val="19"/>
          <w:szCs w:val="19"/>
          <w:b w:val="1"/>
          <w:bCs w:val="1"/>
          <w:color w:val="auto"/>
        </w:rPr>
        <w:t>Trade disputes, trade restrictions, tariffs and other geopolitical tensions between the United States and other countries may also exacerbate unfavorable macroeconomic conditions including inflationary pressures, foreign exchange volatility, financial market instability, and economic recessions or downturns, which may also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198755</wp:posOffset>
                </wp:positionV>
                <wp:extent cx="633412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5.65pt" to="505.35pt,15.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198755</wp:posOffset>
                </wp:positionV>
                <wp:extent cx="633412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5.65pt" to="505.35pt,15.6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21</w:t>
      </w:r>
    </w:p>
    <w:p>
      <w:pPr>
        <w:sectPr>
          <w:pgSz w:w="12240" w:h="15840" w:orient="portrait"/>
          <w:cols w:equalWidth="0" w:num="1">
            <w:col w:w="10260"/>
          </w:cols>
          <w:pgMar w:left="1000" w:top="216" w:right="980" w:bottom="40" w:gutter="0" w:footer="0" w:header="0"/>
          <w:type w:val="continuous"/>
        </w:sectPr>
      </w:pPr>
    </w:p>
    <w:bookmarkStart w:id="21" w:name="page22"/>
    <w:bookmarkEnd w:id="21"/>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negatively impact customer demand for our products or services,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fail to capture customers as we design and develop new products and update existing products.</w:t>
      </w:r>
    </w:p>
    <w:p>
      <w:pPr>
        <w:spacing w:after="0" w:line="128" w:lineRule="exact"/>
        <w:rPr>
          <w:sz w:val="20"/>
          <w:szCs w:val="20"/>
          <w:color w:val="auto"/>
        </w:rPr>
      </w:pPr>
    </w:p>
    <w:p>
      <w:pPr>
        <w:jc w:val="both"/>
        <w:ind w:firstLine="540"/>
        <w:spacing w:after="0" w:line="269" w:lineRule="auto"/>
        <w:rPr>
          <w:sz w:val="20"/>
          <w:szCs w:val="20"/>
          <w:color w:val="auto"/>
        </w:rPr>
      </w:pPr>
      <w:r>
        <w:rPr>
          <w:rFonts w:ascii="Arial" w:cs="Arial" w:eastAsia="Arial" w:hAnsi="Arial"/>
          <w:sz w:val="19"/>
          <w:szCs w:val="19"/>
          <w:b w:val="1"/>
          <w:bCs w:val="1"/>
          <w:color w:val="auto"/>
        </w:rPr>
        <w:t>We are pursuing opportunities in energy management and energy storage that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or fail to adequately update our legacy products, we may fail to generate revenue in the quantities or timeline projected, thus, having a materially adverse impact on our operating results and financial stability.</w:t>
      </w:r>
    </w:p>
    <w:p>
      <w:pPr>
        <w:spacing w:after="0" w:line="71"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We continue to develop new generations of our IQ Microinverters, IQ Batteries and EV charging products for both the residential and small commercial market. Developing new products or next generation products is complex and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 Our installers may not have sufficient resources or expertise necessary to sell our products at the prices, in the volumes and within the time frames that we expect, which could hinder our ability to expand our operations and harm our revenue and operating results.</w:t>
      </w:r>
    </w:p>
    <w:p>
      <w:pPr>
        <w:spacing w:after="0" w:line="87"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We depend upon a small number of outside contract manufacturers, and our business and operations could be disrupted if we encounter problems with these contract manufacturers.</w:t>
      </w:r>
    </w:p>
    <w:p>
      <w:pPr>
        <w:spacing w:after="0" w:line="33"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We outsource the manufacturing of some of our products to third-party contract manufacturers. These outside manufacturers assemble and test our IQ Microinverter, IQ Battery storage systems, EV chargers and IQ Gateway products. Prices for such services are agreed to by the parties on a quarterly basis, and we are obligated to purchase manufactured products and raw materials that cannot be resold upon the termination of the related agreement. As of December 31, 2025, our related purchase obligations (including amounts related to component inventory procured by our primary contract manufacturers on our behalf) were approximately $252.3 million. The timing of purchases in future periods could differ materially from our estimates due to fluctuations in demand requirements related to varying sales levels as well as changes in economic conditions.</w:t>
      </w:r>
    </w:p>
    <w:p>
      <w:pPr>
        <w:spacing w:after="0" w:line="74"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Our reliance on a small number of contract manufacturers makes us vulnerable to possible capacity constraints and reduced control over component availability, delivery schedules, manufacturing yields and costs. We do not have long-term supply contracts with our contract manufacturing partners. Consequently, these manufacturers are not obligated to supply products to us for any period, in any specified quantity or at any certain price. If any of these suppliers reduce or eliminate the supply of the components to us in the future, our revenue, business, financial condition and results of operations would be adversely impacted.</w:t>
      </w:r>
    </w:p>
    <w:p>
      <w:pPr>
        <w:spacing w:after="0" w:line="82"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Further, the revenue that our contract manufacturers generate from our orders may represent a relatively small percentage of their overall revenue. As a result, fulfilling our orders may not be considered a priority in the event of constrained ability to fulfill all of their customer obligations in a timely manner. In addition, some of our products continue to be manufactured outside of the United States. We believe that the location of these facilities outside of the United States increases our supply risk, including the risk of supply interruptions or reductions in manufacturing quality or controls.</w:t>
      </w:r>
    </w:p>
    <w:p>
      <w:pPr>
        <w:spacing w:after="0" w:line="82" w:lineRule="exact"/>
        <w:rPr>
          <w:sz w:val="20"/>
          <w:szCs w:val="20"/>
          <w:color w:val="auto"/>
        </w:rPr>
      </w:pPr>
    </w:p>
    <w:p>
      <w:pPr>
        <w:jc w:val="both"/>
        <w:ind w:firstLine="540"/>
        <w:spacing w:after="0" w:line="289" w:lineRule="auto"/>
        <w:rPr>
          <w:sz w:val="20"/>
          <w:szCs w:val="20"/>
          <w:color w:val="auto"/>
        </w:rPr>
      </w:pPr>
      <w:r>
        <w:rPr>
          <w:rFonts w:ascii="Arial" w:cs="Arial" w:eastAsia="Arial" w:hAnsi="Arial"/>
          <w:sz w:val="18"/>
          <w:szCs w:val="18"/>
          <w:b w:val="1"/>
          <w:bCs w:val="1"/>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which may not be available to us on favorable terms, if at all. An alternative contract manufacturer may not be available to us when needed or may not be in a position to satisfy our quality or production requirements on commercially reasonable terms. Any significant interruption in manufacturing would require us to reduce our supply of products to our customers, which in turn would reduce our revenue, harm our relationships with our customers and cause us to forgo potential revenue opportunities.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240030</wp:posOffset>
                </wp:positionV>
                <wp:extent cx="633412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8.9pt" to="505.35pt,18.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240030</wp:posOffset>
                </wp:positionV>
                <wp:extent cx="633412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8.9pt" to="505.35pt,18.9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22</w:t>
      </w:r>
    </w:p>
    <w:p>
      <w:pPr>
        <w:sectPr>
          <w:pgSz w:w="12240" w:h="15840" w:orient="portrait"/>
          <w:cols w:equalWidth="0" w:num="1">
            <w:col w:w="10260"/>
          </w:cols>
          <w:pgMar w:left="1000" w:top="216" w:right="980" w:bottom="40" w:gutter="0" w:footer="0" w:header="0"/>
          <w:type w:val="continuous"/>
        </w:sectPr>
      </w:pPr>
    </w:p>
    <w:bookmarkStart w:id="22" w:name="page23"/>
    <w:bookmarkEnd w:id="22"/>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We depend on solar distributors, installers and providers of solar financing to assist in selling our products to customers, and if they fail to perform at the expected level, or at all, our business, financial condition and results of our operations could be harmed.</w:t>
      </w:r>
    </w:p>
    <w:p>
      <w:pPr>
        <w:spacing w:after="0" w:line="56"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We primarily sell our solutions through solar distributors, as well as directly to solar equipment installers and developers of third-party solar finance offerings (such as TPOs). These relationships with third parties are generally non-exclusive. As a result, many of these third parties, or customers, also use or market and sell products from our competitors, which may reduce our sales. These customers may generally terminate their relationships with us at any time, or with short notice, and further may fail to devote the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68" w:lineRule="exact"/>
        <w:rPr>
          <w:sz w:val="20"/>
          <w:szCs w:val="20"/>
          <w:color w:val="auto"/>
        </w:rPr>
      </w:pPr>
    </w:p>
    <w:p>
      <w:pPr>
        <w:jc w:val="both"/>
        <w:ind w:right="20" w:firstLine="540"/>
        <w:spacing w:after="0" w:line="284" w:lineRule="auto"/>
        <w:rPr>
          <w:sz w:val="20"/>
          <w:szCs w:val="20"/>
          <w:color w:val="auto"/>
        </w:rPr>
      </w:pPr>
      <w:r>
        <w:rPr>
          <w:rFonts w:ascii="Arial" w:cs="Arial" w:eastAsia="Arial" w:hAnsi="Arial"/>
          <w:sz w:val="18"/>
          <w:szCs w:val="18"/>
          <w:b w:val="1"/>
          <w:bCs w:val="1"/>
          <w:color w:val="auto"/>
        </w:rPr>
        <w:t>We typically provide our distributors and installers with training and other programs, including accreditations and certifications; however, these programs may not be effective or utilized consistently. Further, newer distributors and installers may require extensive training and may take significant time and resources to achieve productivity. Our distributors and installers may subject us to lawsuits, potential liability and reputational harm if, for example, any were to misrepresent the functionality of our platform or products to customers, improperly install our products, fail to perform services to our customers’ expectations, or violate laws or our policies. In addition, our distributors and installers may utilize our platform to develop products and services that could potentially compete with products and services that we offer currently or in the future. Concerns over competitive matters or intellectual property ownership could constrain the growth and development of these relationships or result in the termination of one or more relationships. If we fail to effectively manage and grow our network of distributors and installers, or properly monitor the quality and efficacy of their service delivery, our ability to sell our products and efficiently provide our services may be impacted, and our operating results may be harmed.</w:t>
      </w:r>
    </w:p>
    <w:p>
      <w:pPr>
        <w:spacing w:after="0" w:line="61" w:lineRule="exact"/>
        <w:rPr>
          <w:sz w:val="20"/>
          <w:szCs w:val="20"/>
          <w:color w:val="auto"/>
        </w:rPr>
      </w:pPr>
    </w:p>
    <w:p>
      <w:pPr>
        <w:jc w:val="both"/>
        <w:ind w:right="20" w:firstLine="720"/>
        <w:spacing w:after="0" w:line="255" w:lineRule="auto"/>
        <w:rPr>
          <w:sz w:val="20"/>
          <w:szCs w:val="20"/>
          <w:color w:val="auto"/>
        </w:rPr>
      </w:pPr>
      <w:r>
        <w:rPr>
          <w:rFonts w:ascii="Arial" w:cs="Arial" w:eastAsia="Arial" w:hAnsi="Arial"/>
          <w:sz w:val="20"/>
          <w:szCs w:val="20"/>
          <w:b w:val="1"/>
          <w:bCs w:val="1"/>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Market dynamics are creating increased risks, as the solar industry is increasingly moving toward third-party ownership models such as leasing and power purchase agreements. With the enactment of the OBBBA, these models may become predominant, reducing demand for direct purchases from installers. If we fail to adapt to these trends, or if customers terminate agreements, experience financial distress, or fail to perform, our revenue and operating results could be materially harmed.</w:t>
      </w:r>
    </w:p>
    <w:p>
      <w:pPr>
        <w:spacing w:after="0" w:line="147"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We depend on limited-source suppliers for key components and products. If we are unable to source these components and products on a timely basis, we will not be able to deliver our products to our customers.</w:t>
      </w:r>
    </w:p>
    <w:p>
      <w:pPr>
        <w:spacing w:after="0" w:line="33" w:lineRule="exact"/>
        <w:rPr>
          <w:sz w:val="20"/>
          <w:szCs w:val="20"/>
          <w:color w:val="auto"/>
        </w:rPr>
      </w:pPr>
    </w:p>
    <w:p>
      <w:pPr>
        <w:jc w:val="both"/>
        <w:ind w:firstLine="540"/>
        <w:spacing w:after="0" w:line="267" w:lineRule="auto"/>
        <w:rPr>
          <w:sz w:val="20"/>
          <w:szCs w:val="20"/>
          <w:color w:val="auto"/>
        </w:rPr>
      </w:pPr>
      <w:r>
        <w:rPr>
          <w:rFonts w:ascii="Arial" w:cs="Arial" w:eastAsia="Arial" w:hAnsi="Arial"/>
          <w:sz w:val="19"/>
          <w:szCs w:val="19"/>
          <w:b w:val="1"/>
          <w:bCs w:val="1"/>
          <w:color w:val="auto"/>
        </w:rPr>
        <w:t>We depend on sole-source and limited-source suppliers for key components of our products, such as our ASICs and lithium-ion batteries. Any of the sole-source and limited-source suppliers upon whom we rely could experience quality and reliability issues, stop producing our components, cease operations, face climate-related disruptions,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 a timely manner,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1246505</wp:posOffset>
                </wp:positionV>
                <wp:extent cx="633412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8.15pt" to="505.35pt,98.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1246505</wp:posOffset>
                </wp:positionV>
                <wp:extent cx="633412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8.15pt" to="505.35pt,98.1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23</w:t>
      </w:r>
    </w:p>
    <w:p>
      <w:pPr>
        <w:sectPr>
          <w:pgSz w:w="12240" w:h="15840" w:orient="portrait"/>
          <w:cols w:equalWidth="0" w:num="1">
            <w:col w:w="10260"/>
          </w:cols>
          <w:pgMar w:left="1000" w:top="216" w:right="980" w:bottom="40" w:gutter="0" w:footer="0" w:header="0"/>
          <w:type w:val="continuous"/>
        </w:sectPr>
      </w:pPr>
    </w:p>
    <w:bookmarkStart w:id="23" w:name="page24"/>
    <w:bookmarkEnd w:id="23"/>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56" w:lineRule="exact"/>
        <w:rPr>
          <w:sz w:val="20"/>
          <w:szCs w:val="20"/>
          <w:color w:val="auto"/>
        </w:rPr>
      </w:pPr>
    </w:p>
    <w:p>
      <w:pPr>
        <w:jc w:val="both"/>
        <w:ind w:right="20" w:firstLine="540"/>
        <w:spacing w:after="0" w:line="267" w:lineRule="auto"/>
        <w:rPr>
          <w:sz w:val="20"/>
          <w:szCs w:val="20"/>
          <w:color w:val="auto"/>
        </w:rPr>
      </w:pPr>
      <w:r>
        <w:rPr>
          <w:rFonts w:ascii="Arial" w:cs="Arial" w:eastAsia="Arial" w:hAnsi="Arial"/>
          <w:sz w:val="19"/>
          <w:szCs w:val="19"/>
          <w:b w:val="1"/>
          <w:bCs w:val="1"/>
          <w:color w:val="auto"/>
        </w:rPr>
        <w:t>The manufacturing and packaging processes used by us and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product warranty claims. Errors or defects may arise from raw materials supplied by third parties that are beyond our detection or control, which could lead to additional product warranty claims that may adversely affect our business and results of operations.</w:t>
      </w:r>
    </w:p>
    <w:p>
      <w:pPr>
        <w:spacing w:after="0" w:line="136"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Our recent and planned expansion into existing and new markets could subject us to additional business, financial and competitive risks.</w:t>
      </w:r>
    </w:p>
    <w:p>
      <w:pPr>
        <w:spacing w:after="0" w:line="33"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We currently offer solar energy systems targeting the residential and commercial markets throughout the world, and we intend to continue to expand into other international markets. Our success in new geographic and product markets will depend on a number of factors, such as:</w:t>
      </w:r>
    </w:p>
    <w:p>
      <w:pPr>
        <w:spacing w:after="0" w:line="70" w:lineRule="exact"/>
        <w:rPr>
          <w:sz w:val="20"/>
          <w:szCs w:val="20"/>
          <w:color w:val="auto"/>
        </w:rPr>
      </w:pPr>
    </w:p>
    <w:p>
      <w:pPr>
        <w:ind w:left="720" w:right="20" w:hanging="370"/>
        <w:spacing w:after="0" w:line="287"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acceptance of microinverters, batteries and EV chargers in markets in which they have not traditionally been used;</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compete in new product markets to which we are not accustomed;</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availability of government subsidies and economic incentives for solar energy solutions;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reduce production costs in order to price our products competitively;</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accurate forecasting and effective management of inventory levels in line with anticipated product demand;</w:t>
      </w:r>
    </w:p>
    <w:p>
      <w:pPr>
        <w:spacing w:after="0" w:line="153" w:lineRule="exact"/>
        <w:rPr>
          <w:rFonts w:ascii="Arial" w:cs="Arial" w:eastAsia="Arial" w:hAnsi="Arial"/>
          <w:sz w:val="18"/>
          <w:szCs w:val="18"/>
          <w:b w:val="1"/>
          <w:bCs w:val="1"/>
          <w:color w:val="auto"/>
        </w:rPr>
      </w:pPr>
    </w:p>
    <w:p>
      <w:pPr>
        <w:ind w:left="720" w:hanging="370"/>
        <w:spacing w:after="0"/>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manage manufacturing capacity and production;</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willingness of our potential customers to incur a higher upfront capital investment than may be required for competing solutions;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timely qualification and certification of new products, and ability to comply with local regulations;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our customer service capabilities and responsiveness; and</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timely hiring of skilled employees and the efficient execution of our project plan.</w:t>
      </w:r>
    </w:p>
    <w:p>
      <w:pPr>
        <w:spacing w:after="0" w:line="130" w:lineRule="exact"/>
        <w:rPr>
          <w:sz w:val="20"/>
          <w:szCs w:val="20"/>
          <w:color w:val="auto"/>
        </w:rPr>
      </w:pPr>
    </w:p>
    <w:p>
      <w:pPr>
        <w:jc w:val="both"/>
        <w:ind w:firstLine="540"/>
        <w:spacing w:after="0" w:line="300" w:lineRule="auto"/>
        <w:rPr>
          <w:sz w:val="20"/>
          <w:szCs w:val="20"/>
          <w:color w:val="auto"/>
        </w:rPr>
      </w:pPr>
      <w:r>
        <w:rPr>
          <w:rFonts w:ascii="Arial" w:cs="Arial" w:eastAsia="Arial" w:hAnsi="Arial"/>
          <w:sz w:val="18"/>
          <w:szCs w:val="18"/>
          <w:b w:val="1"/>
          <w:bCs w:val="1"/>
          <w:color w:val="auto"/>
        </w:rPr>
        <w:t>Failure to address these new markets successfully, to generate sufficient revenue from these markets to offset associated research and development, marketing, and manufacturing and regulatory costs, or to otherwise effectively anticipate and manage the risks and challenges associated with our potential expansion into new product and geographic markets, could adversely affect our revenue and our ability to achieve or sustain profitability.</w:t>
      </w:r>
    </w:p>
    <w:p>
      <w:pPr>
        <w:spacing w:after="0" w:line="107" w:lineRule="exact"/>
        <w:rPr>
          <w:sz w:val="20"/>
          <w:szCs w:val="20"/>
          <w:color w:val="auto"/>
        </w:rPr>
      </w:pPr>
    </w:p>
    <w:p>
      <w:pPr>
        <w:ind w:right="500"/>
        <w:spacing w:after="0" w:line="295" w:lineRule="auto"/>
        <w:rPr>
          <w:sz w:val="20"/>
          <w:szCs w:val="20"/>
          <w:color w:val="auto"/>
        </w:rPr>
      </w:pPr>
      <w:r>
        <w:rPr>
          <w:rFonts w:ascii="Arial" w:cs="Arial" w:eastAsia="Arial" w:hAnsi="Arial"/>
          <w:sz w:val="20"/>
          <w:szCs w:val="20"/>
          <w:b w:val="1"/>
          <w:bCs w:val="1"/>
          <w:i w:val="1"/>
          <w:iCs w:val="1"/>
          <w:color w:val="auto"/>
        </w:rPr>
        <w:t>Manufacturing problems could result in delays in product shipments, which would adversely affect our revenue, competitive position and reputation.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1330325</wp:posOffset>
                </wp:positionV>
                <wp:extent cx="633412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4.75pt" to="505.35pt,104.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1330325</wp:posOffset>
                </wp:positionV>
                <wp:extent cx="633412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4.75pt" to="505.35pt,104.7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24</w:t>
      </w:r>
    </w:p>
    <w:p>
      <w:pPr>
        <w:sectPr>
          <w:pgSz w:w="12240" w:h="15840" w:orient="portrait"/>
          <w:cols w:equalWidth="0" w:num="1">
            <w:col w:w="10260"/>
          </w:cols>
          <w:pgMar w:left="1000" w:top="216" w:right="980" w:bottom="40" w:gutter="0" w:footer="0" w:header="0"/>
          <w:type w:val="continuous"/>
        </w:sectPr>
      </w:pPr>
    </w:p>
    <w:bookmarkStart w:id="24" w:name="page25"/>
    <w:bookmarkEnd w:id="24"/>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20"/>
          <w:szCs w:val="20"/>
          <w:b w:val="1"/>
          <w:bCs w:val="1"/>
          <w:color w:val="auto"/>
        </w:rPr>
        <w:t>We have in the past and may in the future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86" w:lineRule="exact"/>
        <w:rPr>
          <w:sz w:val="20"/>
          <w:szCs w:val="20"/>
          <w:color w:val="auto"/>
        </w:rPr>
      </w:pPr>
    </w:p>
    <w:p>
      <w:pPr>
        <w:jc w:val="both"/>
        <w:ind w:firstLine="540"/>
        <w:spacing w:after="0" w:line="269" w:lineRule="auto"/>
        <w:rPr>
          <w:sz w:val="20"/>
          <w:szCs w:val="20"/>
          <w:color w:val="auto"/>
        </w:rPr>
      </w:pPr>
      <w:r>
        <w:rPr>
          <w:rFonts w:ascii="Arial" w:cs="Arial" w:eastAsia="Arial" w:hAnsi="Arial"/>
          <w:sz w:val="19"/>
          <w:szCs w:val="19"/>
          <w:b w:val="1"/>
          <w:bCs w:val="1"/>
          <w:color w:val="auto"/>
        </w:rPr>
        <w:t>A disruption could also occur in one of our contract manufacturers’ facilities due to any number of reasons, such as equipment failure, contaminated materials, process deviations, the effects of climate change and related extreme weather events, or social, geopolitical or health factors, including pandemics or widespread health epidemics such as the COVID-19 pandemic, which could adversely impact manufacturing yields or delay product shipments. In addition, we may face periods of constrained supply for key components necessary for the manufacture of our products. A constrained supply environment could affect component availability, lead times and cost and could increase the likelihood of unexpected cancellations or delays of previously committed supply of key components. As a result, we could incur additional costs that would adversely affect our gross profit, and product shipments to our customers could be delayed beyond the schedules requested, which would negatively affect our revenue, competitive position and reputation.</w:t>
      </w:r>
    </w:p>
    <w:p>
      <w:pPr>
        <w:spacing w:after="0" w:line="71"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8"/>
          <w:szCs w:val="18"/>
          <w:b w:val="1"/>
          <w:bCs w:val="1"/>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 Furthermore, counterfeit parts in our supply chain have been and continue to be a concern, since any counterfeit part can be a lower quality product, which may affect our system reliability.</w:t>
      </w:r>
    </w:p>
    <w:p>
      <w:pPr>
        <w:spacing w:after="0" w:line="6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The risks of these types of manufacturing problems are further increased during the introduction of new product lines, which has from time to time caused, and may in the future cause, temporary suspension of product lines while problems are addressed or corrected. Since our business is substantially dependent on a limited number of product lines, any prolonged or substantial suspension of an individual product line could result in a material adverse effect on our revenue, gross profit and competitive position as well as our distributor and customer relationships.</w:t>
      </w:r>
    </w:p>
    <w:p>
      <w:pPr>
        <w:spacing w:after="0" w:line="144"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The loss of, or events affecting, one of our major customers could reduce our sales and have an adverse effect on our business, financial condition and results of operations.</w:t>
      </w:r>
    </w:p>
    <w:p>
      <w:pPr>
        <w:spacing w:after="0" w:line="33"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We sell primarily to solar distributors who combine our products with others, including solar modules products and racking systems, and resell to installers in each target region. In addition to our solar distributors, we sell directly to select large installers, OEMs and strategic partners.</w:t>
      </w:r>
    </w:p>
    <w:p>
      <w:pPr>
        <w:spacing w:after="0" w:line="70" w:lineRule="exact"/>
        <w:rPr>
          <w:sz w:val="20"/>
          <w:szCs w:val="20"/>
          <w:color w:val="auto"/>
        </w:rPr>
      </w:pPr>
    </w:p>
    <w:p>
      <w:pPr>
        <w:jc w:val="both"/>
        <w:ind w:firstLine="540"/>
        <w:spacing w:after="0" w:line="283" w:lineRule="auto"/>
        <w:rPr>
          <w:sz w:val="20"/>
          <w:szCs w:val="20"/>
          <w:color w:val="auto"/>
        </w:rPr>
      </w:pPr>
      <w:r>
        <w:rPr>
          <w:rFonts w:ascii="Arial" w:cs="Arial" w:eastAsia="Arial" w:hAnsi="Arial"/>
          <w:sz w:val="18"/>
          <w:szCs w:val="18"/>
          <w:b w:val="1"/>
          <w:bCs w:val="1"/>
          <w:color w:val="auto"/>
        </w:rPr>
        <w:t>Our customers’ decisions to purchase our products are influenced by a number of factors outside of our control, including, among others, retail energy prices, the macroeconomic environment, government regulation, incentives and liquidity constraints of solar installers. Although we have agreements with our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We may also be affected by events impacting our large customers that result in them decreasing their orders with us or impairing their ability to pay for our products, whether due to a decrease in demand from the end markets they serve or the deterioration in the financial condition or bankruptcy of any such customer or the solar installers they resell to, or a significant decrease in their business. During the year ended December 31, 2024, one of our customers filed for bankruptcy under Chapter 11 of the United States Bankruptcy Code. We evaluated the carrying amount of a customer intangible asset related to that customer and determined that the carrying amount as of December 31, 2025 is recoverable. However, the accounts receivable related to that customer of $6.2 million was written-off during the year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247650</wp:posOffset>
                </wp:positionV>
                <wp:extent cx="633412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9.5pt" to="505.35pt,1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247650</wp:posOffset>
                </wp:positionV>
                <wp:extent cx="633412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9.5pt" to="505.35pt,19.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25</w:t>
      </w:r>
    </w:p>
    <w:p>
      <w:pPr>
        <w:sectPr>
          <w:pgSz w:w="12240" w:h="15840" w:orient="portrait"/>
          <w:cols w:equalWidth="0" w:num="1">
            <w:col w:w="10260"/>
          </w:cols>
          <w:pgMar w:left="1000" w:top="216" w:right="980" w:bottom="40" w:gutter="0" w:footer="0" w:header="0"/>
          <w:type w:val="continuous"/>
        </w:sectPr>
      </w:pPr>
    </w:p>
    <w:bookmarkStart w:id="25" w:name="page26"/>
    <w:bookmarkEnd w:id="25"/>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December 31, 2025. We regularly monitor and evaluate the credit status of our customers and attempt to adjust sales terms as appropriate, which may not be successful. The loss of, or events affecting, any of our large customers has had from time to time, and could in the future have a material adverse effect on our business, financial condition and results of operations.</w:t>
      </w:r>
    </w:p>
    <w:p>
      <w:pPr>
        <w:spacing w:after="0" w:line="138" w:lineRule="exact"/>
        <w:rPr>
          <w:sz w:val="20"/>
          <w:szCs w:val="20"/>
          <w:color w:val="auto"/>
        </w:rPr>
      </w:pPr>
    </w:p>
    <w:p>
      <w:pPr>
        <w:ind w:right="540"/>
        <w:spacing w:after="0" w:line="295" w:lineRule="auto"/>
        <w:rPr>
          <w:sz w:val="20"/>
          <w:szCs w:val="20"/>
          <w:color w:val="auto"/>
        </w:rPr>
      </w:pPr>
      <w:r>
        <w:rPr>
          <w:rFonts w:ascii="Arial" w:cs="Arial" w:eastAsia="Arial" w:hAnsi="Arial"/>
          <w:sz w:val="20"/>
          <w:szCs w:val="20"/>
          <w:b w:val="1"/>
          <w:bCs w:val="1"/>
          <w:i w:val="1"/>
          <w:iCs w:val="1"/>
          <w:color w:val="auto"/>
        </w:rPr>
        <w:t>If our products contain manufacturing or software defects, our business and financial results could be harmed.</w:t>
      </w:r>
    </w:p>
    <w:p>
      <w:pPr>
        <w:spacing w:after="0" w:line="33" w:lineRule="exact"/>
        <w:rPr>
          <w:sz w:val="20"/>
          <w:szCs w:val="20"/>
          <w:color w:val="auto"/>
        </w:rPr>
      </w:pPr>
    </w:p>
    <w:p>
      <w:pPr>
        <w:jc w:val="both"/>
        <w:ind w:firstLine="540"/>
        <w:spacing w:after="0" w:line="283" w:lineRule="auto"/>
        <w:rPr>
          <w:sz w:val="20"/>
          <w:szCs w:val="20"/>
          <w:color w:val="auto"/>
        </w:rPr>
      </w:pPr>
      <w:r>
        <w:rPr>
          <w:rFonts w:ascii="Arial" w:cs="Arial" w:eastAsia="Arial" w:hAnsi="Arial"/>
          <w:sz w:val="18"/>
          <w:szCs w:val="18"/>
          <w:b w:val="1"/>
          <w:bCs w:val="1"/>
          <w:color w:val="auto"/>
        </w:rPr>
        <w:t>We design and make complex products and they may contain undetected or latent errors or defects. Complex hardware and software systems, such as our products, can often contain undetected errors when first introduced or as new versions are released. In the past, we have experienced latent defects only discovered once the microinverters or batteries are deployed in the field. Changes in our supply chain or the failure of our suppliers to otherwise provide our Texas manufacturing facility or our third-party contract manufacturers with components or materials that meet our specifications could introduce defects into our products. As we grow our product volumes, the chance of manufacturing defects could increase. In addition, new product introductions or design changes made for the purpose of cost reduction, performance improvement or improved reliability could introduce new design defects that may impact the performance and life of our products. Any design or manufacturing defects or other failures of our products to perform as expected could cause us to incur significant service and re-engineering costs, divert the attention of our engineering personnel from product development efforts and significantly and adversely affect installer and customer satisfaction, market acceptance and our business reputation. Furthermore, if we are unable to correct manufacturing defects or other failures of products in a manner satisfactory to our customers, our results of operations, customer satisfaction and our business reputation could be adversely affected.</w:t>
      </w:r>
    </w:p>
    <w:p>
      <w:pPr>
        <w:spacing w:after="0" w:line="63" w:lineRule="exact"/>
        <w:rPr>
          <w:sz w:val="20"/>
          <w:szCs w:val="20"/>
          <w:color w:val="auto"/>
        </w:rPr>
      </w:pPr>
    </w:p>
    <w:p>
      <w:pPr>
        <w:jc w:val="both"/>
        <w:ind w:right="20" w:firstLine="540"/>
        <w:spacing w:after="0" w:line="256" w:lineRule="auto"/>
        <w:rPr>
          <w:sz w:val="20"/>
          <w:szCs w:val="20"/>
          <w:color w:val="auto"/>
        </w:rPr>
      </w:pPr>
      <w:r>
        <w:rPr>
          <w:rFonts w:ascii="Arial" w:cs="Arial" w:eastAsia="Arial" w:hAnsi="Arial"/>
          <w:sz w:val="20"/>
          <w:szCs w:val="20"/>
          <w:b w:val="1"/>
          <w:bCs w:val="1"/>
          <w:color w:val="auto"/>
        </w:rPr>
        <w:t>Since some of our products are electricity-producing devices, it is possible that our systems could result in injury, whether by product malfunctions, defects, improper installation, or other causes. We rely on third party installers to install our products according to our installation guides and with local laws. Any significant installation problems could cause us significant harm, including, the occurrence of significant service costs, diverting the attention of our engineering personnel from product development efforts and adversely affecting installer and customer satisfaction, market acceptance and our business reputation, and could subject us to litigation and regulatory costs.</w:t>
      </w:r>
    </w:p>
    <w:p>
      <w:pPr>
        <w:spacing w:after="0" w:line="83"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In addition, due to the high energy density of lithium-ion cells, mishandling, inappropriate storage or delivery, non-compliance with safety instructions or field failures can potentially cause a battery cell to rapidly release its stored energy, which may in turn cause a thermal event that can ignite nearby materials, including other lithium-ion cells. As the use of lithium-ion batteries becomes more widespread, these events may occur more often, causing damage to property, injury, lawsuits and adverse publicity, which may adversely affect our reputation, results of operations or financial condition.</w:t>
      </w:r>
    </w:p>
    <w:p>
      <w:pPr>
        <w:spacing w:after="0" w:line="84"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If we fail to retain our key personnel or if we fail to attract additional qualified personnel, we may not be able to maintain or achieve our anticipated level of growth and our business could suffer.</w:t>
      </w:r>
    </w:p>
    <w:p>
      <w:pPr>
        <w:spacing w:after="0" w:line="33"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Our future success and ability to implement our business strategy depends, in part, on our ability to attract and retain key personnel, and on the continued contributions of members of our senior management team and key personnel in areas such as engineering, marketing and sales, any of whom would be difficult to replace. For example, we are highly dependent on our president and chief executive officer, Badrinarayanan Kothandaraman. Mr. Kothandaraman possesses technical knowledge of our business, operations and strategy, and he has substantial experience and contacts that help us implement our goals, strategy and plan. If we lose his services or if he decides to join a competitor or otherwise compete directly or indirectly with us, our business, operating results and financial condition could be materially harmed.</w:t>
      </w:r>
    </w:p>
    <w:p>
      <w:pPr>
        <w:spacing w:after="0" w:line="74"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8"/>
          <w:szCs w:val="18"/>
          <w:b w:val="1"/>
          <w:bCs w:val="1"/>
          <w:color w:val="auto"/>
        </w:rPr>
        <w:t>All of our employees, including our senior management, are free to terminate their employment relationships with us at any time. Competition for highly skilled executives and employees in the technology industry is intense, and our competitors have targeted individuals in our organization that have desired skills and experience. If we are not able to continue to attract, train and retain our leadership team and our qualified employees necessary for our business, the progress of our product development programs could be hindered, and we could be materially adversely affected. To help attract, retain and motivate our executives and qualified employees, we use stock-based incentive awards, including restricted stock units. If the value of such stock awards does not appreciate as measured by the performance of the price of our common stock, or if our share-based compensation otherwise ceases to be viewed as a valuable benefit, our ability to attract, retain and motivate our executives and employees could be weakened, which could harm our business and results of operations. Also, if the value of our stock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168275</wp:posOffset>
                </wp:positionV>
                <wp:extent cx="633412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25pt" to="505.35pt,13.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168275</wp:posOffset>
                </wp:positionV>
                <wp:extent cx="633412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25pt" to="505.35pt,13.2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26</w:t>
      </w:r>
    </w:p>
    <w:p>
      <w:pPr>
        <w:sectPr>
          <w:pgSz w:w="12240" w:h="15840" w:orient="portrait"/>
          <w:cols w:equalWidth="0" w:num="1">
            <w:col w:w="10260"/>
          </w:cols>
          <w:pgMar w:left="1000" w:top="216" w:right="980" w:bottom="40" w:gutter="0" w:footer="0" w:header="0"/>
          <w:type w:val="continuous"/>
        </w:sectPr>
      </w:pPr>
    </w:p>
    <w:bookmarkStart w:id="26" w:name="page27"/>
    <w:bookmarkEnd w:id="26"/>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color w:val="auto"/>
        </w:rPr>
        <w:t>increases substantially, this could potentially create substantial personal wealth for our executives and employees and affect our ability to retain our personnel. In addition, any restructuring plans may adversely impact our ability to attract and retain key employees.</w:t>
      </w:r>
    </w:p>
    <w:p>
      <w:pPr>
        <w:spacing w:after="0" w:line="70"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and we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Restructuring activities could disrupt our business and adversely affect our results of operations.</w:t>
      </w:r>
    </w:p>
    <w:p>
      <w:pPr>
        <w:spacing w:after="0" w:line="128"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We have taken steps, including reducing our global workforce, streamlining our operations and internal reorganizations, to increase operational efficiencies and execution, reduce operating costs, and better align our workforce and cost structure with current market conditions. We may take similar steps in the future as we seek to realize operating synergies, meet our strategic priorities and profitability objectives, or to reflect more closely changes in our business needs. These changes could be disruptive to our business, including our research and development efforts, and could result in significant expense, including accounting charges for inventory and technology-related write-offs, workforce reduction costs and charges relating to consolidation of excess facilities. Substantial expense or charges resulting from restructuring activities could adversely affect our results of operations and use of cash in those periods in which we undertake such actions.</w:t>
      </w:r>
    </w:p>
    <w:p>
      <w:pPr>
        <w:spacing w:after="0" w:line="70"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Any failure by management to properly manage growth could have a material adverse effect on our business, operating results and financial condition.</w:t>
      </w:r>
    </w:p>
    <w:p>
      <w:pPr>
        <w:spacing w:after="0" w:line="33" w:lineRule="exact"/>
        <w:rPr>
          <w:sz w:val="20"/>
          <w:szCs w:val="20"/>
          <w:color w:val="auto"/>
        </w:rPr>
      </w:pPr>
    </w:p>
    <w:p>
      <w:pPr>
        <w:jc w:val="both"/>
        <w:ind w:right="20" w:firstLine="540"/>
        <w:spacing w:after="0" w:line="256" w:lineRule="auto"/>
        <w:rPr>
          <w:sz w:val="20"/>
          <w:szCs w:val="20"/>
          <w:color w:val="auto"/>
        </w:rPr>
      </w:pPr>
      <w:r>
        <w:rPr>
          <w:rFonts w:ascii="Arial" w:cs="Arial" w:eastAsia="Arial" w:hAnsi="Arial"/>
          <w:sz w:val="20"/>
          <w:szCs w:val="20"/>
          <w:b w:val="1"/>
          <w:bCs w:val="1"/>
          <w:color w:val="auto"/>
        </w:rPr>
        <w:t>Our business has experienced periods of rapid growth in the past, and in the future, we may continue to grow our business rapidly. Growth in our business could place significant demands on our management, operations, systems, accounting, internal controls and financial resources, and it may also negatively impact our ability to retain key personnel. If we experience difficulties in any of these or other areas, we may not be able to expand our business successfully or effectively manage our growth. Any failure by management to manage our growth and to respond to changes in our business could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has been and could continue to be affected by seasonal trends and construction cycles</w:t>
      </w:r>
      <w:r>
        <w:rPr>
          <w:rFonts w:ascii="Arial" w:cs="Arial" w:eastAsia="Arial" w:hAnsi="Arial"/>
          <w:sz w:val="20"/>
          <w:szCs w:val="20"/>
          <w:b w:val="1"/>
          <w:bCs w:val="1"/>
          <w:color w:val="auto"/>
        </w:rPr>
        <w:t>.</w:t>
      </w:r>
    </w:p>
    <w:p>
      <w:pPr>
        <w:spacing w:after="0" w:line="130"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9"/>
          <w:szCs w:val="19"/>
          <w:b w:val="1"/>
          <w:bCs w:val="1"/>
          <w:color w:val="auto"/>
        </w:rPr>
        <w:t>We have been and could continue to be subject to industry-specific seasonal fluctuations. Historically, the majority of our revenue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In the United States,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8"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If we are unsuccessful in continuing to expand our direct-to-consumer sales channel by driving purchases through our website or third-party websites, our business and results of operation could be harmed.</w:t>
      </w:r>
    </w:p>
    <w:p>
      <w:pPr>
        <w:spacing w:after="0" w:line="33"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18"/>
          <w:szCs w:val="18"/>
          <w:b w:val="1"/>
          <w:bCs w:val="1"/>
          <w:color w:val="auto"/>
        </w:rPr>
        <w:t>Although we primarily sell our solutions and products directly to solar distributors, who resell to installers and integrators, and the developers of third-party solar financing offerings, who then in turn integrate our products into complete solar PV installations for residential and commercial system owners, we have recently invested significant resources in our direct-to-consumer sales channel through our website and third-party websites, and our future growth relies, in part, on our ability to attract consumers through this channel. Expanding our direct-to-consumer sales model will require significant expenditures in marketing, software development and infrastructure. Further, the success of direct-to-consumer sales through our website is also subject to general business regulations and laws, as well as federal, state, foreign and provincial regulations and laws specifically governing the internet and 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166370</wp:posOffset>
                </wp:positionV>
                <wp:extent cx="633412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1pt" to="505.35pt,1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166370</wp:posOffset>
                </wp:positionV>
                <wp:extent cx="63341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1pt" to="505.35pt,13.1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27</w:t>
      </w:r>
    </w:p>
    <w:p>
      <w:pPr>
        <w:sectPr>
          <w:pgSz w:w="12240" w:h="15840" w:orient="portrait"/>
          <w:cols w:equalWidth="0" w:num="1">
            <w:col w:w="10260"/>
          </w:cols>
          <w:pgMar w:left="1000" w:top="216" w:right="980" w:bottom="40" w:gutter="0" w:footer="0" w:header="0"/>
          <w:type w:val="continuous"/>
        </w:sectPr>
      </w:pPr>
    </w:p>
    <w:bookmarkStart w:id="27" w:name="page28"/>
    <w:bookmarkEnd w:id="27"/>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276" w:lineRule="auto"/>
        <w:rPr>
          <w:sz w:val="20"/>
          <w:szCs w:val="20"/>
          <w:color w:val="auto"/>
        </w:rPr>
      </w:pPr>
      <w:r>
        <w:rPr>
          <w:rFonts w:ascii="Arial" w:cs="Arial" w:eastAsia="Arial" w:hAnsi="Arial"/>
          <w:sz w:val="19"/>
          <w:szCs w:val="19"/>
          <w:b w:val="1"/>
          <w:bCs w:val="1"/>
          <w:color w:val="auto"/>
        </w:rPr>
        <w:t>commerce. These regulations and laws may cover taxation, tariffs, privacy, data protection, pricing, distribution, electronic contracts and other communications, consumer protection and intellectual property. These laws and regulations can be complex, difficult to interpret and may change over time. Continued regulatory limitations and other obstacles interfering with our ability to sell our products directly to consumers could have a negative and material impact our business, prospects, financial condition and results of operations.</w:t>
      </w:r>
    </w:p>
    <w:p>
      <w:pPr>
        <w:spacing w:after="0" w:line="64" w:lineRule="exact"/>
        <w:rPr>
          <w:sz w:val="20"/>
          <w:szCs w:val="20"/>
          <w:color w:val="auto"/>
        </w:rPr>
      </w:pPr>
    </w:p>
    <w:p>
      <w:pPr>
        <w:jc w:val="both"/>
        <w:ind w:right="20" w:firstLine="540"/>
        <w:spacing w:after="0" w:line="256" w:lineRule="auto"/>
        <w:rPr>
          <w:sz w:val="20"/>
          <w:szCs w:val="20"/>
          <w:color w:val="auto"/>
        </w:rPr>
      </w:pPr>
      <w:r>
        <w:rPr>
          <w:rFonts w:ascii="Arial" w:cs="Arial" w:eastAsia="Arial" w:hAnsi="Arial"/>
          <w:sz w:val="20"/>
          <w:szCs w:val="20"/>
          <w:b w:val="1"/>
          <w:bCs w:val="1"/>
          <w:color w:val="auto"/>
        </w:rPr>
        <w:t>Further, the expansion of our direct-to-consumer channel could alienate some of our existing distributors and installers and cause a reduction in sales from these third parties. Our existing distributors and installers may perceive themselves to be at a disadvantage based on the direct-to-consumer sales offered through our website. Due to these and other factors, conflicts in our sales channels could arise and cause our existing distributors and installers to divert resources away from the promotion and sale of our products. If we are unable to successfully continue to drive traffic to, and increase sales through, our website, our business and results of operations could be harmed.</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Intellectual Property and Technology</w:t>
      </w:r>
    </w:p>
    <w:p>
      <w:pPr>
        <w:spacing w:after="0" w:line="132"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auto"/>
        </w:rPr>
        <w:t>We are dependent on information technology systems, infrastructure and data. We or third parties whom we interact with could be subject to breaches of information technology systems caused by system security risks, failure of data protection, cyber-attacks and erroneous or non-malicious actions or failures to act by employees or others, which could cause significant reputational, legal and financial damages.</w:t>
      </w:r>
    </w:p>
    <w:p>
      <w:pPr>
        <w:spacing w:after="0" w:line="62" w:lineRule="exact"/>
        <w:rPr>
          <w:sz w:val="20"/>
          <w:szCs w:val="20"/>
          <w:color w:val="auto"/>
        </w:rPr>
      </w:pPr>
    </w:p>
    <w:p>
      <w:pPr>
        <w:jc w:val="both"/>
        <w:ind w:firstLine="720"/>
        <w:spacing w:after="0" w:line="267" w:lineRule="auto"/>
        <w:rPr>
          <w:sz w:val="20"/>
          <w:szCs w:val="20"/>
          <w:color w:val="auto"/>
        </w:rPr>
      </w:pPr>
      <w:r>
        <w:rPr>
          <w:rFonts w:ascii="Arial" w:cs="Arial" w:eastAsia="Arial" w:hAnsi="Arial"/>
          <w:sz w:val="19"/>
          <w:szCs w:val="19"/>
          <w:b w:val="1"/>
          <w:bCs w:val="1"/>
          <w:color w:val="auto"/>
        </w:rPr>
        <w:t>Like many companies, in the ordinary course of business we process, use, transfer, generate, disclose, secure, transmit and store a wide variety of confidential and proprietary information including personal information and sensitive information relating to our business, products and services. The secure maintenance of this information is critical to our business and reputation. Despite our implementation of security measures, our systems are vulnerable to damages from computer viruses, computer denial-of-service attacks, ransomware, supply chain attacks, worms and other malicious software programs or other attacks, covert introduction of malware to computers and networks, unauthorized access, including impersonation of authorized users, social-engineering attacks (including through deep fakes, which may be increasingly more difficult to identify as fake, and phishing attacks), efforts to discover and exploit any security vulnerabilities or securities weaknesses and other similar issues and disruptions. In particular, severe ransomware attacks are becoming increasingly prevalent – particularly for companies like ours that interact with critical infrastructure or manufacturing – and can lead to significant interruptions in our operations, and ability to provide our products or services. Although we make significant efforts to maintain the confidentiality, integrity and availability of our information technology and related systems and have implemented measures to manage the risk of a security breach or disruption, there can be no assurance that our security efforts and measures will be effective, or that attempted security breaches or disruptions would not be successful or damaging.</w:t>
      </w:r>
    </w:p>
    <w:p>
      <w:pPr>
        <w:spacing w:after="0" w:line="71"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Remote work for some workers presents increased risks to our information technology and related systems, as these workers utilize network connections, computers and devices outside our premises or network, including working at home, while in transit and in public locations.</w:t>
      </w:r>
    </w:p>
    <w:p>
      <w:pPr>
        <w:spacing w:after="0" w:line="70"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8"/>
          <w:szCs w:val="18"/>
          <w:b w:val="1"/>
          <w:bCs w:val="1"/>
          <w:color w:val="auto"/>
        </w:rPr>
        <w:t>The techniques used in attempted cyber-attacks and intrusions are sophisticated and constantly evolving and may be difficult to detect for long periods of time. Recent techniques include artificial intelligence (“AI”) tools and coordinated attacks, which increases the volume and sophistication of cybersecurity attacks. We may be unable to anticipate these techniques or implement adequate preventative measures. Although to date we are not aware of any material breaches of our systems that could have material adverse effect on our business, attacks and intrusions on our systems will continue and we may experience a breach of our systems that compromises valuable company information or customer data including personal information. In addition, hardware, software, or applications we develop or procure from third parties may contain defects in design or manufacture or other problems that could unexpectedly compromise information security. Intentional or non-malicious breaches by employees or others may pose a risk that valuable data, including our intellectual property, trade secrets or personal information of our employees, customers or users, or other business partners may be exposed to unauthorized persons or to the public, or that risks of loss or misuse of this information could occur. Furthermore, if we experience a significant data security breach, we could be exposed to reputational damage and significant costs, including to rebuild our systems, modify our products and services, defend litigation, respond to government enforcement actions, pay damages or take other remedial steps, any of which could adversely affect our business, results of operations and financial condition. In addition, we may be required to incur significant costs to protect against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400685</wp:posOffset>
                </wp:positionV>
                <wp:extent cx="633412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1.55pt" to="505.35pt,31.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400685</wp:posOffset>
                </wp:positionV>
                <wp:extent cx="633412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1.55pt" to="505.35pt,31.5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28</w:t>
      </w:r>
    </w:p>
    <w:p>
      <w:pPr>
        <w:sectPr>
          <w:pgSz w:w="12240" w:h="15840" w:orient="portrait"/>
          <w:cols w:equalWidth="0" w:num="1">
            <w:col w:w="10260"/>
          </w:cols>
          <w:pgMar w:left="1000" w:top="216" w:right="980" w:bottom="40" w:gutter="0" w:footer="0" w:header="0"/>
          <w:type w:val="continuous"/>
        </w:sectPr>
      </w:pPr>
    </w:p>
    <w:bookmarkStart w:id="28" w:name="page29"/>
    <w:bookmarkEnd w:id="28"/>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345" w:lineRule="auto"/>
        <w:rPr>
          <w:sz w:val="20"/>
          <w:szCs w:val="20"/>
          <w:color w:val="auto"/>
        </w:rPr>
      </w:pPr>
      <w:r>
        <w:rPr>
          <w:rFonts w:ascii="Arial" w:cs="Arial" w:eastAsia="Arial" w:hAnsi="Arial"/>
          <w:sz w:val="18"/>
          <w:szCs w:val="18"/>
          <w:b w:val="1"/>
          <w:bCs w:val="1"/>
          <w:color w:val="auto"/>
        </w:rPr>
        <w:t>damage caused by these disruptions or security breaches in the future. These risks, as well as the number and frequency of cybersecurity events globally, may also be heightened during times of geopolitical tension or instability.</w:t>
      </w:r>
    </w:p>
    <w:p>
      <w:pPr>
        <w:spacing w:after="0" w:line="5" w:lineRule="exact"/>
        <w:rPr>
          <w:sz w:val="20"/>
          <w:szCs w:val="20"/>
          <w:color w:val="auto"/>
        </w:rPr>
      </w:pPr>
    </w:p>
    <w:p>
      <w:pPr>
        <w:jc w:val="both"/>
        <w:ind w:right="20" w:firstLine="547"/>
        <w:spacing w:after="0" w:line="268" w:lineRule="auto"/>
        <w:rPr>
          <w:sz w:val="20"/>
          <w:szCs w:val="20"/>
          <w:color w:val="auto"/>
        </w:rPr>
      </w:pPr>
      <w:r>
        <w:rPr>
          <w:rFonts w:ascii="Arial" w:cs="Arial" w:eastAsia="Arial" w:hAnsi="Arial"/>
          <w:sz w:val="20"/>
          <w:szCs w:val="20"/>
          <w:b w:val="1"/>
          <w:bCs w:val="1"/>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70" w:lineRule="exact"/>
        <w:rPr>
          <w:sz w:val="20"/>
          <w:szCs w:val="20"/>
          <w:color w:val="auto"/>
        </w:rPr>
      </w:pPr>
    </w:p>
    <w:p>
      <w:pPr>
        <w:jc w:val="both"/>
        <w:ind w:firstLine="547"/>
        <w:spacing w:after="0" w:line="256" w:lineRule="auto"/>
        <w:rPr>
          <w:sz w:val="20"/>
          <w:szCs w:val="20"/>
          <w:color w:val="auto"/>
        </w:rPr>
      </w:pPr>
      <w:r>
        <w:rPr>
          <w:rFonts w:ascii="Arial" w:cs="Arial" w:eastAsia="Arial" w:hAnsi="Arial"/>
          <w:sz w:val="20"/>
          <w:szCs w:val="20"/>
          <w:b w:val="1"/>
          <w:bCs w:val="1"/>
          <w:color w:val="auto"/>
        </w:rPr>
        <w:t>We may also rely on and share information with contractors and third-party providers to conduct our business and provide our products and services. Although such contractors and third-party providers take steps designed to secure data and prevent security incidents, as required by our contracts with them, our ability to monitor these third-parties’ information security practices and potential security incidents is limited, and these third-parties may not have adequate information security measures in place. These third-party providers may experience a significant data security breach, which may also detrimentally affect our business, ability to provide our products and services, results of operations and financial condition.</w:t>
      </w:r>
    </w:p>
    <w:p>
      <w:pPr>
        <w:spacing w:after="0" w:line="83" w:lineRule="exact"/>
        <w:rPr>
          <w:sz w:val="20"/>
          <w:szCs w:val="20"/>
          <w:color w:val="auto"/>
        </w:rPr>
      </w:pPr>
    </w:p>
    <w:p>
      <w:pPr>
        <w:jc w:val="both"/>
        <w:ind w:firstLine="540"/>
        <w:spacing w:after="0" w:line="286" w:lineRule="auto"/>
        <w:rPr>
          <w:sz w:val="20"/>
          <w:szCs w:val="20"/>
          <w:color w:val="auto"/>
        </w:rPr>
      </w:pPr>
      <w:r>
        <w:rPr>
          <w:rFonts w:ascii="Arial" w:cs="Arial" w:eastAsia="Arial" w:hAnsi="Arial"/>
          <w:sz w:val="18"/>
          <w:szCs w:val="18"/>
          <w:b w:val="1"/>
          <w:bCs w:val="1"/>
          <w:color w:val="auto"/>
        </w:rPr>
        <w:t>The cost and operational consequences of implementing further data protection measures could be significant and theft of our intellectual property or proprietary business information could require substantial expenditures to remedy. Further, we cannot be certain that (a) our liability insurance will be sufficient in type or amount to cover us against claims related to security breaches, cyberattacks and other related breaches; (b) such coverage will cover any indemnification claims against us relating to any incident, will continue to be available to us on economically reasonable terms, or at all; and (c) any insurer will not deny coverage as to any future claim. The successful assertion of one or more large claims against us that exceed available insurance coverage, or the occurrence of changes in our insurance policies, including premium increases or the imposition or large deductible or co-insurance requirements, could adversely affect our reputation, business, financial condition and results of operations.</w:t>
      </w:r>
    </w:p>
    <w:p>
      <w:pPr>
        <w:spacing w:after="0" w:line="60"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19"/>
          <w:szCs w:val="19"/>
          <w:b w:val="1"/>
          <w:bCs w:val="1"/>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38"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auto"/>
        </w:rPr>
        <w:t>We are subject to stringent and evolving data privacy and security laws, contractual obligations, information security policies and other obligations governing the use, processing and transfer of personal information, and any unauthorized access to, or disclosure or theft of, personal information we gather, store or use could harm our reputation and subject us to claims or litigation.</w:t>
      </w:r>
    </w:p>
    <w:p>
      <w:pPr>
        <w:spacing w:after="0" w:line="62"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We receive, store and use certain personal information of our customers, and the end-users of our customers’ energy systems, including names, addresses, e-mail addresses, phone numbers, energy system details and energy information. We also store and use personal information of our employees. We take steps to protect the confidentiality, integrity and accessibility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81"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18"/>
          <w:szCs w:val="18"/>
          <w:b w:val="1"/>
          <w:bCs w:val="1"/>
          <w:color w:val="auto"/>
        </w:rPr>
        <w:t>We are subject to a variety of local, state, national and international laws, directives and regulations that apply to the collection, use, retention, protection, disclosure, transfer and other processing of personal data in the different jurisdictions in which we operate, including, for example, comprehensive regulatory systems in the United States, Europe and Brazil. It remains unclear what additional requirements will be codified in future laws, how those laws will be enforced, and how these legal shifts impact our operations and risk. We may be required to modify our data practices and policies, at potentially substantial additional costs and expenses. Complying with these forthcoming and future laws, regulations, amendments to or re-interpretations of existing laws and regulations, and contractual or other obligations relating to privacy, data protection, data transfers, data localization, or information security may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166370</wp:posOffset>
                </wp:positionV>
                <wp:extent cx="633412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1pt" to="505.35pt,1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166370</wp:posOffset>
                </wp:positionV>
                <wp:extent cx="633412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1pt" to="505.35pt,13.1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29</w:t>
      </w:r>
    </w:p>
    <w:p>
      <w:pPr>
        <w:sectPr>
          <w:pgSz w:w="12240" w:h="15840" w:orient="portrait"/>
          <w:cols w:equalWidth="0" w:num="1">
            <w:col w:w="10260"/>
          </w:cols>
          <w:pgMar w:left="1000" w:top="216" w:right="980" w:bottom="40" w:gutter="0" w:footer="0" w:header="0"/>
          <w:type w:val="continuous"/>
        </w:sectPr>
      </w:pPr>
    </w:p>
    <w:bookmarkStart w:id="29" w:name="page30"/>
    <w:bookmarkEnd w:id="29"/>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require us to make changes to our services to enable us or our customers to meet new legal requirements, incur substantial operational costs, modify our data practices and policies, and restrict our business operations. Additionally, certain privacy and other laws impose obligations to provide notification of security breaches of computer databases that contain personal information to affected individuals, state officers and others.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145"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33" w:lineRule="exact"/>
        <w:rPr>
          <w:sz w:val="20"/>
          <w:szCs w:val="20"/>
          <w:color w:val="auto"/>
        </w:rPr>
      </w:pPr>
    </w:p>
    <w:p>
      <w:pPr>
        <w:jc w:val="both"/>
        <w:ind w:firstLine="540"/>
        <w:spacing w:after="0" w:line="266" w:lineRule="auto"/>
        <w:rPr>
          <w:sz w:val="20"/>
          <w:szCs w:val="20"/>
          <w:color w:val="auto"/>
        </w:rPr>
      </w:pPr>
      <w:r>
        <w:rPr>
          <w:rFonts w:ascii="Arial" w:cs="Arial" w:eastAsia="Arial" w:hAnsi="Arial"/>
          <w:sz w:val="19"/>
          <w:szCs w:val="19"/>
          <w:b w:val="1"/>
          <w:bCs w:val="1"/>
          <w:color w:val="auto"/>
        </w:rPr>
        <w:t>We rely on the efficient and uninterrupted operation of complex information technology systems and network infrastructures to operate our business. In addition, our cloud-based monitoring service, which our installers and end-user customers use to track and monitor the performance of their energy systems, is dependent on cloud-based hosting services, along with the availability of internet or cellular data services at end-user premises. Despite testing by us, real or perceived errors, failures or bugs in our customer solutions, software or technology or the technology or software we license from third parties, including open source software, may not be found until our customers use our products. Real or perceived errors, failures or bugs in our products could result in negative publicity, loss of or delay in market acceptance of our products, harm to our brand, weakening of our competitive position or claims by customers for losses sustained by them. A disruption, infiltration or failure of our information technology systems, third-party cloud hosting platforms or end-user data services as a result of software or hardware malfunctions, system implementations or upgrades, computer viruses, cyber-attacks, third-party security breaches, employee/human error, theft or misuse, malfeasance, power disruptions, natural disasters or accidents could cause breaches of data security, failure of our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such future events could further harm our competitive position, result in a loss of customer confidence, cause us to incur significant costs to remedy any damages and ultimately materially adversely affect our business and financial condition.</w:t>
      </w:r>
    </w:p>
    <w:p>
      <w:pPr>
        <w:spacing w:after="0" w:line="139" w:lineRule="exact"/>
        <w:rPr>
          <w:sz w:val="20"/>
          <w:szCs w:val="20"/>
          <w:color w:val="auto"/>
        </w:rPr>
      </w:pPr>
    </w:p>
    <w:p>
      <w:pPr>
        <w:ind w:right="340"/>
        <w:spacing w:after="0" w:line="295" w:lineRule="auto"/>
        <w:rPr>
          <w:sz w:val="20"/>
          <w:szCs w:val="20"/>
          <w:color w:val="auto"/>
        </w:rPr>
      </w:pPr>
      <w:r>
        <w:rPr>
          <w:rFonts w:ascii="Arial" w:cs="Arial" w:eastAsia="Arial" w:hAnsi="Arial"/>
          <w:sz w:val="20"/>
          <w:szCs w:val="20"/>
          <w:b w:val="1"/>
          <w:bCs w:val="1"/>
          <w:i w:val="1"/>
          <w:iCs w:val="1"/>
          <w:color w:val="auto"/>
        </w:rPr>
        <w:t>If we fail to protect, or incur significant costs in enforcing, our intellectual property and other proprietary rights, our business and results of operations could be materially harmed.</w:t>
      </w:r>
    </w:p>
    <w:p>
      <w:pPr>
        <w:spacing w:after="0" w:line="33" w:lineRule="exact"/>
        <w:rPr>
          <w:sz w:val="20"/>
          <w:szCs w:val="20"/>
          <w:color w:val="auto"/>
        </w:rPr>
      </w:pPr>
    </w:p>
    <w:p>
      <w:pPr>
        <w:jc w:val="both"/>
        <w:ind w:firstLine="540"/>
        <w:spacing w:after="0" w:line="281" w:lineRule="auto"/>
        <w:rPr>
          <w:sz w:val="20"/>
          <w:szCs w:val="20"/>
          <w:color w:val="auto"/>
        </w:rPr>
      </w:pPr>
      <w:r>
        <w:rPr>
          <w:rFonts w:ascii="Arial" w:cs="Arial" w:eastAsia="Arial" w:hAnsi="Arial"/>
          <w:sz w:val="18"/>
          <w:szCs w:val="18"/>
          <w:b w:val="1"/>
          <w:bCs w:val="1"/>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other countries, many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This includes an inherent risk that our registered or unregistered trademarks or trade-names that we own or use may be challenged, infringed, circumvented, declared generic, lapsed or determined to be infringing on or dilutive of other marks, and that we may not be able to protect our rights, all of which may cause material adverse impact on our marketing abilities. Our patent protection depends on compliance with various required procedures, document submissions, fee payments, and other requirements imposed by national patent offices, and our patent protection could be reduced or eliminated for non-compliance with these requirements, despite our engagement of reputable law firms and other professionals to help us comply with such requirements. Even where we do comply with such requirements and enjoy the full length of patent protection, patent terms are finite in length – generally 20 years from the earliest non-provisional priority filing date – which may be inadequate to protect our competitive position on our products. In countries where we have not applied for patent protection or where effective intellectual property protection is not available to the same extent as in the U.S., we may be at greater risk that our proprietary rights will be misappropriated, infringed or otherwise violated.</w:t>
      </w:r>
    </w:p>
    <w:p>
      <w:pPr>
        <w:spacing w:after="0" w:line="73" w:lineRule="exact"/>
        <w:rPr>
          <w:sz w:val="20"/>
          <w:szCs w:val="20"/>
          <w:color w:val="auto"/>
        </w:rPr>
      </w:pPr>
    </w:p>
    <w:p>
      <w:pPr>
        <w:jc w:val="both"/>
        <w:ind w:firstLine="540"/>
        <w:spacing w:after="0" w:line="311" w:lineRule="auto"/>
        <w:rPr>
          <w:sz w:val="20"/>
          <w:szCs w:val="20"/>
          <w:color w:val="auto"/>
        </w:rPr>
      </w:pPr>
      <w:r>
        <w:rPr>
          <w:rFonts w:ascii="Arial" w:cs="Arial" w:eastAsia="Arial" w:hAnsi="Arial"/>
          <w:sz w:val="18"/>
          <w:szCs w:val="18"/>
          <w:b w:val="1"/>
          <w:bCs w:val="1"/>
          <w:color w:val="auto"/>
        </w:rPr>
        <w:t>To protect our unregistered intellectual property, including our trade secrets and know-how, we rely in part on trade secret laws and confidentiality and invention assignment agreements with our employees and independent contractors. We also require other third parties who may have access to our proprietary technologies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113030</wp:posOffset>
                </wp:positionV>
                <wp:extent cx="633412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8.9pt" to="505.35pt,8.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113030</wp:posOffset>
                </wp:positionV>
                <wp:extent cx="633412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8.9pt" to="505.35pt,8.9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30</w:t>
      </w:r>
    </w:p>
    <w:p>
      <w:pPr>
        <w:sectPr>
          <w:pgSz w:w="12240" w:h="15840" w:orient="portrait"/>
          <w:cols w:equalWidth="0" w:num="1">
            <w:col w:w="10260"/>
          </w:cols>
          <w:pgMar w:left="1000" w:top="216" w:right="980" w:bottom="40" w:gutter="0" w:footer="0" w:header="0"/>
          <w:type w:val="continuous"/>
        </w:sectPr>
      </w:pPr>
    </w:p>
    <w:bookmarkStart w:id="30" w:name="page31"/>
    <w:bookmarkEnd w:id="30"/>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60" w:lineRule="exact"/>
        <w:rPr>
          <w:sz w:val="20"/>
          <w:szCs w:val="20"/>
          <w:color w:val="auto"/>
        </w:rPr>
      </w:pPr>
    </w:p>
    <w:p>
      <w:pPr>
        <w:jc w:val="both"/>
        <w:ind w:right="20" w:firstLine="540"/>
        <w:spacing w:after="0" w:line="291" w:lineRule="auto"/>
        <w:rPr>
          <w:sz w:val="20"/>
          <w:szCs w:val="20"/>
          <w:color w:val="auto"/>
        </w:rPr>
      </w:pPr>
      <w:r>
        <w:rPr>
          <w:rFonts w:ascii="Arial" w:cs="Arial" w:eastAsia="Arial" w:hAnsi="Arial"/>
          <w:sz w:val="18"/>
          <w:szCs w:val="18"/>
          <w:b w:val="1"/>
          <w:bCs w:val="1"/>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56"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56"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8"/>
          <w:szCs w:val="18"/>
          <w:b w:val="1"/>
          <w:bCs w:val="1"/>
          <w:color w:val="auto"/>
        </w:rPr>
        <w:t>Our competitors and other third parties hold numerous patents related to technology used in our industry, and claims of patent or other intellectual property right infringement or violation have been litigated against our competitors.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upon any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62" w:lineRule="exact"/>
        <w:rPr>
          <w:sz w:val="20"/>
          <w:szCs w:val="20"/>
          <w:color w:val="auto"/>
        </w:rPr>
      </w:pPr>
    </w:p>
    <w:p>
      <w:pPr>
        <w:ind w:left="720" w:right="20" w:hanging="370"/>
        <w:spacing w:after="0" w:line="287" w:lineRule="auto"/>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obtain from a third-party claiming infringement a license to sell or use the relevant technology, which may not be available on reasonable terms, or at all;</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stop manufacturing, selling, incorporating or using products that embody the asserted intellectual property;</w:t>
      </w:r>
    </w:p>
    <w:p>
      <w:pPr>
        <w:spacing w:after="0" w:line="153" w:lineRule="exact"/>
        <w:rPr>
          <w:rFonts w:ascii="Arial" w:cs="Arial" w:eastAsia="Arial" w:hAnsi="Arial"/>
          <w:sz w:val="18"/>
          <w:szCs w:val="18"/>
          <w:b w:val="1"/>
          <w:bCs w:val="1"/>
          <w:color w:val="auto"/>
        </w:rPr>
      </w:pPr>
    </w:p>
    <w:p>
      <w:pPr>
        <w:ind w:left="720" w:hanging="370"/>
        <w:spacing w:after="0"/>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pay substantial monetary damages;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indemnify our customers under some of our customer contracts; or</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expend significant resources to redesign the products that use the infringing technology, or to develop or acquire non-infringing technology.</w:t>
      </w:r>
    </w:p>
    <w:p>
      <w:pPr>
        <w:spacing w:after="0" w:line="5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Any of these actions could result in a substantial reduction in our revenue and could result in losses over an extended period of time.</w:t>
      </w:r>
    </w:p>
    <w:p>
      <w:pPr>
        <w:spacing w:after="0" w:line="52"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56" w:lineRule="exact"/>
        <w:rPr>
          <w:sz w:val="20"/>
          <w:szCs w:val="20"/>
          <w:color w:val="auto"/>
        </w:rPr>
      </w:pPr>
    </w:p>
    <w:p>
      <w:pPr>
        <w:jc w:val="both"/>
        <w:ind w:right="20" w:firstLine="720"/>
        <w:spacing w:after="0" w:line="280" w:lineRule="auto"/>
        <w:rPr>
          <w:sz w:val="20"/>
          <w:szCs w:val="20"/>
          <w:color w:val="auto"/>
        </w:rPr>
      </w:pPr>
      <w:r>
        <w:rPr>
          <w:rFonts w:ascii="Arial" w:cs="Arial" w:eastAsia="Arial" w:hAnsi="Arial"/>
          <w:sz w:val="19"/>
          <w:szCs w:val="19"/>
          <w:b w:val="1"/>
          <w:bCs w:val="1"/>
          <w:color w:val="auto"/>
        </w:rPr>
        <w:t>We have licensed, and in the future we may choose or be required to license, technology or intellectual property from third parties in connection with the development and marketing of our products. We cannot assure you that such licenses will be available to us on commercially reasonable terms, or at all, and our inability to obtain such licenses could require us to substitute technology of lower quality or of greater cost.</w:t>
      </w:r>
    </w:p>
    <w:p>
      <w:pPr>
        <w:spacing w:after="0" w:line="60"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18"/>
          <w:szCs w:val="18"/>
          <w:b w:val="1"/>
          <w:bCs w:val="1"/>
          <w:color w:val="auto"/>
        </w:rPr>
        <w:t>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third-party patents 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128270</wp:posOffset>
                </wp:positionV>
                <wp:extent cx="633412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1pt" to="505.35pt,10.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128270</wp:posOffset>
                </wp:positionV>
                <wp:extent cx="633412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1pt" to="505.35pt,10.1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31</w:t>
      </w:r>
    </w:p>
    <w:p>
      <w:pPr>
        <w:sectPr>
          <w:pgSz w:w="12240" w:h="15840" w:orient="portrait"/>
          <w:cols w:equalWidth="0" w:num="1">
            <w:col w:w="10260"/>
          </w:cols>
          <w:pgMar w:left="1000" w:top="216" w:right="980" w:bottom="40" w:gutter="0" w:footer="0" w:header="0"/>
          <w:type w:val="continuous"/>
        </w:sectPr>
      </w:pPr>
    </w:p>
    <w:bookmarkStart w:id="31" w:name="page32"/>
    <w:bookmarkEnd w:id="31"/>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spacing w:after="0" w:line="76"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8"/>
          <w:szCs w:val="18"/>
          <w:b w:val="1"/>
          <w:bCs w:val="1"/>
          <w:color w:val="auto"/>
        </w:rPr>
        <w:t>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Further,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 source licenses, we may be subject to costly third-party claims of intellectual property infringement or ownership of our proprietary source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above could harm our business and put us at a competitive disadvantage.</w:t>
      </w:r>
    </w:p>
    <w:p>
      <w:pPr>
        <w:spacing w:after="0" w:line="61"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Emerging issues related to the development and use of artificial intelligence could give rise to legal or regulatory action, damage our reputation, or otherwise materially harm of our business.</w:t>
      </w:r>
    </w:p>
    <w:p>
      <w:pPr>
        <w:spacing w:after="0" w:line="33"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9"/>
          <w:szCs w:val="19"/>
          <w:b w:val="1"/>
          <w:bCs w:val="1"/>
          <w:color w:val="auto"/>
        </w:rPr>
        <w:t>Our development and use of AI technology in our products and operations remains in the early phases. While we aim to develop and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Moreover, AI technology is subject to rapidly evolving domestic and international laws and regulations, which could impose significant costs and obligations on us. This includes actual and pending orders and laws by the U.S. federal government, the European Union and other jurisdictions in which we operate. Emerging regulations may also pertain to data privacy, data protection, and the ethical use of AI, as well as clarifying intellectual property considerations. Our use of AI could give rise to legal or regulatory action or increased scrutiny or liability, and may damage our reputation or otherwise materially harm our business.</w:t>
      </w:r>
    </w:p>
    <w:p>
      <w:pPr>
        <w:spacing w:after="0" w:line="73"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auto"/>
        </w:rPr>
        <w:t>The software we use in providing system configuration recommendations or potential energy savings estimates to customers relies in part on third-party information that may not be accurate or up-to-date; this may therefore generate inaccurate recommendations or estimates, resulting in a loss of reputation and customer confidence.</w:t>
      </w:r>
    </w:p>
    <w:p>
      <w:pPr>
        <w:spacing w:after="0" w:line="62" w:lineRule="exact"/>
        <w:rPr>
          <w:sz w:val="20"/>
          <w:szCs w:val="20"/>
          <w:color w:val="auto"/>
        </w:rPr>
      </w:pPr>
    </w:p>
    <w:p>
      <w:pPr>
        <w:jc w:val="both"/>
        <w:ind w:right="20" w:firstLine="720"/>
        <w:spacing w:after="0" w:line="273" w:lineRule="auto"/>
        <w:rPr>
          <w:sz w:val="20"/>
          <w:szCs w:val="20"/>
          <w:color w:val="auto"/>
        </w:rPr>
      </w:pPr>
      <w:r>
        <w:rPr>
          <w:rFonts w:ascii="Arial" w:cs="Arial" w:eastAsia="Arial" w:hAnsi="Arial"/>
          <w:sz w:val="19"/>
          <w:szCs w:val="19"/>
          <w:b w:val="1"/>
          <w:bCs w:val="1"/>
          <w:color w:val="auto"/>
        </w:rPr>
        <w:t>We provide our customers online tools to help them determine proper system sizing and configurations, estimates of bill savings and potential revenues resulting from executing a specific curtailment strategy. These estimates are in turn based on a number of factors such as customer tariff structures, estimated wholesale electricity prices, future economic conditions and estimates of the reduction in electricity usage as a result of a curtailment activity. If the estimates we provide prove to be significantly different from actual payments or savings received by our customers, it may result in the loss of reputation and/or customer confidence.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Legal Proceedings and Regulations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1392555</wp:posOffset>
                </wp:positionV>
                <wp:extent cx="633412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9.65pt" to="505.35pt,109.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1392555</wp:posOffset>
                </wp:positionV>
                <wp:extent cx="633412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9.65pt" to="505.35pt,109.6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32</w:t>
      </w:r>
    </w:p>
    <w:p>
      <w:pPr>
        <w:sectPr>
          <w:pgSz w:w="12240" w:h="15840" w:orient="portrait"/>
          <w:cols w:equalWidth="0" w:num="1">
            <w:col w:w="10260"/>
          </w:cols>
          <w:pgMar w:left="1000" w:top="216" w:right="980" w:bottom="40" w:gutter="0" w:footer="0" w:header="0"/>
          <w:type w:val="continuous"/>
        </w:sectPr>
      </w:pPr>
    </w:p>
    <w:bookmarkStart w:id="32" w:name="page33"/>
    <w:bookmarkEnd w:id="32"/>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auto"/>
        </w:rPr>
        <w:t>Changes in current laws or regulations or the imposition of new laws or regulations, or new interpretations thereof, in the solar energy sector, by federal or state agencies in the United States or foreign jurisdictions could impair our ability to compete and could materially harm our business, financial condition and results of operations.</w:t>
      </w:r>
    </w:p>
    <w:p>
      <w:pPr>
        <w:spacing w:after="0" w:line="62"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9"/>
          <w:szCs w:val="19"/>
          <w:b w:val="1"/>
          <w:bCs w:val="1"/>
          <w:color w:val="auto"/>
        </w:rPr>
        <w:t>There has been, and will continue to be, regulatory uncertainty in the clean energy sector generally and the solar energy sector in particular. Changes in current laws or regulations, or the imposition of new laws and regulations in the United States and around the world, could materially and adversely affect our business, financial condition and results of operations. In addition, any changes to the laws and implementing regulations affecting the clean energy sector may create delays in the introduction of new products, prevent our customers from deploying our products or, in some cases, require us to redesign our products. In addition, changes in our products or changes in export and import laws and implementing regulations may delay the introduction of new products in international markets, prevent our customers from deploying our products internationally or, in some cases, prevent the export or import of our products to certain countries altogether, resulting in a material adverse effect on our business, financial condition and results of operations.</w:t>
      </w:r>
    </w:p>
    <w:p>
      <w:pPr>
        <w:spacing w:after="0" w:line="71"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9"/>
          <w:szCs w:val="19"/>
          <w:b w:val="1"/>
          <w:bCs w:val="1"/>
          <w:color w:val="auto"/>
        </w:rPr>
        <w:t>For example, the recently enacted OBBBA scales back the use of the ITC for residential solar, tightens domestic content rules, imposes new non-FEOC requirements, and imposes new deadlines for projects to qualify for the ITC. Such actions could result in a decrease in demand for our technology offerings in the United States and other geographical markets, which would harm our business, financial condition and results of operations.</w:t>
      </w:r>
    </w:p>
    <w:p>
      <w:pPr>
        <w:spacing w:after="0" w:line="122"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Our significant international operations subject us to additional risks that could adversely affect our business, results of operations and financial condition.</w:t>
      </w:r>
    </w:p>
    <w:p>
      <w:pPr>
        <w:spacing w:after="0" w:line="33"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We have significant international operations, including in emerging markets such as India, and we are continuing to expand our international operations as part of our growth strategy. As of December 31, 2025, approximately 61% of our total employees were located in India, where we primarily conduct our research and development activities, procurement, customer support services, and other general and administrative support functions.</w:t>
      </w:r>
    </w:p>
    <w:p>
      <w:pPr>
        <w:spacing w:after="0" w:line="79" w:lineRule="exact"/>
        <w:rPr>
          <w:sz w:val="20"/>
          <w:szCs w:val="20"/>
          <w:color w:val="auto"/>
        </w:rPr>
      </w:pPr>
    </w:p>
    <w:p>
      <w:pPr>
        <w:jc w:val="both"/>
        <w:ind w:firstLine="540"/>
        <w:spacing w:after="0" w:line="276" w:lineRule="auto"/>
        <w:rPr>
          <w:sz w:val="20"/>
          <w:szCs w:val="20"/>
          <w:color w:val="auto"/>
        </w:rPr>
      </w:pPr>
      <w:r>
        <w:rPr>
          <w:rFonts w:ascii="Arial" w:cs="Arial" w:eastAsia="Arial" w:hAnsi="Arial"/>
          <w:sz w:val="19"/>
          <w:szCs w:val="19"/>
          <w:b w:val="1"/>
          <w:bCs w:val="1"/>
          <w:color w:val="auto"/>
        </w:rPr>
        <w:t>In addition, during 2025, we continued to expand our operations into new European countries, although revenue from our operations in Europe declined year over year, with approximately 14% of our net revenues derived from Europe for the year ended December 31, 2025, as compared to approximately 23% of our net revenues from the same region for the year ended December 31, 2024. Our current international operations have placed, and will continue to place, a strain on our employees, management systems and other resources.</w:t>
      </w:r>
    </w:p>
    <w:p>
      <w:pPr>
        <w:spacing w:after="0" w:line="64"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Our international operations may fail to succeed due to risks inherent in operating businesses internationally, such as:</w:t>
      </w:r>
    </w:p>
    <w:p>
      <w:pPr>
        <w:spacing w:after="0" w:line="50" w:lineRule="exact"/>
        <w:rPr>
          <w:sz w:val="20"/>
          <w:szCs w:val="20"/>
          <w:color w:val="auto"/>
        </w:rPr>
      </w:pPr>
    </w:p>
    <w:p>
      <w:pPr>
        <w:ind w:left="720" w:hanging="370"/>
        <w:spacing w:after="0"/>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adverse social, political and economic conditions, such as inflation, tariffs and rising interest rates;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our lack of familiarity with commercial and social norms and customs in countries which may adversely affect our ability to recruit, retain and manage employees in these countries;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and costs associated with staffing and managing foreign operations;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the potential diversion of management’s attention to oversee and direct operations that are geographically distant from our U.S. headquarters;</w:t>
      </w:r>
    </w:p>
    <w:p>
      <w:pPr>
        <w:spacing w:after="0" w:line="49" w:lineRule="exact"/>
        <w:rPr>
          <w:rFonts w:ascii="Arial" w:cs="Arial" w:eastAsia="Arial" w:hAnsi="Arial"/>
          <w:sz w:val="20"/>
          <w:szCs w:val="20"/>
          <w:b w:val="1"/>
          <w:bCs w:val="1"/>
          <w:color w:val="auto"/>
        </w:rPr>
      </w:pPr>
    </w:p>
    <w:p>
      <w:pPr>
        <w:ind w:left="720" w:right="20" w:hanging="370"/>
        <w:spacing w:after="0" w:line="314" w:lineRule="auto"/>
        <w:tabs>
          <w:tab w:leader="none" w:pos="72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multiple, conflicting and changing governmental laws and regulations, including environmental, employment, tax, privacy and data protection laws and other regulatory requirements;</w:t>
      </w:r>
    </w:p>
    <w:p>
      <w:pPr>
        <w:spacing w:after="0" w:line="28" w:lineRule="exact"/>
        <w:rPr>
          <w:rFonts w:ascii="Arial" w:cs="Arial" w:eastAsia="Arial" w:hAnsi="Arial"/>
          <w:sz w:val="19"/>
          <w:szCs w:val="19"/>
          <w:b w:val="1"/>
          <w:bCs w:val="1"/>
          <w:color w:val="auto"/>
        </w:rPr>
      </w:pPr>
    </w:p>
    <w:p>
      <w:pPr>
        <w:ind w:left="720" w:right="20" w:hanging="370"/>
        <w:spacing w:after="0" w:line="314" w:lineRule="auto"/>
        <w:tabs>
          <w:tab w:leader="none" w:pos="72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legal systems in which our ability to enforce and protect our rights may be different or less effective than in the United States and in which the ultimate result of dispute resolution is more difficult to predict;</w:t>
      </w:r>
    </w:p>
    <w:p>
      <w:pPr>
        <w:spacing w:after="0" w:line="28" w:lineRule="exact"/>
        <w:rPr>
          <w:rFonts w:ascii="Arial" w:cs="Arial" w:eastAsia="Arial" w:hAnsi="Arial"/>
          <w:sz w:val="19"/>
          <w:szCs w:val="19"/>
          <w:b w:val="1"/>
          <w:bCs w:val="1"/>
          <w:color w:val="auto"/>
        </w:rPr>
      </w:pPr>
    </w:p>
    <w:p>
      <w:pPr>
        <w:ind w:left="720" w:hanging="370"/>
        <w:spacing w:after="0"/>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tariffs, export controls and other non-tariff barriers such as quotas and local content rules;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more limited protection for intellectual property rights in some countries;</w:t>
      </w:r>
    </w:p>
    <w:p>
      <w:pPr>
        <w:spacing w:after="0" w:line="130" w:lineRule="exact"/>
        <w:rPr>
          <w:rFonts w:ascii="Arial" w:cs="Arial" w:eastAsia="Arial" w:hAnsi="Arial"/>
          <w:sz w:val="20"/>
          <w:szCs w:val="20"/>
          <w:b w:val="1"/>
          <w:bCs w:val="1"/>
          <w:color w:val="auto"/>
        </w:rPr>
      </w:pPr>
    </w:p>
    <w:p>
      <w:pPr>
        <w:ind w:left="720" w:hanging="370"/>
        <w:spacing w:after="0" w:line="287"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adverse tax consequences, including as a result of transfer pricing adjustments involving our foreign operations;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effects of adverse changes in currency exchange rates;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higher incidence of corruption or unethical business 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211455</wp:posOffset>
                </wp:positionV>
                <wp:extent cx="633412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6.65pt" to="505.35pt,16.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211455</wp:posOffset>
                </wp:positionV>
                <wp:extent cx="633412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6.65pt" to="505.35pt,16.6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33</w:t>
      </w:r>
    </w:p>
    <w:p>
      <w:pPr>
        <w:sectPr>
          <w:pgSz w:w="12240" w:h="15840" w:orient="portrait"/>
          <w:cols w:equalWidth="0" w:num="1">
            <w:col w:w="10260"/>
          </w:cols>
          <w:pgMar w:left="1000" w:top="216" w:right="980" w:bottom="40" w:gutter="0" w:footer="0" w:header="0"/>
          <w:type w:val="continuous"/>
        </w:sectPr>
      </w:pPr>
    </w:p>
    <w:bookmarkStart w:id="33" w:name="page34"/>
    <w:bookmarkEnd w:id="33"/>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720" w:hanging="370"/>
        <w:spacing w:after="0"/>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the transfer of funds;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natural disasters (including as a result of climate change), acts of war or terrorism, and public health emergencies, including the COVID-19 pandemic; and</w:t>
      </w:r>
    </w:p>
    <w:p>
      <w:pPr>
        <w:spacing w:after="0" w:line="49" w:lineRule="exact"/>
        <w:rPr>
          <w:rFonts w:ascii="Arial" w:cs="Arial" w:eastAsia="Arial" w:hAnsi="Arial"/>
          <w:sz w:val="20"/>
          <w:szCs w:val="20"/>
          <w:b w:val="1"/>
          <w:bCs w:val="1"/>
          <w:color w:val="auto"/>
        </w:rPr>
      </w:pPr>
    </w:p>
    <w:p>
      <w:pPr>
        <w:jc w:val="both"/>
        <w:ind w:left="720" w:right="20" w:hanging="370"/>
        <w:spacing w:after="0" w:line="268"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uncertain economic, legal and political conditions in Europe, Asia and other regions where we do business, including, for example, as a result of the ongoing military conflicts in Ukraine, the Gaza Strip and nearby areas, and any changes in China-Taiwan and U.S.-China relations.</w:t>
      </w:r>
    </w:p>
    <w:p>
      <w:pPr>
        <w:spacing w:after="0" w:line="70" w:lineRule="exact"/>
        <w:rPr>
          <w:sz w:val="20"/>
          <w:szCs w:val="20"/>
          <w:color w:val="auto"/>
        </w:rPr>
      </w:pPr>
    </w:p>
    <w:p>
      <w:pPr>
        <w:jc w:val="both"/>
        <w:ind w:right="20" w:firstLine="540"/>
        <w:spacing w:after="0" w:line="289" w:lineRule="auto"/>
        <w:rPr>
          <w:sz w:val="20"/>
          <w:szCs w:val="20"/>
          <w:color w:val="auto"/>
        </w:rPr>
      </w:pPr>
      <w:r>
        <w:rPr>
          <w:rFonts w:ascii="Arial" w:cs="Arial" w:eastAsia="Arial" w:hAnsi="Arial"/>
          <w:sz w:val="18"/>
          <w:szCs w:val="18"/>
          <w:b w:val="1"/>
          <w:bCs w:val="1"/>
          <w:color w:val="auto"/>
        </w:rPr>
        <w:t>We also rely on some third-party contract manufacturers outside the United States to manufacture, support and ship our products. Physical, regulatory, technological, market, reputational, and legal risks related to climate change in these regions and globally are increasing in impact and diversity and the magnitude of any short-term or long-term adverse impact on our business or results of operations remains unknown. The physical impacts of climate change, including as a result of certain types of natural disasters occurring more frequently or with more intensity or changing weather patterns, could disrupt our supply chain, result in damage to or closures of our facilities, and could otherwise have an adverse impact on our business, operating results, and financial condition.</w:t>
      </w:r>
    </w:p>
    <w:p>
      <w:pPr>
        <w:spacing w:after="0" w:line="55"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The success of our international sales and operations will depend, in large part, on our ability to anticipate and manage these risks effectively. Our failure to manage any of these risks could harm our international operations, reduce our international sales, and could give rise to liabilities, costs or other business difficulties that could adversely affect our operations and financial results.</w:t>
      </w:r>
    </w:p>
    <w:p>
      <w:pPr>
        <w:spacing w:after="0" w:line="7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From time to time we are involved in a number of legal proceedings and, while we cannot predict the outcomes of such proceedings and other contingencies with certainty, some of these outcomes could adversely affect our business and financial condition.</w:t>
      </w:r>
    </w:p>
    <w:p>
      <w:pPr>
        <w:spacing w:after="0" w:line="56" w:lineRule="exact"/>
        <w:rPr>
          <w:sz w:val="20"/>
          <w:szCs w:val="20"/>
          <w:color w:val="auto"/>
        </w:rPr>
      </w:pPr>
    </w:p>
    <w:p>
      <w:pPr>
        <w:jc w:val="both"/>
        <w:ind w:firstLine="540"/>
        <w:spacing w:after="0" w:line="267" w:lineRule="auto"/>
        <w:rPr>
          <w:sz w:val="20"/>
          <w:szCs w:val="20"/>
          <w:color w:val="auto"/>
        </w:rPr>
      </w:pPr>
      <w:r>
        <w:rPr>
          <w:rFonts w:ascii="Arial" w:cs="Arial" w:eastAsia="Arial" w:hAnsi="Arial"/>
          <w:sz w:val="19"/>
          <w:szCs w:val="19"/>
          <w:b w:val="1"/>
          <w:bCs w:val="1"/>
          <w:color w:val="auto"/>
        </w:rPr>
        <w:t>We are, or may become, involved in legal proceedings, government and agency investigations, and consumer, employment, tort and other litigation. We cannot predict with certainty the outcomes of these legal proceedings. For example, in 2024 and early 2025, we and certain of our officers and directors were named as defendants in putative securities class action lawsuits purportedly brought on behalf of holders of our common stock as well as related shareholder derivative lawsuits purportedly filed on our behalf. These lawsuits, which are discussed further in Part I, Item 3 of this Annual Report on Form 10-K, are currently pending. We anticipate that we may be a target for lawsuits in the future, as we have been in the past. Any litigation to which we are a party may result in an onerous or unfavorable judgment that may not be reversed on appeal, or we may decide to settle lawsuits on similarly unfavorable terms. Any such negative outcome could result in payments of substantial monetary damages and accordingly our business could be seriously harmed. The results of lawsuits and claims cannot be predicted with certainty. Regardless of the final outcome, defending these claims, and associated indemnification obligations, are costly and can impose a significant burden on management and employees, and we may receive unfavorable preliminary, interim, or final rulings in the course of litigation, which could seriously harm our business.</w:t>
      </w:r>
    </w:p>
    <w:p>
      <w:pPr>
        <w:spacing w:after="0" w:line="79"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We could be adversely affected by any violations of the FCPA, the U.K. Bribery Act, and other foreign anti-bribery laws.</w:t>
      </w:r>
    </w:p>
    <w:p>
      <w:pPr>
        <w:spacing w:after="0" w:line="33" w:lineRule="exact"/>
        <w:rPr>
          <w:sz w:val="20"/>
          <w:szCs w:val="20"/>
          <w:color w:val="auto"/>
        </w:rPr>
      </w:pPr>
    </w:p>
    <w:p>
      <w:pPr>
        <w:jc w:val="both"/>
        <w:ind w:right="20" w:firstLine="540"/>
        <w:spacing w:after="0" w:line="282" w:lineRule="auto"/>
        <w:rPr>
          <w:sz w:val="20"/>
          <w:szCs w:val="20"/>
          <w:color w:val="auto"/>
        </w:rPr>
      </w:pPr>
      <w:r>
        <w:rPr>
          <w:rFonts w:ascii="Arial" w:cs="Arial" w:eastAsia="Arial" w:hAnsi="Arial"/>
          <w:sz w:val="18"/>
          <w:szCs w:val="18"/>
          <w:b w:val="1"/>
          <w:bCs w:val="1"/>
          <w:color w:val="auto"/>
        </w:rPr>
        <w:t>The U.S. FCPA generally prohibits companies and their intermediaries from making improper payments to non-U.S. government officials for the purpose of obtaining or retaining business. Other countries in which we operate also have anti-bribery laws and regulations, including the EU and Brazil, some of which prohibit improper payments to government and non-government persons and entities, and others (e.g., the FCPA, the U.K. Bribery Act) extend their application to activities outside of their country of origin. Our policies mandate compliance with all applicable anti-bribery laws. We currently operate in, and may further expand into, key parts of the world that have experienced governmental corruption to some degree and, in certain circumstances, strict compliance with anti-bribery laws may conflict with local customs and practices. In addition, due to the level of regulation in our industry, our entry into new jurisdictions through internal growth or acquisitions requires substantial government contact where norms can differ from U.S. standards. Additionally, the costs of complying with these laws (including the costs of investigations, auditing and monitoring) could adversely affect our current or future business. Although, we implement policies and procedures and conduct training designed to facilitate compliance with these anti-bribery laws, thereby mitigating the risk of violations of such laws, our employees, subcontractors, agents and partners may take actions in violation of our policies and anti-bribery laws. Any such violation, even if prohibited by our policies, could subject us to criminal or civil penalties or other sanctions, which could have a material adverse effect on our business, financial condition, cash flows and reputation.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286385</wp:posOffset>
                </wp:positionV>
                <wp:extent cx="63341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2.55pt" to="505.35pt,22.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286385</wp:posOffset>
                </wp:positionV>
                <wp:extent cx="63341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2.55pt" to="505.35pt,22.5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34</w:t>
      </w:r>
    </w:p>
    <w:p>
      <w:pPr>
        <w:sectPr>
          <w:pgSz w:w="12240" w:h="15840" w:orient="portrait"/>
          <w:cols w:equalWidth="0" w:num="1">
            <w:col w:w="10260"/>
          </w:cols>
          <w:pgMar w:left="1000" w:top="216" w:right="980" w:bottom="40" w:gutter="0" w:footer="0" w:header="0"/>
          <w:type w:val="continuous"/>
        </w:sectPr>
      </w:pPr>
    </w:p>
    <w:bookmarkStart w:id="34" w:name="page35"/>
    <w:bookmarkEnd w:id="34"/>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Expectations relating to ESG considerations and related reporting obligations may expose our business to potential liabilities, increased costs, and reputational harm.</w:t>
      </w:r>
    </w:p>
    <w:p>
      <w:pPr>
        <w:spacing w:after="0" w:line="33" w:lineRule="exact"/>
        <w:rPr>
          <w:sz w:val="20"/>
          <w:szCs w:val="20"/>
          <w:color w:val="auto"/>
        </w:rPr>
      </w:pPr>
    </w:p>
    <w:p>
      <w:pPr>
        <w:jc w:val="both"/>
        <w:ind w:right="20" w:firstLine="540"/>
        <w:spacing w:after="0" w:line="256" w:lineRule="auto"/>
        <w:rPr>
          <w:sz w:val="20"/>
          <w:szCs w:val="20"/>
          <w:color w:val="auto"/>
        </w:rPr>
      </w:pPr>
      <w:r>
        <w:rPr>
          <w:rFonts w:ascii="Arial" w:cs="Arial" w:eastAsia="Arial" w:hAnsi="Arial"/>
          <w:sz w:val="20"/>
          <w:szCs w:val="20"/>
          <w:b w:val="1"/>
          <w:bCs w:val="1"/>
          <w:color w:val="auto"/>
        </w:rPr>
        <w:t>Many stakeholders including governments, regulators, investors, employees and business partners are focused on corporate environmental, social and governance (“ESG”) considerations such as greenhouse gas emissions, natural resource management, human rights and human capital management practices. Any failure, perceived or otherwise, to comply with existing and emerging ESG-related laws and regulations in the United States, Europe and elsewhere, or to meet varied and evolving stakeholder expectations or standards with respect to ESG issues could result in legal and regulatory proceedings and may harm our business, reputation,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Financial Condition and Liquidity</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gross profit may fluctuate over time, which could impair our ability to achieve or maintain profitability.</w:t>
      </w:r>
    </w:p>
    <w:p>
      <w:pPr>
        <w:spacing w:after="0" w:line="128" w:lineRule="exact"/>
        <w:rPr>
          <w:sz w:val="20"/>
          <w:szCs w:val="20"/>
          <w:color w:val="auto"/>
        </w:rPr>
      </w:pPr>
    </w:p>
    <w:p>
      <w:pPr>
        <w:jc w:val="both"/>
        <w:ind w:right="20" w:firstLine="540"/>
        <w:spacing w:after="0" w:line="345" w:lineRule="auto"/>
        <w:rPr>
          <w:sz w:val="20"/>
          <w:szCs w:val="20"/>
          <w:color w:val="auto"/>
        </w:rPr>
      </w:pPr>
      <w:r>
        <w:rPr>
          <w:rFonts w:ascii="Arial" w:cs="Arial" w:eastAsia="Arial" w:hAnsi="Arial"/>
          <w:sz w:val="18"/>
          <w:szCs w:val="18"/>
          <w:b w:val="1"/>
          <w:bCs w:val="1"/>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5" w:lineRule="exact"/>
        <w:rPr>
          <w:sz w:val="20"/>
          <w:szCs w:val="20"/>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customer, geographic or product mix;</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increased price competition, including the impact of customer and competitor discounts and rebates;</w:t>
      </w:r>
    </w:p>
    <w:p>
      <w:pPr>
        <w:spacing w:after="0" w:line="141" w:lineRule="exact"/>
        <w:rPr>
          <w:rFonts w:ascii="Arial" w:cs="Arial" w:eastAsia="Arial" w:hAnsi="Arial"/>
          <w:sz w:val="19"/>
          <w:szCs w:val="19"/>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the impact of inflation and higher interest rates;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the reduction, elimination or expiration of government subsidies and economic incentives for on-grid solar electricity applications;</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reduce and control product costs, including our ability to make product cost reductions in a timely manner to offset declines in our product prices;</w:t>
      </w:r>
    </w:p>
    <w:p>
      <w:pPr>
        <w:spacing w:after="0" w:line="49" w:lineRule="exact"/>
        <w:rPr>
          <w:rFonts w:ascii="Arial" w:cs="Arial" w:eastAsia="Arial" w:hAnsi="Arial"/>
          <w:sz w:val="20"/>
          <w:szCs w:val="20"/>
          <w:b w:val="1"/>
          <w:bCs w:val="1"/>
          <w:color w:val="auto"/>
        </w:rPr>
      </w:pPr>
    </w:p>
    <w:p>
      <w:pPr>
        <w:jc w:val="both"/>
        <w:ind w:left="720" w:right="20" w:hanging="370"/>
        <w:spacing w:after="0" w:line="262"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warranty costs and reserves, including warranty claim rates, proactive steps to address certain component defects in specific products, and changes resulting from changes in estimates related to the long-term performance of our products, product replacement costs and warranty claim rates, as well as changes in the discount rates;</w:t>
      </w:r>
    </w:p>
    <w:p>
      <w:pPr>
        <w:spacing w:after="0" w:line="75"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loss of cost savings due to changes in component or raw material pricing or charges incurred due to inventory holding periods if product demand is not correctly anticipated;</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 of new products;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ordering patterns from our distributors;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price reductions on older products to sell remaining inventory;</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component shortages and related expedited shipping costs;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reduce production costs, such as through technology innovations, in order to offset price declines in our products over time;</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shipment volume;</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distribution channels;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excess and obsolete inventory and inventory holding charges;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expediting costs incurred to meet customer delivery requirements;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tariffs imposed on components imported to the United States and necessary for the manufacture of our products; and</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fluctuations in foreign currency exchange rates.</w:t>
      </w:r>
    </w:p>
    <w:p>
      <w:pPr>
        <w:spacing w:after="0" w:line="130" w:lineRule="exact"/>
        <w:rPr>
          <w:sz w:val="20"/>
          <w:szCs w:val="20"/>
          <w:color w:val="auto"/>
        </w:rPr>
      </w:pPr>
    </w:p>
    <w:p>
      <w:pPr>
        <w:ind w:firstLine="540"/>
        <w:spacing w:after="0" w:line="287" w:lineRule="auto"/>
        <w:rPr>
          <w:sz w:val="20"/>
          <w:szCs w:val="20"/>
          <w:color w:val="auto"/>
        </w:rPr>
      </w:pPr>
      <w:r>
        <w:rPr>
          <w:rFonts w:ascii="Arial" w:cs="Arial" w:eastAsia="Arial" w:hAnsi="Arial"/>
          <w:sz w:val="20"/>
          <w:szCs w:val="20"/>
          <w:b w:val="1"/>
          <w:bCs w:val="1"/>
          <w:color w:val="auto"/>
        </w:rPr>
        <w:t>Fluctuations in gross profit may adversely affect our ability to manage our business or achieve or maintain profitability.</w:t>
      </w:r>
    </w:p>
    <w:p>
      <w:pPr>
        <w:spacing w:after="0" w:line="52" w:lineRule="exact"/>
        <w:rPr>
          <w:sz w:val="20"/>
          <w:szCs w:val="20"/>
          <w:color w:val="auto"/>
        </w:rPr>
      </w:pPr>
    </w:p>
    <w:p>
      <w:pPr>
        <w:spacing w:after="0" w:line="295" w:lineRule="auto"/>
        <w:rPr>
          <w:sz w:val="20"/>
          <w:szCs w:val="20"/>
          <w:color w:val="auto"/>
        </w:rPr>
      </w:pPr>
      <w:r>
        <w:rPr>
          <w:rFonts w:ascii="Arial" w:cs="Arial" w:eastAsia="Arial" w:hAnsi="Arial"/>
          <w:sz w:val="20"/>
          <w:szCs w:val="20"/>
          <w:b w:val="1"/>
          <w:bCs w:val="1"/>
          <w:i w:val="1"/>
          <w:iCs w:val="1"/>
          <w:color w:val="auto"/>
        </w:rPr>
        <w:t>We are under continuous pressure to reduce the prices of our products, which has adversely affected, and may continue to adversely affect, our gross margins.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415925</wp:posOffset>
                </wp:positionV>
                <wp:extent cx="63341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2.75pt" to="505.35pt,3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415925</wp:posOffset>
                </wp:positionV>
                <wp:extent cx="63341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2.75pt" to="505.35pt,32.7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35</w:t>
      </w:r>
    </w:p>
    <w:p>
      <w:pPr>
        <w:sectPr>
          <w:pgSz w:w="12240" w:h="15840" w:orient="portrait"/>
          <w:cols w:equalWidth="0" w:num="1">
            <w:col w:w="10260"/>
          </w:cols>
          <w:pgMar w:left="1000" w:top="216" w:right="980" w:bottom="40" w:gutter="0" w:footer="0" w:header="0"/>
          <w:type w:val="continuous"/>
        </w:sectPr>
      </w:pPr>
    </w:p>
    <w:bookmarkStart w:id="35" w:name="page36"/>
    <w:bookmarkEnd w:id="35"/>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ASPs by increasing our sales volume, reducing our costs and expenses or introducing new products, our gross margins will be adversely affected.</w:t>
      </w:r>
    </w:p>
    <w:p>
      <w:pPr>
        <w:spacing w:after="0" w:line="74"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or decide to lower prices of their products to try to win market share,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remain price competitive, this could result in lost market share and lower gross margins.</w:t>
      </w:r>
    </w:p>
    <w:p>
      <w:pPr>
        <w:spacing w:after="0" w:line="87"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If we do not forecast demand for our products accurately, we may experience product shortages, delays in product shipment or excess product inventory, any of which will adversely affect our business and financial condition.</w:t>
      </w:r>
    </w:p>
    <w:p>
      <w:pPr>
        <w:spacing w:after="0" w:line="56"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8"/>
          <w:szCs w:val="18"/>
          <w:b w:val="1"/>
          <w:bCs w:val="1"/>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installers or end customers, and our sales are generally made by purchase orders that may be canceled, changed or deferred without notice to us or penalty. As a result, it is difficult to forecast future customer demand to plan our operations.</w:t>
      </w:r>
    </w:p>
    <w:p>
      <w:pPr>
        <w:spacing w:after="0" w:line="60" w:lineRule="exact"/>
        <w:rPr>
          <w:sz w:val="20"/>
          <w:szCs w:val="20"/>
          <w:color w:val="auto"/>
        </w:rPr>
      </w:pPr>
    </w:p>
    <w:p>
      <w:pPr>
        <w:jc w:val="both"/>
        <w:ind w:firstLine="540"/>
        <w:spacing w:after="0" w:line="267" w:lineRule="auto"/>
        <w:rPr>
          <w:sz w:val="20"/>
          <w:szCs w:val="20"/>
          <w:color w:val="auto"/>
        </w:rPr>
      </w:pPr>
      <w:r>
        <w:rPr>
          <w:rFonts w:ascii="Arial" w:cs="Arial" w:eastAsia="Arial" w:hAnsi="Arial"/>
          <w:sz w:val="19"/>
          <w:szCs w:val="19"/>
          <w:b w:val="1"/>
          <w:bCs w:val="1"/>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event of supply chain disruptions and our outsourced manufacturing processes, which could prevent us from fulfilling orders in a timely and cost-efficient manner or at all. In addition, if we overestimate our production requirements, we or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77" w:lineRule="exact"/>
        <w:rPr>
          <w:sz w:val="20"/>
          <w:szCs w:val="20"/>
          <w:color w:val="auto"/>
        </w:rPr>
      </w:pPr>
    </w:p>
    <w:p>
      <w:pPr>
        <w:jc w:val="both"/>
        <w:ind w:right="20" w:firstLine="540"/>
        <w:spacing w:after="0" w:line="280" w:lineRule="auto"/>
        <w:rPr>
          <w:sz w:val="20"/>
          <w:szCs w:val="20"/>
          <w:color w:val="auto"/>
        </w:rPr>
      </w:pPr>
      <w:r>
        <w:rPr>
          <w:rFonts w:ascii="Arial" w:cs="Arial" w:eastAsia="Arial" w:hAnsi="Arial"/>
          <w:sz w:val="19"/>
          <w:szCs w:val="19"/>
          <w:b w:val="1"/>
          <w:bCs w:val="1"/>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1424305</wp:posOffset>
                </wp:positionV>
                <wp:extent cx="63341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2.15pt" to="505.35pt,112.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1424305</wp:posOffset>
                </wp:positionV>
                <wp:extent cx="63341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2.15pt" to="505.35pt,112.1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36</w:t>
      </w:r>
    </w:p>
    <w:p>
      <w:pPr>
        <w:sectPr>
          <w:pgSz w:w="12240" w:h="15840" w:orient="portrait"/>
          <w:cols w:equalWidth="0" w:num="1">
            <w:col w:w="10260"/>
          </w:cols>
          <w:pgMar w:left="1000" w:top="216" w:right="980" w:bottom="40" w:gutter="0" w:footer="0" w:header="0"/>
          <w:type w:val="continuous"/>
        </w:sectPr>
      </w:pPr>
    </w:p>
    <w:bookmarkStart w:id="36" w:name="page37"/>
    <w:bookmarkEnd w:id="36"/>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33"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9"/>
          <w:szCs w:val="19"/>
          <w:b w:val="1"/>
          <w:bCs w:val="1"/>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solar PV systems less economically attractive and depressing sales of our products. In addition, energy conservation technologies and public initiatives to reduce demand for electricity also could cause a fall in the retail price of electricity from the utility grid.</w:t>
      </w:r>
    </w:p>
    <w:p>
      <w:pPr>
        <w:spacing w:after="0" w:line="76" w:lineRule="exact"/>
        <w:rPr>
          <w:sz w:val="20"/>
          <w:szCs w:val="20"/>
          <w:color w:val="auto"/>
        </w:rPr>
      </w:pPr>
    </w:p>
    <w:p>
      <w:pPr>
        <w:jc w:val="both"/>
        <w:ind w:firstLine="540"/>
        <w:spacing w:after="0" w:line="286" w:lineRule="auto"/>
        <w:rPr>
          <w:sz w:val="20"/>
          <w:szCs w:val="20"/>
          <w:color w:val="auto"/>
        </w:rPr>
      </w:pPr>
      <w:r>
        <w:rPr>
          <w:rFonts w:ascii="Arial" w:cs="Arial" w:eastAsia="Arial" w:hAnsi="Arial"/>
          <w:sz w:val="18"/>
          <w:szCs w:val="18"/>
          <w:b w:val="1"/>
          <w:bCs w:val="1"/>
          <w:color w:val="auto"/>
        </w:rPr>
        <w:t>Moreover, technological developments by our competitors in the solar industry, including manufacturers of central inverters and DC-to-DC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increase the cost of installation or operation of solar distributed generation. Such measures can include grid access fees, costly or lengthy interconnection studies, limitations on distributed generation penetration levels, or other measures. If the cost of electricity generated by solar PV installations incorporating our solutions is high relative to the cost of electricity from other sources, our business, financial condition and results of operations may be harmed.</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portfolio of marketable securities is subject to market, interest and credit risk that may reduce its value.</w:t>
      </w:r>
    </w:p>
    <w:p>
      <w:pPr>
        <w:spacing w:after="0" w:line="128"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As of December 31, 2025, we held $1,038.5 million of investments in marketable securities. These investments consisted primarily of U.S. Treasuries, U.S. Government agency securities, commercial paper and corporate notes and bonds.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and the U.S. debt ceiling crisis, which affected various sectors of the financial markets and led to global credit and liquidity issues. If the global credit market experiences volatility or deteriorates, our investment portfolio may be impacted and some or all of our investments may experience other-than-temporary impairment, which could adversely impact our operating results and position.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Acquisition Activity</w:t>
      </w:r>
    </w:p>
    <w:p>
      <w:pPr>
        <w:spacing w:after="0" w:line="132"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We have made and expect to continue to make acquisitions. If we fail to successfully select, execute or integrate our acquisitions, then our business and operating results could be harmed and our stock price could decline.</w:t>
      </w:r>
    </w:p>
    <w:p>
      <w:pPr>
        <w:spacing w:after="0" w:line="56" w:lineRule="exact"/>
        <w:rPr>
          <w:sz w:val="20"/>
          <w:szCs w:val="20"/>
          <w:color w:val="auto"/>
        </w:rPr>
      </w:pPr>
    </w:p>
    <w:p>
      <w:pPr>
        <w:jc w:val="both"/>
        <w:ind w:firstLine="540"/>
        <w:spacing w:after="0" w:line="300" w:lineRule="auto"/>
        <w:rPr>
          <w:sz w:val="20"/>
          <w:szCs w:val="20"/>
          <w:color w:val="auto"/>
        </w:rPr>
      </w:pPr>
      <w:r>
        <w:rPr>
          <w:rFonts w:ascii="Arial" w:cs="Arial" w:eastAsia="Arial" w:hAnsi="Arial"/>
          <w:sz w:val="18"/>
          <w:szCs w:val="18"/>
          <w:b w:val="1"/>
          <w:bCs w:val="1"/>
          <w:color w:val="auto"/>
        </w:rPr>
        <w:t>From time to time, we will undertake acquisitions to add new product lines and technologies, gain new sales channels or enter new sales territories. For example, in 2021, we acquired Sofdesk, the solar design business of DIN, 365 Pronto, and ClipperCreek, Inc., and in 2022, we acquired SolarLeadFactory, LLC and GreenCom Networks AG. Acquisitions involve numerous risks and challenges, including but not limited to the following:</w:t>
      </w:r>
    </w:p>
    <w:p>
      <w:pPr>
        <w:spacing w:after="0" w:line="45" w:lineRule="exact"/>
        <w:rPr>
          <w:sz w:val="20"/>
          <w:szCs w:val="20"/>
          <w:color w:val="auto"/>
        </w:rPr>
      </w:pPr>
    </w:p>
    <w:p>
      <w:pPr>
        <w:ind w:left="720" w:hanging="370"/>
        <w:spacing w:after="0"/>
        <w:tabs>
          <w:tab w:leader="none" w:pos="72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integrating the companies, assets, systems, products, sales channels and personnel that we acquire;</w:t>
      </w:r>
    </w:p>
    <w:p>
      <w:pPr>
        <w:spacing w:after="0" w:line="141" w:lineRule="exact"/>
        <w:rPr>
          <w:rFonts w:ascii="Arial" w:cs="Arial" w:eastAsia="Arial" w:hAnsi="Arial"/>
          <w:sz w:val="19"/>
          <w:szCs w:val="19"/>
          <w:b w:val="1"/>
          <w:bCs w:val="1"/>
          <w:color w:val="auto"/>
        </w:rPr>
      </w:pPr>
    </w:p>
    <w:p>
      <w:pPr>
        <w:ind w:left="720" w:hanging="370"/>
        <w:spacing w:after="0"/>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higher than anticipated acquisition and integration costs and expenses;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reliance on third parties to provide transition services for a period of time after closing to ensure an orderly transition of the business;</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growing or maintaining revenues to justify the purchase price and the increased expenses associated with acquisitions;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entering into territories or markets with which we have limited or no prior experience;</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establishing or maintaining business relationships with customers, vendors and suppliers who may be new to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312420</wp:posOffset>
                </wp:positionV>
                <wp:extent cx="63341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4.6pt" to="505.35pt,24.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312420</wp:posOffset>
                </wp:positionV>
                <wp:extent cx="633412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4.6pt" to="505.35pt,24.6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37</w:t>
      </w:r>
    </w:p>
    <w:p>
      <w:pPr>
        <w:sectPr>
          <w:pgSz w:w="12240" w:h="15840" w:orient="portrait"/>
          <w:cols w:equalWidth="0" w:num="1">
            <w:col w:w="10260"/>
          </w:cols>
          <w:pgMar w:left="1000" w:top="216" w:right="980" w:bottom="40" w:gutter="0" w:footer="0" w:header="0"/>
          <w:type w:val="continuous"/>
        </w:sectPr>
      </w:pPr>
    </w:p>
    <w:bookmarkStart w:id="37" w:name="page38"/>
    <w:bookmarkEnd w:id="37"/>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720" w:right="20" w:hanging="370"/>
        <w:spacing w:after="0" w:line="287" w:lineRule="auto"/>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overcoming the employee, customer, vendor and supplier turnover that may occur as a result of the acquisition;</w:t>
      </w:r>
    </w:p>
    <w:p>
      <w:pPr>
        <w:spacing w:after="0" w:line="49" w:lineRule="exact"/>
        <w:rPr>
          <w:rFonts w:ascii="Arial" w:cs="Arial" w:eastAsia="Arial" w:hAnsi="Arial"/>
          <w:sz w:val="20"/>
          <w:szCs w:val="20"/>
          <w:b w:val="1"/>
          <w:bCs w:val="1"/>
          <w:color w:val="auto"/>
        </w:rPr>
      </w:pPr>
    </w:p>
    <w:p>
      <w:pPr>
        <w:ind w:left="720" w:right="20" w:hanging="370"/>
        <w:spacing w:after="0" w:line="314" w:lineRule="auto"/>
        <w:tabs>
          <w:tab w:leader="none" w:pos="72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disruption of, and demands on, our ongoing business as a result of integration activities including diversion of management's time and attention from running the day to day operations of our business;</w:t>
      </w:r>
    </w:p>
    <w:p>
      <w:pPr>
        <w:spacing w:after="0" w:line="28" w:lineRule="exact"/>
        <w:rPr>
          <w:rFonts w:ascii="Arial" w:cs="Arial" w:eastAsia="Arial" w:hAnsi="Arial"/>
          <w:sz w:val="19"/>
          <w:szCs w:val="19"/>
          <w:b w:val="1"/>
          <w:bCs w:val="1"/>
          <w:color w:val="auto"/>
        </w:rPr>
      </w:pPr>
    </w:p>
    <w:p>
      <w:pPr>
        <w:ind w:left="720" w:right="20" w:hanging="370"/>
        <w:spacing w:after="0" w:line="287" w:lineRule="auto"/>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implement uniform standards, disclosure controls and procedures, internal controls over financial reporting and other procedures and policies in a timely manner;</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realize the anticipated benefits of or successfully integrate with our existing business the businesses, products, technologies or personnel that we acquire; and</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potential post-closing disputes.</w:t>
      </w:r>
    </w:p>
    <w:p>
      <w:pPr>
        <w:spacing w:after="0" w:line="130" w:lineRule="exact"/>
        <w:rPr>
          <w:sz w:val="20"/>
          <w:szCs w:val="20"/>
          <w:color w:val="auto"/>
        </w:rPr>
      </w:pPr>
    </w:p>
    <w:p>
      <w:pPr>
        <w:jc w:val="both"/>
        <w:ind w:firstLine="540"/>
        <w:spacing w:after="0" w:line="284" w:lineRule="auto"/>
        <w:rPr>
          <w:sz w:val="20"/>
          <w:szCs w:val="20"/>
          <w:color w:val="auto"/>
        </w:rPr>
      </w:pPr>
      <w:r>
        <w:rPr>
          <w:rFonts w:ascii="Arial" w:cs="Arial" w:eastAsia="Arial" w:hAnsi="Arial"/>
          <w:sz w:val="18"/>
          <w:szCs w:val="18"/>
          <w:b w:val="1"/>
          <w:bCs w:val="1"/>
          <w:color w:val="auto"/>
        </w:rPr>
        <w:t>As part of undertaking an acquisition, we may also significantly revise our capital structure or operational budget, such as issuing common stock that would dilute the ownership percentage of our stockholders, assuming liabilities or debt, utilizing a substantial portion of our cash resources to pay for the acquisition or significantly increasing operating expenses. Our acquisitions have resulted and may in the future result in charges being taken in an individual quarter as well as future periods, which results in variability in our quarterly earnings.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for indemnifiable losses. Any such disputes may be time consuming and distract management from other aspects of our business. In addition, if we increase the pace or size of acquisitions, we will have to expend significant management time and effort into the transactions and integrations, and we may not have the proper human resources bandwidth to ensure successful integrations and accordingly, our business could be harmed or the benefits of our acquisitions may not be realized.</w:t>
      </w:r>
    </w:p>
    <w:p>
      <w:pPr>
        <w:spacing w:after="0" w:line="61"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As part of the terms of an acquisition, we may commit to pay additional contingent consideration if certain revenue or other performance milestones are met. We are required to evaluate the fair value of such commitments at each reporting date and adjust the amount recorded if there are changes to the fair value.</w:t>
      </w:r>
    </w:p>
    <w:p>
      <w:pPr>
        <w:spacing w:after="0" w:line="70"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We cannot ensure that we will be successful in selecting, executing and integrating acquisitions. Failure to manage and successfully integrate acquisitions could materially harm our business and operating results. In addition, if stock market analysts or our stockholders do not support or believe in the value of the acquisitions that we choose to undertake, our stock price may decline.</w:t>
      </w:r>
    </w:p>
    <w:p>
      <w:pPr>
        <w:spacing w:after="0" w:line="138"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We invest in companies for both strategic and financial reasons but may not realize a return on our investments.</w:t>
      </w:r>
    </w:p>
    <w:p>
      <w:pPr>
        <w:spacing w:after="0" w:line="33" w:lineRule="exact"/>
        <w:rPr>
          <w:sz w:val="20"/>
          <w:szCs w:val="20"/>
          <w:color w:val="auto"/>
        </w:rPr>
      </w:pPr>
    </w:p>
    <w:p>
      <w:pPr>
        <w:jc w:val="both"/>
        <w:ind w:right="20" w:firstLine="540"/>
        <w:spacing w:after="0" w:line="267" w:lineRule="auto"/>
        <w:rPr>
          <w:sz w:val="20"/>
          <w:szCs w:val="20"/>
          <w:color w:val="auto"/>
        </w:rPr>
      </w:pPr>
      <w:r>
        <w:rPr>
          <w:rFonts w:ascii="Arial" w:cs="Arial" w:eastAsia="Arial" w:hAnsi="Arial"/>
          <w:sz w:val="19"/>
          <w:szCs w:val="19"/>
          <w:b w:val="1"/>
          <w:bCs w:val="1"/>
          <w:color w:val="auto"/>
        </w:rPr>
        <w:t>We have made, and continue to seek to make, investments in companies around the world to further our strategic objectives and support our key business initiatives. These investments may include equity or debt instruments of public or private companies and may be non-marketable at the time of our initial investment or otherwise. We do not restrict the types of companies in which we seek to invest. These companies may range from early-stage companies that are often still defining their strategic direction to more mature companies with established revenue streams and business models. If any company in which we invest fails, we could lose all or part of our investment in that company. If we determine that an other-than-temporary decline in the fair value exists for an equity or debt investment in a public or private company in which we have invested, we will need to write down the investment to its fair value and recognize the related write-down as an investment loss. The performance of any of these investments could result in significant impairment charges and gains (losses) on other equity or debt investments. For example, we recorded a fair value write-down of $9.8 million and impairment charges of $23.0 million within other income, net, on the consolidated statements of operations for the years ended December 31, 2025 and 2024, respectively, as we determined that the carrying values of the investments were not recoverable. We must also analyze accounting and legal issues when making these investments. If we do not structure these investments properly, we may be subject to certain unfavorable accounting impact, such as potential consolidation of financial results.</w:t>
      </w:r>
    </w:p>
    <w:p>
      <w:pPr>
        <w:spacing w:after="0" w:line="71" w:lineRule="exact"/>
        <w:rPr>
          <w:sz w:val="20"/>
          <w:szCs w:val="20"/>
          <w:color w:val="auto"/>
        </w:rPr>
      </w:pPr>
    </w:p>
    <w:p>
      <w:pPr>
        <w:jc w:val="both"/>
        <w:ind w:right="20" w:firstLine="540"/>
        <w:spacing w:after="0" w:line="300" w:lineRule="auto"/>
        <w:rPr>
          <w:sz w:val="20"/>
          <w:szCs w:val="20"/>
          <w:color w:val="auto"/>
        </w:rPr>
      </w:pPr>
      <w:r>
        <w:rPr>
          <w:rFonts w:ascii="Arial" w:cs="Arial" w:eastAsia="Arial" w:hAnsi="Arial"/>
          <w:sz w:val="18"/>
          <w:szCs w:val="18"/>
          <w:b w:val="1"/>
          <w:bCs w:val="1"/>
          <w:color w:val="auto"/>
        </w:rPr>
        <w:t>Furthermore, if the strategic objectives of an investment have been achieved, or if the investment or business diverges from our strategic objectives, we may seek to dispose of the investment. Our non-marketable equity investments in private companies are not liquid, and we may not be able to dispose of these investments on favorable terms or at all. The occurrence of any of these events could harm our results. Gains or losses from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386080</wp:posOffset>
                </wp:positionV>
                <wp:extent cx="633412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0.4pt" to="505.35pt,30.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386080</wp:posOffset>
                </wp:positionV>
                <wp:extent cx="633412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0.4pt" to="505.35pt,30.4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38</w:t>
      </w:r>
    </w:p>
    <w:p>
      <w:pPr>
        <w:sectPr>
          <w:pgSz w:w="12240" w:h="15840" w:orient="portrait"/>
          <w:cols w:equalWidth="0" w:num="1">
            <w:col w:w="10260"/>
          </w:cols>
          <w:pgMar w:left="1000" w:top="216" w:right="980" w:bottom="40" w:gutter="0" w:footer="0" w:header="0"/>
          <w:type w:val="continuous"/>
        </w:sectPr>
      </w:pPr>
    </w:p>
    <w:bookmarkStart w:id="38" w:name="page39"/>
    <w:bookmarkEnd w:id="38"/>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Arial" w:cs="Arial" w:eastAsia="Arial" w:hAnsi="Arial"/>
          <w:sz w:val="20"/>
          <w:szCs w:val="20"/>
          <w:b w:val="1"/>
          <w:bCs w:val="1"/>
          <w:color w:val="auto"/>
        </w:rPr>
        <w:t>securities could vary from expectations depending on gains or losses realized on the sale or exchange of securities and impairment charges related to debt instruments as well as equity and other investments.</w:t>
      </w:r>
    </w:p>
    <w:p>
      <w:pPr>
        <w:spacing w:after="0" w:line="52"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An impairment in the carrying value of goodwill or other intangible and long-lived assets could negatively affect our operating results.</w:t>
      </w:r>
    </w:p>
    <w:p>
      <w:pPr>
        <w:spacing w:after="0" w:line="33" w:lineRule="exact"/>
        <w:rPr>
          <w:sz w:val="20"/>
          <w:szCs w:val="20"/>
          <w:color w:val="auto"/>
        </w:rPr>
      </w:pPr>
    </w:p>
    <w:p>
      <w:pPr>
        <w:jc w:val="both"/>
        <w:ind w:right="20" w:firstLine="540"/>
        <w:spacing w:after="0" w:line="267" w:lineRule="auto"/>
        <w:rPr>
          <w:sz w:val="20"/>
          <w:szCs w:val="20"/>
          <w:color w:val="auto"/>
        </w:rPr>
      </w:pPr>
      <w:r>
        <w:rPr>
          <w:rFonts w:ascii="Arial" w:cs="Arial" w:eastAsia="Arial" w:hAnsi="Arial"/>
          <w:sz w:val="19"/>
          <w:szCs w:val="19"/>
          <w:b w:val="1"/>
          <w:bCs w:val="1"/>
          <w:color w:val="auto"/>
        </w:rPr>
        <w:t>We record goodwill from the purchase consideration paid in excess of the fair value of the net assets recorded in connection with a business acquisition. We may not realize all the economic benefit from our business acquisitions, which could result in an impairment of goodwill or intangible assets. As of December 31, 2025, goodwill and intangible assets, net, were approximately $214.8 million and $22.3 million, respectively. We test goodwill and intangible assets, net, for impairment at least annually during the fourth quarter of each fiscal year or between annual tests if an event occurs or circumstances change that would indicate the carrying amount may be impaired. Goodwill is tested at the reporting unit level, which we have determined to be the same as the entity as a whole (entity level). We first perform a qualitative assessment to determine whether it is more likely than not that the fair value of our reporting unit is less than its carrying value. If, after assessing the qualitative factors, we determine that it is more likely than not that the fair value of our reporting unit is less than it’s carrying value, an impairment analysis will be performed. For example, we recorded an impairment charge of $3.5 million and $3.8 million in the years ended December 31, 2024 and 2023, respectively, as management has evaluated that the carrying amount of certain intangible assets were not recoverable.</w:t>
      </w:r>
    </w:p>
    <w:p>
      <w:pPr>
        <w:spacing w:after="0" w:line="80"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Qualitative factors include industry and market consideration, overall financial performance, share price trends and market capitalization and company-specific events. We may be required to record a significant charge in our financial statements during the period in which any impairment of our goodwill or amortizable intangible assets is determined, which would negatively impact our operating results.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Debt and Equity Securities</w:t>
      </w:r>
    </w:p>
    <w:p>
      <w:pPr>
        <w:spacing w:after="0" w:line="132"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Our financial results may vary significantly from quarter to quarter due to a number of factors, which may lead to volatility in our stock price.</w:t>
      </w:r>
    </w:p>
    <w:p>
      <w:pPr>
        <w:spacing w:after="0" w:line="33"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18"/>
          <w:szCs w:val="18"/>
          <w:b w:val="1"/>
          <w:bCs w:val="1"/>
          <w:color w:val="auto"/>
        </w:rPr>
        <w:t>Our quarterly revenue and results of operations have varied in the past and may continue to vary significantly from quarter to quarter. As a result, the trading price of our common stock has been, and is likely to continue to be, volatile and could be subject to wide fluctuations in response to various factors, some of which are beyond our control. We have been subject to securities class action litigation as a result of our stock price volatility, which could result in substantial cost and diversion of our management’s attention from other business concerns, which could seriously harm our business. In addition, the trading prices of the securities of solar companies in general have been highly volatile, and the volatility in market price and trading volume of securities is often unrelated or disproportionate to the financial performance of the companies issuing the securities.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Other factors affecting the market price of our common stock, some of which are beyond our control, include:</w:t>
      </w:r>
    </w:p>
    <w:p>
      <w:pPr>
        <w:spacing w:after="0" w:line="153" w:lineRule="exact"/>
        <w:rPr>
          <w:sz w:val="20"/>
          <w:szCs w:val="20"/>
          <w:color w:val="auto"/>
        </w:rPr>
      </w:pPr>
    </w:p>
    <w:p>
      <w:pPr>
        <w:ind w:left="720" w:right="20" w:hanging="370"/>
        <w:spacing w:after="0" w:line="287" w:lineRule="auto"/>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laws, regulations and policies applicable to our business and products, particularly those relating to government incentives for solar energy applications;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seasonal and other fluctuations in demand for our products;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the timing, volume and product mix of sales of our products, which may have different ASPs or profit margins;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our pricing and sales policies or the pricing and sales policies of our competitors;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design, manufacture and deliver products to our customers in a timely and cost-effective manner and that meet customer requirements;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manage our relationships with our contract manufacturers, customers and suppliers;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quality control or yield problems in our manufacturing operations;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the impact of supply chain disruptions on our business, sales and results of operations;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the anticipation, announcement or introductions of new or enhanced products by our competitors and ourselves;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reductions in the retail price of electricity;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363855</wp:posOffset>
                </wp:positionV>
                <wp:extent cx="633412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65pt" to="505.35pt,28.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363855</wp:posOffset>
                </wp:positionV>
                <wp:extent cx="633412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65pt" to="505.35pt,28.6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39</w:t>
      </w:r>
    </w:p>
    <w:p>
      <w:pPr>
        <w:sectPr>
          <w:pgSz w:w="12240" w:h="15840" w:orient="portrait"/>
          <w:cols w:equalWidth="0" w:num="1">
            <w:col w:w="10260"/>
          </w:cols>
          <w:pgMar w:left="1000" w:top="216" w:right="980" w:bottom="40" w:gutter="0" w:footer="0" w:header="0"/>
          <w:type w:val="continuous"/>
        </w:sectPr>
      </w:pPr>
    </w:p>
    <w:bookmarkStart w:id="39" w:name="page40"/>
    <w:bookmarkEnd w:id="39"/>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left="720" w:right="20" w:hanging="370"/>
        <w:spacing w:after="0" w:line="268" w:lineRule="auto"/>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our exposure to the credit risks of our customers, particularly in light of the fact that some of our customers are relatively new entrants to the solar market without long operating or credit histories, and the impact of inflation and higher interest rates;</w:t>
      </w:r>
    </w:p>
    <w:p>
      <w:pPr>
        <w:spacing w:after="0" w:line="69" w:lineRule="exact"/>
        <w:rPr>
          <w:rFonts w:ascii="Arial" w:cs="Arial" w:eastAsia="Arial" w:hAnsi="Arial"/>
          <w:sz w:val="20"/>
          <w:szCs w:val="20"/>
          <w:b w:val="1"/>
          <w:bCs w:val="1"/>
          <w:color w:val="auto"/>
        </w:rPr>
      </w:pPr>
    </w:p>
    <w:p>
      <w:pPr>
        <w:ind w:left="720" w:right="20" w:hanging="370"/>
        <w:spacing w:after="0" w:line="287" w:lineRule="auto"/>
        <w:tabs>
          <w:tab w:leader="none" w:pos="829"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the failure by any major customer to pay for orders, whether due to liquidity issues, bankruptcy or otherwise;</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the impact of tariffs on the solar industry in general and our products in particular;</w:t>
      </w:r>
    </w:p>
    <w:p>
      <w:pPr>
        <w:spacing w:after="0" w:line="130" w:lineRule="exact"/>
        <w:rPr>
          <w:rFonts w:ascii="Arial" w:cs="Arial" w:eastAsia="Arial" w:hAnsi="Arial"/>
          <w:sz w:val="20"/>
          <w:szCs w:val="20"/>
          <w:b w:val="1"/>
          <w:bCs w:val="1"/>
          <w:color w:val="auto"/>
        </w:rPr>
      </w:pPr>
    </w:p>
    <w:p>
      <w:pPr>
        <w:ind w:left="720" w:hanging="370"/>
        <w:spacing w:after="0" w:line="287" w:lineRule="auto"/>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the amount and timing of operating costs and capital expenditures related to the maintenance and expansion of our business operations;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the impact of government-sponsored programs on our customers;</w:t>
      </w:r>
    </w:p>
    <w:p>
      <w:pPr>
        <w:spacing w:after="0" w:line="130"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estimate future warranty obligations due to product failure rates, claim rates or replacement costs;</w:t>
      </w:r>
    </w:p>
    <w:p>
      <w:pPr>
        <w:spacing w:after="0" w:line="49" w:lineRule="exact"/>
        <w:rPr>
          <w:rFonts w:ascii="Arial" w:cs="Arial" w:eastAsia="Arial" w:hAnsi="Arial"/>
          <w:sz w:val="20"/>
          <w:szCs w:val="20"/>
          <w:b w:val="1"/>
          <w:bCs w:val="1"/>
          <w:color w:val="auto"/>
        </w:rPr>
      </w:pPr>
    </w:p>
    <w:p>
      <w:pPr>
        <w:ind w:left="720" w:hanging="370"/>
        <w:spacing w:after="0"/>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our ability to forecast our customer demand and manufacturing requirements, and manage our inventory;</w:t>
      </w:r>
    </w:p>
    <w:p>
      <w:pPr>
        <w:spacing w:after="0" w:line="153" w:lineRule="exact"/>
        <w:rPr>
          <w:rFonts w:ascii="Arial" w:cs="Arial" w:eastAsia="Arial" w:hAnsi="Arial"/>
          <w:sz w:val="18"/>
          <w:szCs w:val="18"/>
          <w:b w:val="1"/>
          <w:bCs w:val="1"/>
          <w:color w:val="auto"/>
        </w:rPr>
      </w:pPr>
    </w:p>
    <w:p>
      <w:pPr>
        <w:ind w:left="720" w:hanging="370"/>
        <w:spacing w:after="0"/>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fluctuations in foreign currency exchange rates;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announcement of acquisitions or dispositions of our assets or business operations;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issuances of our common stock or equity-linked securities such as the Convertible Notes;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our management;</w:t>
      </w:r>
    </w:p>
    <w:p>
      <w:pPr>
        <w:spacing w:after="0" w:line="130" w:lineRule="exact"/>
        <w:rPr>
          <w:rFonts w:ascii="Arial" w:cs="Arial" w:eastAsia="Arial" w:hAnsi="Arial"/>
          <w:sz w:val="20"/>
          <w:szCs w:val="20"/>
          <w:b w:val="1"/>
          <w:bCs w:val="1"/>
          <w:color w:val="auto"/>
        </w:rPr>
      </w:pPr>
    </w:p>
    <w:p>
      <w:pPr>
        <w:jc w:val="both"/>
        <w:ind w:left="720" w:right="20" w:hanging="370"/>
        <w:spacing w:after="0" w:line="257" w:lineRule="auto"/>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technical factors in the public trading market for our common stock that may produce price movements that may or may not comport to macro, industry or company-specific fundamentals, including, without limitation, the sentiment of retail investors (including as may be expressed on financial trading and other social media sites), the amount and status of short interest in our securities, rising interest rates, inflation, access to margin debt, trading in options and other derivatives on our common stock and any related hedging or other technical trading factors; and</w:t>
      </w:r>
    </w:p>
    <w:p>
      <w:pPr>
        <w:spacing w:after="0" w:line="82"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general social, geopolitical, environmental or health factors, including pandemics or widespread health epidemics such as the COVID-19 pandemic.</w:t>
      </w:r>
    </w:p>
    <w:p>
      <w:pPr>
        <w:spacing w:after="0" w:line="5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The above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84"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Conversion of our Convertible Notes may dilute the ownership interest of existing stockholders or may otherwise depress the price of our common stock, adversely affect our financial condition and operating results.</w:t>
      </w:r>
    </w:p>
    <w:p>
      <w:pPr>
        <w:spacing w:after="0" w:line="56"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In March 2021, we issued and sold a total of $575.0 million aggregate principal amount of our 0.0% convertible senior notes due 2028 (the “Notes due 2028”) and $632.5 million aggregate principal amount of our 0.0% convertible senior notes due 2026 (the “Notes due 2026”).</w:t>
      </w:r>
    </w:p>
    <w:p>
      <w:pPr>
        <w:spacing w:after="0" w:line="7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1209675</wp:posOffset>
                </wp:positionV>
                <wp:extent cx="633412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5.25pt" to="505.35pt,9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1209675</wp:posOffset>
                </wp:positionV>
                <wp:extent cx="633412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5.25pt" to="505.35pt,95.2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40</w:t>
      </w:r>
    </w:p>
    <w:p>
      <w:pPr>
        <w:sectPr>
          <w:pgSz w:w="12240" w:h="15840" w:orient="portrait"/>
          <w:cols w:equalWidth="0" w:num="1">
            <w:col w:w="10260"/>
          </w:cols>
          <w:pgMar w:left="1000" w:top="216" w:right="980" w:bottom="40" w:gutter="0" w:footer="0" w:header="0"/>
          <w:type w:val="continuous"/>
        </w:sectPr>
      </w:pPr>
    </w:p>
    <w:bookmarkStart w:id="40" w:name="page41"/>
    <w:bookmarkEnd w:id="40"/>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Servicing our debts requires a significant amount of cash, and we may not have sufficient cash flow from our business to pay our debts.</w:t>
      </w:r>
    </w:p>
    <w:p>
      <w:pPr>
        <w:spacing w:after="0" w:line="33" w:lineRule="exact"/>
        <w:rPr>
          <w:sz w:val="20"/>
          <w:szCs w:val="20"/>
          <w:color w:val="auto"/>
        </w:rPr>
      </w:pPr>
    </w:p>
    <w:p>
      <w:pPr>
        <w:jc w:val="both"/>
        <w:ind w:firstLine="540"/>
        <w:spacing w:after="0" w:line="269" w:lineRule="auto"/>
        <w:rPr>
          <w:sz w:val="20"/>
          <w:szCs w:val="20"/>
          <w:color w:val="auto"/>
        </w:rPr>
      </w:pPr>
      <w:r>
        <w:rPr>
          <w:rFonts w:ascii="Arial" w:cs="Arial" w:eastAsia="Arial" w:hAnsi="Arial"/>
          <w:sz w:val="19"/>
          <w:szCs w:val="19"/>
          <w:b w:val="1"/>
          <w:bCs w:val="1"/>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debts,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73"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We may not have the ability to raise the funds necessary to settle conversions of the Convertible Notes or repurchase the Convertible Note upon a fundamental change, and our future debt may contain limitations on our ability to pay cash upon conversion or repurchase of the Convertible Notes.</w:t>
      </w:r>
    </w:p>
    <w:p>
      <w:pPr>
        <w:spacing w:after="0" w:line="56" w:lineRule="exact"/>
        <w:rPr>
          <w:sz w:val="20"/>
          <w:szCs w:val="20"/>
          <w:color w:val="auto"/>
        </w:rPr>
      </w:pPr>
    </w:p>
    <w:p>
      <w:pPr>
        <w:jc w:val="both"/>
        <w:ind w:right="20" w:firstLine="540"/>
        <w:spacing w:after="0" w:line="282" w:lineRule="auto"/>
        <w:rPr>
          <w:sz w:val="20"/>
          <w:szCs w:val="20"/>
          <w:color w:val="auto"/>
        </w:rPr>
      </w:pPr>
      <w:r>
        <w:rPr>
          <w:rFonts w:ascii="Arial" w:cs="Arial" w:eastAsia="Arial" w:hAnsi="Arial"/>
          <w:sz w:val="18"/>
          <w:szCs w:val="18"/>
          <w:b w:val="1"/>
          <w:bCs w:val="1"/>
          <w:color w:val="auto"/>
        </w:rPr>
        <w:t>Holders of our Convertible Notes will have the right to require us to repurchase their Convertible Notes upon the occurrence of a fundamental change at a fundamental change repurchase price equal to 100% of the principal amount of the Convertible Notes to be repurchased, plus accrued and unpaid interest, if any. Fundamental change is defined in the Convertible Notes Indenture entered into in connection with the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such repurchase of the Convertible Notes. In addition, our ability to repurchase the Convertible Notes or to pay cash upon conversion of the Convertible Notes may be limited by law, by regulatory authority or by agreements governing our future indebtedness. Our failure to repurchase notes at a time when the repurchase is required by the relevant indenture or to pay any cash payable on future conversions of the notes as required by the relevant indenture would constitute a default under the relevant indenture. A default under the indenture or a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Notes or make cash payments upon conversion of the Convertible Notes.</w:t>
      </w:r>
    </w:p>
    <w:p>
      <w:pPr>
        <w:spacing w:after="0" w:line="61"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The convertible note hedge and warrant transactions and/or their early termination may affect the value of our common stock.</w:t>
      </w:r>
    </w:p>
    <w:p>
      <w:pPr>
        <w:spacing w:after="0" w:line="33" w:lineRule="exact"/>
        <w:rPr>
          <w:sz w:val="20"/>
          <w:szCs w:val="20"/>
          <w:color w:val="auto"/>
        </w:rPr>
      </w:pPr>
    </w:p>
    <w:p>
      <w:pPr>
        <w:jc w:val="both"/>
        <w:ind w:firstLine="540"/>
        <w:spacing w:after="0" w:line="267" w:lineRule="auto"/>
        <w:rPr>
          <w:sz w:val="20"/>
          <w:szCs w:val="20"/>
          <w:color w:val="auto"/>
        </w:rPr>
      </w:pPr>
      <w:r>
        <w:rPr>
          <w:rFonts w:ascii="Arial" w:cs="Arial" w:eastAsia="Arial" w:hAnsi="Arial"/>
          <w:sz w:val="19"/>
          <w:szCs w:val="19"/>
          <w:b w:val="1"/>
          <w:bCs w:val="1"/>
          <w:color w:val="auto"/>
        </w:rPr>
        <w:t>In connection with the offering of the Notes due 2028 and Notes due 2026, we entered into privately negotiated convertible note hedge transactions pursuant to which we have the option to purchase approximately the same number of shares of our common stock initially issuable upon conversion of the Notes due 2028 and Notes due 2026, at a price approximately the same as the initial conversion price of the Notes due 2028 and Notes due 2026. These transactions are expected to reduce the potential dilution with respect to our common stock upon conversion of the Notes due 2028 and Notes due 2026. Separately, we also entered into privately negotiated warrant transactions to acquire the same number of shares of our common stock initially issuable upon conversion of the Notes due 2028 and Notes due 2026 (subject to customary anti-dilution adjustments) at an initial strike price of approximately $370.33 and $397.91 per share for Notes due 2028 and Notes due 2026, respectively. If the market value per share of our common stock, as measured under the warrants, exceeds the strike price of the warrants, the warrants will have a dilutive effect on the ownership interests of existing stockholders and on our earnings per share, unless we elect, subject to certain conditions, to settle the warrants in cash. However, we may not have enough available cash or be able to obtain financing at the time of settlement.</w:t>
      </w:r>
    </w:p>
    <w:p>
      <w:pPr>
        <w:spacing w:after="0" w:line="80" w:lineRule="exact"/>
        <w:rPr>
          <w:sz w:val="20"/>
          <w:szCs w:val="20"/>
          <w:color w:val="auto"/>
        </w:rPr>
      </w:pPr>
    </w:p>
    <w:p>
      <w:pPr>
        <w:jc w:val="both"/>
        <w:ind w:right="20" w:firstLine="540"/>
        <w:spacing w:after="0" w:line="280" w:lineRule="auto"/>
        <w:rPr>
          <w:sz w:val="20"/>
          <w:szCs w:val="20"/>
          <w:color w:val="auto"/>
        </w:rPr>
      </w:pPr>
      <w:r>
        <w:rPr>
          <w:rFonts w:ascii="Arial" w:cs="Arial" w:eastAsia="Arial" w:hAnsi="Arial"/>
          <w:sz w:val="19"/>
          <w:szCs w:val="19"/>
          <w:b w:val="1"/>
          <w:bCs w:val="1"/>
          <w:color w:val="auto"/>
        </w:rPr>
        <w:t>In addition, the existence of the convertible note hedge and warrant transactions may encourage purchasing and selling share of our common stock, or other of our securities and instruments, in open market and/or privately negotiated transactions in order to modify hedge positions. Any of these activities could adversely affect the value of our common stock and the value of the Notes due 2028 and Notes due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281305</wp:posOffset>
                </wp:positionV>
                <wp:extent cx="633412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2.15pt" to="505.35pt,22.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281305</wp:posOffset>
                </wp:positionV>
                <wp:extent cx="633412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2.15pt" to="505.35pt,22.15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41</w:t>
      </w:r>
    </w:p>
    <w:p>
      <w:pPr>
        <w:sectPr>
          <w:pgSz w:w="12240" w:h="15840" w:orient="portrait"/>
          <w:cols w:equalWidth="0" w:num="1">
            <w:col w:w="10260"/>
          </w:cols>
          <w:pgMar w:left="1000" w:top="216" w:right="980" w:bottom="40" w:gutter="0" w:footer="0" w:header="0"/>
          <w:type w:val="continuous"/>
        </w:sectPr>
      </w:pPr>
    </w:p>
    <w:bookmarkStart w:id="41" w:name="page42"/>
    <w:bookmarkEnd w:id="41"/>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Changes in current accounting methods, standards, or regulations applicable to the Convertible Notes due 2028 and Notes due 2026 could have a material impact on our reported financial results, future financial results, future cash flows, and/or our stock price.</w:t>
      </w:r>
    </w:p>
    <w:p>
      <w:pPr>
        <w:spacing w:after="0" w:line="56"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9"/>
          <w:szCs w:val="19"/>
          <w:b w:val="1"/>
          <w:bCs w:val="1"/>
          <w:color w:val="auto"/>
        </w:rPr>
        <w:t>In August 2020, the FASB issued Account Standard Update (“ASU”) 2020-06, “Debt - Debt with Conversion and Other Options (subtopic 470-20),” effective January 1, 2022, the Notes due 2028 and the Notes due 2026 were accounted for as a single liability measured at its amortized cost. Interest expense associated with the Notes due 2028 and the Notes due 2026 recorded in the consolidated statements of operations is close to the coupon rate interest expense. Further, for the diluted earnings per share calculation, the treasury stock method is no longer permitted for the Notes due 2028 and Notes due 2026. The if-converted method is used for the calculation of the diluted earnings per share calculation, when accounting for the shares issuable upon conversion of the Notes due 2028 and Notes due 2026, which will adversely affect our diluted earnings per share. However, if the principal amount of the Notes due 2028 and Notes due 2026 being converted is required to be paid in cash and only the excess is permitted to be settled in shares, the if-converted method will produce a similar result as the “treasury stock” method which was applied prior to the adoption of ASU 2020-06.</w:t>
      </w:r>
    </w:p>
    <w:p>
      <w:pPr>
        <w:spacing w:after="0" w:line="78"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We may not be able to raise additional capital to execute on our current or future business opportunities on favorable terms, if at all, or without dilution to our stockholders.</w:t>
      </w:r>
    </w:p>
    <w:p>
      <w:pPr>
        <w:spacing w:after="0" w:line="33" w:lineRule="exact"/>
        <w:rPr>
          <w:sz w:val="20"/>
          <w:szCs w:val="20"/>
          <w:color w:val="auto"/>
        </w:rPr>
      </w:pPr>
    </w:p>
    <w:p>
      <w:pPr>
        <w:jc w:val="both"/>
        <w:ind w:right="20" w:firstLine="540"/>
        <w:spacing w:after="0" w:line="289" w:lineRule="auto"/>
        <w:rPr>
          <w:sz w:val="20"/>
          <w:szCs w:val="20"/>
          <w:color w:val="auto"/>
        </w:rPr>
      </w:pPr>
      <w:r>
        <w:rPr>
          <w:rFonts w:ascii="Arial" w:cs="Arial" w:eastAsia="Arial" w:hAnsi="Arial"/>
          <w:sz w:val="19"/>
          <w:szCs w:val="19"/>
          <w:b w:val="1"/>
          <w:bCs w:val="1"/>
          <w:color w:val="auto"/>
        </w:rPr>
        <w:t>We believe that our existing cash and cash equivalents and cash flows from our operating activities will be sufficient to meet our anticipated cash needs for at least the next 12 months. However, we may need to raise additional capital or debt financing to execute on our current or future business strategies, including to:</w:t>
      </w:r>
    </w:p>
    <w:p>
      <w:pPr>
        <w:spacing w:after="0" w:line="51" w:lineRule="exact"/>
        <w:rPr>
          <w:sz w:val="20"/>
          <w:szCs w:val="20"/>
          <w:color w:val="auto"/>
        </w:rPr>
      </w:pPr>
    </w:p>
    <w:p>
      <w:pPr>
        <w:ind w:left="720" w:hanging="370"/>
        <w:spacing w:after="0"/>
        <w:tabs>
          <w:tab w:leader="none" w:pos="7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provide additional cash reserves to support our operations;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invest in our research and development efforts;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expand our operations into new product markets and new geographies;</w:t>
      </w:r>
    </w:p>
    <w:p>
      <w:pPr>
        <w:spacing w:after="0" w:line="130" w:lineRule="exact"/>
        <w:rPr>
          <w:rFonts w:ascii="Arial" w:cs="Arial" w:eastAsia="Arial" w:hAnsi="Arial"/>
          <w:sz w:val="20"/>
          <w:szCs w:val="20"/>
          <w:b w:val="1"/>
          <w:bCs w:val="1"/>
          <w:color w:val="auto"/>
        </w:rPr>
      </w:pPr>
    </w:p>
    <w:p>
      <w:pPr>
        <w:ind w:left="720" w:hanging="370"/>
        <w:spacing w:after="0"/>
        <w:tabs>
          <w:tab w:leader="none" w:pos="7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acquire complementary businesses, products, services or technologies; or</w:t>
      </w:r>
    </w:p>
    <w:p>
      <w:pPr>
        <w:spacing w:after="0" w:line="130" w:lineRule="exact"/>
        <w:rPr>
          <w:rFonts w:ascii="Arial" w:cs="Arial" w:eastAsia="Arial" w:hAnsi="Arial"/>
          <w:sz w:val="20"/>
          <w:szCs w:val="20"/>
          <w:b w:val="1"/>
          <w:bCs w:val="1"/>
          <w:color w:val="auto"/>
        </w:rPr>
      </w:pPr>
    </w:p>
    <w:p>
      <w:pPr>
        <w:ind w:left="720" w:hanging="370"/>
        <w:spacing w:after="0" w:line="287" w:lineRule="auto"/>
        <w:tabs>
          <w:tab w:leader="none" w:pos="7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otherwise pursue our strategic plans and respond to competitive pressures, including adjustments to our business to mitigate the effects of any tariffs that might apply to us or our industry.</w:t>
      </w:r>
    </w:p>
    <w:p>
      <w:pPr>
        <w:spacing w:after="0" w:line="50"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and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76"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33"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We have never declared or paid any dividends on our common stock. We do not anticipate paying cash dividends in the foreseeable future. Consequently, an investor’s only opportunity to achieve a return on its investment in our company will be if the market price of our common stock appreciates and the investor sells its shares at a profit.</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192"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Natural disasters, public health events, significant disruptions of information technology systems, data security breaches, or other catastrophic events could adversely affect our operations.</w:t>
      </w:r>
    </w:p>
    <w:p>
      <w:pPr>
        <w:spacing w:after="0" w:line="33" w:lineRule="exact"/>
        <w:rPr>
          <w:sz w:val="20"/>
          <w:szCs w:val="20"/>
          <w:color w:val="auto"/>
        </w:rPr>
      </w:pPr>
    </w:p>
    <w:p>
      <w:pPr>
        <w:jc w:val="both"/>
        <w:ind w:right="20" w:firstLine="540"/>
        <w:spacing w:after="0" w:line="289" w:lineRule="auto"/>
        <w:rPr>
          <w:sz w:val="20"/>
          <w:szCs w:val="20"/>
          <w:color w:val="auto"/>
        </w:rPr>
      </w:pPr>
      <w:r>
        <w:rPr>
          <w:rFonts w:ascii="Arial" w:cs="Arial" w:eastAsia="Arial" w:hAnsi="Arial"/>
          <w:sz w:val="18"/>
          <w:szCs w:val="18"/>
          <w:b w:val="1"/>
          <w:bCs w:val="1"/>
          <w:color w:val="auto"/>
        </w:rPr>
        <w:t>Our worldwide operations could be subject to natural disasters (including as a result of climate change), public health events, significant disruptions of information technology systems, data security breaches and other catastrophic business disruptions, which could harm our future revenue and financial condition and increase our costs and expenses. For example, our corporate headquarters in Fremont, California is located near major earthquake fault lines and our Petaluma, California facility is near fault lines and the sites of recent catastrophic wildfires. We rely on third-party manufacturing facilities, including for all product assembly and final testing of our products, which are performed at third-party manufacturing facilities, in China and India. There may be conflict 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240030</wp:posOffset>
                </wp:positionV>
                <wp:extent cx="633412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8.9pt" to="505.35pt,18.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240030</wp:posOffset>
                </wp:positionV>
                <wp:extent cx="633412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8.9pt" to="505.35pt,18.9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42</w:t>
      </w:r>
    </w:p>
    <w:p>
      <w:pPr>
        <w:sectPr>
          <w:pgSz w:w="12240" w:h="15840" w:orient="portrait"/>
          <w:cols w:equalWidth="0" w:num="1">
            <w:col w:w="10260"/>
          </w:cols>
          <w:pgMar w:left="1000" w:top="216" w:right="980" w:bottom="40" w:gutter="0" w:footer="0" w:header="0"/>
          <w:type w:val="continuous"/>
        </w:sectPr>
      </w:pPr>
    </w:p>
    <w:bookmarkStart w:id="42" w:name="page43"/>
    <w:bookmarkEnd w:id="42"/>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uncertainty in the countries in which we operate, including public health issues (for example, an outbreak of contagious diseases or health epidemics, such as COVID-19), safety issues, natural disasters, fire, disruptions of service from utilities, nuclear power plant accidents, regional wars, or general economic or political factors. Such risks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55" w:lineRule="exact"/>
        <w:rPr>
          <w:sz w:val="20"/>
          <w:szCs w:val="20"/>
          <w:color w:val="auto"/>
        </w:rPr>
      </w:pPr>
    </w:p>
    <w:p>
      <w:pPr>
        <w:jc w:val="both"/>
        <w:ind w:right="20" w:firstLine="540"/>
        <w:spacing w:after="0" w:line="300" w:lineRule="auto"/>
        <w:rPr>
          <w:sz w:val="20"/>
          <w:szCs w:val="20"/>
          <w:color w:val="auto"/>
        </w:rPr>
      </w:pPr>
      <w:r>
        <w:rPr>
          <w:rFonts w:ascii="Arial" w:cs="Arial" w:eastAsia="Arial" w:hAnsi="Arial"/>
          <w:sz w:val="18"/>
          <w:szCs w:val="18"/>
          <w:b w:val="1"/>
          <w:bCs w:val="1"/>
          <w:color w:val="auto"/>
        </w:rPr>
        <w:t>In the event that natural disasters (including as a result of climate change), public health epidemics or technical catastrophes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47"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62" w:lineRule="exact"/>
        <w:rPr>
          <w:sz w:val="20"/>
          <w:szCs w:val="20"/>
          <w:color w:val="auto"/>
        </w:rPr>
      </w:pPr>
    </w:p>
    <w:p>
      <w:pPr>
        <w:jc w:val="both"/>
        <w:ind w:firstLine="540"/>
        <w:spacing w:after="0" w:line="269" w:lineRule="auto"/>
        <w:rPr>
          <w:sz w:val="20"/>
          <w:szCs w:val="20"/>
          <w:color w:val="auto"/>
        </w:rPr>
      </w:pPr>
      <w:r>
        <w:rPr>
          <w:rFonts w:ascii="Arial" w:cs="Arial" w:eastAsia="Arial" w:hAnsi="Arial"/>
          <w:sz w:val="19"/>
          <w:szCs w:val="19"/>
          <w:b w:val="1"/>
          <w:bCs w:val="1"/>
          <w:color w:val="auto"/>
        </w:rPr>
        <w:t>Effective internal controls are necessary for us to provide reliable financial reports and prevent fraud. In addition, Section 404 of the Sarbanes-Oxley Act of 2002, as amended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If we or our independent registered public accounting firm discover a material weakness in our internal controls over financial reporting, the disclosure of that fact, even if quickly remedied, could reduce the market’s confidence in our financial statements and harm our stock price. To the extent any material weaknesses in our internal control over financial reporting are identified, we could be required to expend significant management time and financial resources to correct such material weaknesses or to respond to any resulting regulatory investigations or proceedings.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is subject to tax liabilities.</w:t>
      </w:r>
    </w:p>
    <w:p>
      <w:pPr>
        <w:spacing w:after="0" w:line="128" w:lineRule="exact"/>
        <w:rPr>
          <w:sz w:val="20"/>
          <w:szCs w:val="20"/>
          <w:color w:val="auto"/>
        </w:rPr>
      </w:pPr>
    </w:p>
    <w:p>
      <w:pPr>
        <w:jc w:val="both"/>
        <w:ind w:right="20" w:firstLine="540"/>
        <w:spacing w:after="0" w:line="254" w:lineRule="auto"/>
        <w:rPr>
          <w:sz w:val="20"/>
          <w:szCs w:val="20"/>
          <w:color w:val="auto"/>
        </w:rPr>
      </w:pPr>
      <w:r>
        <w:rPr>
          <w:rFonts w:ascii="Arial" w:cs="Arial" w:eastAsia="Arial" w:hAnsi="Arial"/>
          <w:sz w:val="20"/>
          <w:szCs w:val="20"/>
          <w:b w:val="1"/>
          <w:bCs w:val="1"/>
          <w:color w:val="auto"/>
        </w:rPr>
        <w:t>We are subject to income tax, indirect tax or other tax claims by tax agencies in jurisdictions in which we conduct business. Significant judgment is required in determining our worldwide provision for income taxes. Tax laws are dynamic and subject to change as new laws are passed and new interpretations of the law are issued or applied. The IRA included significant changes to the U.S. federal income tax laws, the consequences of which could increase our future U.S. income tax expense. As additional guidance is issued by the applicable taxing authorities and as new accounting treatment is clarified, we may report additional adjustments in the period if new information becomes available. We have deferred tax assets related to net operating losses or tax credits that could be subject to limitations under IRS Code Sections 382 or 383, and State separate return limitation year rules. The limitations could reduce our ability to utilize our net operating losses or tax credits before the expiration of the tax attributes. Tax law changes or the limitations could be material and could materially affect our tax obligations and effective tax rate.</w:t>
      </w:r>
    </w:p>
    <w:p>
      <w:pPr>
        <w:spacing w:after="0" w:line="83"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9"/>
          <w:szCs w:val="19"/>
          <w:b w:val="1"/>
          <w:bCs w:val="1"/>
          <w:color w:val="auto"/>
        </w:rPr>
        <w:t>In the ordinary course of our business, there are many transactions and calculations where the ultimate income tax, indirect tax, or other tax determination is uncertain. Although we believe our tax estimates are reasonable, we cannot be certain that the final determination of our tax audits and litigation will not be materially different from that which is reflected in historical tax provisions and accruals. Should additional taxes be assessed as a result of an audit, assessment or litigation, there could be a material adverse effect on our cash, tax provisions and net income in the period or periods for which that determination is made.</w:t>
      </w:r>
    </w:p>
    <w:p>
      <w:pPr>
        <w:spacing w:after="0" w:line="71"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Our charter documents and Delaware law could prevent a takeover that stockholders consider favorable and could also reduce the market price of our stock.</w:t>
      </w:r>
    </w:p>
    <w:p>
      <w:pPr>
        <w:spacing w:after="0" w:line="33" w:lineRule="exact"/>
        <w:rPr>
          <w:sz w:val="20"/>
          <w:szCs w:val="20"/>
          <w:color w:val="auto"/>
        </w:rPr>
      </w:pPr>
    </w:p>
    <w:p>
      <w:pPr>
        <w:jc w:val="both"/>
        <w:ind w:right="20" w:firstLine="540"/>
        <w:spacing w:after="0" w:line="289" w:lineRule="auto"/>
        <w:rPr>
          <w:sz w:val="20"/>
          <w:szCs w:val="20"/>
          <w:color w:val="auto"/>
        </w:rPr>
      </w:pPr>
      <w:r>
        <w:rPr>
          <w:rFonts w:ascii="Arial" w:cs="Arial" w:eastAsia="Arial" w:hAnsi="Arial"/>
          <w:sz w:val="19"/>
          <w:szCs w:val="19"/>
          <w:b w:val="1"/>
          <w:bCs w:val="1"/>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51" w:lineRule="exact"/>
        <w:rPr>
          <w:sz w:val="20"/>
          <w:szCs w:val="20"/>
          <w:color w:val="auto"/>
        </w:rPr>
      </w:pPr>
    </w:p>
    <w:p>
      <w:pPr>
        <w:ind w:left="720" w:right="20" w:hanging="370"/>
        <w:spacing w:after="0" w:line="287" w:lineRule="auto"/>
        <w:tabs>
          <w:tab w:leader="none" w:pos="72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providing for a classified board of directors with staggered, three-year terms, which could delay the ability of stockholders to change the membership of a majority of our board of directors;</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not providing for cumulative voting in the election of directors, which limits the ability of minority stockholders to elect director candidates;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121920</wp:posOffset>
                </wp:positionV>
                <wp:extent cx="633412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6pt" to="505.35pt,9.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121920</wp:posOffset>
                </wp:positionV>
                <wp:extent cx="633412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6pt" to="505.35pt,9.6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43</w:t>
      </w:r>
    </w:p>
    <w:p>
      <w:pPr>
        <w:sectPr>
          <w:pgSz w:w="12240" w:h="15840" w:orient="portrait"/>
          <w:cols w:equalWidth="0" w:num="1">
            <w:col w:w="10260"/>
          </w:cols>
          <w:pgMar w:left="1000" w:top="216" w:right="980" w:bottom="40" w:gutter="0" w:footer="0" w:header="0"/>
          <w:type w:val="continuous"/>
        </w:sectPr>
      </w:pPr>
    </w:p>
    <w:bookmarkStart w:id="43" w:name="page44"/>
    <w:bookmarkEnd w:id="43"/>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720" w:right="20" w:hanging="370"/>
        <w:spacing w:after="0" w:line="314" w:lineRule="auto"/>
        <w:tabs>
          <w:tab w:leader="none" w:pos="72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authorizing our board of directors to issue, without stockholder approval, preferred stock rights senior to those of common stock, which could be used to significantly dilute the ownership of a hostile acquiror;</w:t>
      </w:r>
    </w:p>
    <w:p>
      <w:pPr>
        <w:spacing w:after="0" w:line="28" w:lineRule="exact"/>
        <w:rPr>
          <w:rFonts w:ascii="Arial" w:cs="Arial" w:eastAsia="Arial" w:hAnsi="Arial"/>
          <w:sz w:val="19"/>
          <w:szCs w:val="19"/>
          <w:b w:val="1"/>
          <w:bCs w:val="1"/>
          <w:color w:val="auto"/>
        </w:rPr>
      </w:pPr>
    </w:p>
    <w:p>
      <w:pPr>
        <w:ind w:left="720" w:right="20" w:hanging="370"/>
        <w:spacing w:after="0" w:line="287" w:lineRule="auto"/>
        <w:tabs>
          <w:tab w:leader="none" w:pos="72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prohibiting stockholder action by written consent, which forces stockholder action to be taken at an annual or special meeting of our stockholders;</w:t>
      </w:r>
    </w:p>
    <w:p>
      <w:pPr>
        <w:spacing w:after="0" w:line="49" w:lineRule="exact"/>
        <w:rPr>
          <w:rFonts w:ascii="Arial" w:cs="Arial" w:eastAsia="Arial" w:hAnsi="Arial"/>
          <w:sz w:val="20"/>
          <w:szCs w:val="20"/>
          <w:b w:val="1"/>
          <w:bCs w:val="1"/>
          <w:color w:val="auto"/>
        </w:rPr>
      </w:pPr>
    </w:p>
    <w:p>
      <w:pPr>
        <w:jc w:val="both"/>
        <w:ind w:left="720" w:right="20" w:hanging="370"/>
        <w:spacing w:after="0" w:line="291" w:lineRule="auto"/>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54" w:lineRule="exact"/>
        <w:rPr>
          <w:rFonts w:ascii="Arial" w:cs="Arial" w:eastAsia="Arial" w:hAnsi="Arial"/>
          <w:sz w:val="18"/>
          <w:szCs w:val="18"/>
          <w:b w:val="1"/>
          <w:bCs w:val="1"/>
          <w:color w:val="auto"/>
        </w:rPr>
      </w:pPr>
    </w:p>
    <w:p>
      <w:pPr>
        <w:jc w:val="both"/>
        <w:ind w:left="720" w:right="20" w:hanging="370"/>
        <w:spacing w:after="0" w:line="311" w:lineRule="auto"/>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35" w:lineRule="exact"/>
        <w:rPr>
          <w:rFonts w:ascii="Arial" w:cs="Arial" w:eastAsia="Arial" w:hAnsi="Arial"/>
          <w:sz w:val="18"/>
          <w:szCs w:val="18"/>
          <w:b w:val="1"/>
          <w:bCs w:val="1"/>
          <w:color w:val="auto"/>
        </w:rPr>
      </w:pPr>
    </w:p>
    <w:p>
      <w:pPr>
        <w:jc w:val="both"/>
        <w:ind w:left="720" w:right="20" w:hanging="370"/>
        <w:spacing w:after="0" w:line="268" w:lineRule="auto"/>
        <w:tabs>
          <w:tab w:leader="none" w:pos="72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70" w:lineRule="exact"/>
        <w:rPr>
          <w:sz w:val="20"/>
          <w:szCs w:val="20"/>
          <w:color w:val="auto"/>
        </w:rPr>
      </w:pPr>
    </w:p>
    <w:p>
      <w:pPr>
        <w:jc w:val="both"/>
        <w:ind w:firstLine="540"/>
        <w:spacing w:after="0" w:line="311" w:lineRule="auto"/>
        <w:rPr>
          <w:sz w:val="20"/>
          <w:szCs w:val="20"/>
          <w:color w:val="auto"/>
        </w:rPr>
      </w:pPr>
      <w:r>
        <w:rPr>
          <w:rFonts w:ascii="Arial" w:cs="Arial" w:eastAsia="Arial" w:hAnsi="Arial"/>
          <w:sz w:val="18"/>
          <w:szCs w:val="18"/>
          <w:b w:val="1"/>
          <w:bCs w:val="1"/>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35" w:lineRule="exact"/>
        <w:rPr>
          <w:sz w:val="20"/>
          <w:szCs w:val="20"/>
          <w:color w:val="auto"/>
        </w:rPr>
      </w:pPr>
    </w:p>
    <w:p>
      <w:pPr>
        <w:jc w:val="both"/>
        <w:ind w:right="20" w:firstLine="540"/>
        <w:spacing w:after="0" w:line="289" w:lineRule="auto"/>
        <w:rPr>
          <w:sz w:val="20"/>
          <w:szCs w:val="20"/>
          <w:color w:val="auto"/>
        </w:rPr>
      </w:pPr>
      <w:r>
        <w:rPr>
          <w:rFonts w:ascii="Arial" w:cs="Arial" w:eastAsia="Arial" w:hAnsi="Arial"/>
          <w:sz w:val="19"/>
          <w:szCs w:val="19"/>
          <w:b w:val="1"/>
          <w:bCs w:val="1"/>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None.</w:t>
      </w:r>
    </w:p>
    <w:p>
      <w:pPr>
        <w:spacing w:after="0" w:line="19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1C.</w:t>
      </w:r>
      <w:r>
        <w:rPr>
          <w:sz w:val="20"/>
          <w:szCs w:val="20"/>
          <w:color w:val="auto"/>
        </w:rPr>
        <w:tab/>
      </w:r>
      <w:r>
        <w:rPr>
          <w:rFonts w:ascii="Arial" w:cs="Arial" w:eastAsia="Arial" w:hAnsi="Arial"/>
          <w:sz w:val="19"/>
          <w:szCs w:val="19"/>
          <w:b w:val="1"/>
          <w:bCs w:val="1"/>
          <w:color w:val="auto"/>
        </w:rPr>
        <w:t>Cybersecurity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130"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8"/>
          <w:szCs w:val="18"/>
          <w:b w:val="1"/>
          <w:bCs w:val="1"/>
          <w:color w:val="auto"/>
        </w:rPr>
        <w:t>We rely on information technology and data to operate our business and develop, market and deliver our products and services to our customers. Our critical information technology includes certain computer networks, third-party hosted services, communications systems, software, personal computers and servers (collectively, “Information Technology"), and our critical data includes certain confidential data, including personal information, proprietary, and valuable data (collectively “Confidential Data”). Accordingly, we maintain risk assessment processes designed to identify cybersecurity threats relating to such Information Technology and Confidential Data, and assess potential material impact to our business that may result from such threats. Based on our assessment, we implement and maintain risk management processes designed to protect the confidentiality, integrity and availability of our Information Technology and Confidential Data and mitigate material harm to our business.</w:t>
      </w:r>
    </w:p>
    <w:p>
      <w:pPr>
        <w:spacing w:after="0" w:line="6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We identify such threats by, among other methods, monitoring the threat environment using manual and automated tools, subscribing to reports and services that identify cybersecurity threats, analyzing reports of threats and actors, conducting scans of the threat environment, evaluating our and our industry’s risk profile, evaluating threats reported to us, conducting threat assessments for internal and external threats, and conducting vulnerability assessments.</w:t>
      </w:r>
    </w:p>
    <w:p>
      <w:pPr>
        <w:spacing w:after="0" w:line="79" w:lineRule="exact"/>
        <w:rPr>
          <w:sz w:val="20"/>
          <w:szCs w:val="20"/>
          <w:color w:val="auto"/>
        </w:rPr>
      </w:pPr>
    </w:p>
    <w:p>
      <w:pPr>
        <w:jc w:val="both"/>
        <w:ind w:right="20" w:firstLine="540"/>
        <w:spacing w:after="0" w:line="345" w:lineRule="auto"/>
        <w:rPr>
          <w:sz w:val="20"/>
          <w:szCs w:val="20"/>
          <w:color w:val="auto"/>
        </w:rPr>
      </w:pPr>
      <w:r>
        <w:rPr>
          <w:rFonts w:ascii="Arial" w:cs="Arial" w:eastAsia="Arial" w:hAnsi="Arial"/>
          <w:sz w:val="18"/>
          <w:szCs w:val="18"/>
          <w:b w:val="1"/>
          <w:bCs w:val="1"/>
          <w:color w:val="auto"/>
        </w:rPr>
        <w:t>In the event a threat results in a cybersecurity incident, we have a process for escalating certain cybersecurity incidents from our security team up through our security leadership and ultimately to management.</w:t>
      </w:r>
    </w:p>
    <w:p>
      <w:pPr>
        <w:spacing w:after="0" w:line="5" w:lineRule="exact"/>
        <w:rPr>
          <w:sz w:val="20"/>
          <w:szCs w:val="20"/>
          <w:color w:val="auto"/>
        </w:rPr>
      </w:pPr>
    </w:p>
    <w:p>
      <w:pPr>
        <w:jc w:val="both"/>
        <w:ind w:firstLine="540"/>
        <w:spacing w:after="0" w:line="289" w:lineRule="auto"/>
        <w:rPr>
          <w:sz w:val="20"/>
          <w:szCs w:val="20"/>
          <w:color w:val="auto"/>
        </w:rPr>
      </w:pPr>
      <w:r>
        <w:rPr>
          <w:rFonts w:ascii="Arial" w:cs="Arial" w:eastAsia="Arial" w:hAnsi="Arial"/>
          <w:sz w:val="18"/>
          <w:szCs w:val="18"/>
          <w:b w:val="1"/>
          <w:bCs w:val="1"/>
          <w:color w:val="auto"/>
        </w:rPr>
        <w:t>Based on our risk assessment process, we implement and maintain various technical, physical and organizational processes designed to manage and mitigate cybersecurity risks that could affect our Information Technology and Confidential Data, and potential material impacts that may result from such risks. We have implemented measures designed to prevent, detect, respond to, mitigate and recover from identified and significant cybersecurity threats. The cybersecurity risk management processes we maintain for our Information Technology and Confidential Data, depending on the particular environment and system processes, are designed to address cybersecurity threats; incident response; vulnerability management; business continuity; incident detection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201930</wp:posOffset>
                </wp:positionV>
                <wp:extent cx="633412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5.9pt" to="505.35pt,1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201930</wp:posOffset>
                </wp:positionV>
                <wp:extent cx="633412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5.9pt" to="505.35pt,15.9pt" o:allowincell="f" strokecolor="#828282" strokeweight="0.25pt"/>
            </w:pict>
          </mc:Fallback>
        </mc:AlternateContent>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44</w:t>
      </w:r>
    </w:p>
    <w:p>
      <w:pPr>
        <w:sectPr>
          <w:pgSz w:w="12240" w:h="15840" w:orient="portrait"/>
          <w:cols w:equalWidth="0" w:num="1">
            <w:col w:w="10260"/>
          </w:cols>
          <w:pgMar w:left="1000" w:top="216" w:right="980" w:bottom="40" w:gutter="0" w:footer="0" w:header="0"/>
          <w:type w:val="continuous"/>
        </w:sectPr>
      </w:pPr>
    </w:p>
    <w:bookmarkStart w:id="44" w:name="page45"/>
    <w:bookmarkEnd w:id="44"/>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response; internal and external evaluations to assess our exposure to cybersecurity threats, environment, compliance with risk mitigation procedures, and effectiveness of relevant controls; documented risk assessments; encryption of data; network security; threat modeling; physical and electronic access; physical security; asset management, tracking and disposal; systems monitoring; vendor risk management; employee security training; penetration testing; cyber insurance; and the maintenance of a dedicated cybersecurity team.</w:t>
      </w:r>
    </w:p>
    <w:p>
      <w:pPr>
        <w:spacing w:after="0" w:line="64"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To operate our business, we utilize certain third-party service providers to perform a variety of functions and provide certain security-related services, such as outsourced business critical functions, professional services, SaaS platforms, managed services, cloud-based infrastructure, data center facilities, content delivery to customers, encryption and authentication technology, corporate productivity services, and other functions; as well as third parties that assist us to identify, assess and manage cybersecurity risks, including professional services firms, threat intelligence service providers, cybersecurity software providers, penetration testing firms and other vendors that help to identify, assess or manage cybersecurity risks. For certain vendors, our vendor management process includes evaluating the cybersecurity practices of such provider and contractually imposing obligations on the provider related to the services they provide and/or the information they process.</w:t>
      </w:r>
    </w:p>
    <w:p>
      <w:pPr>
        <w:spacing w:after="0" w:line="68"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For a description of the risks from cybersecurity threats that may materially affect the company and how those risks may affect the company, please refer to Part I, Item 1A. Risk Factors—Risks Related to our Intellectual Property and Technology of this Annual Report on Form 10-K for additional information about cybersecurity-related risks.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13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Our board of directors oversees our overall risk management strategy. The Audit Committee has general oversight with respect to cybersecurity risk. The Audit Committee has established a cybersecurity subcommittee to discuss issues and risks related to cybersecurity, and it includes one of our board members with cybersecurity experience, and holds regular meetings. This subcommittee has a dedicated agenda during such meetings that are designed to assist the Audit Committee with its cybersecurity oversight and allow it to report to the full Board if necessary. The meetings involve presentations and reports from our management, security leadership and information security team, including updates on relevant cybersecurity threats faced by the company and steps we are taking to address them.</w:t>
      </w:r>
    </w:p>
    <w:p>
      <w:pPr>
        <w:spacing w:after="0" w:line="85" w:lineRule="exact"/>
        <w:rPr>
          <w:sz w:val="20"/>
          <w:szCs w:val="20"/>
          <w:color w:val="auto"/>
        </w:rPr>
      </w:pPr>
    </w:p>
    <w:p>
      <w:pPr>
        <w:jc w:val="both"/>
        <w:ind w:right="20" w:firstLine="540"/>
        <w:spacing w:after="0" w:line="291" w:lineRule="auto"/>
        <w:rPr>
          <w:sz w:val="20"/>
          <w:szCs w:val="20"/>
          <w:color w:val="auto"/>
        </w:rPr>
      </w:pPr>
      <w:r>
        <w:rPr>
          <w:rFonts w:ascii="Arial" w:cs="Arial" w:eastAsia="Arial" w:hAnsi="Arial"/>
          <w:sz w:val="18"/>
          <w:szCs w:val="18"/>
          <w:b w:val="1"/>
          <w:bCs w:val="1"/>
          <w:color w:val="auto"/>
        </w:rPr>
        <w:t>Our management team is involved with our efforts to prevent, detect, and mitigate cybersecurity incidents by overseeing the implementation and maintenance of our cybersecurity policies and procedures and activities carried out in furtherance of those policies and procedures. The Senior Vice President of Security leads our cybersecurity risk management efforts and helps us assess cybersecurity risks, establish priorities, and determine the scope and details of our cybersecurity program. We have identified certain members of management and relevant employees to oversee our cybersecurity incident response and vulnerability management processes.</w:t>
      </w:r>
    </w:p>
    <w:p>
      <w:pPr>
        <w:spacing w:after="0" w:line="11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table below presents details for each of our principal properties: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vMerge w:val="restart"/>
          </w:tcPr>
          <w:p>
            <w:pPr>
              <w:ind w:left="1340"/>
              <w:spacing w:after="0"/>
              <w:rPr>
                <w:sz w:val="20"/>
                <w:szCs w:val="20"/>
                <w:color w:val="auto"/>
              </w:rPr>
            </w:pPr>
            <w:r>
              <w:rPr>
                <w:rFonts w:ascii="Arial" w:cs="Arial" w:eastAsia="Arial" w:hAnsi="Arial"/>
                <w:sz w:val="18"/>
                <w:szCs w:val="18"/>
                <w:b w:val="1"/>
                <w:bCs w:val="1"/>
                <w:color w:val="auto"/>
              </w:rPr>
              <w:t>Facility</w:t>
            </w:r>
          </w:p>
        </w:tc>
        <w:tc>
          <w:tcPr>
            <w:tcW w:w="60" w:type="dxa"/>
            <w:vAlign w:val="bottom"/>
          </w:tcPr>
          <w:p>
            <w:pPr>
              <w:spacing w:after="0"/>
              <w:rPr>
                <w:sz w:val="18"/>
                <w:szCs w:val="18"/>
                <w:color w:val="auto"/>
              </w:rPr>
            </w:pPr>
          </w:p>
        </w:tc>
        <w:tc>
          <w:tcPr>
            <w:tcW w:w="17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Location</w:t>
            </w:r>
          </w:p>
        </w:tc>
        <w:tc>
          <w:tcPr>
            <w:tcW w:w="6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Held</w:t>
            </w:r>
          </w:p>
        </w:tc>
        <w:tc>
          <w:tcPr>
            <w:tcW w:w="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w:t>
            </w:r>
          </w:p>
        </w:tc>
        <w:tc>
          <w:tcPr>
            <w:tcW w:w="6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Lease end term</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Square Footage</w:t>
            </w:r>
          </w:p>
        </w:tc>
        <w:tc>
          <w:tcPr>
            <w:tcW w:w="60" w:type="dxa"/>
            <w:vAlign w:val="bottom"/>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Corporate headquarters</w:t>
            </w:r>
          </w:p>
        </w:tc>
        <w:tc>
          <w:tcPr>
            <w:tcW w:w="6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Fremont, U.S.</w:t>
            </w:r>
          </w:p>
        </w:tc>
        <w:tc>
          <w:tcPr>
            <w:tcW w:w="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Leased</w:t>
            </w:r>
          </w:p>
        </w:tc>
        <w:tc>
          <w:tcPr>
            <w:tcW w:w="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8"/>
              </w:rPr>
              <w:t>40,446</w:t>
            </w:r>
          </w:p>
        </w:tc>
        <w:tc>
          <w:tcPr>
            <w:tcW w:w="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6"/>
              </w:rPr>
              <w:t>Aug-2032</w:t>
            </w:r>
          </w:p>
        </w:tc>
        <w:tc>
          <w:tcPr>
            <w:tcW w:w="0" w:type="dxa"/>
            <w:vAlign w:val="bottom"/>
          </w:tcPr>
          <w:p>
            <w:pPr>
              <w:spacing w:after="0"/>
              <w:rPr>
                <w:sz w:val="1"/>
                <w:szCs w:val="1"/>
                <w:color w:val="auto"/>
              </w:rPr>
            </w:pPr>
          </w:p>
        </w:tc>
      </w:tr>
      <w:tr>
        <w:trPr>
          <w:trHeight w:val="251"/>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Customer service support</w:t>
            </w:r>
          </w:p>
        </w:tc>
        <w:tc>
          <w:tcPr>
            <w:tcW w:w="60" w:type="dxa"/>
            <w:vAlign w:val="bottom"/>
          </w:tcPr>
          <w:p>
            <w:pPr>
              <w:spacing w:after="0"/>
              <w:rPr>
                <w:sz w:val="21"/>
                <w:szCs w:val="21"/>
                <w:color w:val="auto"/>
              </w:rPr>
            </w:pPr>
          </w:p>
        </w:tc>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Boise, U.S.</w:t>
            </w:r>
          </w:p>
        </w:tc>
        <w:tc>
          <w:tcPr>
            <w:tcW w:w="6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24,688</w:t>
            </w:r>
          </w:p>
        </w:tc>
        <w:tc>
          <w:tcPr>
            <w:tcW w:w="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Jan-2027</w:t>
            </w:r>
          </w:p>
        </w:tc>
        <w:tc>
          <w:tcPr>
            <w:tcW w:w="0" w:type="dxa"/>
            <w:vAlign w:val="bottom"/>
          </w:tcPr>
          <w:p>
            <w:pPr>
              <w:spacing w:after="0"/>
              <w:rPr>
                <w:sz w:val="1"/>
                <w:szCs w:val="1"/>
                <w:color w:val="auto"/>
              </w:rPr>
            </w:pPr>
          </w:p>
        </w:tc>
      </w:tr>
      <w:tr>
        <w:trPr>
          <w:trHeight w:val="255"/>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Administrative office and R&amp;D facility</w:t>
            </w:r>
          </w:p>
        </w:tc>
        <w:tc>
          <w:tcPr>
            <w:tcW w:w="60" w:type="dxa"/>
            <w:vAlign w:val="bottom"/>
          </w:tcPr>
          <w:p>
            <w:pPr>
              <w:spacing w:after="0"/>
              <w:rPr>
                <w:sz w:val="22"/>
                <w:szCs w:val="22"/>
                <w:color w:val="auto"/>
              </w:rPr>
            </w:pPr>
          </w:p>
        </w:tc>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Petaluma, U.S.</w:t>
            </w:r>
          </w:p>
        </w:tc>
        <w:tc>
          <w:tcPr>
            <w:tcW w:w="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93,231</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6"/>
              </w:rPr>
              <w:t>Aug-2032</w:t>
            </w:r>
          </w:p>
        </w:tc>
        <w:tc>
          <w:tcPr>
            <w:tcW w:w="0" w:type="dxa"/>
            <w:vAlign w:val="bottom"/>
          </w:tcPr>
          <w:p>
            <w:pPr>
              <w:spacing w:after="0"/>
              <w:rPr>
                <w:sz w:val="1"/>
                <w:szCs w:val="1"/>
                <w:color w:val="auto"/>
              </w:rPr>
            </w:pPr>
          </w:p>
        </w:tc>
      </w:tr>
      <w:tr>
        <w:trPr>
          <w:trHeight w:val="255"/>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Administrative office and R&amp;D facility</w:t>
            </w:r>
          </w:p>
        </w:tc>
        <w:tc>
          <w:tcPr>
            <w:tcW w:w="60" w:type="dxa"/>
            <w:vAlign w:val="bottom"/>
          </w:tcPr>
          <w:p>
            <w:pPr>
              <w:spacing w:after="0"/>
              <w:rPr>
                <w:sz w:val="22"/>
                <w:szCs w:val="22"/>
                <w:color w:val="auto"/>
              </w:rPr>
            </w:pPr>
          </w:p>
        </w:tc>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Austin, U.S.</w:t>
            </w:r>
          </w:p>
        </w:tc>
        <w:tc>
          <w:tcPr>
            <w:tcW w:w="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58,777</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7"/>
              </w:rPr>
              <w:t>Oct-2034</w:t>
            </w:r>
          </w:p>
        </w:tc>
        <w:tc>
          <w:tcPr>
            <w:tcW w:w="0" w:type="dxa"/>
            <w:vAlign w:val="bottom"/>
          </w:tcPr>
          <w:p>
            <w:pPr>
              <w:spacing w:after="0"/>
              <w:rPr>
                <w:sz w:val="1"/>
                <w:szCs w:val="1"/>
                <w:color w:val="auto"/>
              </w:rPr>
            </w:pPr>
          </w:p>
        </w:tc>
      </w:tr>
      <w:tr>
        <w:trPr>
          <w:trHeight w:val="197"/>
        </w:trPr>
        <w:tc>
          <w:tcPr>
            <w:tcW w:w="330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Manufacturing facility and warehouse</w:t>
            </w:r>
          </w:p>
        </w:tc>
        <w:tc>
          <w:tcPr>
            <w:tcW w:w="60" w:type="dxa"/>
            <w:vAlign w:val="bottom"/>
          </w:tcPr>
          <w:p>
            <w:pPr>
              <w:spacing w:after="0"/>
              <w:rPr>
                <w:sz w:val="17"/>
                <w:szCs w:val="17"/>
                <w:color w:val="auto"/>
              </w:rPr>
            </w:pPr>
          </w:p>
        </w:tc>
        <w:tc>
          <w:tcPr>
            <w:tcW w:w="1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Arlington, U.S.</w:t>
            </w:r>
          </w:p>
        </w:tc>
        <w:tc>
          <w:tcPr>
            <w:tcW w:w="60" w:type="dxa"/>
            <w:vAlign w:val="bottom"/>
          </w:tcPr>
          <w:p>
            <w:pPr>
              <w:spacing w:after="0"/>
              <w:rPr>
                <w:sz w:val="17"/>
                <w:szCs w:val="17"/>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227,344</w:t>
            </w:r>
          </w:p>
        </w:tc>
        <w:tc>
          <w:tcPr>
            <w:tcW w:w="6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Jan-2031</w:t>
            </w:r>
          </w:p>
        </w:tc>
        <w:tc>
          <w:tcPr>
            <w:tcW w:w="0" w:type="dxa"/>
            <w:vAlign w:val="bottom"/>
          </w:tcPr>
          <w:p>
            <w:pPr>
              <w:spacing w:after="0"/>
              <w:rPr>
                <w:sz w:val="1"/>
                <w:szCs w:val="1"/>
                <w:color w:val="auto"/>
              </w:rPr>
            </w:pPr>
          </w:p>
        </w:tc>
      </w:tr>
      <w:tr>
        <w:trPr>
          <w:trHeight w:val="239"/>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facility</w:t>
            </w:r>
          </w:p>
        </w:tc>
        <w:tc>
          <w:tcPr>
            <w:tcW w:w="6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40"/>
              <w:spacing w:after="0" w:line="196" w:lineRule="exact"/>
              <w:rPr>
                <w:sz w:val="20"/>
                <w:szCs w:val="20"/>
                <w:color w:val="auto"/>
              </w:rPr>
            </w:pPr>
            <w:r>
              <w:rPr>
                <w:rFonts w:ascii="Arial" w:cs="Arial" w:eastAsia="Arial" w:hAnsi="Arial"/>
                <w:sz w:val="18"/>
                <w:szCs w:val="18"/>
                <w:b w:val="1"/>
                <w:bCs w:val="1"/>
                <w:color w:val="auto"/>
                <w:w w:val="98"/>
              </w:rPr>
              <w:t>Marketing and sales support, and R&amp;D</w:t>
            </w:r>
          </w:p>
        </w:tc>
        <w:tc>
          <w:tcPr>
            <w:tcW w:w="60" w:type="dxa"/>
            <w:vAlign w:val="bottom"/>
          </w:tcPr>
          <w:p>
            <w:pPr>
              <w:spacing w:after="0"/>
              <w:rPr>
                <w:sz w:val="17"/>
                <w:szCs w:val="17"/>
                <w:color w:val="auto"/>
              </w:rPr>
            </w:pPr>
          </w:p>
        </w:tc>
        <w:tc>
          <w:tcPr>
            <w:tcW w:w="174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8"/>
              </w:rPr>
              <w:t>Eschborn, Germany</w:t>
            </w:r>
          </w:p>
        </w:tc>
        <w:tc>
          <w:tcPr>
            <w:tcW w:w="60" w:type="dxa"/>
            <w:vAlign w:val="bottom"/>
          </w:tcPr>
          <w:p>
            <w:pPr>
              <w:spacing w:after="0"/>
              <w:rPr>
                <w:sz w:val="17"/>
                <w:szCs w:val="17"/>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8"/>
              </w:rPr>
              <w:t>23,236</w:t>
            </w:r>
          </w:p>
        </w:tc>
        <w:tc>
          <w:tcPr>
            <w:tcW w:w="6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May-2034</w:t>
            </w:r>
          </w:p>
        </w:tc>
        <w:tc>
          <w:tcPr>
            <w:tcW w:w="0" w:type="dxa"/>
            <w:vAlign w:val="bottom"/>
          </w:tcPr>
          <w:p>
            <w:pPr>
              <w:spacing w:after="0"/>
              <w:rPr>
                <w:sz w:val="1"/>
                <w:szCs w:val="1"/>
                <w:color w:val="auto"/>
              </w:rPr>
            </w:pPr>
          </w:p>
        </w:tc>
      </w:tr>
      <w:tr>
        <w:trPr>
          <w:trHeight w:val="239"/>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facility</w:t>
            </w:r>
          </w:p>
        </w:tc>
        <w:tc>
          <w:tcPr>
            <w:tcW w:w="6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Global support office</w:t>
            </w:r>
          </w:p>
        </w:tc>
        <w:tc>
          <w:tcPr>
            <w:tcW w:w="60" w:type="dxa"/>
            <w:vAlign w:val="bottom"/>
          </w:tcPr>
          <w:p>
            <w:pPr>
              <w:spacing w:after="0"/>
              <w:rPr>
                <w:sz w:val="22"/>
                <w:szCs w:val="22"/>
                <w:color w:val="auto"/>
              </w:rPr>
            </w:pPr>
          </w:p>
        </w:tc>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Bengaluru, India</w:t>
            </w:r>
          </w:p>
        </w:tc>
        <w:tc>
          <w:tcPr>
            <w:tcW w:w="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rPr>
              <w:t>215,292</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Feb-2029</w:t>
            </w:r>
          </w:p>
        </w:tc>
        <w:tc>
          <w:tcPr>
            <w:tcW w:w="0" w:type="dxa"/>
            <w:vAlign w:val="bottom"/>
          </w:tcPr>
          <w:p>
            <w:pPr>
              <w:spacing w:after="0"/>
              <w:rPr>
                <w:sz w:val="1"/>
                <w:szCs w:val="1"/>
                <w:color w:val="auto"/>
              </w:rPr>
            </w:pPr>
          </w:p>
        </w:tc>
      </w:tr>
      <w:tr>
        <w:trPr>
          <w:trHeight w:val="197"/>
        </w:trPr>
        <w:tc>
          <w:tcPr>
            <w:tcW w:w="3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R&amp;D facility</w:t>
            </w:r>
          </w:p>
        </w:tc>
        <w:tc>
          <w:tcPr>
            <w:tcW w:w="60" w:type="dxa"/>
            <w:vAlign w:val="bottom"/>
          </w:tcPr>
          <w:p>
            <w:pPr>
              <w:spacing w:after="0"/>
              <w:rPr>
                <w:sz w:val="17"/>
                <w:szCs w:val="17"/>
                <w:color w:val="auto"/>
              </w:rPr>
            </w:pPr>
          </w:p>
        </w:tc>
        <w:tc>
          <w:tcPr>
            <w:tcW w:w="174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Christchurch, New</w:t>
            </w:r>
          </w:p>
        </w:tc>
        <w:tc>
          <w:tcPr>
            <w:tcW w:w="60" w:type="dxa"/>
            <w:vAlign w:val="bottom"/>
          </w:tcPr>
          <w:p>
            <w:pPr>
              <w:spacing w:after="0"/>
              <w:rPr>
                <w:sz w:val="17"/>
                <w:szCs w:val="17"/>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8"/>
              </w:rPr>
              <w:t>67,480</w:t>
            </w:r>
          </w:p>
        </w:tc>
        <w:tc>
          <w:tcPr>
            <w:tcW w:w="6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Aug-2031</w:t>
            </w:r>
          </w:p>
        </w:tc>
        <w:tc>
          <w:tcPr>
            <w:tcW w:w="0" w:type="dxa"/>
            <w:vAlign w:val="bottom"/>
          </w:tcPr>
          <w:p>
            <w:pPr>
              <w:spacing w:after="0"/>
              <w:rPr>
                <w:sz w:val="1"/>
                <w:szCs w:val="1"/>
                <w:color w:val="auto"/>
              </w:rPr>
            </w:pPr>
          </w:p>
        </w:tc>
      </w:tr>
      <w:tr>
        <w:trPr>
          <w:trHeight w:val="239"/>
        </w:trPr>
        <w:tc>
          <w:tcPr>
            <w:tcW w:w="33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Zealand</w:t>
            </w:r>
          </w:p>
        </w:tc>
        <w:tc>
          <w:tcPr>
            <w:tcW w:w="6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Marketing and sales support</w:t>
            </w:r>
          </w:p>
        </w:tc>
        <w:tc>
          <w:tcPr>
            <w:tcW w:w="6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18"/>
                <w:szCs w:val="18"/>
                <w:b w:val="1"/>
                <w:bCs w:val="1"/>
                <w:color w:val="auto"/>
                <w:w w:val="94"/>
              </w:rPr>
              <w:t>Melbourne, Australia</w:t>
            </w:r>
          </w:p>
        </w:tc>
        <w:tc>
          <w:tcPr>
            <w:tcW w:w="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rPr>
              <w:t>4,478</w:t>
            </w: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7"/>
              </w:rPr>
              <w:t>Jul-2026</w:t>
            </w:r>
          </w:p>
        </w:tc>
        <w:tc>
          <w:tcPr>
            <w:tcW w:w="0" w:type="dxa"/>
            <w:vAlign w:val="bottom"/>
          </w:tcPr>
          <w:p>
            <w:pPr>
              <w:spacing w:after="0"/>
              <w:rPr>
                <w:sz w:val="1"/>
                <w:szCs w:val="1"/>
                <w:color w:val="auto"/>
              </w:rPr>
            </w:pPr>
          </w:p>
        </w:tc>
      </w:tr>
      <w:tr>
        <w:trPr>
          <w:trHeight w:val="197"/>
        </w:trPr>
        <w:tc>
          <w:tcPr>
            <w:tcW w:w="3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Marketing and sales support</w:t>
            </w:r>
          </w:p>
        </w:tc>
        <w:tc>
          <w:tcPr>
            <w:tcW w:w="60" w:type="dxa"/>
            <w:vAlign w:val="bottom"/>
          </w:tcPr>
          <w:p>
            <w:pPr>
              <w:spacing w:after="0"/>
              <w:rPr>
                <w:sz w:val="17"/>
                <w:szCs w:val="17"/>
                <w:color w:val="auto"/>
              </w:rPr>
            </w:pPr>
          </w:p>
        </w:tc>
        <w:tc>
          <w:tcPr>
            <w:tcW w:w="174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s-Hertogenbosch,</w:t>
            </w:r>
          </w:p>
        </w:tc>
        <w:tc>
          <w:tcPr>
            <w:tcW w:w="60" w:type="dxa"/>
            <w:vAlign w:val="bottom"/>
          </w:tcPr>
          <w:p>
            <w:pPr>
              <w:spacing w:after="0"/>
              <w:rPr>
                <w:sz w:val="17"/>
                <w:szCs w:val="17"/>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6,997</w:t>
            </w:r>
          </w:p>
        </w:tc>
        <w:tc>
          <w:tcPr>
            <w:tcW w:w="6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Jan-2026</w:t>
            </w:r>
          </w:p>
        </w:tc>
        <w:tc>
          <w:tcPr>
            <w:tcW w:w="0" w:type="dxa"/>
            <w:vAlign w:val="bottom"/>
          </w:tcPr>
          <w:p>
            <w:pPr>
              <w:spacing w:after="0"/>
              <w:rPr>
                <w:sz w:val="1"/>
                <w:szCs w:val="1"/>
                <w:color w:val="auto"/>
              </w:rPr>
            </w:pPr>
          </w:p>
        </w:tc>
      </w:tr>
      <w:tr>
        <w:trPr>
          <w:trHeight w:val="239"/>
        </w:trPr>
        <w:tc>
          <w:tcPr>
            <w:tcW w:w="33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Netherlands</w:t>
            </w:r>
          </w:p>
        </w:tc>
        <w:tc>
          <w:tcPr>
            <w:tcW w:w="6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Administrative office and R&amp;D facility</w:t>
            </w:r>
          </w:p>
        </w:tc>
        <w:tc>
          <w:tcPr>
            <w:tcW w:w="60" w:type="dxa"/>
            <w:vAlign w:val="bottom"/>
          </w:tcPr>
          <w:p>
            <w:pPr>
              <w:spacing w:after="0"/>
              <w:rPr>
                <w:sz w:val="22"/>
                <w:szCs w:val="22"/>
                <w:color w:val="auto"/>
              </w:rPr>
            </w:pPr>
          </w:p>
        </w:tc>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Puerto Rico</w:t>
            </w:r>
          </w:p>
        </w:tc>
        <w:tc>
          <w:tcPr>
            <w:tcW w:w="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Leased</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rPr>
              <w:t>7,874</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Jun-2029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-2358390</wp:posOffset>
            </wp:positionV>
            <wp:extent cx="6540500" cy="257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
                      <a:extLst>
                        <a:ext uri="{28A0092B-C50C-407E-A947-70E740481C1C}"/>
                      </a:extLst>
                    </a:blip>
                    <a:srcRect/>
                    <a:stretch>
                      <a:fillRect/>
                    </a:stretch>
                  </pic:blipFill>
                  <pic:spPr bwMode="auto">
                    <a:xfrm>
                      <a:off x="0" y="0"/>
                      <a:ext cx="6540500" cy="2574925"/>
                    </a:xfrm>
                    <a:prstGeom prst="rect">
                      <a:avLst/>
                    </a:prstGeom>
                    <a:noFill/>
                  </pic:spPr>
                </pic:pic>
              </a:graphicData>
            </a:graphic>
          </wp:anchor>
        </w:drawing>
      </w:r>
    </w:p>
    <w:p>
      <w:pPr>
        <w:sectPr>
          <w:pgSz w:w="12240" w:h="15840" w:orient="portrait"/>
          <w:cols w:equalWidth="0" w:num="1">
            <w:col w:w="10260"/>
          </w:cols>
          <w:pgMar w:left="1000" w:top="216" w:right="980" w:bottom="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45</w:t>
      </w:r>
    </w:p>
    <w:p>
      <w:pPr>
        <w:sectPr>
          <w:pgSz w:w="12240" w:h="15840" w:orient="portrait"/>
          <w:cols w:equalWidth="0" w:num="1">
            <w:col w:w="10260"/>
          </w:cols>
          <w:pgMar w:left="1000" w:top="216" w:right="980" w:bottom="40" w:gutter="0" w:footer="0" w:header="0"/>
          <w:type w:val="continuous"/>
        </w:sectPr>
      </w:pPr>
    </w:p>
    <w:bookmarkStart w:id="45" w:name="page46"/>
    <w:bookmarkEnd w:id="45"/>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130"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9"/>
          <w:szCs w:val="19"/>
          <w:b w:val="1"/>
          <w:bCs w:val="1"/>
          <w:color w:val="auto"/>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Except as described in this Item 3, we are not currently involved in any material legal proceedings, the ultimate disposition of which could have a material adverse effect on our operations, financial condition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Class Action Lawsuits</w:t>
      </w:r>
    </w:p>
    <w:p>
      <w:pPr>
        <w:spacing w:after="0" w:line="130" w:lineRule="exact"/>
        <w:rPr>
          <w:sz w:val="20"/>
          <w:szCs w:val="20"/>
          <w:color w:val="auto"/>
        </w:rPr>
      </w:pPr>
    </w:p>
    <w:p>
      <w:pPr>
        <w:jc w:val="both"/>
        <w:ind w:firstLine="540"/>
        <w:spacing w:after="0" w:line="272" w:lineRule="auto"/>
        <w:rPr>
          <w:sz w:val="20"/>
          <w:szCs w:val="20"/>
          <w:color w:val="auto"/>
        </w:rPr>
      </w:pPr>
      <w:r>
        <w:rPr>
          <w:rFonts w:ascii="Arial" w:cs="Arial" w:eastAsia="Arial" w:hAnsi="Arial"/>
          <w:sz w:val="19"/>
          <w:szCs w:val="19"/>
          <w:b w:val="1"/>
          <w:bCs w:val="1"/>
          <w:color w:val="auto"/>
        </w:rPr>
        <w:t>On July 15, 2024, a putative class action complaint was filed against us, our chief executive officer and our chief financial officer (collectively, the “Initial Defendants”) in the United States District Court for the Northern District of California, captioned Hayes v. Enphase Energy, Inc., Case No. 3:24-cv-04249 (the “Securities Class Action”), purportedly on behalf of a class of individuals who purchased or otherwise acquired our common stock between December 12, 2022 and April 25, 2023. The Securities Class Action alleges that Initial Defendants made false and/ or misleading statements in violation of Sections 10(b) and 20(a) of the Exchange Act and Rule 10b-5 promulgated thereunder. The complaint seeks unspecified monetary damages and other relief.</w:t>
      </w:r>
    </w:p>
    <w:p>
      <w:pPr>
        <w:spacing w:after="0" w:line="67"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19"/>
          <w:szCs w:val="19"/>
          <w:b w:val="1"/>
          <w:bCs w:val="1"/>
          <w:color w:val="auto"/>
        </w:rPr>
        <w:t>On or about July 29, 2024, six additional stockholders filed motions to be appointed lead plaintiff and have their selection of counsel appointed as lead counsel in the Securities Class Action. The Court held a hearing on the lead plaintiff motions on September 5, 2024, and appointed Lon D. Praytor as lead plaintiff on March 31, 2025. On April 17, 2025, movant Andrey Ponomarchuk filed a motion for reconsideration of the Court’s order appointing Praytor as lead plaintiff. Lead plaintiff Praytor filed an amended complaint on May 21, 2025, alleging violations of Sections 10(b) and 20(a) of the Exchange Act and Rule 10b-5 promulgated thereunder by Enphase and our chief executive officer, purported only on behalf of a class of individuals who purchased or otherwise acquired our common stock between February 7, 2023 and April 25, 2023 and removing our chief financial officer as a defendant (the remaining defendants referred hereto as “Defendants”). Defendants filed a motion to dismiss on July 2, 2025. Lead Plaintiff’s filed his opposition on August 15, 2025, and Defendants’ filed their reply on September 15, 2025. The Court has not yet issued a decision on Defendants’ motion to dismiss.</w:t>
      </w:r>
    </w:p>
    <w:p>
      <w:pPr>
        <w:spacing w:after="0" w:line="76"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On December 13, 2024, another putative class action complaint was filed naming us, our chief executive officer and our chief products officer (collectively, “Defendants II”) in the United States District Court for the Northern District of California, captioned Trustees of the Welfare and Pension Funds of Local 464A v. Enphase Energy, Inc., Case No. 4:24-cv-09038 (the “Pension Fund Action”), purportedly on behalf of a class of individuals who purchased or otherwise acquired our common stock between April 25, 2023 and October 22, 2024. The Pension Fund Action alleges that Defendants II made false and/or misleading statements in violation of Sections 10(b) and 20(a) of the Exchange Act and Rule 10b-5 promulgated thereunder. The complaint seeks unspecified monetary damages and other relief.</w:t>
      </w:r>
    </w:p>
    <w:p>
      <w:pPr>
        <w:spacing w:after="0" w:line="85" w:lineRule="exact"/>
        <w:rPr>
          <w:sz w:val="20"/>
          <w:szCs w:val="20"/>
          <w:color w:val="auto"/>
        </w:rPr>
      </w:pPr>
    </w:p>
    <w:p>
      <w:pPr>
        <w:jc w:val="both"/>
        <w:ind w:right="20" w:firstLine="540"/>
        <w:spacing w:after="0" w:line="256" w:lineRule="auto"/>
        <w:rPr>
          <w:sz w:val="20"/>
          <w:szCs w:val="20"/>
          <w:color w:val="auto"/>
        </w:rPr>
      </w:pPr>
      <w:r>
        <w:rPr>
          <w:rFonts w:ascii="Arial" w:cs="Arial" w:eastAsia="Arial" w:hAnsi="Arial"/>
          <w:sz w:val="20"/>
          <w:szCs w:val="20"/>
          <w:b w:val="1"/>
          <w:bCs w:val="1"/>
          <w:color w:val="auto"/>
        </w:rPr>
        <w:t>On or about February 11, 2025, several additional stockholders moved to be appointed lead plaintiff in the Pension Fund Action and have their selection of counsel appointed as lead counsel. On August 20, 2025, the Court appointed HANSAINVEST Hanseatische Investment-GMBH as lead plaintiff. Lead plaintiff filed its amended complaint on October 20, 2025. Defendants’ filed their motion to dismiss on December 12, 2025. Lead plaintiff’s filed its opposition on February 10, 2026, and Defendants’ reply will be due March 27, 2026. A hearing is currently scheduled for May 7, 2026. We dispute the allegations in each of the above-referenced lawsuits and intend to defend the matters vigorously.</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Derivative Lawsuits</w:t>
      </w:r>
    </w:p>
    <w:p>
      <w:pPr>
        <w:spacing w:after="0" w:line="13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On July 16, 2024, a shareholder derivative lawsuit was filed purportedly on our behalf against the Initial Defendants, our non-employee directors and us (as nominal defendant) in the United States District Court for the Northern District of California, captioned Ibarra v. Kothandaraman, et al., Case No. 3:24-cv-04278 (the “Ibarra Action”). The Ibarra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Securities Class Action. The Ibarra Action is seeking unspecified damages and other relief, including reforms and improvements to our corporate governance and internal procedures.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646430</wp:posOffset>
                </wp:positionV>
                <wp:extent cx="633412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0.9pt" to="505.35pt,5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646430</wp:posOffset>
                </wp:positionV>
                <wp:extent cx="633412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0.9pt" to="505.35pt,50.9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46</w:t>
      </w:r>
    </w:p>
    <w:p>
      <w:pPr>
        <w:sectPr>
          <w:pgSz w:w="12240" w:h="15840" w:orient="portrait"/>
          <w:cols w:equalWidth="0" w:num="1">
            <w:col w:w="10260"/>
          </w:cols>
          <w:pgMar w:left="1000" w:top="216" w:right="980" w:bottom="0" w:gutter="0" w:footer="0" w:header="0"/>
          <w:type w:val="continuous"/>
        </w:sectPr>
      </w:pPr>
    </w:p>
    <w:bookmarkStart w:id="46" w:name="page47"/>
    <w:bookmarkEnd w:id="46"/>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9"/>
          <w:szCs w:val="19"/>
          <w:b w:val="1"/>
          <w:bCs w:val="1"/>
          <w:color w:val="auto"/>
        </w:rPr>
        <w:t>On September 5, 2024, another shareholder derivative lawsuit was filed purportedly on our behalf against the Initial Defendants, our non-employee directors and us (as nominal defendant) in the United States District Court for the Northern District of California, captioned Isaac v. Kothandaraman, et al., Case No. 4:24-cv-06257 (the “Isaac Action”), containing substantially the same allegations as those in the Ibarra Action. On September 20, 2024, the Court consolidated the Isaac and Ibarra Actions for all purposes into one action under the title In re Enphase Energy, Inc. Stockholder Derivative Litigation (the “Derivative Action”).</w:t>
      </w:r>
    </w:p>
    <w:p>
      <w:pPr>
        <w:spacing w:after="0" w:line="69"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On October 11, 2024, the Court granted the parties’ stipulation to stay the Derivative Action until all motions to dismiss the Securities Class Action are decided.</w:t>
      </w:r>
    </w:p>
    <w:p>
      <w:pPr>
        <w:spacing w:after="0" w:line="5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On December 31, 2024, a shareholder derivative lawsuit was filed purportedly on our behalf against Defendants II, our non-employee directors and us (as nominal defendant) in the United States District Court for the Northern District of California, captioned Hirani v. Kothandaraman, et al., Case No. 4:24-cv-09532 (the “Hirani Action”). The Hirani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Pension Fund Action. The Hirani Action is seeking unspecified damages and other relief, including reforms and improvements to our corporate governance and internal procedures.</w:t>
      </w:r>
    </w:p>
    <w:p>
      <w:pPr>
        <w:spacing w:after="0" w:line="81"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On January 17, 2025, another shareholder derivative lawsuit was filed purportedly on our behalf against Defendants II, our non-employee directors and us (as nominal defendant) in the United States District Court for the Northern District of California, captioned Hanowski v. Kothandaraman, et al., Case No. 4:25-cv-000652 (the “Hanowski Action”). The Hanowski Action asserts claims substantially similar to those asserted in the Hirani Action, also based on the same allegedly false and misleading statements asserted in the Pension Fund Action. The Hanowski Action is seeking unspecified damages and other relief, including reforms and improvements to our corporate governance and internal procedures.</w:t>
      </w:r>
    </w:p>
    <w:p>
      <w:pPr>
        <w:spacing w:after="0" w:line="83" w:lineRule="exact"/>
        <w:rPr>
          <w:sz w:val="20"/>
          <w:szCs w:val="20"/>
          <w:color w:val="auto"/>
        </w:rPr>
      </w:pPr>
    </w:p>
    <w:p>
      <w:pPr>
        <w:jc w:val="both"/>
        <w:ind w:right="20" w:firstLine="540"/>
        <w:spacing w:after="0" w:line="291" w:lineRule="auto"/>
        <w:rPr>
          <w:sz w:val="20"/>
          <w:szCs w:val="20"/>
          <w:color w:val="auto"/>
        </w:rPr>
      </w:pPr>
      <w:r>
        <w:rPr>
          <w:rFonts w:ascii="Arial" w:cs="Arial" w:eastAsia="Arial" w:hAnsi="Arial"/>
          <w:sz w:val="18"/>
          <w:szCs w:val="18"/>
          <w:b w:val="1"/>
          <w:bCs w:val="1"/>
          <w:color w:val="auto"/>
        </w:rPr>
        <w:t>On January 31, 2025, the plaintiffs in the Hirani and Hanowski Actions filed a motion to relate their actions to the Pension Fund Action, which the Court approved on February 18, 2025. On March 7, 2025, the Court granted the parties’ stipulation to consolidate the Hirani and Hanowski Actions for all purposes into one action under the title In re Enphase Energy, Inc. 2025 Shareholder Derivative Litigation (the “Derivative II Action”). On May 8, 2025, the Court stayed the Derivative II Action pending resolution of all motion(s) to dismiss in the Pension Fund Action. On January 28, 2026, purported shareholder Ahmed Ibrahim filed a motion to intervene in the Derivative II Action.</w:t>
      </w:r>
    </w:p>
    <w:p>
      <w:pPr>
        <w:spacing w:after="0" w:line="54"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We dispute the allegations in each of the above-referenced lawsuits and intend to defend the matters vigorously.</w:t>
      </w:r>
    </w:p>
    <w:p>
      <w:pPr>
        <w:spacing w:after="0" w:line="50" w:lineRule="exact"/>
        <w:rPr>
          <w:sz w:val="20"/>
          <w:szCs w:val="20"/>
          <w:color w:val="auto"/>
        </w:rPr>
      </w:pPr>
    </w:p>
    <w:p>
      <w:pPr>
        <w:jc w:val="both"/>
        <w:ind w:right="20" w:firstLine="540"/>
        <w:spacing w:after="0" w:line="280" w:lineRule="auto"/>
        <w:rPr>
          <w:sz w:val="20"/>
          <w:szCs w:val="20"/>
          <w:color w:val="auto"/>
        </w:rPr>
      </w:pPr>
      <w:r>
        <w:rPr>
          <w:rFonts w:ascii="Arial" w:cs="Arial" w:eastAsia="Arial" w:hAnsi="Arial"/>
          <w:sz w:val="19"/>
          <w:szCs w:val="19"/>
          <w:b w:val="1"/>
          <w:bCs w:val="1"/>
          <w:color w:val="auto"/>
        </w:rPr>
        <w:t>The pending lawsuits and any other related lawsuits are subject to inherent uncertainties, and the actual defense and disposition costs will depend upon many unknown factors. We could be forced to expend significant resources in the defense of the pending lawsuits and any additional lawsuits, and we may not prevail. In addition, we may incur substantial legal fees and costs in connection with such lawsuits.</w:t>
      </w:r>
    </w:p>
    <w:p>
      <w:pPr>
        <w:spacing w:after="0" w:line="6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Not applicable.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130" w:lineRule="exact"/>
        <w:rPr>
          <w:sz w:val="20"/>
          <w:szCs w:val="20"/>
          <w:color w:val="auto"/>
        </w:rPr>
      </w:pPr>
    </w:p>
    <w:p>
      <w:pPr>
        <w:ind w:left="900" w:right="80" w:hanging="899"/>
        <w:spacing w:after="0" w:line="297" w:lineRule="auto"/>
        <w:tabs>
          <w:tab w:leader="none" w:pos="880" w:val="left"/>
        </w:tabs>
        <w:rPr>
          <w:sz w:val="20"/>
          <w:szCs w:val="20"/>
          <w:color w:val="auto"/>
        </w:rPr>
      </w:pPr>
      <w:r>
        <w:rPr>
          <w:rFonts w:ascii="Arial" w:cs="Arial" w:eastAsia="Arial" w:hAnsi="Arial"/>
          <w:sz w:val="20"/>
          <w:szCs w:val="20"/>
          <w:b w:val="1"/>
          <w:bCs w:val="1"/>
          <w:color w:val="auto"/>
        </w:rPr>
        <w:t>Item 5.</w:t>
        <w:tab/>
        <w:t>Market for the Registrant’s Common Equity, Related Stockholder Matters and 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3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Our common stock, $0.00001 par value per share, has traded on The Nasdaq Global Market under the stock symbol “ENPH” since March 30, 2012.</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130" w:lineRule="exact"/>
        <w:rPr>
          <w:sz w:val="20"/>
          <w:szCs w:val="20"/>
          <w:color w:val="auto"/>
        </w:rPr>
      </w:pPr>
    </w:p>
    <w:p>
      <w:pPr>
        <w:jc w:val="both"/>
        <w:ind w:right="20" w:firstLine="540"/>
        <w:spacing w:after="0" w:line="280" w:lineRule="auto"/>
        <w:rPr>
          <w:sz w:val="20"/>
          <w:szCs w:val="20"/>
          <w:color w:val="auto"/>
        </w:rPr>
      </w:pPr>
      <w:r>
        <w:rPr>
          <w:rFonts w:ascii="Arial" w:cs="Arial" w:eastAsia="Arial" w:hAnsi="Arial"/>
          <w:sz w:val="19"/>
          <w:szCs w:val="19"/>
          <w:b w:val="1"/>
          <w:bCs w:val="1"/>
          <w:color w:val="auto"/>
        </w:rPr>
        <w:t>As of February 5, 2026, there were approximately 16 holders of record of our common stock,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481330</wp:posOffset>
                </wp:positionV>
                <wp:extent cx="633412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7.9pt" to="505.35pt,3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481330</wp:posOffset>
                </wp:positionV>
                <wp:extent cx="633412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7.9pt" to="505.35pt,37.9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47</w:t>
      </w:r>
    </w:p>
    <w:p>
      <w:pPr>
        <w:sectPr>
          <w:pgSz w:w="12240" w:h="15840" w:orient="portrait"/>
          <w:cols w:equalWidth="0" w:num="1">
            <w:col w:w="10260"/>
          </w:cols>
          <w:pgMar w:left="1000" w:top="216" w:right="980" w:bottom="0" w:gutter="0" w:footer="0" w:header="0"/>
          <w:type w:val="continuous"/>
        </w:sectPr>
      </w:pPr>
    </w:p>
    <w:bookmarkStart w:id="47" w:name="page48"/>
    <w:bookmarkEnd w:id="47"/>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We have never paid any cash dividends on our common stock. We currently anticipate that we will retain any available funds to invest in the growth and operation of our business and we do not anticipate paying any cash dividends in the foreseeable future.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None, except as previously disclosed.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Repurchases of Securities</w:t>
      </w:r>
    </w:p>
    <w:p>
      <w:pPr>
        <w:spacing w:after="0" w:line="13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In July 2023, our board of directors authorized the 2023 Repurchase Program (the “2023 Repurchase Program”) pursuant to which we may repurchase up to an aggregate of $1.0 billion of our common stock. As of December 31, 2025, we have approximately $268.7 million remaining for repurchase of shares under the 2023 Repurchase Program. Purchases may be completed from time to time in the open market or privately negotiated transactions, including through Rule 10b5-1 plans. The program may be discontinued or amended at any time and expires on July 26, 2026.</w:t>
      </w:r>
    </w:p>
    <w:p>
      <w:pPr>
        <w:spacing w:after="0" w:line="82"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following table provides information about our repurchases of our common stock during the three months ended December 31, 2025 (in thousands, except per share amounts):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840" w:type="dxa"/>
            <w:vAlign w:val="bottom"/>
          </w:tcPr>
          <w:p>
            <w:pPr>
              <w:ind w:left="1120"/>
              <w:spacing w:after="0"/>
              <w:rPr>
                <w:sz w:val="20"/>
                <w:szCs w:val="20"/>
                <w:color w:val="auto"/>
              </w:rPr>
            </w:pPr>
            <w:r>
              <w:rPr>
                <w:rFonts w:ascii="Arial" w:cs="Arial" w:eastAsia="Arial" w:hAnsi="Arial"/>
                <w:sz w:val="16"/>
                <w:szCs w:val="16"/>
                <w:b w:val="1"/>
                <w:bCs w:val="1"/>
                <w:color w:val="auto"/>
              </w:rPr>
              <w:t>Period</w:t>
            </w:r>
          </w:p>
        </w:tc>
        <w:tc>
          <w:tcPr>
            <w:tcW w:w="1800" w:type="dxa"/>
            <w:vAlign w:val="bottom"/>
          </w:tcPr>
          <w:p>
            <w:pPr>
              <w:ind w:left="280"/>
              <w:spacing w:after="0"/>
              <w:rPr>
                <w:sz w:val="20"/>
                <w:szCs w:val="20"/>
                <w:color w:val="auto"/>
              </w:rPr>
            </w:pPr>
            <w:r>
              <w:rPr>
                <w:rFonts w:ascii="Arial" w:cs="Arial" w:eastAsia="Arial" w:hAnsi="Arial"/>
                <w:sz w:val="16"/>
                <w:szCs w:val="16"/>
                <w:b w:val="1"/>
                <w:bCs w:val="1"/>
                <w:color w:val="auto"/>
              </w:rPr>
              <w:t>Total Number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94"/>
              <w:spacing w:after="0"/>
              <w:rPr>
                <w:sz w:val="20"/>
                <w:szCs w:val="20"/>
                <w:color w:val="auto"/>
              </w:rPr>
            </w:pPr>
            <w:r>
              <w:rPr>
                <w:rFonts w:ascii="Arial" w:cs="Arial" w:eastAsia="Arial" w:hAnsi="Arial"/>
                <w:sz w:val="16"/>
                <w:szCs w:val="16"/>
                <w:b w:val="1"/>
                <w:bCs w:val="1"/>
                <w:color w:val="auto"/>
              </w:rPr>
              <w:t>Average Price Paid</w:t>
            </w:r>
          </w:p>
        </w:tc>
        <w:tc>
          <w:tcPr>
            <w:tcW w:w="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75"/>
              <w:spacing w:after="0"/>
              <w:rPr>
                <w:sz w:val="20"/>
                <w:szCs w:val="20"/>
                <w:color w:val="auto"/>
              </w:rPr>
            </w:pPr>
            <w:r>
              <w:rPr>
                <w:rFonts w:ascii="Arial" w:cs="Arial" w:eastAsia="Arial" w:hAnsi="Arial"/>
                <w:sz w:val="16"/>
                <w:szCs w:val="16"/>
                <w:b w:val="1"/>
                <w:bCs w:val="1"/>
                <w:color w:val="auto"/>
                <w:w w:val="98"/>
              </w:rPr>
              <w:t>Approximate Dollar</w:t>
            </w:r>
          </w:p>
        </w:tc>
      </w:tr>
      <w:tr>
        <w:trPr>
          <w:trHeight w:val="184"/>
        </w:trPr>
        <w:tc>
          <w:tcPr>
            <w:tcW w:w="2840" w:type="dxa"/>
            <w:vAlign w:val="bottom"/>
          </w:tcPr>
          <w:p>
            <w:pPr>
              <w:spacing w:after="0"/>
              <w:rPr>
                <w:sz w:val="15"/>
                <w:szCs w:val="15"/>
                <w:color w:val="auto"/>
              </w:rPr>
            </w:pPr>
          </w:p>
        </w:tc>
        <w:tc>
          <w:tcPr>
            <w:tcW w:w="1800" w:type="dxa"/>
            <w:vAlign w:val="bottom"/>
          </w:tcPr>
          <w:p>
            <w:pPr>
              <w:ind w:left="200"/>
              <w:spacing w:after="0"/>
              <w:rPr>
                <w:sz w:val="20"/>
                <w:szCs w:val="20"/>
                <w:color w:val="auto"/>
              </w:rPr>
            </w:pPr>
            <w:r>
              <w:rPr>
                <w:rFonts w:ascii="Arial" w:cs="Arial" w:eastAsia="Arial" w:hAnsi="Arial"/>
                <w:sz w:val="16"/>
                <w:szCs w:val="16"/>
                <w:b w:val="1"/>
                <w:bCs w:val="1"/>
                <w:color w:val="auto"/>
              </w:rPr>
              <w:t>Shares Purchased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94"/>
              <w:spacing w:after="0"/>
              <w:rPr>
                <w:sz w:val="20"/>
                <w:szCs w:val="20"/>
                <w:color w:val="auto"/>
              </w:rPr>
            </w:pPr>
            <w:r>
              <w:rPr>
                <w:rFonts w:ascii="Arial" w:cs="Arial" w:eastAsia="Arial" w:hAnsi="Arial"/>
                <w:sz w:val="16"/>
                <w:szCs w:val="16"/>
                <w:b w:val="1"/>
                <w:bCs w:val="1"/>
                <w:color w:val="auto"/>
              </w:rPr>
              <w:t>per Share</w:t>
            </w:r>
          </w:p>
        </w:tc>
        <w:tc>
          <w:tcPr>
            <w:tcW w:w="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Shares Purchased as</w:t>
            </w:r>
          </w:p>
        </w:tc>
        <w:tc>
          <w:tcPr>
            <w:tcW w:w="6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Value of Shares that</w:t>
            </w:r>
          </w:p>
        </w:tc>
      </w:tr>
      <w:tr>
        <w:trPr>
          <w:trHeight w:val="184"/>
        </w:trPr>
        <w:tc>
          <w:tcPr>
            <w:tcW w:w="2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Part of Publicly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75"/>
              <w:spacing w:after="0"/>
              <w:rPr>
                <w:sz w:val="20"/>
                <w:szCs w:val="20"/>
                <w:color w:val="auto"/>
              </w:rPr>
            </w:pPr>
            <w:r>
              <w:rPr>
                <w:rFonts w:ascii="Arial" w:cs="Arial" w:eastAsia="Arial" w:hAnsi="Arial"/>
                <w:sz w:val="16"/>
                <w:szCs w:val="16"/>
                <w:b w:val="1"/>
                <w:bCs w:val="1"/>
                <w:color w:val="auto"/>
              </w:rPr>
              <w:t>May Yet Be</w:t>
            </w:r>
          </w:p>
        </w:tc>
      </w:tr>
      <w:tr>
        <w:trPr>
          <w:trHeight w:val="184"/>
        </w:trPr>
        <w:tc>
          <w:tcPr>
            <w:tcW w:w="2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Announced Programs</w:t>
            </w:r>
          </w:p>
        </w:tc>
        <w:tc>
          <w:tcPr>
            <w:tcW w:w="6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 the</w:t>
            </w:r>
          </w:p>
        </w:tc>
      </w:tr>
      <w:tr>
        <w:trPr>
          <w:trHeight w:val="222"/>
        </w:trPr>
        <w:tc>
          <w:tcPr>
            <w:tcW w:w="284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9"/>
              </w:rPr>
              <w:t>Programs</w:t>
            </w:r>
          </w:p>
        </w:tc>
      </w:tr>
      <w:tr>
        <w:trPr>
          <w:trHeight w:val="265"/>
        </w:trPr>
        <w:tc>
          <w:tcPr>
            <w:tcW w:w="2840" w:type="dxa"/>
            <w:vAlign w:val="bottom"/>
          </w:tcPr>
          <w:p>
            <w:pPr>
              <w:spacing w:after="0"/>
              <w:rPr>
                <w:sz w:val="20"/>
                <w:szCs w:val="20"/>
                <w:color w:val="auto"/>
              </w:rPr>
            </w:pPr>
            <w:r>
              <w:rPr>
                <w:rFonts w:ascii="Arial" w:cs="Arial" w:eastAsia="Arial" w:hAnsi="Arial"/>
                <w:sz w:val="18"/>
                <w:szCs w:val="18"/>
                <w:b w:val="1"/>
                <w:bCs w:val="1"/>
                <w:color w:val="auto"/>
              </w:rPr>
              <w:t>October 2025</w:t>
            </w:r>
          </w:p>
        </w:tc>
        <w:tc>
          <w:tcPr>
            <w:tcW w:w="1800" w:type="dxa"/>
            <w:vAlign w:val="bottom"/>
          </w:tcPr>
          <w:p>
            <w:pPr>
              <w:ind w:left="15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1800" w:type="dxa"/>
            <w:vAlign w:val="bottom"/>
          </w:tcPr>
          <w:p>
            <w:pPr>
              <w:ind w:left="15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268,680</w:t>
            </w:r>
          </w:p>
        </w:tc>
      </w:tr>
      <w:tr>
        <w:trPr>
          <w:trHeight w:val="285"/>
        </w:trPr>
        <w:tc>
          <w:tcPr>
            <w:tcW w:w="2840" w:type="dxa"/>
            <w:vAlign w:val="bottom"/>
          </w:tcPr>
          <w:p>
            <w:pPr>
              <w:spacing w:after="0"/>
              <w:rPr>
                <w:sz w:val="20"/>
                <w:szCs w:val="20"/>
                <w:color w:val="auto"/>
              </w:rPr>
            </w:pPr>
            <w:r>
              <w:rPr>
                <w:rFonts w:ascii="Arial" w:cs="Arial" w:eastAsia="Arial" w:hAnsi="Arial"/>
                <w:sz w:val="18"/>
                <w:szCs w:val="18"/>
                <w:b w:val="1"/>
                <w:bCs w:val="1"/>
                <w:color w:val="auto"/>
              </w:rPr>
              <w:t>November 2025</w:t>
            </w:r>
          </w:p>
        </w:tc>
        <w:tc>
          <w:tcPr>
            <w:tcW w:w="1800" w:type="dxa"/>
            <w:vAlign w:val="bottom"/>
          </w:tcPr>
          <w:p>
            <w:pPr>
              <w:ind w:left="15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0" w:type="dxa"/>
            <w:vAlign w:val="bottom"/>
          </w:tcPr>
          <w:p>
            <w:pPr>
              <w:ind w:left="15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268,680</w:t>
            </w:r>
          </w:p>
        </w:tc>
      </w:tr>
      <w:tr>
        <w:trPr>
          <w:trHeight w:val="285"/>
        </w:trPr>
        <w:tc>
          <w:tcPr>
            <w:tcW w:w="2840" w:type="dxa"/>
            <w:vAlign w:val="bottom"/>
          </w:tcPr>
          <w:p>
            <w:pPr>
              <w:spacing w:after="0"/>
              <w:rPr>
                <w:sz w:val="20"/>
                <w:szCs w:val="20"/>
                <w:color w:val="auto"/>
              </w:rPr>
            </w:pPr>
            <w:r>
              <w:rPr>
                <w:rFonts w:ascii="Arial" w:cs="Arial" w:eastAsia="Arial" w:hAnsi="Arial"/>
                <w:sz w:val="18"/>
                <w:szCs w:val="18"/>
                <w:b w:val="1"/>
                <w:bCs w:val="1"/>
                <w:color w:val="auto"/>
              </w:rPr>
              <w:t>December 2025</w:t>
            </w:r>
          </w:p>
        </w:tc>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268,680</w:t>
            </w:r>
          </w:p>
        </w:tc>
      </w:tr>
      <w:tr>
        <w:trPr>
          <w:trHeight w:val="245"/>
        </w:trPr>
        <w:tc>
          <w:tcPr>
            <w:tcW w:w="2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0"/>
        </w:trPr>
        <w:tc>
          <w:tcPr>
            <w:tcW w:w="28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40500" cy="774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
                      <a:extLst>
                        <a:ext uri="{28A0092B-C50C-407E-A947-70E740481C1C}"/>
                      </a:extLst>
                    </a:blip>
                    <a:srcRect/>
                    <a:stretch>
                      <a:fillRect/>
                    </a:stretch>
                  </pic:blipFill>
                  <pic:spPr bwMode="auto">
                    <a:xfrm>
                      <a:off x="0" y="0"/>
                      <a:ext cx="6540500" cy="77470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3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20"/>
          <w:szCs w:val="20"/>
          <w:b w:val="1"/>
          <w:bCs w:val="1"/>
          <w:color w:val="auto"/>
        </w:rPr>
        <w:t>This section is not “soliciting material” and is not deemed “filed” for purposes of Section 18 of the Exchange Act or otherwise subject to the liabilities of that section, nor shall it be deemed incorporated by reference in any filing under the Securities Act or the Exchange Act, as amended, regardless of any general incorporation language in such filing.</w:t>
      </w:r>
    </w:p>
    <w:p>
      <w:pPr>
        <w:spacing w:after="0" w:line="76"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9"/>
          <w:szCs w:val="19"/>
          <w:b w:val="1"/>
          <w:bCs w:val="1"/>
          <w:color w:val="auto"/>
        </w:rPr>
        <w:t>The graph depicted below shows a comparison of cumulative total stockholder returns for our common stock, the S&amp;P SmallCap 600 Index and the Invesco Solar ETF for the period from December 31, 2020 to December 31, 2025. An investment of $100 is assumed to have been made in our common stock and in each index on December 31, 2020, all dividends were reinvested, and the relative performance of the investments are tracked through December 31, 2025. The information shown is historical and stockholder returns over the indicated period should not be considered indicative of future stockholder returns or future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2889885</wp:posOffset>
                </wp:positionV>
                <wp:extent cx="633412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27.55pt" to="505.35pt,227.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2889885</wp:posOffset>
                </wp:positionV>
                <wp:extent cx="633412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27.55pt" to="505.35pt,227.5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48</w:t>
      </w:r>
    </w:p>
    <w:p>
      <w:pPr>
        <w:sectPr>
          <w:pgSz w:w="12240" w:h="15840" w:orient="portrait"/>
          <w:cols w:equalWidth="0" w:num="1">
            <w:col w:w="10260"/>
          </w:cols>
          <w:pgMar w:left="1000" w:top="216" w:right="980" w:bottom="0" w:gutter="0" w:footer="0" w:header="0"/>
          <w:type w:val="continuous"/>
        </w:sectPr>
      </w:pPr>
    </w:p>
    <w:bookmarkStart w:id="48" w:name="page49"/>
    <w:bookmarkEnd w:id="48"/>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6"/>
          <w:szCs w:val="26"/>
          <w:b w:val="1"/>
          <w:bCs w:val="1"/>
          <w:color w:val="auto"/>
        </w:rPr>
        <w:t>Enphase Stock Price vs. Indices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26"/>
          <w:szCs w:val="26"/>
          <w:b w:val="1"/>
          <w:bCs w:val="1"/>
          <w:color w:val="auto"/>
        </w:rPr>
        <w:t>December 31, 2020 - December 31, 2025</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-72390</wp:posOffset>
            </wp:positionV>
            <wp:extent cx="5530850" cy="1228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
                      <a:extLst>
                        <a:ext uri="{28A0092B-C50C-407E-A947-70E740481C1C}"/>
                      </a:extLst>
                    </a:blip>
                    <a:srcRect/>
                    <a:stretch>
                      <a:fillRect/>
                    </a:stretch>
                  </pic:blipFill>
                  <pic:spPr bwMode="auto">
                    <a:xfrm>
                      <a:off x="0" y="0"/>
                      <a:ext cx="5530850" cy="122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$0</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729"/>
        </w:trPr>
        <w:tc>
          <w:tcPr>
            <w:tcW w:w="1380" w:type="dxa"/>
            <w:vAlign w:val="bottom"/>
          </w:tcPr>
          <w:p>
            <w:pPr>
              <w:jc w:val="right"/>
              <w:ind w:right="209"/>
              <w:spacing w:after="0"/>
              <w:rPr>
                <w:sz w:val="20"/>
                <w:szCs w:val="20"/>
                <w:color w:val="auto"/>
              </w:rPr>
            </w:pPr>
            <w:r>
              <w:rPr>
                <w:rFonts w:ascii="Arial" w:cs="Arial" w:eastAsia="Arial" w:hAnsi="Arial"/>
                <w:sz w:val="19"/>
                <w:szCs w:val="19"/>
                <w:b w:val="1"/>
                <w:bCs w:val="1"/>
                <w:color w:val="auto"/>
                <w:w w:val="72"/>
              </w:rPr>
              <w:t>12/31/20</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Arial" w:cs="Arial" w:eastAsia="Arial" w:hAnsi="Arial"/>
                <w:sz w:val="19"/>
                <w:szCs w:val="19"/>
                <w:b w:val="1"/>
                <w:bCs w:val="1"/>
                <w:color w:val="auto"/>
                <w:w w:val="72"/>
              </w:rPr>
              <w:t>12/31/21</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Arial" w:cs="Arial" w:eastAsia="Arial" w:hAnsi="Arial"/>
                <w:sz w:val="19"/>
                <w:szCs w:val="19"/>
                <w:b w:val="1"/>
                <w:bCs w:val="1"/>
                <w:color w:val="auto"/>
                <w:w w:val="72"/>
              </w:rPr>
              <w:t>12/31/22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71"/>
              </w:rPr>
              <w:t>12/31/23</w:t>
            </w:r>
          </w:p>
        </w:tc>
        <w:tc>
          <w:tcPr>
            <w:tcW w:w="2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9"/>
                <w:szCs w:val="19"/>
                <w:b w:val="1"/>
                <w:bCs w:val="1"/>
                <w:color w:val="auto"/>
                <w:w w:val="72"/>
              </w:rPr>
              <w:t>12/31/24</w:t>
            </w:r>
          </w:p>
        </w:tc>
        <w:tc>
          <w:tcPr>
            <w:tcW w:w="94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Arial" w:cs="Arial" w:eastAsia="Arial" w:hAnsi="Arial"/>
                <w:sz w:val="19"/>
                <w:szCs w:val="19"/>
                <w:b w:val="1"/>
                <w:bCs w:val="1"/>
                <w:color w:val="auto"/>
                <w:w w:val="72"/>
              </w:rPr>
              <w:t>12/31/25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380" w:type="dxa"/>
            <w:vAlign w:val="bottom"/>
          </w:tcPr>
          <w:p>
            <w:pPr>
              <w:spacing w:after="0"/>
              <w:rPr>
                <w:sz w:val="24"/>
                <w:szCs w:val="24"/>
                <w:color w:val="auto"/>
              </w:rPr>
            </w:pPr>
          </w:p>
        </w:tc>
        <w:tc>
          <w:tcPr>
            <w:tcW w:w="600" w:type="dxa"/>
            <w:vAlign w:val="bottom"/>
            <w:tcBorders>
              <w:bottom w:val="single" w:sz="8" w:color="FF6600"/>
            </w:tcBorders>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5"/>
            <w:vMerge w:val="restart"/>
          </w:tcPr>
          <w:p>
            <w:pPr>
              <w:jc w:val="center"/>
              <w:spacing w:after="0"/>
              <w:rPr>
                <w:sz w:val="20"/>
                <w:szCs w:val="20"/>
                <w:color w:val="auto"/>
              </w:rPr>
            </w:pPr>
            <w:r>
              <w:rPr>
                <w:rFonts w:ascii="Arial" w:cs="Arial" w:eastAsia="Arial" w:hAnsi="Arial"/>
                <w:sz w:val="20"/>
                <w:szCs w:val="20"/>
                <w:b w:val="1"/>
                <w:bCs w:val="1"/>
                <w:color w:val="auto"/>
                <w:w w:val="94"/>
              </w:rPr>
              <w:t>Enphase Energy</w:t>
            </w:r>
          </w:p>
        </w:tc>
        <w:tc>
          <w:tcPr>
            <w:tcW w:w="240" w:type="dxa"/>
            <w:vAlign w:val="bottom"/>
          </w:tcPr>
          <w:p>
            <w:pPr>
              <w:spacing w:after="0"/>
              <w:rPr>
                <w:sz w:val="24"/>
                <w:szCs w:val="24"/>
                <w:color w:val="auto"/>
              </w:rPr>
            </w:pPr>
          </w:p>
        </w:tc>
        <w:tc>
          <w:tcPr>
            <w:tcW w:w="2440" w:type="dxa"/>
            <w:vAlign w:val="bottom"/>
            <w:gridSpan w:val="5"/>
            <w:vMerge w:val="restart"/>
          </w:tcPr>
          <w:p>
            <w:pPr>
              <w:ind w:left="720"/>
              <w:spacing w:after="0"/>
              <w:rPr>
                <w:sz w:val="20"/>
                <w:szCs w:val="20"/>
                <w:color w:val="auto"/>
              </w:rPr>
            </w:pPr>
            <w:r>
              <w:rPr>
                <w:rFonts w:ascii="Arial" w:cs="Arial" w:eastAsia="Arial" w:hAnsi="Arial"/>
                <w:sz w:val="20"/>
                <w:szCs w:val="20"/>
                <w:b w:val="1"/>
                <w:bCs w:val="1"/>
                <w:color w:val="auto"/>
                <w:w w:val="96"/>
              </w:rPr>
              <w:t>S&amp;P SmallCap 600</w:t>
            </w:r>
          </w:p>
        </w:tc>
        <w:tc>
          <w:tcPr>
            <w:tcW w:w="280" w:type="dxa"/>
            <w:vAlign w:val="bottom"/>
          </w:tcPr>
          <w:p>
            <w:pPr>
              <w:spacing w:after="0"/>
              <w:rPr>
                <w:sz w:val="24"/>
                <w:szCs w:val="24"/>
                <w:color w:val="auto"/>
              </w:rPr>
            </w:pPr>
          </w:p>
        </w:tc>
        <w:tc>
          <w:tcPr>
            <w:tcW w:w="23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auto"/>
              </w:rPr>
              <w:t>Invesco Solar ETF</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244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23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8"/>
        </w:trPr>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40" w:type="dxa"/>
            <w:vAlign w:val="bottom"/>
            <w:gridSpan w:val="3"/>
          </w:tcPr>
          <w:p>
            <w:pPr>
              <w:spacing w:after="0"/>
              <w:rPr>
                <w:sz w:val="20"/>
                <w:szCs w:val="20"/>
                <w:color w:val="auto"/>
              </w:rPr>
            </w:pPr>
            <w:r>
              <w:rPr>
                <w:rFonts w:ascii="Arial" w:cs="Arial" w:eastAsia="Arial" w:hAnsi="Arial"/>
                <w:sz w:val="18"/>
                <w:szCs w:val="18"/>
                <w:b w:val="1"/>
                <w:bCs w:val="1"/>
                <w:color w:val="auto"/>
              </w:rPr>
              <w:t>Enphase Energy, Inc.</w:t>
            </w: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3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80" w:type="dxa"/>
            <w:vAlign w:val="bottom"/>
          </w:tcPr>
          <w:p>
            <w:pPr>
              <w:spacing w:after="0"/>
              <w:rPr>
                <w:sz w:val="23"/>
                <w:szCs w:val="23"/>
                <w:color w:val="auto"/>
              </w:rPr>
            </w:pPr>
          </w:p>
        </w:tc>
        <w:tc>
          <w:tcPr>
            <w:tcW w:w="2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46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85"/>
        </w:trPr>
        <w:tc>
          <w:tcPr>
            <w:tcW w:w="2040" w:type="dxa"/>
            <w:vAlign w:val="bottom"/>
            <w:gridSpan w:val="3"/>
          </w:tcPr>
          <w:p>
            <w:pPr>
              <w:spacing w:after="0"/>
              <w:rPr>
                <w:sz w:val="20"/>
                <w:szCs w:val="20"/>
                <w:color w:val="auto"/>
              </w:rPr>
            </w:pPr>
            <w:r>
              <w:rPr>
                <w:rFonts w:ascii="Arial" w:cs="Arial" w:eastAsia="Arial" w:hAnsi="Arial"/>
                <w:sz w:val="18"/>
                <w:szCs w:val="18"/>
                <w:b w:val="1"/>
                <w:bCs w:val="1"/>
                <w:color w:val="auto"/>
                <w:w w:val="95"/>
              </w:rPr>
              <w:t>S&amp;P SmallCap 600 Index</w:t>
            </w: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3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8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46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85"/>
        </w:trPr>
        <w:tc>
          <w:tcPr>
            <w:tcW w:w="2040" w:type="dxa"/>
            <w:vAlign w:val="bottom"/>
            <w:gridSpan w:val="3"/>
          </w:tcPr>
          <w:p>
            <w:pPr>
              <w:spacing w:after="0"/>
              <w:rPr>
                <w:sz w:val="20"/>
                <w:szCs w:val="20"/>
                <w:color w:val="auto"/>
              </w:rPr>
            </w:pPr>
            <w:r>
              <w:rPr>
                <w:rFonts w:ascii="Arial" w:cs="Arial" w:eastAsia="Arial" w:hAnsi="Arial"/>
                <w:sz w:val="18"/>
                <w:szCs w:val="18"/>
                <w:b w:val="1"/>
                <w:bCs w:val="1"/>
                <w:color w:val="auto"/>
              </w:rPr>
              <w:t>Invesco Solar ETF</w:t>
            </w: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3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8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46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-1440815</wp:posOffset>
            </wp:positionV>
            <wp:extent cx="149225" cy="149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
                      <a:extLst>
                        <a:ext uri="{28A0092B-C50C-407E-A947-70E740481C1C}"/>
                      </a:extLst>
                    </a:blip>
                    <a:srcRect/>
                    <a:stretch>
                      <a:fillRect/>
                    </a:stretch>
                  </pic:blipFill>
                  <pic:spPr bwMode="auto">
                    <a:xfrm>
                      <a:off x="0" y="0"/>
                      <a:ext cx="149225" cy="14922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-1440815</wp:posOffset>
            </wp:positionV>
            <wp:extent cx="381000" cy="149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
                      <a:extLst>
                        <a:ext uri="{28A0092B-C50C-407E-A947-70E740481C1C}"/>
                      </a:extLst>
                    </a:blip>
                    <a:srcRect/>
                    <a:stretch>
                      <a:fillRect/>
                    </a:stretch>
                  </pic:blipFill>
                  <pic:spPr bwMode="auto">
                    <a:xfrm>
                      <a:off x="0" y="0"/>
                      <a:ext cx="381000" cy="14922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-1440815</wp:posOffset>
            </wp:positionV>
            <wp:extent cx="381000" cy="149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
                      <a:extLst>
                        <a:ext uri="{28A0092B-C50C-407E-A947-70E740481C1C}"/>
                      </a:extLst>
                    </a:blip>
                    <a:srcRect/>
                    <a:stretch>
                      <a:fillRect/>
                    </a:stretch>
                  </pic:blipFill>
                  <pic:spPr bwMode="auto">
                    <a:xfrm>
                      <a:off x="0" y="0"/>
                      <a:ext cx="381000" cy="1492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-548640</wp:posOffset>
            </wp:positionV>
            <wp:extent cx="6540500" cy="5683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15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[Reserved]</w:t>
      </w:r>
    </w:p>
    <w:p>
      <w:pPr>
        <w:spacing w:after="0" w:line="13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30"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i w:val="1"/>
          <w:iCs w:val="1"/>
          <w:color w:val="auto"/>
        </w:rPr>
        <w:t xml:space="preserve">The following section generally discusses </w:t>
      </w:r>
      <w:r>
        <w:rPr>
          <w:rFonts w:ascii="Arial" w:cs="Arial" w:eastAsia="Arial" w:hAnsi="Arial"/>
          <w:sz w:val="20"/>
          <w:szCs w:val="20"/>
          <w:b w:val="1"/>
          <w:bCs w:val="1"/>
          <w:color w:val="auto"/>
        </w:rPr>
        <w:t>2025</w:t>
      </w:r>
      <w:r>
        <w:rPr>
          <w:rFonts w:ascii="Arial" w:cs="Arial" w:eastAsia="Arial" w:hAnsi="Arial"/>
          <w:sz w:val="20"/>
          <w:szCs w:val="20"/>
          <w:b w:val="1"/>
          <w:bCs w:val="1"/>
          <w:i w:val="1"/>
          <w:iCs w:val="1"/>
          <w:color w:val="auto"/>
        </w:rPr>
        <w:t xml:space="preserve"> results compared to </w:t>
      </w:r>
      <w:r>
        <w:rPr>
          <w:rFonts w:ascii="Arial" w:cs="Arial" w:eastAsia="Arial" w:hAnsi="Arial"/>
          <w:sz w:val="20"/>
          <w:szCs w:val="20"/>
          <w:b w:val="1"/>
          <w:bCs w:val="1"/>
          <w:color w:val="auto"/>
        </w:rPr>
        <w:t>2024</w:t>
      </w:r>
      <w:r>
        <w:rPr>
          <w:rFonts w:ascii="Arial" w:cs="Arial" w:eastAsia="Arial" w:hAnsi="Arial"/>
          <w:sz w:val="20"/>
          <w:szCs w:val="20"/>
          <w:b w:val="1"/>
          <w:bCs w:val="1"/>
          <w:i w:val="1"/>
          <w:iCs w:val="1"/>
          <w:color w:val="auto"/>
        </w:rPr>
        <w:t xml:space="preserve"> results. Discussion of </w:t>
      </w:r>
      <w:r>
        <w:rPr>
          <w:rFonts w:ascii="Arial" w:cs="Arial" w:eastAsia="Arial" w:hAnsi="Arial"/>
          <w:sz w:val="20"/>
          <w:szCs w:val="20"/>
          <w:b w:val="1"/>
          <w:bCs w:val="1"/>
          <w:color w:val="auto"/>
        </w:rPr>
        <w:t>2024</w:t>
      </w:r>
      <w:r>
        <w:rPr>
          <w:rFonts w:ascii="Arial" w:cs="Arial" w:eastAsia="Arial" w:hAnsi="Arial"/>
          <w:sz w:val="20"/>
          <w:szCs w:val="20"/>
          <w:b w:val="1"/>
          <w:bCs w:val="1"/>
          <w:i w:val="1"/>
          <w:iCs w:val="1"/>
          <w:color w:val="auto"/>
        </w:rPr>
        <w:t xml:space="preserve"> results compared to </w:t>
      </w:r>
      <w:r>
        <w:rPr>
          <w:rFonts w:ascii="Arial" w:cs="Arial" w:eastAsia="Arial" w:hAnsi="Arial"/>
          <w:sz w:val="20"/>
          <w:szCs w:val="20"/>
          <w:b w:val="1"/>
          <w:bCs w:val="1"/>
          <w:color w:val="auto"/>
        </w:rPr>
        <w:t>2023</w:t>
      </w:r>
      <w:r>
        <w:rPr>
          <w:rFonts w:ascii="Arial" w:cs="Arial" w:eastAsia="Arial" w:hAnsi="Arial"/>
          <w:sz w:val="20"/>
          <w:szCs w:val="20"/>
          <w:b w:val="1"/>
          <w:bCs w:val="1"/>
          <w:i w:val="1"/>
          <w:iCs w:val="1"/>
          <w:color w:val="auto"/>
        </w:rPr>
        <w:t xml:space="preserve"> results to the extent not included in this report can be found in </w:t>
      </w:r>
      <w:r>
        <w:rPr>
          <w:rFonts w:ascii="Arial" w:cs="Arial" w:eastAsia="Arial" w:hAnsi="Arial"/>
          <w:sz w:val="20"/>
          <w:szCs w:val="20"/>
          <w:b w:val="1"/>
          <w:bCs w:val="1"/>
          <w:i w:val="1"/>
          <w:iCs w:val="1"/>
          <w:color w:val="0000FF"/>
        </w:rPr>
        <w:t>Part II, Item 7</w:t>
      </w:r>
      <w:r>
        <w:rPr>
          <w:rFonts w:ascii="Arial" w:cs="Arial" w:eastAsia="Arial" w:hAnsi="Arial"/>
          <w:sz w:val="20"/>
          <w:szCs w:val="20"/>
          <w:b w:val="1"/>
          <w:bCs w:val="1"/>
          <w:i w:val="1"/>
          <w:iCs w:val="1"/>
          <w:color w:val="auto"/>
        </w:rPr>
        <w:t xml:space="preserve"> of our Annual Report on Form 10-K for the year ended December 31, 2024.</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 and 2025 Highlights</w:t>
      </w:r>
    </w:p>
    <w:p>
      <w:pPr>
        <w:spacing w:after="0" w:line="130" w:lineRule="exact"/>
        <w:rPr>
          <w:sz w:val="20"/>
          <w:szCs w:val="20"/>
          <w:color w:val="auto"/>
        </w:rPr>
      </w:pPr>
    </w:p>
    <w:p>
      <w:pPr>
        <w:jc w:val="both"/>
        <w:ind w:firstLine="540"/>
        <w:spacing w:after="0" w:line="276" w:lineRule="auto"/>
        <w:rPr>
          <w:sz w:val="20"/>
          <w:szCs w:val="20"/>
          <w:color w:val="auto"/>
        </w:rPr>
      </w:pPr>
      <w:r>
        <w:rPr>
          <w:rFonts w:ascii="Arial" w:cs="Arial" w:eastAsia="Arial" w:hAnsi="Arial"/>
          <w:sz w:val="19"/>
          <w:szCs w:val="19"/>
          <w:b w:val="1"/>
          <w:bCs w:val="1"/>
          <w:color w:val="auto"/>
        </w:rPr>
        <w:t>We are a global energy technology company. We deliver smart, easy-to-use solutions that manage solar generation, storage and communication on one platform. Our intelligent microinverters work with virtually every solar panel made, and when paired with our smart technology, result in one of the industry’s best-performing clean energy systems. As of December 31, 2025, we have shipped approximately 86.4 million microinverters, and more than 5.1 million Enphase residential and commercial systems have been deployed in over 160 countries.</w:t>
      </w:r>
    </w:p>
    <w:p>
      <w:pPr>
        <w:spacing w:after="0" w:line="64"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We sell primarily to solar distributors who combine our products with others, including solar module products and racking systems, and resell to installers in each target region. In addition to our solar distributors, we sell directly to select large installers, OEMs and strategic partners. Our OEM customers include solar module manufacturers who integrate our microinverters with their solar module products and resell to both distributors and installers. Strategic partners include a variety of companies, including industrial equipment suppliers, module companies, energy suppliers and developers of third-party solar finance offerings (such as TPOs). We also sell certain products and services to homeowners primarily in support of our warranty services and legacy product upgrade programs, via our online store.</w:t>
      </w:r>
    </w:p>
    <w:p>
      <w:pPr>
        <w:spacing w:after="0" w:line="85"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9"/>
          <w:szCs w:val="19"/>
          <w:b w:val="1"/>
          <w:bCs w:val="1"/>
          <w:color w:val="auto"/>
        </w:rPr>
        <w:t>During fiscal year 2025, our priorities included providing excellent customer service; scaling U.S. manufacturing and advancing product qualification to take advantage of both the Section 48E investment tax credit and the AMPTC under Section 45X of the Code; enhancing our Enphase Energy System offering through continued product innovation and system integration; broadening our ecosystem capabilities through collaboration with utilities and the development of VPPs; strengthening partnerships with installers and TPOs through safe harbor agreements; and increasing operating efficiencies while reducing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454660</wp:posOffset>
                </wp:positionV>
                <wp:extent cx="633412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5.8pt" to="505.35pt,35.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454660</wp:posOffset>
                </wp:positionV>
                <wp:extent cx="633412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5.8pt" to="505.35pt,35.8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49</w:t>
      </w:r>
    </w:p>
    <w:p>
      <w:pPr>
        <w:sectPr>
          <w:pgSz w:w="12240" w:h="15840" w:orient="portrait"/>
          <w:cols w:equalWidth="0" w:num="1">
            <w:col w:w="10260"/>
          </w:cols>
          <w:pgMar w:left="1000" w:top="216" w:right="980" w:bottom="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To mitigate supply chain risks and tariff exposure and to leverage U.S. manufacturing incentives, we continued to operate our domestic manufacturing footprint, including our in-house manufacturing facility and our partnership with Flex. These arrangements maintained a combined manufacturing capacity of approximately five-million microinverters per quarter. Beginning in the second half of 2024, we began shipping residential and commercial microinverters and batteries with higher domestic content from U.S. manufacturing facilities, which are expected to help certain solar and battery projects qualify for the domestic content bonus tax credit. The domestic content bonus tax credit is only available to commercial asset owners, which includes commercial businesses adding solar and power purchase agreements/lease providers who own residential solar projects.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Events Affecting our Business and Operations</w:t>
      </w:r>
    </w:p>
    <w:p>
      <w:pPr>
        <w:spacing w:after="0" w:line="130" w:lineRule="exact"/>
        <w:rPr>
          <w:sz w:val="20"/>
          <w:szCs w:val="20"/>
          <w:color w:val="auto"/>
        </w:rPr>
      </w:pPr>
    </w:p>
    <w:p>
      <w:pPr>
        <w:jc w:val="both"/>
        <w:ind w:right="20" w:firstLine="540"/>
        <w:spacing w:after="0" w:line="295" w:lineRule="auto"/>
        <w:rPr>
          <w:sz w:val="20"/>
          <w:szCs w:val="20"/>
          <w:color w:val="auto"/>
        </w:rPr>
      </w:pPr>
      <w:r>
        <w:rPr>
          <w:rFonts w:ascii="Arial" w:cs="Arial" w:eastAsia="Arial" w:hAnsi="Arial"/>
          <w:sz w:val="18"/>
          <w:szCs w:val="18"/>
          <w:b w:val="1"/>
          <w:bCs w:val="1"/>
          <w:color w:val="auto"/>
        </w:rPr>
        <w:t>As we have a growing global footprint, we are subject to risk and exposure from the evolving macroeconomic environment, including the effects of increased global inflationary pressures, tariffs and interest rates, fluctuations in foreign currency exchange rates, potential economic slowdowns or recessions, geopolitical pressures and potential regulatory changes, including the unknown impacts of current and future trade regulations. We continuously monitor the direct and indirect impacts of these circumstances on our business and financial results.</w:t>
      </w:r>
    </w:p>
    <w:p>
      <w:pPr>
        <w:spacing w:after="0" w:line="48"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i w:val="1"/>
          <w:iCs w:val="1"/>
          <w:color w:val="auto"/>
        </w:rPr>
        <w:t xml:space="preserve">One Big Beautiful Bill Act. </w:t>
      </w:r>
      <w:r>
        <w:rPr>
          <w:rFonts w:ascii="Arial" w:cs="Arial" w:eastAsia="Arial" w:hAnsi="Arial"/>
          <w:sz w:val="20"/>
          <w:szCs w:val="20"/>
          <w:b w:val="1"/>
          <w:bCs w:val="1"/>
          <w:color w:val="auto"/>
        </w:rPr>
        <w:t>In July 2025, the OBBBA was enacted, introducing material changes to clean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energy tax credit programs that are significant to our business and may impact our financial condition, results of operations and future prospects.</w:t>
      </w:r>
    </w:p>
    <w:p>
      <w:pPr>
        <w:spacing w:after="0" w:line="70"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The OBBBA scales back the ITC available under Section 25D of the Code for residential solar and storage systems purchased through cash or loans. Under the new law, the Section 25D credit expired on December 31, 2025. In addition, the OBBBA imposes new timing requirements for eligibility under Section 48E of the Code, which governs ITCs for leased solar and storage systems. Specifically, solar-only projects that do not commence construction within 12 months of the OBBBA’s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w:t>
      </w:r>
    </w:p>
    <w:p>
      <w:pPr>
        <w:spacing w:after="0" w:line="85"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OBBBA also amends the domestic content bonus credit rules for Section 48E projects. Projects commencing construction after June 16, 2025 must meet a 45% domestic cost threshold, up from 40%.</w:t>
      </w:r>
    </w:p>
    <w:p>
      <w:pPr>
        <w:spacing w:after="0" w:line="5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20"/>
          <w:szCs w:val="20"/>
          <w:b w:val="1"/>
          <w:bCs w:val="1"/>
          <w:color w:val="auto"/>
        </w:rPr>
        <w:t>Additionally, the OBBBA introduces new compliance requirements under the FEOC provisions for both Section 48E and the AMPTC under Section 45X. These provisions establish an escalating threshold of non-FEOC content that must be met by solar and storage projects beginning construction in 2026 and by manufactured components produced beginning in 2026.</w:t>
      </w:r>
    </w:p>
    <w:p>
      <w:pPr>
        <w:spacing w:after="0" w:line="76" w:lineRule="exact"/>
        <w:rPr>
          <w:sz w:val="20"/>
          <w:szCs w:val="20"/>
          <w:color w:val="auto"/>
        </w:rPr>
      </w:pPr>
    </w:p>
    <w:p>
      <w:pPr>
        <w:jc w:val="both"/>
        <w:ind w:right="20" w:firstLine="540"/>
        <w:spacing w:after="0" w:line="273" w:lineRule="auto"/>
        <w:rPr>
          <w:sz w:val="20"/>
          <w:szCs w:val="20"/>
          <w:color w:val="auto"/>
        </w:rPr>
      </w:pPr>
      <w:r>
        <w:rPr>
          <w:rFonts w:ascii="Arial" w:cs="Arial" w:eastAsia="Arial" w:hAnsi="Arial"/>
          <w:sz w:val="19"/>
          <w:szCs w:val="19"/>
          <w:b w:val="1"/>
          <w:bCs w:val="1"/>
          <w:color w:val="auto"/>
        </w:rPr>
        <w:t>On July 7, 2025, the President issued an Executive Order directing the Secretary of the Treasury to issue updated guidance within 45 days on the “beginning of construction” requirements applicable to Section 48E projects. In August 2025, Treasury and the IRS issued revised “beginning of construction” guidance for clean energy tax credits that only applies to projects above 1MW. The Executive Order also requires the Secretary to implement the FEOC restrictions set forth in the OBBBA. Additional guidance around FEOC guidance is still forthcoming and is expected to be finalized in 2026, which could make existing requirements more stringent.</w:t>
      </w:r>
    </w:p>
    <w:p>
      <w:pPr>
        <w:spacing w:after="0" w:line="69"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These legislative and regulatory developments have impacted and may in the future negatively impact our eligibility for certain tax credits, the attractiveness of our offerings to solar and storage system lease providers, or the overall demand for our products. If we are unable to meet the revised domestic content or FEOC requirements, our ability to qualify for these incentives could be impaired, which may adversely affect our revenue, gross margins, business operations and competitive position.</w:t>
      </w:r>
    </w:p>
    <w:p>
      <w:pPr>
        <w:spacing w:after="0" w:line="7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0"/>
          <w:szCs w:val="20"/>
          <w:b w:val="1"/>
          <w:bCs w:val="1"/>
          <w:i w:val="1"/>
          <w:iCs w:val="1"/>
          <w:color w:val="auto"/>
        </w:rPr>
        <w:t xml:space="preserve">Trade Tariff Uncertainties. </w:t>
      </w:r>
      <w:r>
        <w:rPr>
          <w:rFonts w:ascii="Arial" w:cs="Arial" w:eastAsia="Arial" w:hAnsi="Arial"/>
          <w:sz w:val="20"/>
          <w:szCs w:val="20"/>
          <w:b w:val="1"/>
          <w:bCs w:val="1"/>
          <w:color w:val="auto"/>
        </w:rPr>
        <w:t>The impact of new or existing tariff, trade restrictions or retaliatory actions on us,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the solar industry and our customers continue to create uncertainty and impact on our business operations. We have relocated a significant portion of our manufacturing to the United States while continuing to utilize contract manufacturing in China and India. However, certain critical components for our products are still sourced from outside the United States.</w:t>
      </w:r>
    </w:p>
    <w:p>
      <w:pPr>
        <w:spacing w:after="0" w:line="79"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For example, LFP battery cells used in our energy storage systems are still supplied exclusively by two vendors located in China. While we are actively exploring alternative suppliers outside of China, the global supply chain for LFP battery cells remains heavily concentrated in China, and identifying qualified suppliers with the necessary expertise and capacity remains challenging.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490855</wp:posOffset>
                </wp:positionV>
                <wp:extent cx="633412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8.65pt" to="505.35pt,38.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490855</wp:posOffset>
                </wp:positionV>
                <wp:extent cx="633412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8.65pt" to="505.35pt,38.6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50</w:t>
      </w:r>
    </w:p>
    <w:p>
      <w:pPr>
        <w:sectPr>
          <w:pgSz w:w="12240" w:h="15840" w:orient="portrait"/>
          <w:cols w:equalWidth="0" w:num="1">
            <w:col w:w="10260"/>
          </w:cols>
          <w:pgMar w:left="1000" w:top="216" w:right="98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An escalation in trade tensions or the implementation of broader tariffs, trade restrictions or retaliatory measures on our products or components originating from countries outside the United States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spacing w:after="0" w:line="7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i w:val="1"/>
          <w:iCs w:val="1"/>
          <w:color w:val="auto"/>
        </w:rPr>
        <w:t xml:space="preserve">Safe Harbor Agreements. </w:t>
      </w:r>
      <w:r>
        <w:rPr>
          <w:rFonts w:ascii="Arial" w:cs="Arial" w:eastAsia="Arial" w:hAnsi="Arial"/>
          <w:sz w:val="20"/>
          <w:szCs w:val="20"/>
          <w:b w:val="1"/>
          <w:bCs w:val="1"/>
          <w:color w:val="auto"/>
        </w:rPr>
        <w:t>During the year ended December 31, 2025, we entered into multiple safe harbor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agreements with customers, including solar and battery financing companies that offer TPO arrangements to homeowners, such as leases and power purchase agreements. These agreements reflect our increasing engagement in the TPO segment, which we expect to be an important growth channel for U.S. residential solar and battery adoption following the expiration of the ITC available under Section 25D of the Code on December 31, 2025. The timing and structure of these safe harbor transactions have resulted in higher variability in our quarterly revenue recognition and overall financial performance.</w:t>
      </w:r>
    </w:p>
    <w:p>
      <w:pPr>
        <w:spacing w:after="0" w:line="83"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i w:val="1"/>
          <w:iCs w:val="1"/>
          <w:color w:val="auto"/>
        </w:rPr>
        <w:t xml:space="preserve">Demand for Products. </w:t>
      </w:r>
      <w:r>
        <w:rPr>
          <w:rFonts w:ascii="Arial" w:cs="Arial" w:eastAsia="Arial" w:hAnsi="Arial"/>
          <w:sz w:val="19"/>
          <w:szCs w:val="19"/>
          <w:b w:val="1"/>
          <w:bCs w:val="1"/>
          <w:color w:val="auto"/>
        </w:rPr>
        <w:t>The prolonged softness in demand in the solar industry has continued to adversely</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impact certain distributors and installers, contributing to reduced liquidity, bankruptcies and business closures across the channel. These disruptions have negatively affected our revenue and profitability and could result in higher allowances for credit losses in the future. In Europe, the overall business environment across the region is still challenging, and is expected to remain constrained in 2026. In the United States, uncertainty related to changes in legislation, including from the OBBBA, which eliminates or reduces existing tax credits for clean energy programs, as well as evolving U.S. trade and tariff policies, may further contribute to market volatility and adversely impact customer demand for our products, pricing and our financial performance.</w:t>
      </w:r>
    </w:p>
    <w:p>
      <w:pPr>
        <w:spacing w:after="0" w:line="74" w:lineRule="exact"/>
        <w:rPr>
          <w:sz w:val="20"/>
          <w:szCs w:val="20"/>
          <w:color w:val="auto"/>
        </w:rPr>
      </w:pPr>
    </w:p>
    <w:p>
      <w:pPr>
        <w:ind w:right="5000"/>
        <w:spacing w:after="0" w:line="375" w:lineRule="auto"/>
        <w:rPr>
          <w:sz w:val="20"/>
          <w:szCs w:val="20"/>
          <w:color w:val="auto"/>
        </w:rPr>
      </w:pPr>
      <w:r>
        <w:rPr>
          <w:rFonts w:ascii="Arial" w:cs="Arial" w:eastAsia="Arial" w:hAnsi="Arial"/>
          <w:sz w:val="20"/>
          <w:szCs w:val="20"/>
          <w:b w:val="1"/>
          <w:bCs w:val="1"/>
          <w:color w:val="auto"/>
        </w:rPr>
        <w:t xml:space="preserve">Components of Consolidated Statements of Operations </w:t>
      </w:r>
      <w:r>
        <w:rPr>
          <w:rFonts w:ascii="Arial" w:cs="Arial" w:eastAsia="Arial" w:hAnsi="Arial"/>
          <w:sz w:val="20"/>
          <w:szCs w:val="20"/>
          <w:b w:val="1"/>
          <w:bCs w:val="1"/>
          <w:i w:val="1"/>
          <w:iCs w:val="1"/>
          <w:color w:val="auto"/>
        </w:rPr>
        <w:t>Net Revenues</w:t>
      </w:r>
    </w:p>
    <w:p>
      <w:pPr>
        <w:spacing w:after="0" w:line="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0"/>
          <w:szCs w:val="20"/>
          <w:b w:val="1"/>
          <w:bCs w:val="1"/>
          <w:color w:val="auto"/>
        </w:rPr>
        <w:t>We generate revenue from the sale of our various products, which include microinverter units and related accessories, IQ Battery and related accessories, IQ PowerPack 1500 and related accessories, EV charging solutions, IQ Combiner, IQ Gateway and IQ Energy Router, as well as from the sale of services, which include cloud-based monitoring services, design, proposal, permitting, installation and solar appointment generation services, and Enphase Care services.</w:t>
      </w:r>
    </w:p>
    <w:p>
      <w:pPr>
        <w:spacing w:after="0" w:line="79"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Our revenue is affected by changes in the volume and ASPs of our various solutions and related accessories, supply and demand, sales incentives, government incentives and competitive product offerings. Our revenue growth is dependent on our ability to compete effectively in the marketplace by remaining cost competitive, macroeconomic conditions, favorable regulatory environment, developing and introducing new products that meet the changing technology and the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Revenues and Gross Profit</w:t>
      </w:r>
    </w:p>
    <w:p>
      <w:pPr>
        <w:spacing w:after="0" w:line="128" w:lineRule="exact"/>
        <w:rPr>
          <w:sz w:val="20"/>
          <w:szCs w:val="20"/>
          <w:color w:val="auto"/>
        </w:rPr>
      </w:pPr>
    </w:p>
    <w:p>
      <w:pPr>
        <w:jc w:val="both"/>
        <w:ind w:firstLine="540"/>
        <w:spacing w:after="0" w:line="272" w:lineRule="auto"/>
        <w:rPr>
          <w:sz w:val="20"/>
          <w:szCs w:val="20"/>
          <w:color w:val="auto"/>
        </w:rPr>
      </w:pPr>
      <w:r>
        <w:rPr>
          <w:rFonts w:ascii="Arial" w:cs="Arial" w:eastAsia="Arial" w:hAnsi="Arial"/>
          <w:sz w:val="19"/>
          <w:szCs w:val="19"/>
          <w:b w:val="1"/>
          <w:bCs w:val="1"/>
          <w:color w:val="auto"/>
        </w:rPr>
        <w:t>Cost of revenues is comprised primarily of product costs, warranty, manufacturing and installation services, support personnel, logistics costs, freight costs, inventory write-downs, hosting services costs related to our cloud-based monitoring services, depreciation of manufacturing and test equipment, amortization of capitalized software development costs related to our cloud-based monitoring services, lead acquisition costs and design and proposal services, employee-related expenses associated with proposal and permitting services and design and proposal service customer support. AMPTC earned under the IRA for U.S. manufactured microinverters shipped to customers are treated as a reduction to cost of revenues.</w:t>
      </w:r>
    </w:p>
    <w:p>
      <w:pPr>
        <w:spacing w:after="0" w:line="67"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9"/>
          <w:szCs w:val="19"/>
          <w:b w:val="1"/>
          <w:bCs w:val="1"/>
          <w:color w:val="auto"/>
        </w:rPr>
        <w:t>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equipment and capitalized software development costs, are not directly affected by sales volume.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1319530</wp:posOffset>
                </wp:positionV>
                <wp:extent cx="633412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3.9pt" to="505.35pt,103.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1319530</wp:posOffset>
                </wp:positionV>
                <wp:extent cx="633412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3.9pt" to="505.35pt,103.9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51</w:t>
      </w:r>
    </w:p>
    <w:p>
      <w:pPr>
        <w:sectPr>
          <w:pgSz w:w="12240" w:h="15840" w:orient="portrait"/>
          <w:cols w:equalWidth="0" w:num="1">
            <w:col w:w="10260"/>
          </w:cols>
          <w:pgMar w:left="1000" w:top="216" w:right="980" w:bottom="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We outsource some of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Canada, Mexico, Europe, Australia, New Zealand, India, Brazil, the Philippines, Thailand, South Africa, and certain other Central American and Asian countries.</w:t>
      </w:r>
    </w:p>
    <w:p>
      <w:pPr>
        <w:spacing w:after="0" w:line="85"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Gross profit may vary from quarter to quarter and is primarily affected by our ASPs, product cost, product mix, customer mix, AMPTC, shipping costs, warranty costs and sales volume fluctuations.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8"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Operating expenses consist of research and development, sales and marketing, general and administrative and restructuring and asset impairment charges. Personnel-related costs are the most significant component of each of these expense categories, other than restructuring and asset impairment charges, and include salaries, benefits, payroll taxes, sales commissions, incentive compensation, post-combination expense and stock-based compensation.</w:t>
      </w:r>
    </w:p>
    <w:p>
      <w:pPr>
        <w:spacing w:after="0" w:line="79"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18"/>
          <w:szCs w:val="18"/>
          <w:b w:val="1"/>
          <w:bCs w:val="1"/>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6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Sales and marketing expense includes personnel-related expenses, travel,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solutions targeting the residential and commercial markets in the United States, Canada, Mexico, Puerto Rico, Europe, Australia, New Zealand, India, Thailand, Central America, the Caribbean and certain Asian countries. We expect to continue to expand the geographic reach of our product offerings and explore new sales channels in addressable markets in the future.</w:t>
      </w:r>
    </w:p>
    <w:p>
      <w:pPr>
        <w:spacing w:after="0" w:line="85" w:lineRule="exact"/>
        <w:rPr>
          <w:sz w:val="20"/>
          <w:szCs w:val="20"/>
          <w:color w:val="auto"/>
        </w:rPr>
      </w:pPr>
    </w:p>
    <w:p>
      <w:pPr>
        <w:jc w:val="both"/>
        <w:ind w:right="20" w:firstLine="540"/>
        <w:spacing w:after="0" w:line="311" w:lineRule="auto"/>
        <w:rPr>
          <w:sz w:val="20"/>
          <w:szCs w:val="20"/>
          <w:color w:val="auto"/>
        </w:rPr>
      </w:pPr>
      <w:r>
        <w:rPr>
          <w:rFonts w:ascii="Arial" w:cs="Arial" w:eastAsia="Arial" w:hAnsi="Arial"/>
          <w:sz w:val="18"/>
          <w:szCs w:val="18"/>
          <w:b w:val="1"/>
          <w:bCs w:val="1"/>
          <w:color w:val="auto"/>
        </w:rPr>
        <w:t>General and administrative expense includes personnel-related expenses for our executive, finance, human resources, information technology and legal organizations, facilities costs, and fees for professional services. Fees for professional services consist primarily of external legal, accounting and information technology consulting costs.</w:t>
      </w:r>
    </w:p>
    <w:p>
      <w:pPr>
        <w:spacing w:after="0" w:line="35"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 xml:space="preserve">Restructuring and asset impairment charges are the net charges resulting from restructuring initiatives implemented in 2023 and 2024 to increase operational efficiencies and execution, reduce operating costs, and better align our workforce and cost structure with current market conditions, as well as reflect our business needs, strategic priorities and ongoing commitment to profitable growth. Charges from the restructuring initiatives primarily consisted of employee severance and one-time benefits, workforce reorganization charges, contract termination charges, and asset impairment charges. Refer to </w:t>
      </w:r>
      <w:r>
        <w:rPr>
          <w:rFonts w:ascii="Arial" w:cs="Arial" w:eastAsia="Arial" w:hAnsi="Arial"/>
          <w:sz w:val="20"/>
          <w:szCs w:val="20"/>
          <w:b w:val="1"/>
          <w:bCs w:val="1"/>
          <w:color w:val="0000FF"/>
        </w:rPr>
        <w:t>Note 11.</w:t>
      </w:r>
      <w:r>
        <w:rPr>
          <w:rFonts w:ascii="Arial" w:cs="Arial" w:eastAsia="Arial" w:hAnsi="Arial"/>
          <w:sz w:val="20"/>
          <w:szCs w:val="20"/>
          <w:b w:val="1"/>
          <w:bCs w:val="1"/>
          <w:color w:val="auto"/>
        </w:rPr>
        <w:t xml:space="preserve"> “Restructuring and Asset Impairment Charges,” of the notes to consolidated financial statements included in Part II, Item 8 of this Annual Report on Form 10-K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28" w:lineRule="exact"/>
        <w:rPr>
          <w:sz w:val="20"/>
          <w:szCs w:val="20"/>
          <w:color w:val="auto"/>
        </w:rPr>
      </w:pPr>
    </w:p>
    <w:p>
      <w:pPr>
        <w:jc w:val="both"/>
        <w:ind w:firstLine="540"/>
        <w:spacing w:after="0" w:line="291" w:lineRule="auto"/>
        <w:rPr>
          <w:sz w:val="20"/>
          <w:szCs w:val="20"/>
          <w:color w:val="auto"/>
        </w:rPr>
      </w:pPr>
      <w:r>
        <w:rPr>
          <w:rFonts w:ascii="Arial" w:cs="Arial" w:eastAsia="Arial" w:hAnsi="Arial"/>
          <w:sz w:val="18"/>
          <w:szCs w:val="18"/>
          <w:b w:val="1"/>
          <w:bCs w:val="1"/>
          <w:color w:val="auto"/>
        </w:rPr>
        <w:t>Other income, net, primarily consists of interest income on our cash, cash equivalents, restricted cash and marketable securities, amortization of discount or premium on purchase of cash equivalents and marketable securities, gains or losses upon conversion of foreign currency transactions into U.S. dollars, interest expense, changes in fair value of contingent consideration, non-cash interest expense related to the accretion of debt discount and amortization of deferred financing costs, non-cash charges recognized for loss on partial settlement of convertible notes, and the change in fair value of our debt investment in public and private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706120</wp:posOffset>
                </wp:positionV>
                <wp:extent cx="633412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5.6pt" to="505.35pt,55.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706120</wp:posOffset>
                </wp:positionV>
                <wp:extent cx="633412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5.6pt" to="505.35pt,55.6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52</w:t>
      </w:r>
    </w:p>
    <w:p>
      <w:pPr>
        <w:sectPr>
          <w:pgSz w:w="12240" w:h="15840" w:orient="portrait"/>
          <w:cols w:equalWidth="0" w:num="1">
            <w:col w:w="10260"/>
          </w:cols>
          <w:pgMar w:left="1000" w:top="216" w:right="980" w:bottom="0"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Provision</w:t>
      </w:r>
    </w:p>
    <w:p>
      <w:pPr>
        <w:spacing w:after="0" w:line="128"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We are subject to income taxes in the countries where we sell our products. Historically, we have primarily been subject to taxation in the United States because we have sold the majority of our products to customers in the United States. As we have expanded our global footprint for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We regularly assess the ability to realize deferred tax assets based on the weight of all available evidence, including such factors as the history of recent earnings and expected future taxable income on a jurisdiction by jurisdiction basis.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Consolidated Statements of Operations</w:t>
      </w:r>
    </w:p>
    <w:p>
      <w:pPr>
        <w:spacing w:after="0" w:line="128"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following table sets forth a summary of our consolidated statements of operations for the periods presented: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6"/>
          </w:tcPr>
          <w:p>
            <w:pPr>
              <w:jc w:val="center"/>
              <w:ind w:left="571"/>
              <w:spacing w:after="0"/>
              <w:rPr>
                <w:sz w:val="20"/>
                <w:szCs w:val="20"/>
                <w:color w:val="auto"/>
              </w:rPr>
            </w:pPr>
            <w:r>
              <w:rPr>
                <w:rFonts w:ascii="Arial" w:cs="Arial" w:eastAsia="Arial" w:hAnsi="Arial"/>
                <w:sz w:val="16"/>
                <w:szCs w:val="16"/>
                <w:b w:val="1"/>
                <w:bCs w:val="1"/>
                <w:color w:val="auto"/>
                <w:w w:val="99"/>
              </w:rPr>
              <w:t>Years Ended December 31,</w:t>
            </w:r>
          </w:p>
        </w:tc>
        <w:tc>
          <w:tcPr>
            <w:tcW w:w="960" w:type="dxa"/>
            <w:vAlign w:val="bottom"/>
          </w:tcPr>
          <w:p>
            <w:pPr>
              <w:spacing w:after="0"/>
              <w:rPr>
                <w:sz w:val="19"/>
                <w:szCs w:val="19"/>
                <w:color w:val="auto"/>
              </w:rPr>
            </w:pPr>
          </w:p>
        </w:tc>
      </w:tr>
      <w:tr>
        <w:trPr>
          <w:trHeight w:val="249"/>
        </w:trPr>
        <w:tc>
          <w:tcPr>
            <w:tcW w:w="6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35"/>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r>
      <w:tr>
        <w:trPr>
          <w:trHeight w:val="265"/>
        </w:trPr>
        <w:tc>
          <w:tcPr>
            <w:tcW w:w="614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1,472,985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1,330,383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2,290,786</w:t>
            </w:r>
          </w:p>
        </w:tc>
      </w:tr>
      <w:tr>
        <w:trPr>
          <w:trHeight w:val="285"/>
        </w:trPr>
        <w:tc>
          <w:tcPr>
            <w:tcW w:w="614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785,981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701,245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1,232,398</w:t>
            </w:r>
          </w:p>
        </w:tc>
      </w:tr>
      <w:tr>
        <w:trPr>
          <w:trHeight w:val="265"/>
        </w:trPr>
        <w:tc>
          <w:tcPr>
            <w:tcW w:w="61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687,004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629,138</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1,058,388</w:t>
            </w:r>
          </w:p>
        </w:tc>
      </w:tr>
      <w:tr>
        <w:trPr>
          <w:trHeight w:val="265"/>
        </w:trPr>
        <w:tc>
          <w:tcPr>
            <w:tcW w:w="61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Research and development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189,075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201,315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227,336</w:t>
            </w:r>
          </w:p>
        </w:tc>
      </w:tr>
      <w:tr>
        <w:trPr>
          <w:trHeight w:val="28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Sales and marketing</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197,505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206,552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231,792</w:t>
            </w:r>
          </w:p>
        </w:tc>
      </w:tr>
      <w:tr>
        <w:trPr>
          <w:trHeight w:val="28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General and administrative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135,767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130,825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137,835</w:t>
            </w:r>
          </w:p>
        </w:tc>
      </w:tr>
      <w:tr>
        <w:trPr>
          <w:trHeight w:val="28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Restructuring and asset impairment charges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13,154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15,684</w:t>
            </w:r>
          </w:p>
        </w:tc>
      </w:tr>
      <w:tr>
        <w:trPr>
          <w:trHeight w:val="265"/>
        </w:trPr>
        <w:tc>
          <w:tcPr>
            <w:tcW w:w="614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529,478</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551,846</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612,647</w:t>
            </w:r>
          </w:p>
        </w:tc>
      </w:tr>
      <w:tr>
        <w:trPr>
          <w:trHeight w:val="265"/>
        </w:trPr>
        <w:tc>
          <w:tcPr>
            <w:tcW w:w="61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157,526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77,292</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445,741</w:t>
            </w:r>
          </w:p>
        </w:tc>
      </w:tr>
      <w:tr>
        <w:trPr>
          <w:trHeight w:val="285"/>
        </w:trPr>
        <w:tc>
          <w:tcPr>
            <w:tcW w:w="6140" w:type="dxa"/>
            <w:vAlign w:val="bottom"/>
          </w:tcPr>
          <w:p>
            <w:pPr>
              <w:spacing w:after="0"/>
              <w:rPr>
                <w:sz w:val="20"/>
                <w:szCs w:val="20"/>
                <w:color w:val="auto"/>
              </w:rPr>
            </w:pPr>
            <w:r>
              <w:rPr>
                <w:rFonts w:ascii="Arial" w:cs="Arial" w:eastAsia="Arial" w:hAnsi="Arial"/>
                <w:sz w:val="18"/>
                <w:szCs w:val="18"/>
                <w:b w:val="1"/>
                <w:bCs w:val="1"/>
                <w:color w:val="auto"/>
              </w:rPr>
              <w:t>Other income, net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Interest income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62,722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77,306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69,728</w:t>
            </w:r>
          </w:p>
        </w:tc>
      </w:tr>
      <w:tr>
        <w:trPr>
          <w:trHeight w:val="28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(8,905)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(8,839)</w:t>
            </w:r>
          </w:p>
        </w:tc>
      </w:tr>
      <w:tr>
        <w:trPr>
          <w:trHeight w:val="28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(25,534)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6,509</w:t>
            </w:r>
          </w:p>
        </w:tc>
      </w:tr>
      <w:tr>
        <w:trPr>
          <w:trHeight w:val="265"/>
        </w:trPr>
        <w:tc>
          <w:tcPr>
            <w:tcW w:w="614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net</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47,288</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42,867</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67,398</w:t>
            </w:r>
          </w:p>
        </w:tc>
      </w:tr>
      <w:tr>
        <w:trPr>
          <w:trHeight w:val="265"/>
        </w:trPr>
        <w:tc>
          <w:tcPr>
            <w:tcW w:w="61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204,814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120,159</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513,139</w:t>
            </w:r>
          </w:p>
        </w:tc>
      </w:tr>
      <w:tr>
        <w:trPr>
          <w:trHeight w:val="285"/>
        </w:trPr>
        <w:tc>
          <w:tcPr>
            <w:tcW w:w="614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(32,681)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(74,203)</w:t>
            </w:r>
          </w:p>
        </w:tc>
      </w:tr>
      <w:tr>
        <w:trPr>
          <w:trHeight w:val="245"/>
        </w:trPr>
        <w:tc>
          <w:tcPr>
            <w:tcW w:w="61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172,133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102,658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438,936</w:t>
            </w: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-3288665</wp:posOffset>
            </wp:positionV>
            <wp:extent cx="6553200" cy="3308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
                      <a:extLst>
                        <a:ext uri="{28A0092B-C50C-407E-A947-70E740481C1C}"/>
                      </a:extLst>
                    </a:blip>
                    <a:srcRect/>
                    <a:stretch>
                      <a:fillRect/>
                    </a:stretch>
                  </pic:blipFill>
                  <pic:spPr bwMode="auto">
                    <a:xfrm>
                      <a:off x="0" y="0"/>
                      <a:ext cx="6553200" cy="33083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83820</wp:posOffset>
                </wp:positionH>
                <wp:positionV relativeFrom="paragraph">
                  <wp:posOffset>3131820</wp:posOffset>
                </wp:positionV>
                <wp:extent cx="633412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46.6pt" to="505.35pt,246.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3131820</wp:posOffset>
                </wp:positionV>
                <wp:extent cx="633412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46.6pt" to="505.35pt,246.6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53</w:t>
      </w:r>
    </w:p>
    <w:p>
      <w:pPr>
        <w:sectPr>
          <w:pgSz w:w="12240" w:h="15840" w:orient="portrait"/>
          <w:cols w:equalWidth="0" w:num="1">
            <w:col w:w="10260"/>
          </w:cols>
          <w:pgMar w:left="1000" w:top="216" w:right="980" w:bottom="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Revenues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960" w:type="dxa"/>
            <w:vAlign w:val="bottom"/>
          </w:tcPr>
          <w:p>
            <w:pPr>
              <w:spacing w:after="0"/>
              <w:rPr>
                <w:sz w:val="18"/>
                <w:szCs w:val="18"/>
                <w:color w:val="auto"/>
              </w:rPr>
            </w:pPr>
          </w:p>
        </w:tc>
        <w:tc>
          <w:tcPr>
            <w:tcW w:w="224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Change in</w:t>
            </w:r>
          </w:p>
        </w:tc>
        <w:tc>
          <w:tcPr>
            <w:tcW w:w="540" w:type="dxa"/>
            <w:vAlign w:val="bottom"/>
            <w:tcBorders>
              <w:bottom w:val="single" w:sz="8" w:color="auto"/>
            </w:tcBorders>
          </w:tcPr>
          <w:p>
            <w:pPr>
              <w:spacing w:after="0"/>
              <w:rPr>
                <w:sz w:val="18"/>
                <w:szCs w:val="18"/>
                <w:color w:val="auto"/>
              </w:rPr>
            </w:pPr>
          </w:p>
        </w:tc>
      </w:tr>
      <w:tr>
        <w:trPr>
          <w:trHeight w:val="235"/>
        </w:trPr>
        <w:tc>
          <w:tcPr>
            <w:tcW w:w="5960" w:type="dxa"/>
            <w:vAlign w:val="bottom"/>
          </w:tcPr>
          <w:p>
            <w:pPr>
              <w:spacing w:after="0"/>
              <w:rPr>
                <w:sz w:val="20"/>
                <w:szCs w:val="20"/>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w:t>
            </w:r>
          </w:p>
        </w:tc>
      </w:tr>
      <w:tr>
        <w:trPr>
          <w:trHeight w:val="248"/>
        </w:trPr>
        <w:tc>
          <w:tcPr>
            <w:tcW w:w="5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700" w:type="dxa"/>
            <w:vAlign w:val="bottom"/>
            <w:gridSpan w:val="8"/>
          </w:tcPr>
          <w:p>
            <w:pPr>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540" w:type="dxa"/>
            <w:vAlign w:val="bottom"/>
          </w:tcPr>
          <w:p>
            <w:pPr>
              <w:spacing w:after="0"/>
              <w:rPr>
                <w:sz w:val="21"/>
                <w:szCs w:val="21"/>
                <w:color w:val="auto"/>
              </w:rPr>
            </w:pPr>
          </w:p>
        </w:tc>
      </w:tr>
      <w:tr>
        <w:trPr>
          <w:trHeight w:val="317"/>
        </w:trPr>
        <w:tc>
          <w:tcPr>
            <w:tcW w:w="596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$ 1,472,985</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$ 1,330,383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142,602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-186690</wp:posOffset>
            </wp:positionV>
            <wp:extent cx="6540500" cy="2063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154" w:lineRule="exact"/>
        <w:rPr>
          <w:sz w:val="20"/>
          <w:szCs w:val="20"/>
          <w:color w:val="auto"/>
        </w:rPr>
      </w:pPr>
    </w:p>
    <w:p>
      <w:pPr>
        <w:jc w:val="both"/>
        <w:ind w:right="20" w:firstLine="540"/>
        <w:spacing w:after="0" w:line="276" w:lineRule="auto"/>
        <w:rPr>
          <w:sz w:val="20"/>
          <w:szCs w:val="20"/>
          <w:color w:val="auto"/>
        </w:rPr>
      </w:pPr>
      <w:r>
        <w:rPr>
          <w:rFonts w:ascii="Arial" w:cs="Arial" w:eastAsia="Arial" w:hAnsi="Arial"/>
          <w:sz w:val="19"/>
          <w:szCs w:val="19"/>
          <w:b w:val="1"/>
          <w:bCs w:val="1"/>
          <w:color w:val="auto"/>
        </w:rPr>
        <w:t>Net revenues increased by $142.6 million, or 11%, in the year ended December 31, 2025, as compared to the same period in 2024, driven primarily by a 36% increase in IQ Batteries MWh shipped, partially offset by a 2% decrease in microinverter units sold. During the year ended December 31, 2025, we sold approximately 6.4 million microinverter units and shipped 706.1 MWh of IQ Batteries, as compared to approximately 6.5 million microinverter units and 521 MWh of IQ Batteries shipped in the year ended December 31, 2024.</w:t>
      </w:r>
    </w:p>
    <w:p>
      <w:pPr>
        <w:spacing w:after="0" w:line="64"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Net revenues in the United States were $1,188.7 million in the year ended December 31, 2025, as compared to $934.7 million in the same period in 2024, an increase of $254.0 million, or 27%, primarily driven by higher demand and $91.2 million of microinverter shipments that are associated with safe harbor transactions with customers.</w:t>
      </w:r>
    </w:p>
    <w:p>
      <w:pPr>
        <w:spacing w:after="0" w:line="76"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Net revenues from international markets were $284.3 million in the year ended December 31, 2025, as compared to $395.7 million in the same period in 2024, a decrease of $111.4 million, or 28%, primarily driven by continued softening in demand from customers in Europe, which was impacted by overall slower economic growth in Europe in addition to changes in government policies and lower utility rates.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Revenues and Gross Margin</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96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Change in</w:t>
            </w:r>
          </w:p>
        </w:tc>
        <w:tc>
          <w:tcPr>
            <w:tcW w:w="540" w:type="dxa"/>
            <w:vAlign w:val="bottom"/>
            <w:tcBorders>
              <w:bottom w:val="single" w:sz="8" w:color="auto"/>
            </w:tcBorders>
          </w:tcPr>
          <w:p>
            <w:pPr>
              <w:spacing w:after="0"/>
              <w:rPr>
                <w:sz w:val="18"/>
                <w:szCs w:val="18"/>
                <w:color w:val="auto"/>
              </w:rPr>
            </w:pPr>
          </w:p>
        </w:tc>
      </w:tr>
      <w:tr>
        <w:trPr>
          <w:trHeight w:val="220"/>
        </w:trPr>
        <w:tc>
          <w:tcPr>
            <w:tcW w:w="5960" w:type="dxa"/>
            <w:vAlign w:val="bottom"/>
          </w:tcPr>
          <w:p>
            <w:pPr>
              <w:spacing w:after="0"/>
              <w:rPr>
                <w:sz w:val="19"/>
                <w:szCs w:val="19"/>
                <w:color w:val="auto"/>
              </w:rPr>
            </w:pPr>
          </w:p>
        </w:tc>
        <w:tc>
          <w:tcPr>
            <w:tcW w:w="1080" w:type="dxa"/>
            <w:vAlign w:val="bottom"/>
            <w:tcBorders>
              <w:bottom w:val="single" w:sz="8" w:color="auto"/>
            </w:tcBorders>
          </w:tcPr>
          <w:p>
            <w:pPr>
              <w:jc w:val="right"/>
              <w:ind w:right="27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w:t>
            </w:r>
          </w:p>
        </w:tc>
      </w:tr>
      <w:tr>
        <w:trPr>
          <w:trHeight w:val="248"/>
        </w:trPr>
        <w:tc>
          <w:tcPr>
            <w:tcW w:w="5960" w:type="dxa"/>
            <w:vAlign w:val="bottom"/>
          </w:tcPr>
          <w:p>
            <w:pPr>
              <w:spacing w:after="0"/>
              <w:rPr>
                <w:sz w:val="21"/>
                <w:szCs w:val="21"/>
                <w:color w:val="auto"/>
              </w:rPr>
            </w:pPr>
          </w:p>
        </w:tc>
        <w:tc>
          <w:tcPr>
            <w:tcW w:w="3720" w:type="dxa"/>
            <w:vAlign w:val="bottom"/>
            <w:gridSpan w:val="8"/>
          </w:tcPr>
          <w:p>
            <w:pPr>
              <w:ind w:left="102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540" w:type="dxa"/>
            <w:vAlign w:val="bottom"/>
          </w:tcPr>
          <w:p>
            <w:pPr>
              <w:spacing w:after="0"/>
              <w:rPr>
                <w:sz w:val="21"/>
                <w:szCs w:val="21"/>
                <w:color w:val="auto"/>
              </w:rPr>
            </w:pPr>
          </w:p>
        </w:tc>
      </w:tr>
      <w:tr>
        <w:trPr>
          <w:trHeight w:val="287"/>
        </w:trPr>
        <w:tc>
          <w:tcPr>
            <w:tcW w:w="596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080" w:type="dxa"/>
            <w:vAlign w:val="bottom"/>
          </w:tcPr>
          <w:p>
            <w:pPr>
              <w:jc w:val="right"/>
              <w:ind w:right="137"/>
              <w:spacing w:after="0"/>
              <w:rPr>
                <w:sz w:val="20"/>
                <w:szCs w:val="20"/>
                <w:color w:val="auto"/>
              </w:rPr>
            </w:pPr>
            <w:r>
              <w:rPr>
                <w:rFonts w:ascii="Arial" w:cs="Arial" w:eastAsia="Arial" w:hAnsi="Arial"/>
                <w:sz w:val="18"/>
                <w:szCs w:val="18"/>
                <w:b w:val="1"/>
                <w:bCs w:val="1"/>
                <w:color w:val="auto"/>
              </w:rPr>
              <w:t>$ 785,981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$ 701,245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84,736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12 %</w:t>
            </w:r>
          </w:p>
        </w:tc>
      </w:tr>
      <w:tr>
        <w:trPr>
          <w:trHeight w:val="255"/>
        </w:trPr>
        <w:tc>
          <w:tcPr>
            <w:tcW w:w="59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tcPr>
          <w:p>
            <w:pPr>
              <w:jc w:val="right"/>
              <w:ind w:right="137"/>
              <w:spacing w:after="0"/>
              <w:rPr>
                <w:sz w:val="20"/>
                <w:szCs w:val="20"/>
                <w:color w:val="auto"/>
              </w:rPr>
            </w:pPr>
            <w:r>
              <w:rPr>
                <w:rFonts w:ascii="Arial" w:cs="Arial" w:eastAsia="Arial" w:hAnsi="Arial"/>
                <w:sz w:val="18"/>
                <w:szCs w:val="18"/>
                <w:b w:val="1"/>
                <w:bCs w:val="1"/>
                <w:color w:val="auto"/>
              </w:rPr>
              <w:t>$ 687,004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$ 629,138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57,866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9 %</w:t>
            </w:r>
          </w:p>
        </w:tc>
      </w:tr>
      <w:tr>
        <w:trPr>
          <w:trHeight w:val="255"/>
        </w:trPr>
        <w:tc>
          <w:tcPr>
            <w:tcW w:w="59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46.6 %</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47.3 %</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-491490</wp:posOffset>
            </wp:positionV>
            <wp:extent cx="6540500" cy="511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
                      <a:extLst>
                        <a:ext uri="{28A0092B-C50C-407E-A947-70E740481C1C}"/>
                      </a:extLst>
                    </a:blip>
                    <a:srcRect/>
                    <a:stretch>
                      <a:fillRect/>
                    </a:stretch>
                  </pic:blipFill>
                  <pic:spPr bwMode="auto">
                    <a:xfrm>
                      <a:off x="0" y="0"/>
                      <a:ext cx="6540500" cy="511175"/>
                    </a:xfrm>
                    <a:prstGeom prst="rect">
                      <a:avLst/>
                    </a:prstGeom>
                    <a:noFill/>
                  </pic:spPr>
                </pic:pic>
              </a:graphicData>
            </a:graphic>
          </wp:anchor>
        </w:drawing>
      </w:r>
    </w:p>
    <w:p>
      <w:pPr>
        <w:spacing w:after="0" w:line="154"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Cost of revenues increased by $84.7 million, or 12%, for the year ended December 31, 2025, as compared to the same period in 2024. This increase was primarily driven by increased MWh of IQ Batteries shipped, higher tariffs and indirect manufacturing costs. This increase in cost of revenues was partially offset by benefits recognized from tax credits under the AMPTC for U.S. manufactured microinverters and IQ Batteries MWh shipped to customers. The AMPTC benefits recognized were $238.7 million for the year ended December 31, 2025, as compared to $157.5 million for the same period in 2024.</w:t>
      </w:r>
    </w:p>
    <w:p>
      <w:pPr>
        <w:spacing w:after="0" w:line="82"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Gross margin decreased by 0.7 percentage points in the year ended December 31, 2025, as compared to the same period in 2024. The decrease was primarily due to product mix and increased tariff costs, partially offset by the recognition of a 16.2 percentage point AMPTC benefit in the year ended December 31, 2025, as compared to a 11.8 percentage point AMPTC benefit in the same period in 2024, due to a higher proportion of sales from U.S. manufactured microinverters and IQ Battery MWh shipped.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2204720</wp:posOffset>
                </wp:positionV>
                <wp:extent cx="633412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73.6pt" to="505.35pt,173.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2204720</wp:posOffset>
                </wp:positionV>
                <wp:extent cx="633412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73.6pt" to="505.35pt,173.6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54</w:t>
      </w:r>
    </w:p>
    <w:p>
      <w:pPr>
        <w:sectPr>
          <w:pgSz w:w="12240" w:h="15840" w:orient="portrait"/>
          <w:cols w:equalWidth="0" w:num="1">
            <w:col w:w="10260"/>
          </w:cols>
          <w:pgMar w:left="1000" w:top="216" w:right="980" w:bottom="0"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660" w:type="dxa"/>
            <w:vAlign w:val="bottom"/>
          </w:tcPr>
          <w:p>
            <w:pPr>
              <w:spacing w:after="0"/>
              <w:rPr>
                <w:sz w:val="18"/>
                <w:szCs w:val="18"/>
                <w:color w:val="auto"/>
              </w:rPr>
            </w:pPr>
          </w:p>
        </w:tc>
        <w:tc>
          <w:tcPr>
            <w:tcW w:w="2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Years Ended December 31,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Change in</w:t>
            </w:r>
          </w:p>
        </w:tc>
        <w:tc>
          <w:tcPr>
            <w:tcW w:w="560" w:type="dxa"/>
            <w:vAlign w:val="bottom"/>
            <w:tcBorders>
              <w:bottom w:val="single" w:sz="8" w:color="auto"/>
            </w:tcBorders>
          </w:tcPr>
          <w:p>
            <w:pPr>
              <w:spacing w:after="0"/>
              <w:rPr>
                <w:sz w:val="18"/>
                <w:szCs w:val="18"/>
                <w:color w:val="auto"/>
              </w:rPr>
            </w:pPr>
          </w:p>
        </w:tc>
      </w:tr>
      <w:tr>
        <w:trPr>
          <w:trHeight w:val="235"/>
        </w:trPr>
        <w:tc>
          <w:tcPr>
            <w:tcW w:w="5660" w:type="dxa"/>
            <w:vAlign w:val="bottom"/>
          </w:tcPr>
          <w:p>
            <w:pPr>
              <w:spacing w:after="0"/>
              <w:rPr>
                <w:sz w:val="20"/>
                <w:szCs w:val="20"/>
                <w:color w:val="auto"/>
              </w:rPr>
            </w:pPr>
          </w:p>
        </w:tc>
        <w:tc>
          <w:tcPr>
            <w:tcW w:w="11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w:t>
            </w:r>
          </w:p>
        </w:tc>
      </w:tr>
      <w:tr>
        <w:trPr>
          <w:trHeight w:val="248"/>
        </w:trPr>
        <w:tc>
          <w:tcPr>
            <w:tcW w:w="5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40" w:type="dxa"/>
            <w:vAlign w:val="bottom"/>
            <w:gridSpan w:val="8"/>
          </w:tcPr>
          <w:p>
            <w:pPr>
              <w:ind w:left="2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560" w:type="dxa"/>
            <w:vAlign w:val="bottom"/>
          </w:tcPr>
          <w:p>
            <w:pPr>
              <w:spacing w:after="0"/>
              <w:rPr>
                <w:sz w:val="21"/>
                <w:szCs w:val="21"/>
                <w:color w:val="auto"/>
              </w:rPr>
            </w:pPr>
          </w:p>
        </w:tc>
      </w:tr>
      <w:tr>
        <w:trPr>
          <w:trHeight w:val="287"/>
        </w:trPr>
        <w:tc>
          <w:tcPr>
            <w:tcW w:w="566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1160" w:type="dxa"/>
            <w:vAlign w:val="bottom"/>
          </w:tcPr>
          <w:p>
            <w:pPr>
              <w:jc w:val="right"/>
              <w:ind w:right="135"/>
              <w:spacing w:after="0"/>
              <w:rPr>
                <w:sz w:val="20"/>
                <w:szCs w:val="20"/>
                <w:color w:val="auto"/>
              </w:rPr>
            </w:pPr>
            <w:r>
              <w:rPr>
                <w:rFonts w:ascii="Arial" w:cs="Arial" w:eastAsia="Arial" w:hAnsi="Arial"/>
                <w:sz w:val="18"/>
                <w:szCs w:val="18"/>
                <w:b w:val="1"/>
                <w:bCs w:val="1"/>
                <w:color w:val="auto"/>
              </w:rPr>
              <w:t>$  189,075</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  201,315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(12,240)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55"/>
        </w:trPr>
        <w:tc>
          <w:tcPr>
            <w:tcW w:w="5660" w:type="dxa"/>
            <w:vAlign w:val="bottom"/>
          </w:tcPr>
          <w:p>
            <w:pPr>
              <w:spacing w:after="0"/>
              <w:rPr>
                <w:sz w:val="20"/>
                <w:szCs w:val="20"/>
                <w:color w:val="auto"/>
              </w:rPr>
            </w:pPr>
            <w:r>
              <w:rPr>
                <w:rFonts w:ascii="Arial" w:cs="Arial" w:eastAsia="Arial" w:hAnsi="Arial"/>
                <w:sz w:val="18"/>
                <w:szCs w:val="18"/>
                <w:b w:val="1"/>
                <w:bCs w:val="1"/>
                <w:color w:val="auto"/>
              </w:rPr>
              <w:t>Percentage of net revenues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15 %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-329565</wp:posOffset>
            </wp:positionV>
            <wp:extent cx="6540500" cy="3492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
                      <a:extLst>
                        <a:ext uri="{28A0092B-C50C-407E-A947-70E740481C1C}"/>
                      </a:extLst>
                    </a:blip>
                    <a:srcRect/>
                    <a:stretch>
                      <a:fillRect/>
                    </a:stretch>
                  </pic:blipFill>
                  <pic:spPr bwMode="auto">
                    <a:xfrm>
                      <a:off x="0" y="0"/>
                      <a:ext cx="6540500" cy="349250"/>
                    </a:xfrm>
                    <a:prstGeom prst="rect">
                      <a:avLst/>
                    </a:prstGeom>
                    <a:noFill/>
                  </pic:spPr>
                </pic:pic>
              </a:graphicData>
            </a:graphic>
          </wp:anchor>
        </w:drawing>
      </w:r>
    </w:p>
    <w:p>
      <w:pPr>
        <w:spacing w:after="0" w:line="154"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Research and development expense decreased by $12.2 million, or 6%, in the year ended December 31, 2025, as compared to the same period in 2024. The decrease was primarily due to actions in connection with the restructuring initiatives implemented at the end of 2024 that lowered personnel-related expenses due to a reduction in headcount by $7.7 million and lowered equipment, supplies and professional services costs by $4.6 million. The amount of research and development expenses may fluctuate from period to period due to the differing levels and stages of development activity for our products.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Sales and Marketing</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720" w:type="dxa"/>
            <w:vAlign w:val="bottom"/>
          </w:tcPr>
          <w:p>
            <w:pPr>
              <w:spacing w:after="0"/>
              <w:rPr>
                <w:sz w:val="18"/>
                <w:szCs w:val="18"/>
                <w:color w:val="auto"/>
              </w:rPr>
            </w:pPr>
          </w:p>
        </w:tc>
        <w:tc>
          <w:tcPr>
            <w:tcW w:w="2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Change in</w:t>
            </w:r>
          </w:p>
        </w:tc>
        <w:tc>
          <w:tcPr>
            <w:tcW w:w="540" w:type="dxa"/>
            <w:vAlign w:val="bottom"/>
            <w:tcBorders>
              <w:bottom w:val="single" w:sz="8" w:color="auto"/>
            </w:tcBorders>
          </w:tcPr>
          <w:p>
            <w:pPr>
              <w:spacing w:after="0"/>
              <w:rPr>
                <w:sz w:val="18"/>
                <w:szCs w:val="18"/>
                <w:color w:val="auto"/>
              </w:rPr>
            </w:pPr>
          </w:p>
        </w:tc>
      </w:tr>
      <w:tr>
        <w:trPr>
          <w:trHeight w:val="235"/>
        </w:trPr>
        <w:tc>
          <w:tcPr>
            <w:tcW w:w="5720" w:type="dxa"/>
            <w:vAlign w:val="bottom"/>
          </w:tcPr>
          <w:p>
            <w:pPr>
              <w:spacing w:after="0"/>
              <w:rPr>
                <w:sz w:val="20"/>
                <w:szCs w:val="20"/>
                <w:color w:val="auto"/>
              </w:rPr>
            </w:pPr>
          </w:p>
        </w:tc>
        <w:tc>
          <w:tcPr>
            <w:tcW w:w="12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w:t>
            </w:r>
          </w:p>
        </w:tc>
      </w:tr>
      <w:tr>
        <w:trPr>
          <w:trHeight w:val="248"/>
        </w:trPr>
        <w:tc>
          <w:tcPr>
            <w:tcW w:w="5720" w:type="dxa"/>
            <w:vAlign w:val="bottom"/>
          </w:tcPr>
          <w:p>
            <w:pPr>
              <w:spacing w:after="0"/>
              <w:rPr>
                <w:sz w:val="21"/>
                <w:szCs w:val="21"/>
                <w:color w:val="auto"/>
              </w:rPr>
            </w:pPr>
          </w:p>
        </w:tc>
        <w:tc>
          <w:tcPr>
            <w:tcW w:w="3960" w:type="dxa"/>
            <w:vAlign w:val="bottom"/>
            <w:gridSpan w:val="8"/>
          </w:tcPr>
          <w:p>
            <w:pPr>
              <w:ind w:left="116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540" w:type="dxa"/>
            <w:vAlign w:val="bottom"/>
          </w:tcPr>
          <w:p>
            <w:pPr>
              <w:spacing w:after="0"/>
              <w:rPr>
                <w:sz w:val="21"/>
                <w:szCs w:val="21"/>
                <w:color w:val="auto"/>
              </w:rPr>
            </w:pPr>
          </w:p>
        </w:tc>
      </w:tr>
      <w:tr>
        <w:trPr>
          <w:trHeight w:val="287"/>
        </w:trPr>
        <w:tc>
          <w:tcPr>
            <w:tcW w:w="5720" w:type="dxa"/>
            <w:vAlign w:val="bottom"/>
          </w:tcPr>
          <w:p>
            <w:pPr>
              <w:spacing w:after="0"/>
              <w:rPr>
                <w:sz w:val="20"/>
                <w:szCs w:val="20"/>
                <w:color w:val="auto"/>
              </w:rPr>
            </w:pPr>
            <w:r>
              <w:rPr>
                <w:rFonts w:ascii="Arial" w:cs="Arial" w:eastAsia="Arial" w:hAnsi="Arial"/>
                <w:sz w:val="18"/>
                <w:szCs w:val="18"/>
                <w:b w:val="1"/>
                <w:bCs w:val="1"/>
                <w:color w:val="auto"/>
              </w:rPr>
              <w:t>Sales and marketing</w:t>
            </w:r>
          </w:p>
        </w:tc>
        <w:tc>
          <w:tcPr>
            <w:tcW w:w="1200" w:type="dxa"/>
            <w:vAlign w:val="bottom"/>
          </w:tcPr>
          <w:p>
            <w:pPr>
              <w:jc w:val="right"/>
              <w:ind w:right="158"/>
              <w:spacing w:after="0"/>
              <w:rPr>
                <w:sz w:val="20"/>
                <w:szCs w:val="20"/>
                <w:color w:val="auto"/>
              </w:rPr>
            </w:pPr>
            <w:r>
              <w:rPr>
                <w:rFonts w:ascii="Arial" w:cs="Arial" w:eastAsia="Arial" w:hAnsi="Arial"/>
                <w:sz w:val="18"/>
                <w:szCs w:val="18"/>
                <w:b w:val="1"/>
                <w:bCs w:val="1"/>
                <w:color w:val="auto"/>
              </w:rPr>
              <w:t>$  197,505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206,552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w w:val="98"/>
              </w:rPr>
              <w:t>(9,047)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55"/>
        </w:trPr>
        <w:tc>
          <w:tcPr>
            <w:tcW w:w="5720" w:type="dxa"/>
            <w:vAlign w:val="bottom"/>
          </w:tcPr>
          <w:p>
            <w:pPr>
              <w:spacing w:after="0"/>
              <w:rPr>
                <w:sz w:val="20"/>
                <w:szCs w:val="20"/>
                <w:color w:val="auto"/>
              </w:rPr>
            </w:pPr>
            <w:r>
              <w:rPr>
                <w:rFonts w:ascii="Arial" w:cs="Arial" w:eastAsia="Arial" w:hAnsi="Arial"/>
                <w:sz w:val="18"/>
                <w:szCs w:val="18"/>
                <w:b w:val="1"/>
                <w:bCs w:val="1"/>
                <w:color w:val="auto"/>
              </w:rPr>
              <w:t>Percentage of net revenues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16 %</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-329565</wp:posOffset>
            </wp:positionV>
            <wp:extent cx="6540500" cy="3492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
                      <a:extLst>
                        <a:ext uri="{28A0092B-C50C-407E-A947-70E740481C1C}"/>
                      </a:extLst>
                    </a:blip>
                    <a:srcRect/>
                    <a:stretch>
                      <a:fillRect/>
                    </a:stretch>
                  </pic:blipFill>
                  <pic:spPr bwMode="auto">
                    <a:xfrm>
                      <a:off x="0" y="0"/>
                      <a:ext cx="6540500" cy="349250"/>
                    </a:xfrm>
                    <a:prstGeom prst="rect">
                      <a:avLst/>
                    </a:prstGeom>
                    <a:noFill/>
                  </pic:spPr>
                </pic:pic>
              </a:graphicData>
            </a:graphic>
          </wp:anchor>
        </w:drawing>
      </w:r>
    </w:p>
    <w:p>
      <w:pPr>
        <w:spacing w:after="0" w:line="154" w:lineRule="exact"/>
        <w:rPr>
          <w:sz w:val="20"/>
          <w:szCs w:val="20"/>
          <w:color w:val="auto"/>
        </w:rPr>
      </w:pPr>
    </w:p>
    <w:p>
      <w:pPr>
        <w:jc w:val="both"/>
        <w:ind w:firstLine="540"/>
        <w:spacing w:after="0" w:line="295" w:lineRule="auto"/>
        <w:rPr>
          <w:sz w:val="20"/>
          <w:szCs w:val="20"/>
          <w:color w:val="auto"/>
        </w:rPr>
      </w:pPr>
      <w:r>
        <w:rPr>
          <w:rFonts w:ascii="Arial" w:cs="Arial" w:eastAsia="Arial" w:hAnsi="Arial"/>
          <w:sz w:val="18"/>
          <w:szCs w:val="18"/>
          <w:b w:val="1"/>
          <w:bCs w:val="1"/>
          <w:color w:val="auto"/>
        </w:rPr>
        <w:t>Sales and marketing expense decreased by $9.0 million, or 4%, in the year ended December 31, 2025, as compared to the same period in 2024. The decrease was primarily due to actions in connection with the restructuring initiatives implemented at the end of 2024 that lowered personnel-related expenses by $2.8 million as a result of moving certain functions to cost efficient regions and leveraging advanced artificial intelligence tools, lowered professional services by $3.2 million and other sales and marketing operating expenses by $3.0 million.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020" w:type="dxa"/>
            <w:vAlign w:val="bottom"/>
          </w:tcPr>
          <w:p>
            <w:pPr>
              <w:spacing w:after="0"/>
              <w:rPr>
                <w:sz w:val="18"/>
                <w:szCs w:val="18"/>
                <w:color w:val="auto"/>
              </w:rPr>
            </w:pPr>
          </w:p>
        </w:tc>
        <w:tc>
          <w:tcPr>
            <w:tcW w:w="2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Change in</w:t>
            </w:r>
          </w:p>
        </w:tc>
        <w:tc>
          <w:tcPr>
            <w:tcW w:w="520" w:type="dxa"/>
            <w:vAlign w:val="bottom"/>
            <w:tcBorders>
              <w:bottom w:val="single" w:sz="8" w:color="auto"/>
            </w:tcBorders>
          </w:tcPr>
          <w:p>
            <w:pPr>
              <w:spacing w:after="0"/>
              <w:rPr>
                <w:sz w:val="18"/>
                <w:szCs w:val="18"/>
                <w:color w:val="auto"/>
              </w:rPr>
            </w:pPr>
          </w:p>
        </w:tc>
      </w:tr>
      <w:tr>
        <w:trPr>
          <w:trHeight w:val="235"/>
        </w:trPr>
        <w:tc>
          <w:tcPr>
            <w:tcW w:w="6020" w:type="dxa"/>
            <w:vAlign w:val="bottom"/>
          </w:tcPr>
          <w:p>
            <w:pPr>
              <w:spacing w:after="0"/>
              <w:rPr>
                <w:sz w:val="20"/>
                <w:szCs w:val="20"/>
                <w:color w:val="auto"/>
              </w:rPr>
            </w:pPr>
          </w:p>
        </w:tc>
        <w:tc>
          <w:tcPr>
            <w:tcW w:w="11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w:t>
            </w:r>
          </w:p>
        </w:tc>
      </w:tr>
      <w:tr>
        <w:trPr>
          <w:trHeight w:val="248"/>
        </w:trPr>
        <w:tc>
          <w:tcPr>
            <w:tcW w:w="6020" w:type="dxa"/>
            <w:vAlign w:val="bottom"/>
          </w:tcPr>
          <w:p>
            <w:pPr>
              <w:spacing w:after="0"/>
              <w:rPr>
                <w:sz w:val="21"/>
                <w:szCs w:val="21"/>
                <w:color w:val="auto"/>
              </w:rPr>
            </w:pPr>
          </w:p>
        </w:tc>
        <w:tc>
          <w:tcPr>
            <w:tcW w:w="3680" w:type="dxa"/>
            <w:vAlign w:val="bottom"/>
            <w:gridSpan w:val="8"/>
          </w:tcPr>
          <w:p>
            <w:pPr>
              <w:ind w:left="100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520" w:type="dxa"/>
            <w:vAlign w:val="bottom"/>
          </w:tcPr>
          <w:p>
            <w:pPr>
              <w:spacing w:after="0"/>
              <w:rPr>
                <w:sz w:val="21"/>
                <w:szCs w:val="21"/>
                <w:color w:val="auto"/>
              </w:rPr>
            </w:pPr>
          </w:p>
        </w:tc>
      </w:tr>
      <w:tr>
        <w:trPr>
          <w:trHeight w:val="287"/>
        </w:trPr>
        <w:tc>
          <w:tcPr>
            <w:tcW w:w="602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100" w:type="dxa"/>
            <w:vAlign w:val="bottom"/>
          </w:tcPr>
          <w:p>
            <w:pPr>
              <w:jc w:val="right"/>
              <w:ind w:right="158"/>
              <w:spacing w:after="0"/>
              <w:rPr>
                <w:sz w:val="20"/>
                <w:szCs w:val="20"/>
                <w:color w:val="auto"/>
              </w:rPr>
            </w:pPr>
            <w:r>
              <w:rPr>
                <w:rFonts w:ascii="Arial" w:cs="Arial" w:eastAsia="Arial" w:hAnsi="Arial"/>
                <w:sz w:val="18"/>
                <w:szCs w:val="18"/>
                <w:b w:val="1"/>
                <w:bCs w:val="1"/>
                <w:color w:val="auto"/>
              </w:rPr>
              <w:t>$ 135,767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$ 130,825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rPr>
              <w:t>4,942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4 %</w:t>
            </w:r>
          </w:p>
        </w:tc>
      </w:tr>
      <w:tr>
        <w:trPr>
          <w:trHeight w:val="255"/>
        </w:trPr>
        <w:tc>
          <w:tcPr>
            <w:tcW w:w="6020" w:type="dxa"/>
            <w:vAlign w:val="bottom"/>
          </w:tcPr>
          <w:p>
            <w:pPr>
              <w:spacing w:after="0"/>
              <w:rPr>
                <w:sz w:val="20"/>
                <w:szCs w:val="20"/>
                <w:color w:val="auto"/>
              </w:rPr>
            </w:pPr>
            <w:r>
              <w:rPr>
                <w:rFonts w:ascii="Arial" w:cs="Arial" w:eastAsia="Arial" w:hAnsi="Arial"/>
                <w:sz w:val="18"/>
                <w:szCs w:val="18"/>
                <w:b w:val="1"/>
                <w:bCs w:val="1"/>
                <w:color w:val="auto"/>
              </w:rPr>
              <w:t>Percentage of net revenues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10 %</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-329565</wp:posOffset>
            </wp:positionV>
            <wp:extent cx="6540500" cy="3492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
                      <a:extLst>
                        <a:ext uri="{28A0092B-C50C-407E-A947-70E740481C1C}"/>
                      </a:extLst>
                    </a:blip>
                    <a:srcRect/>
                    <a:stretch>
                      <a:fillRect/>
                    </a:stretch>
                  </pic:blipFill>
                  <pic:spPr bwMode="auto">
                    <a:xfrm>
                      <a:off x="0" y="0"/>
                      <a:ext cx="6540500" cy="349250"/>
                    </a:xfrm>
                    <a:prstGeom prst="rect">
                      <a:avLst/>
                    </a:prstGeom>
                    <a:noFill/>
                  </pic:spPr>
                </pic:pic>
              </a:graphicData>
            </a:graphic>
          </wp:anchor>
        </w:drawing>
      </w:r>
    </w:p>
    <w:p>
      <w:pPr>
        <w:spacing w:after="0" w:line="154"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20"/>
          <w:szCs w:val="20"/>
          <w:b w:val="1"/>
          <w:bCs w:val="1"/>
          <w:color w:val="auto"/>
        </w:rPr>
        <w:t>General and administrative expense increased by $4.9 million, or 4%, in the year ended December 31, 2025, as compared to the same period in 2024. The increase was primarily due to a $3.5 million increase in higher personnel-related expenses due to our bonus program and stock-based compensation and $1.4 million higher legal and other professional services.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Restructuring and Asset Impairment Charges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92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Change in</w:t>
            </w:r>
          </w:p>
        </w:tc>
        <w:tc>
          <w:tcPr>
            <w:tcW w:w="560" w:type="dxa"/>
            <w:vAlign w:val="bottom"/>
            <w:tcBorders>
              <w:bottom w:val="single" w:sz="8" w:color="auto"/>
            </w:tcBorders>
          </w:tcPr>
          <w:p>
            <w:pPr>
              <w:spacing w:after="0"/>
              <w:rPr>
                <w:sz w:val="18"/>
                <w:szCs w:val="18"/>
                <w:color w:val="auto"/>
              </w:rPr>
            </w:pPr>
          </w:p>
        </w:tc>
      </w:tr>
      <w:tr>
        <w:trPr>
          <w:trHeight w:val="205"/>
        </w:trPr>
        <w:tc>
          <w:tcPr>
            <w:tcW w:w="5920" w:type="dxa"/>
            <w:vAlign w:val="bottom"/>
          </w:tcPr>
          <w:p>
            <w:pPr>
              <w:spacing w:after="0"/>
              <w:rPr>
                <w:sz w:val="17"/>
                <w:szCs w:val="17"/>
                <w:color w:val="auto"/>
              </w:rPr>
            </w:pPr>
          </w:p>
        </w:tc>
        <w:tc>
          <w:tcPr>
            <w:tcW w:w="11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7"/>
                <w:szCs w:val="17"/>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w:t>
            </w:r>
          </w:p>
        </w:tc>
      </w:tr>
      <w:tr>
        <w:trPr>
          <w:trHeight w:val="188"/>
        </w:trPr>
        <w:tc>
          <w:tcPr>
            <w:tcW w:w="5920" w:type="dxa"/>
            <w:vAlign w:val="bottom"/>
          </w:tcPr>
          <w:p>
            <w:pPr>
              <w:spacing w:after="0"/>
              <w:rPr>
                <w:sz w:val="16"/>
                <w:szCs w:val="16"/>
                <w:color w:val="auto"/>
              </w:rPr>
            </w:pPr>
          </w:p>
        </w:tc>
        <w:tc>
          <w:tcPr>
            <w:tcW w:w="3740" w:type="dxa"/>
            <w:vAlign w:val="bottom"/>
            <w:gridSpan w:val="8"/>
          </w:tcPr>
          <w:p>
            <w:pPr>
              <w:ind w:left="104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560" w:type="dxa"/>
            <w:vAlign w:val="bottom"/>
          </w:tcPr>
          <w:p>
            <w:pPr>
              <w:spacing w:after="0"/>
              <w:rPr>
                <w:sz w:val="16"/>
                <w:szCs w:val="16"/>
                <w:color w:val="auto"/>
              </w:rPr>
            </w:pPr>
          </w:p>
        </w:tc>
      </w:tr>
      <w:tr>
        <w:trPr>
          <w:trHeight w:val="287"/>
        </w:trPr>
        <w:tc>
          <w:tcPr>
            <w:tcW w:w="5920" w:type="dxa"/>
            <w:vAlign w:val="bottom"/>
          </w:tcPr>
          <w:p>
            <w:pPr>
              <w:spacing w:after="0"/>
              <w:rPr>
                <w:sz w:val="20"/>
                <w:szCs w:val="20"/>
                <w:color w:val="auto"/>
              </w:rPr>
            </w:pPr>
            <w:r>
              <w:rPr>
                <w:rFonts w:ascii="Arial" w:cs="Arial" w:eastAsia="Arial" w:hAnsi="Arial"/>
                <w:sz w:val="18"/>
                <w:szCs w:val="18"/>
                <w:b w:val="1"/>
                <w:bCs w:val="1"/>
                <w:color w:val="auto"/>
              </w:rPr>
              <w:t>Restructuring and asset impairment charges</w:t>
            </w:r>
          </w:p>
        </w:tc>
        <w:tc>
          <w:tcPr>
            <w:tcW w:w="1100" w:type="dxa"/>
            <w:vAlign w:val="bottom"/>
          </w:tcPr>
          <w:p>
            <w:pPr>
              <w:jc w:val="right"/>
              <w:ind w:right="158"/>
              <w:spacing w:after="0"/>
              <w:rPr>
                <w:sz w:val="20"/>
                <w:szCs w:val="20"/>
                <w:color w:val="auto"/>
              </w:rPr>
            </w:pPr>
            <w:r>
              <w:rPr>
                <w:rFonts w:ascii="Arial" w:cs="Arial" w:eastAsia="Arial" w:hAnsi="Arial"/>
                <w:sz w:val="18"/>
                <w:szCs w:val="18"/>
                <w:b w:val="1"/>
                <w:bCs w:val="1"/>
                <w:color w:val="auto"/>
              </w:rPr>
              <w:t>$   7,131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13,154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w w:val="98"/>
              </w:rPr>
              <w:t>(6,023)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55"/>
        </w:trPr>
        <w:tc>
          <w:tcPr>
            <w:tcW w:w="5920" w:type="dxa"/>
            <w:vAlign w:val="bottom"/>
          </w:tcPr>
          <w:p>
            <w:pPr>
              <w:spacing w:after="0"/>
              <w:rPr>
                <w:sz w:val="20"/>
                <w:szCs w:val="20"/>
                <w:color w:val="auto"/>
              </w:rPr>
            </w:pPr>
            <w:r>
              <w:rPr>
                <w:rFonts w:ascii="Arial" w:cs="Arial" w:eastAsia="Arial" w:hAnsi="Arial"/>
                <w:sz w:val="18"/>
                <w:szCs w:val="18"/>
                <w:b w:val="1"/>
                <w:bCs w:val="1"/>
                <w:color w:val="auto"/>
              </w:rPr>
              <w:t>Percentage of net revenues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0.5 %</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1.0 %</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-329565</wp:posOffset>
            </wp:positionV>
            <wp:extent cx="6540500" cy="349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
                      <a:extLst>
                        <a:ext uri="{28A0092B-C50C-407E-A947-70E740481C1C}"/>
                      </a:extLst>
                    </a:blip>
                    <a:srcRect/>
                    <a:stretch>
                      <a:fillRect/>
                    </a:stretch>
                  </pic:blipFill>
                  <pic:spPr bwMode="auto">
                    <a:xfrm>
                      <a:off x="0" y="0"/>
                      <a:ext cx="6540500" cy="349250"/>
                    </a:xfrm>
                    <a:prstGeom prst="rect">
                      <a:avLst/>
                    </a:prstGeom>
                    <a:noFill/>
                  </pic:spPr>
                </pic:pic>
              </a:graphicData>
            </a:graphic>
          </wp:anchor>
        </w:drawing>
      </w:r>
    </w:p>
    <w:p>
      <w:pPr>
        <w:spacing w:after="0" w:line="154"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Restructuring and asset impairment charges of $7.1 million in the year ended December 31, 2025, primarily consisted of $5.2 million of employee related expenses, $1.7 million of asset impairment charges and $0.2 million of contract termination charges. Restructuring and asset impairment charges of $13.2 million the year ended December 31, 2024, primarily consisted of $6.4 million of employee severance, one-time benefits and other employee related expenses, $2.0 million of contract termination charges and $4.8 million of asset impairment charges.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1022350</wp:posOffset>
                </wp:positionV>
                <wp:extent cx="633412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80.5pt" to="505.35pt,8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1022350</wp:posOffset>
                </wp:positionV>
                <wp:extent cx="633412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80.5pt" to="505.35pt,80.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55</w:t>
      </w:r>
    </w:p>
    <w:p>
      <w:pPr>
        <w:sectPr>
          <w:pgSz w:w="12240" w:h="15840" w:orient="portrait"/>
          <w:cols w:equalWidth="0" w:num="1">
            <w:col w:w="10260"/>
          </w:cols>
          <w:pgMar w:left="1000" w:top="216" w:right="98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660" w:type="dxa"/>
            <w:vAlign w:val="bottom"/>
          </w:tcPr>
          <w:p>
            <w:pPr>
              <w:spacing w:after="0"/>
              <w:rPr>
                <w:sz w:val="18"/>
                <w:szCs w:val="18"/>
                <w:color w:val="auto"/>
              </w:rPr>
            </w:pPr>
          </w:p>
        </w:tc>
        <w:tc>
          <w:tcPr>
            <w:tcW w:w="232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Change in</w:t>
            </w:r>
          </w:p>
        </w:tc>
        <w:tc>
          <w:tcPr>
            <w:tcW w:w="620" w:type="dxa"/>
            <w:vAlign w:val="bottom"/>
            <w:tcBorders>
              <w:bottom w:val="single" w:sz="8" w:color="auto"/>
            </w:tcBorders>
          </w:tcPr>
          <w:p>
            <w:pPr>
              <w:spacing w:after="0"/>
              <w:rPr>
                <w:sz w:val="18"/>
                <w:szCs w:val="18"/>
                <w:color w:val="auto"/>
              </w:rPr>
            </w:pPr>
          </w:p>
        </w:tc>
      </w:tr>
      <w:tr>
        <w:trPr>
          <w:trHeight w:val="220"/>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w:t>
            </w:r>
          </w:p>
        </w:tc>
      </w:tr>
      <w:tr>
        <w:trPr>
          <w:trHeight w:val="248"/>
        </w:trPr>
        <w:tc>
          <w:tcPr>
            <w:tcW w:w="5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0" w:type="dxa"/>
            <w:vAlign w:val="bottom"/>
            <w:gridSpan w:val="8"/>
          </w:tcPr>
          <w:p>
            <w:pPr>
              <w:ind w:left="4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620" w:type="dxa"/>
            <w:vAlign w:val="bottom"/>
          </w:tcPr>
          <w:p>
            <w:pPr>
              <w:spacing w:after="0"/>
              <w:rPr>
                <w:sz w:val="21"/>
                <w:szCs w:val="21"/>
                <w:color w:val="auto"/>
              </w:rPr>
            </w:pPr>
          </w:p>
        </w:tc>
      </w:tr>
      <w:tr>
        <w:trPr>
          <w:trHeight w:val="287"/>
        </w:trPr>
        <w:tc>
          <w:tcPr>
            <w:tcW w:w="56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62,722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77,306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(14,584)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55"/>
        </w:trPr>
        <w:tc>
          <w:tcPr>
            <w:tcW w:w="56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(4,521)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(8,905)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4,384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55"/>
        </w:trPr>
        <w:tc>
          <w:tcPr>
            <w:tcW w:w="566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(10,913)</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(25,534)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215"/>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other income, net</w:t>
            </w:r>
          </w:p>
        </w:tc>
        <w:tc>
          <w:tcPr>
            <w:tcW w:w="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47,288</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42,867</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-678815</wp:posOffset>
            </wp:positionV>
            <wp:extent cx="6540500" cy="6985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3">
                      <a:extLst>
                        <a:ext uri="{28A0092B-C50C-407E-A947-70E740481C1C}"/>
                      </a:extLst>
                    </a:blip>
                    <a:srcRect/>
                    <a:stretch>
                      <a:fillRect/>
                    </a:stretch>
                  </pic:blipFill>
                  <pic:spPr bwMode="auto">
                    <a:xfrm>
                      <a:off x="0" y="0"/>
                      <a:ext cx="6540500" cy="698500"/>
                    </a:xfrm>
                    <a:prstGeom prst="rect">
                      <a:avLst/>
                    </a:prstGeom>
                    <a:noFill/>
                  </pic:spPr>
                </pic:pic>
              </a:graphicData>
            </a:graphic>
          </wp:anchor>
        </w:drawing>
      </w:r>
    </w:p>
    <w:p>
      <w:pPr>
        <w:spacing w:after="0" w:line="115"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Interest income of $62.7 million decreased in the year ended December 31, 2025, as compared to $77.3 million in the year ended December 31, 2024, primarily due to lower average cash, cash equivalents and marketable securities, and lower interest rates.</w:t>
      </w:r>
    </w:p>
    <w:p>
      <w:pPr>
        <w:spacing w:after="0" w:line="7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Interest expense of $4.5 million in the year ended December 31, 2025 primarily included $4.5 million for the coupon interest, debt discount amortization with our 0.25% convertible senior notes due 2025 (the “Notes due 2025”), and amortization of debt issuance costs with the Notes due 2025, Notes due 2026 and Notes due 2028 and other interest. Interest expense of $8.9 million in the year ended December 31, 2024, primarily included $8.9 million for the coupon interest, debt discount amortization with the Notes due 2025, and amortization of debt issuance costs with the Notes due 2025, Notes due 2026 and Notes due 2028.</w:t>
      </w:r>
    </w:p>
    <w:p>
      <w:pPr>
        <w:spacing w:after="0" w:line="82"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18"/>
          <w:szCs w:val="18"/>
          <w:b w:val="1"/>
          <w:bCs w:val="1"/>
          <w:color w:val="auto"/>
        </w:rPr>
        <w:t>Other expense, net, of $10.9 million in the year ended December 31, 2025 primarily consisted of $9.8 million non-cash expense related to change in the fair value of debt securities, $1.0 million net loss due to foreign currency denominated monetary assets and liabilities and $0.2 million change in the fair value of our tax equity fund investment, partially offset by $0.1 million realized gain from sale of marketable securities. Other expense, net, of $25.5 million in the year ended December 31, 2024 primarily related to $23.0 million impairment of investments in private companies and $5.0 million net loss due to foreign currency denominated monetary assets and liabilities, partially offset by a $2.0 million non-cash net gain related to change in the fair value of debt securities, $0.3 million of miscellaneous other income and $0.2 million realized gain from sale of marketable securities.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Provision</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62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Change in</w:t>
            </w:r>
          </w:p>
        </w:tc>
        <w:tc>
          <w:tcPr>
            <w:tcW w:w="560" w:type="dxa"/>
            <w:vAlign w:val="bottom"/>
            <w:tcBorders>
              <w:bottom w:val="single" w:sz="8" w:color="auto"/>
            </w:tcBorders>
          </w:tcPr>
          <w:p>
            <w:pPr>
              <w:spacing w:after="0"/>
              <w:rPr>
                <w:sz w:val="18"/>
                <w:szCs w:val="18"/>
                <w:color w:val="auto"/>
              </w:rPr>
            </w:pPr>
          </w:p>
        </w:tc>
      </w:tr>
      <w:tr>
        <w:trPr>
          <w:trHeight w:val="235"/>
        </w:trPr>
        <w:tc>
          <w:tcPr>
            <w:tcW w:w="5620" w:type="dxa"/>
            <w:vAlign w:val="bottom"/>
          </w:tcPr>
          <w:p>
            <w:pPr>
              <w:spacing w:after="0"/>
              <w:rPr>
                <w:sz w:val="20"/>
                <w:szCs w:val="20"/>
                <w:color w:val="auto"/>
              </w:rPr>
            </w:pP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w:t>
            </w:r>
          </w:p>
        </w:tc>
      </w:tr>
      <w:tr>
        <w:trPr>
          <w:trHeight w:val="260"/>
        </w:trPr>
        <w:tc>
          <w:tcPr>
            <w:tcW w:w="5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20" w:type="dxa"/>
            <w:vAlign w:val="bottom"/>
            <w:gridSpan w:val="8"/>
          </w:tcPr>
          <w:p>
            <w:pPr>
              <w:ind w:left="8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560" w:type="dxa"/>
            <w:vAlign w:val="bottom"/>
          </w:tcPr>
          <w:p>
            <w:pPr>
              <w:spacing w:after="0"/>
              <w:rPr>
                <w:sz w:val="22"/>
                <w:szCs w:val="22"/>
                <w:color w:val="auto"/>
              </w:rPr>
            </w:pPr>
          </w:p>
        </w:tc>
      </w:tr>
      <w:tr>
        <w:trPr>
          <w:trHeight w:val="260"/>
        </w:trPr>
        <w:tc>
          <w:tcPr>
            <w:tcW w:w="562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1120" w:type="dxa"/>
            <w:vAlign w:val="bottom"/>
          </w:tcPr>
          <w:p>
            <w:pPr>
              <w:jc w:val="right"/>
              <w:ind w:right="17"/>
              <w:spacing w:after="0"/>
              <w:rPr>
                <w:sz w:val="20"/>
                <w:szCs w:val="20"/>
                <w:color w:val="auto"/>
              </w:rPr>
            </w:pPr>
            <w:r>
              <w:rPr>
                <w:rFonts w:ascii="Arial" w:cs="Arial" w:eastAsia="Arial" w:hAnsi="Arial"/>
                <w:sz w:val="18"/>
                <w:szCs w:val="18"/>
                <w:b w:val="1"/>
                <w:bCs w:val="1"/>
                <w:color w:val="auto"/>
              </w:rPr>
              <w:t>$  (32,681)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  (17,501)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(15,180)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-167640</wp:posOffset>
            </wp:positionV>
            <wp:extent cx="6540500" cy="1873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
                      <a:extLst>
                        <a:ext uri="{28A0092B-C50C-407E-A947-70E740481C1C}"/>
                      </a:extLst>
                    </a:blip>
                    <a:srcRect/>
                    <a:stretch>
                      <a:fillRect/>
                    </a:stretch>
                  </pic:blipFill>
                  <pic:spPr bwMode="auto">
                    <a:xfrm>
                      <a:off x="0" y="0"/>
                      <a:ext cx="6540500" cy="187325"/>
                    </a:xfrm>
                    <a:prstGeom prst="rect">
                      <a:avLst/>
                    </a:prstGeom>
                    <a:noFill/>
                  </pic:spPr>
                </pic:pic>
              </a:graphicData>
            </a:graphic>
          </wp:anchor>
        </w:drawing>
      </w:r>
    </w:p>
    <w:p>
      <w:pPr>
        <w:spacing w:after="0" w:line="154"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The income tax provision was $32.7 million in the year ended December 31, 2025, as compared to $17.5 million in the same period in 2024. The increase was primarily due to higher projected tax expense as our operations in U.S. and foreign jurisdictions were more profitable in 2025, an increase in tax expense from equity compensation shortfalls in 2025, and prior year true up adjustments in 2025, as compared to the same period in 2024.</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Sources of Liquidity</w:t>
      </w:r>
    </w:p>
    <w:p>
      <w:pPr>
        <w:spacing w:after="0" w:line="128" w:lineRule="exact"/>
        <w:rPr>
          <w:sz w:val="20"/>
          <w:szCs w:val="20"/>
          <w:color w:val="auto"/>
        </w:rPr>
      </w:pPr>
    </w:p>
    <w:p>
      <w:pPr>
        <w:jc w:val="both"/>
        <w:ind w:right="20" w:firstLine="540"/>
        <w:spacing w:after="0" w:line="272" w:lineRule="auto"/>
        <w:rPr>
          <w:sz w:val="20"/>
          <w:szCs w:val="20"/>
          <w:color w:val="auto"/>
        </w:rPr>
      </w:pPr>
      <w:r>
        <w:rPr>
          <w:rFonts w:ascii="Arial" w:cs="Arial" w:eastAsia="Arial" w:hAnsi="Arial"/>
          <w:sz w:val="19"/>
          <w:szCs w:val="19"/>
          <w:b w:val="1"/>
          <w:bCs w:val="1"/>
          <w:color w:val="auto"/>
        </w:rPr>
        <w:t>As of December 31, 2025, we had $1.3 billion in net working capital, including cash, cash equivalents and marketable securities of approximately $1.5 billion, of which approximately $1.4 billion were held in the United States. Our cash, cash equivalents and marketable securities primarily consist of U.S. Government agency securities and treasuries, money market mutual funds, corporate notes and bonds, commercial paper and certificate of deposit, and both interest-bearing and non-interest-bearing deposits, with the remainder held in various foreign subsidiaries. We consider amounts held outside the United States to be accessible and have provided for the estimated withholding tax liability on the repatriation of our foreign earnings.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1301115</wp:posOffset>
                </wp:positionV>
                <wp:extent cx="633412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2.45pt" to="505.35pt,10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1301115</wp:posOffset>
                </wp:positionV>
                <wp:extent cx="633412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2.45pt" to="505.35pt,102.4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56</w:t>
      </w:r>
    </w:p>
    <w:p>
      <w:pPr>
        <w:sectPr>
          <w:pgSz w:w="12240" w:h="15840" w:orient="portrait"/>
          <w:cols w:equalWidth="0" w:num="1">
            <w:col w:w="10260"/>
          </w:cols>
          <w:pgMar w:left="1000" w:top="216" w:right="98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Change in</w:t>
            </w:r>
          </w:p>
        </w:tc>
        <w:tc>
          <w:tcPr>
            <w:tcW w:w="840" w:type="dxa"/>
            <w:vAlign w:val="bottom"/>
            <w:tcBorders>
              <w:bottom w:val="single" w:sz="8" w:color="auto"/>
            </w:tcBorders>
          </w:tcPr>
          <w:p>
            <w:pPr>
              <w:spacing w:after="0"/>
              <w:rPr>
                <w:sz w:val="18"/>
                <w:szCs w:val="18"/>
                <w:color w:val="auto"/>
              </w:rPr>
            </w:pPr>
          </w:p>
        </w:tc>
      </w:tr>
      <w:tr>
        <w:trPr>
          <w:trHeight w:val="220"/>
        </w:trPr>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w:t>
            </w:r>
          </w:p>
        </w:tc>
      </w:tr>
      <w:tr>
        <w:trPr>
          <w:trHeight w:val="290"/>
        </w:trPr>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ind w:left="6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840" w:type="dxa"/>
            <w:vAlign w:val="bottom"/>
          </w:tcPr>
          <w:p>
            <w:pPr>
              <w:spacing w:after="0"/>
              <w:rPr>
                <w:sz w:val="24"/>
                <w:szCs w:val="24"/>
                <w:color w:val="auto"/>
              </w:rPr>
            </w:pPr>
          </w:p>
        </w:tc>
      </w:tr>
      <w:tr>
        <w:trPr>
          <w:trHeight w:val="260"/>
        </w:trPr>
        <w:tc>
          <w:tcPr>
            <w:tcW w:w="4760" w:type="dxa"/>
            <w:vAlign w:val="bottom"/>
          </w:tcPr>
          <w:p>
            <w:pPr>
              <w:spacing w:after="0"/>
              <w:rPr>
                <w:sz w:val="20"/>
                <w:szCs w:val="20"/>
                <w:color w:val="auto"/>
              </w:rPr>
            </w:pPr>
            <w:r>
              <w:rPr>
                <w:rFonts w:ascii="Arial" w:cs="Arial" w:eastAsia="Arial" w:hAnsi="Arial"/>
                <w:sz w:val="18"/>
                <w:szCs w:val="18"/>
                <w:b w:val="1"/>
                <w:bCs w:val="1"/>
                <w:color w:val="auto"/>
              </w:rPr>
              <w:t>Cash, cash equivalents and marketable securities</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1,512,854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1,717,596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(204,742)</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55"/>
        </w:trPr>
        <w:tc>
          <w:tcPr>
            <w:tcW w:w="476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1,204,377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1,302,380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(98,003)</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-329565</wp:posOffset>
            </wp:positionV>
            <wp:extent cx="6540500" cy="3492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5">
                      <a:extLst>
                        <a:ext uri="{28A0092B-C50C-407E-A947-70E740481C1C}"/>
                      </a:extLst>
                    </a:blip>
                    <a:srcRect/>
                    <a:stretch>
                      <a:fillRect/>
                    </a:stretch>
                  </pic:blipFill>
                  <pic:spPr bwMode="auto">
                    <a:xfrm>
                      <a:off x="0" y="0"/>
                      <a:ext cx="6540500" cy="349250"/>
                    </a:xfrm>
                    <a:prstGeom prst="rect">
                      <a:avLst/>
                    </a:prstGeom>
                    <a:noFill/>
                  </pic:spPr>
                </pic:pic>
              </a:graphicData>
            </a:graphic>
          </wp:anchor>
        </w:drawing>
      </w:r>
    </w:p>
    <w:p>
      <w:pPr>
        <w:spacing w:after="0" w:line="154"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Our cash, cash equivalents and marketable securities decreased by $204.7 million from December 31, 2024 to December 31, 2025, primarily due to repurchases of common stock pursuant to our share repurchase program, payoff of the Notes due 2025, investments in private and public companies, issuance of loan receivables and payments of withholding taxes related to net share settlement of equity awards, partially offset by cash generated from operations.</w:t>
      </w:r>
    </w:p>
    <w:p>
      <w:pPr>
        <w:spacing w:after="0" w:line="79"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Total carrying amount of debt decreased by $98.0 million from December 31, 2024 to December 31, 2025, primarily due to the payoff of the Notes due 2025, partially offset by accretion of issuance costs.</w:t>
      </w:r>
    </w:p>
    <w:p>
      <w:pPr>
        <w:spacing w:after="0" w:line="50" w:lineRule="exact"/>
        <w:rPr>
          <w:sz w:val="20"/>
          <w:szCs w:val="20"/>
          <w:color w:val="auto"/>
        </w:rPr>
      </w:pPr>
    </w:p>
    <w:p>
      <w:pPr>
        <w:jc w:val="both"/>
        <w:ind w:right="20" w:firstLine="540"/>
        <w:spacing w:after="0" w:line="276" w:lineRule="auto"/>
        <w:rPr>
          <w:sz w:val="20"/>
          <w:szCs w:val="20"/>
          <w:color w:val="auto"/>
        </w:rPr>
      </w:pPr>
      <w:r>
        <w:rPr>
          <w:rFonts w:ascii="Arial" w:cs="Arial" w:eastAsia="Arial" w:hAnsi="Arial"/>
          <w:sz w:val="19"/>
          <w:szCs w:val="19"/>
          <w:b w:val="1"/>
          <w:bCs w:val="1"/>
          <w:color w:val="auto"/>
        </w:rPr>
        <w:t>We expect our principal short-term cash requirements (over the next 12 months) to include working capital, strategic investments, acquisitions, repurchases of common stock and payments of withholding taxes for net share settlement of employee equity awards, payments on our outstanding debt, and purchases of property and equipment. We plan to fund any cash requirements for the next 12 months from our existing cash, cash equivalents and marketable securities on hand, and cash generated from operations.</w:t>
      </w:r>
    </w:p>
    <w:p>
      <w:pPr>
        <w:spacing w:after="0" w:line="64"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0"/>
          <w:szCs w:val="20"/>
          <w:b w:val="1"/>
          <w:bCs w:val="1"/>
          <w:color w:val="auto"/>
        </w:rPr>
        <w:t>For the long-term period (beyond 12 months), we plan to continue growing cash flows from operations to support our business operations and strategic investment plans. We regularly evaluate our liquidity position, debt obligations and anticipated cash needs. As part of this ongoing assessment, we may pursue additional financing through the issuance of equity or the debt financing, as necessary, to support our operational and investment needs.</w:t>
      </w:r>
    </w:p>
    <w:p>
      <w:pPr>
        <w:spacing w:after="0" w:line="7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0"/>
          <w:szCs w:val="20"/>
          <w:b w:val="1"/>
          <w:bCs w:val="1"/>
          <w:color w:val="auto"/>
        </w:rPr>
        <w:t>We anticipate that access to the debt market will be more constrained compared to prior periods due to elevated interest rates and recent policy changes to solar tax incentives following the enactment of the OBBBA. Our ability to secure debt or any other additional financing that we may choose to, or need to, obtain will depend on, various factors including our development efforts, business plans, operating performance and prevailing capital market conditions.</w:t>
      </w:r>
    </w:p>
    <w:p>
      <w:pPr>
        <w:spacing w:after="0" w:line="79"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8"/>
          <w:szCs w:val="18"/>
          <w:b w:val="1"/>
          <w:bCs w:val="1"/>
          <w:i w:val="1"/>
          <w:iCs w:val="1"/>
          <w:color w:val="auto"/>
        </w:rPr>
        <w:t>Repurchase of Common Stock</w:t>
      </w:r>
      <w:r>
        <w:rPr>
          <w:rFonts w:ascii="Arial" w:cs="Arial" w:eastAsia="Arial" w:hAnsi="Arial"/>
          <w:sz w:val="18"/>
          <w:szCs w:val="18"/>
          <w:b w:val="1"/>
          <w:bCs w:val="1"/>
          <w:color w:val="auto"/>
        </w:rPr>
        <w:t>. In July 2023, our board of directors authorized the 2023 Repurchase Program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pursuant to which we were authorized to repurchase up to $1.0 billion of our common stock. The repurchases could be funded from available working capital and marketable securities, and could be executed from time to time, subject to general business and market conditions and other investment opportunities, through open market purchases or privately negotiated transactions, including through Rule 10b5-1 plans. The 2023 Repurchase Program may be discontinued or amended at any time and expires on July 26, 2026. As of December 31, 2025, we had approximately $268.7 million remaining for repurchase of shares under the 2023 Repurchase Program. For more information on the 2023 Repurchase Program, refer to </w:t>
      </w:r>
      <w:r>
        <w:rPr>
          <w:rFonts w:ascii="Arial" w:cs="Arial" w:eastAsia="Arial" w:hAnsi="Arial"/>
          <w:sz w:val="18"/>
          <w:szCs w:val="18"/>
          <w:b w:val="1"/>
          <w:bCs w:val="1"/>
          <w:color w:val="0000FF"/>
        </w:rPr>
        <w:t>Note 14</w:t>
      </w:r>
      <w:r>
        <w:rPr>
          <w:rFonts w:ascii="Arial" w:cs="Arial" w:eastAsia="Arial" w:hAnsi="Arial"/>
          <w:sz w:val="18"/>
          <w:szCs w:val="18"/>
          <w:b w:val="1"/>
          <w:bCs w:val="1"/>
          <w:color w:val="auto"/>
        </w:rPr>
        <w:t>. “Stockholders’ Equity,” in Part II, Item 8 of this Annual Report on Form 10-K for more information on our repurchase of common stock.</w:t>
      </w:r>
    </w:p>
    <w:p>
      <w:pPr>
        <w:spacing w:after="0" w:line="60"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20"/>
          <w:szCs w:val="20"/>
          <w:b w:val="1"/>
          <w:bCs w:val="1"/>
          <w:i w:val="1"/>
          <w:iCs w:val="1"/>
          <w:color w:val="auto"/>
        </w:rPr>
        <w:t>Convertible Notes</w:t>
      </w:r>
      <w:r>
        <w:rPr>
          <w:rFonts w:ascii="Arial" w:cs="Arial" w:eastAsia="Arial" w:hAnsi="Arial"/>
          <w:sz w:val="20"/>
          <w:szCs w:val="20"/>
          <w:b w:val="1"/>
          <w:bCs w:val="1"/>
          <w:color w:val="auto"/>
        </w:rPr>
        <w:t>. As of December 31, 2025, our aggregate principal convertible notes obligations were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$1,207.5 million, which primarily consisted of the Notes due 2026 of $632.5 million and the Notes due 2028 of $575.0 million. Upon conversion of the Notes due 2026 and Notes due 2028, we expect to pay cash equal to the aggregate principal amount of the Notes of such series to be converted, and, at our election, will pay or deliver cash and/or shares of our common stock for the amount of our conversion obligation in excess of the aggregate principal amount of the Notes of such series. Holders of the Notes due 2026 may now convert their notes at any time until the close of business on the second scheduled trading day immediately preceding the maturity date of March 1, 2026. These conversions will be settled in a combination settlement method with the principal value settled in cash and the remaining value in shares of our common stock. For more information on our convertible notes, refer to </w:t>
      </w:r>
      <w:r>
        <w:rPr>
          <w:rFonts w:ascii="Arial" w:cs="Arial" w:eastAsia="Arial" w:hAnsi="Arial"/>
          <w:sz w:val="20"/>
          <w:szCs w:val="20"/>
          <w:b w:val="1"/>
          <w:bCs w:val="1"/>
          <w:color w:val="0000FF"/>
        </w:rPr>
        <w:t>Note 12</w:t>
      </w:r>
      <w:r>
        <w:rPr>
          <w:rFonts w:ascii="Arial" w:cs="Arial" w:eastAsia="Arial" w:hAnsi="Arial"/>
          <w:sz w:val="20"/>
          <w:szCs w:val="20"/>
          <w:b w:val="1"/>
          <w:bCs w:val="1"/>
          <w:color w:val="auto"/>
        </w:rPr>
        <w:t>. “Debt,” in Part II, Item 8 of this Annual Report on Form 10-K for more information on our outstanding convertible notes.</w:t>
      </w:r>
    </w:p>
    <w:p>
      <w:pPr>
        <w:spacing w:after="0" w:line="83"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i w:val="1"/>
          <w:iCs w:val="1"/>
          <w:color w:val="auto"/>
        </w:rPr>
        <w:t>Operating Leases</w:t>
      </w:r>
      <w:r>
        <w:rPr>
          <w:rFonts w:ascii="Arial" w:cs="Arial" w:eastAsia="Arial" w:hAnsi="Arial"/>
          <w:sz w:val="20"/>
          <w:szCs w:val="20"/>
          <w:b w:val="1"/>
          <w:bCs w:val="1"/>
          <w:color w:val="auto"/>
        </w:rPr>
        <w:t>. We have entered into various non-cancelable operating leases primarily for our facilities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with original lease periods expiring through the year 2033, with the most significant leases relating to our offices in Petaluma, California, Arlington, Texas and Bengaluru, India. As of December 31, 2025, we had total operating lease obligations of $39.4 million recorded on our consolidated balance sheet.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513080</wp:posOffset>
                </wp:positionV>
                <wp:extent cx="633412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0.4pt" to="505.35pt,40.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513080</wp:posOffset>
                </wp:positionV>
                <wp:extent cx="633412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0.4pt" to="505.35pt,40.4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57</w:t>
      </w:r>
    </w:p>
    <w:p>
      <w:pPr>
        <w:sectPr>
          <w:pgSz w:w="12240" w:h="15840" w:orient="portrait"/>
          <w:cols w:equalWidth="0" w:num="1">
            <w:col w:w="10260"/>
          </w:cols>
          <w:pgMar w:left="1000" w:top="216" w:right="98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540"/>
        <w:spacing w:after="0" w:line="276" w:lineRule="auto"/>
        <w:rPr>
          <w:sz w:val="20"/>
          <w:szCs w:val="20"/>
          <w:color w:val="auto"/>
        </w:rPr>
      </w:pPr>
      <w:r>
        <w:rPr>
          <w:rFonts w:ascii="Arial" w:cs="Arial" w:eastAsia="Arial" w:hAnsi="Arial"/>
          <w:sz w:val="19"/>
          <w:szCs w:val="19"/>
          <w:b w:val="1"/>
          <w:bCs w:val="1"/>
          <w:i w:val="1"/>
          <w:iCs w:val="1"/>
          <w:color w:val="auto"/>
        </w:rPr>
        <w:t>Other Material Cash Requirements</w:t>
      </w:r>
      <w:r>
        <w:rPr>
          <w:rFonts w:ascii="Arial" w:cs="Arial" w:eastAsia="Arial" w:hAnsi="Arial"/>
          <w:sz w:val="19"/>
          <w:szCs w:val="19"/>
          <w:b w:val="1"/>
          <w:bCs w:val="1"/>
          <w:color w:val="auto"/>
        </w:rPr>
        <w:t>. As of December 31, 2025, we had open purchase obligations of $252.3</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million related to component inventory that we and our primary contract manufacturers procure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Cash Flows. </w:t>
      </w:r>
      <w:r>
        <w:rPr>
          <w:rFonts w:ascii="Arial" w:cs="Arial" w:eastAsia="Arial" w:hAnsi="Arial"/>
          <w:sz w:val="20"/>
          <w:szCs w:val="20"/>
          <w:b w:val="1"/>
          <w:bCs w:val="1"/>
          <w:color w:val="auto"/>
        </w:rPr>
        <w:t>The following table summarizes our cash flows for the periods presented:</w: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-147320</wp:posOffset>
            </wp:positionV>
            <wp:extent cx="6553200" cy="8604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6">
                      <a:extLst>
                        <a:ext uri="{28A0092B-C50C-407E-A947-70E740481C1C}"/>
                      </a:extLst>
                    </a:blip>
                    <a:srcRect/>
                    <a:stretch>
                      <a:fillRect/>
                    </a:stretch>
                  </pic:blipFill>
                  <pic:spPr bwMode="auto">
                    <a:xfrm>
                      <a:off x="0" y="0"/>
                      <a:ext cx="6553200" cy="86042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48" w:lineRule="exact"/>
        <w:rPr>
          <w:sz w:val="20"/>
          <w:szCs w:val="20"/>
          <w:color w:val="auto"/>
        </w:rPr>
      </w:pPr>
    </w:p>
    <w:p>
      <w:pPr>
        <w:ind w:left="160" w:right="540" w:hanging="119"/>
        <w:spacing w:after="0" w:line="366" w:lineRule="auto"/>
        <w:rPr>
          <w:sz w:val="20"/>
          <w:szCs w:val="20"/>
          <w:color w:val="auto"/>
        </w:rPr>
      </w:pPr>
      <w:r>
        <w:rPr>
          <w:rFonts w:ascii="Arial" w:cs="Arial" w:eastAsia="Arial" w:hAnsi="Arial"/>
          <w:sz w:val="17"/>
          <w:szCs w:val="17"/>
          <w:b w:val="1"/>
          <w:bCs w:val="1"/>
          <w:color w:val="auto"/>
        </w:rPr>
        <w:t>Effect of exchange rate changes on cash, cash equivalents and restricted cash Net increase in cash, cash equivalents and restricted cash</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169545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pt" to="133.5pt,2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2024</w:t>
            </w:r>
          </w:p>
        </w:tc>
      </w:tr>
      <w:tr>
        <w:trPr>
          <w:trHeight w:val="269"/>
        </w:trPr>
        <w:tc>
          <w:tcPr>
            <w:tcW w:w="320" w:type="dxa"/>
            <w:vAlign w:val="bottom"/>
          </w:tcPr>
          <w:p>
            <w:pPr>
              <w:spacing w:after="0"/>
              <w:rPr>
                <w:sz w:val="23"/>
                <w:szCs w:val="23"/>
                <w:color w:val="auto"/>
              </w:rPr>
            </w:pPr>
          </w:p>
        </w:tc>
        <w:tc>
          <w:tcPr>
            <w:tcW w:w="2360" w:type="dxa"/>
            <w:vAlign w:val="bottom"/>
            <w:gridSpan w:val="4"/>
          </w:tcPr>
          <w:p>
            <w:pPr>
              <w:jc w:val="right"/>
              <w:ind w:right="732"/>
              <w:spacing w:after="0"/>
              <w:rPr>
                <w:sz w:val="20"/>
                <w:szCs w:val="20"/>
                <w:color w:val="auto"/>
              </w:rPr>
            </w:pPr>
            <w:r>
              <w:rPr>
                <w:rFonts w:ascii="Arial" w:cs="Arial" w:eastAsia="Arial" w:hAnsi="Arial"/>
                <w:sz w:val="16"/>
                <w:szCs w:val="16"/>
                <w:b w:val="1"/>
                <w:bCs w:val="1"/>
                <w:i w:val="1"/>
                <w:iCs w:val="1"/>
                <w:color w:val="auto"/>
              </w:rPr>
              <w:t>(In thousands)</w:t>
            </w:r>
          </w:p>
        </w:tc>
      </w:tr>
      <w:tr>
        <w:trPr>
          <w:trHeight w:val="281"/>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136,540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513,693</w:t>
            </w:r>
          </w:p>
        </w:tc>
      </w:tr>
      <w:tr>
        <w:trPr>
          <w:trHeight w:val="255"/>
        </w:trPr>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106,792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128,267</w:t>
            </w:r>
          </w:p>
        </w:tc>
      </w:tr>
      <w:tr>
        <w:trPr>
          <w:trHeight w:val="255"/>
        </w:trPr>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(241,624)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(460,269)</w:t>
            </w:r>
          </w:p>
        </w:tc>
      </w:tr>
      <w:tr>
        <w:trPr>
          <w:trHeight w:val="255"/>
        </w:trPr>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(6,323)</w:t>
            </w:r>
          </w:p>
        </w:tc>
      </w:tr>
      <w:tr>
        <w:trPr>
          <w:trHeight w:val="215"/>
        </w:trPr>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10,202</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175,368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ectPr>
          <w:pgSz w:w="12240" w:h="15840" w:orient="portrait"/>
          <w:cols w:equalWidth="0" w:num="2">
            <w:col w:w="6860" w:space="720"/>
            <w:col w:w="2680"/>
          </w:cols>
          <w:pgMar w:left="1000" w:top="216" w:right="980" w:bottom="0" w:gutter="0" w:footer="0" w:header="0"/>
          <w:type w:val="continuous"/>
        </w:sectPr>
      </w:pPr>
    </w:p>
    <w:p>
      <w:pPr>
        <w:jc w:val="both"/>
        <w:spacing w:after="0" w:line="267" w:lineRule="auto"/>
        <w:rPr>
          <w:sz w:val="20"/>
          <w:szCs w:val="20"/>
          <w:color w:val="auto"/>
        </w:rPr>
      </w:pPr>
      <w:r>
        <w:rPr>
          <w:rFonts w:ascii="Arial" w:cs="Arial" w:eastAsia="Arial" w:hAnsi="Arial"/>
          <w:sz w:val="20"/>
          <w:szCs w:val="20"/>
          <w:b w:val="1"/>
          <w:bCs w:val="1"/>
          <w:i w:val="1"/>
          <w:iCs w:val="1"/>
          <w:color w:val="auto"/>
        </w:rPr>
        <w:t>Cash from operations could be affected by various risks and uncertainties, including, but not limited to, the broad-based slowdown in demand for our products, new regulations and other risk factors discussed in Part I, Item IA, Risk Factors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28" w:lineRule="exact"/>
        <w:rPr>
          <w:sz w:val="20"/>
          <w:szCs w:val="20"/>
          <w:color w:val="auto"/>
        </w:rPr>
      </w:pPr>
    </w:p>
    <w:p>
      <w:pPr>
        <w:jc w:val="both"/>
        <w:ind w:firstLine="540"/>
        <w:spacing w:after="0" w:line="267" w:lineRule="auto"/>
        <w:rPr>
          <w:sz w:val="20"/>
          <w:szCs w:val="20"/>
          <w:color w:val="auto"/>
        </w:rPr>
      </w:pPr>
      <w:r>
        <w:rPr>
          <w:rFonts w:ascii="Arial" w:cs="Arial" w:eastAsia="Arial" w:hAnsi="Arial"/>
          <w:sz w:val="19"/>
          <w:szCs w:val="19"/>
          <w:b w:val="1"/>
          <w:bCs w:val="1"/>
          <w:color w:val="auto"/>
        </w:rPr>
        <w:t>Cash flows from operating activities consisted of our net income adjusted for certain non-cash reconciling items, such as stock-based compensation expense, asset impairment, non-cash interest expense, change in the fair value of debt securities, deferred income taxes, depreciation and amortization, amortization (accretion) of premium (discount) on marketable securities, benefit from lease termination, provision for credit losses, and changes in our operating assets and liabilities. Net cash provided by operating activities decreased by $377.2 million for the year ended December 31, 2025, as compared to the same period in 2024, primarily due to unfavorable changes in working capital. The decrease was driven principally by higher cash outflows related to prepaid income tax of $243.0 million, increase in inventory of $123.0 million, increase in grant receivable of $61.5 million, and decrease in deferred revenues of $60.8 million, reflecting changes in inventory positioning, the timing of customer prepayments and other operating assets. These working capital uses were partially offset by higher cash inflows from accounts payable, accrued expenses and other current liabilities. In addition, cash flows from operating activities benefited from higher net income in 2025 compared to 2024; however, this favorable impact was more than offset by the net working capital outflows described above.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Investing Activities</w:t>
      </w:r>
    </w:p>
    <w:p>
      <w:pPr>
        <w:spacing w:after="0" w:line="128"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For the year ended December 31, 2025, net cash provided by investing activities of $106.8 million was primarily from the maturities of $217.0 million of marketable securities, net of purchases, partially offset by $48.5 million issuance of loan receivables to private companies, $40.6 million used in purchases of test and assembly equipment for U.S. manufacturing related facility improvements and information technology enhancements, including capitalized costs related to internal-use software, $9.8 million used in investment in a tax equity fund, $6.3 million used for an investment in debt security and $5.0 million used for investment in equity of a private company.</w:t>
      </w:r>
    </w:p>
    <w:p>
      <w:pPr>
        <w:spacing w:after="0" w:line="83"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For the year ended December 31, 2024, net cash provided by investing activities of $128.3 million was primarily from the sales and maturities of marketable securities of $161.9 million, net of purchases, partially offset by $33.6 million used in purchases of test and assembly equipment for U.S. manufacturing, related facility improvements and information technology enhancements, including capitalized costs related to internal-use software.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128"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For the year ended December 31, 2025, net cash used in financing activities of approximately $241.6 million was primarily from payment of $130.0 million used to repurchase our common stock under the 2023 Repurchase Program, $102.2 million towards the settlement of the Notes due 2025, and payment of $18.0 million in employee withholding taxes related to net share settlement of employee equity awards, partially offset by $8.5 million of net proceeds from purchases under our employee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477520</wp:posOffset>
                </wp:positionV>
                <wp:extent cx="633412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7.6pt" to="505.35pt,3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477520</wp:posOffset>
                </wp:positionV>
                <wp:extent cx="633412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7.6pt" to="505.35pt,37.6pt" o:allowincell="f" strokecolor="#828282" strokeweight="0.25pt"/>
            </w:pict>
          </mc:Fallback>
        </mc:AlternateContent>
      </w:r>
    </w:p>
    <w:p>
      <w:pPr>
        <w:sectPr>
          <w:pgSz w:w="12240" w:h="15840" w:orient="portrait"/>
          <w:cols w:equalWidth="0" w:num="1">
            <w:col w:w="10260"/>
          </w:cols>
          <w:pgMar w:left="1000" w:top="216"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58</w:t>
      </w:r>
    </w:p>
    <w:p>
      <w:pPr>
        <w:sectPr>
          <w:pgSz w:w="12240" w:h="15840" w:orient="portrait"/>
          <w:cols w:equalWidth="0" w:num="1">
            <w:col w:w="10260"/>
          </w:cols>
          <w:pgMar w:left="1000" w:top="216" w:right="980" w:bottom="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For the year ended December 31, 2024, net cash used in financing activities of approximately $460.3 million was primarily from $391.4 million used to repurchase our common stock, payment of $78.8 million in employee withholding taxes related to net share settlement of employee equity awards, payment of $2.8 million in excise tax for net stock repurchases, and less than $0.1 million from the partial settlement of the Notes due 2025, partially offset by $12.7 million net proceeds from employee stock option exercises and purchases under our employee stock purchase plan.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30" w:lineRule="exact"/>
        <w:rPr>
          <w:sz w:val="20"/>
          <w:szCs w:val="20"/>
          <w:color w:val="auto"/>
        </w:rPr>
      </w:pPr>
    </w:p>
    <w:p>
      <w:pPr>
        <w:jc w:val="both"/>
        <w:ind w:right="20" w:firstLine="540"/>
        <w:spacing w:after="0" w:line="272" w:lineRule="auto"/>
        <w:rPr>
          <w:sz w:val="20"/>
          <w:szCs w:val="20"/>
          <w:color w:val="auto"/>
        </w:rPr>
      </w:pPr>
      <w:r>
        <w:rPr>
          <w:rFonts w:ascii="Arial" w:cs="Arial" w:eastAsia="Arial" w:hAnsi="Arial"/>
          <w:sz w:val="19"/>
          <w:szCs w:val="19"/>
          <w:b w:val="1"/>
          <w:bCs w:val="1"/>
          <w:color w:val="auto"/>
        </w:rPr>
        <w:t>The preparation of our consolidated financial statements and related notes requires us to make judgments, estimates and assumptions that affect the reported amounts of assets, liabilities, revenue and expenses, fair value of acquired intangible assets and goodwill, useful lives of acquired intangible assets and related disclosure of contingent assets and liabilities. The SEC has defined a company’s critical accounting policies as the ones that are most important to the portrayal of a company’s financial condition and results of operations, and which require a company to make its most difficult and subjective judgments. Based on this definition, we have identified the critical accounting policies and judgments addressed below.</w:t>
      </w:r>
    </w:p>
    <w:p>
      <w:pPr>
        <w:spacing w:after="0" w:line="67" w:lineRule="exact"/>
        <w:rPr>
          <w:sz w:val="20"/>
          <w:szCs w:val="20"/>
          <w:color w:val="auto"/>
        </w:rPr>
      </w:pPr>
    </w:p>
    <w:p>
      <w:pPr>
        <w:jc w:val="both"/>
        <w:ind w:firstLine="540"/>
        <w:spacing w:after="0" w:line="283" w:lineRule="auto"/>
        <w:rPr>
          <w:sz w:val="20"/>
          <w:szCs w:val="20"/>
          <w:color w:val="auto"/>
        </w:rPr>
      </w:pPr>
      <w:r>
        <w:rPr>
          <w:rFonts w:ascii="Arial" w:cs="Arial" w:eastAsia="Arial" w:hAnsi="Arial"/>
          <w:sz w:val="18"/>
          <w:szCs w:val="18"/>
          <w:b w:val="1"/>
          <w:bCs w:val="1"/>
          <w:color w:val="auto"/>
        </w:rPr>
        <w:t xml:space="preserve">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due to risks and uncertainties, including uncertainty in the current economic environment due to inflation, interest rates fluctuations and new regulations. As of the date of issuance of these financial statements, we are not aware of any specific event or circumstance that would require us to update our estimates, judgments or revise the carrying value of our assets or liabilities. For a description of our significant accounting policies, refer to </w:t>
      </w:r>
      <w:r>
        <w:rPr>
          <w:rFonts w:ascii="Arial" w:cs="Arial" w:eastAsia="Arial" w:hAnsi="Arial"/>
          <w:sz w:val="18"/>
          <w:szCs w:val="18"/>
          <w:b w:val="1"/>
          <w:bCs w:val="1"/>
          <w:color w:val="0000FF"/>
        </w:rPr>
        <w:t>Note 2</w:t>
      </w:r>
      <w:r>
        <w:rPr>
          <w:rFonts w:ascii="Arial" w:cs="Arial" w:eastAsia="Arial" w:hAnsi="Arial"/>
          <w:sz w:val="18"/>
          <w:szCs w:val="18"/>
          <w:b w:val="1"/>
          <w:bCs w:val="1"/>
          <w:color w:val="auto"/>
        </w:rPr>
        <w:t>. “Summary of Significant Accounting Policies,” of the notes to consolidated financial statements included in Part II, Item 8 of this Annual Report on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2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0"/>
          <w:szCs w:val="20"/>
          <w:b w:val="1"/>
          <w:bCs w:val="1"/>
          <w:color w:val="auto"/>
        </w:rPr>
        <w:t>We generate revenue from the sale of our various products, which include microinverter units and related accessories, IQ Battery and related accessories, IQ PowerPack 1500 and related accessories, EV charging solutions, IQ Combiner, IQ Gateway and IQ Energy Router, as well as from the sale of services, which include cloud-based monitoring services, design, proposal, permitting, installation and solar appointment generation services, and Enphase Care services.</w:t>
      </w:r>
    </w:p>
    <w:p>
      <w:pPr>
        <w:spacing w:after="0" w:line="79" w:lineRule="exact"/>
        <w:rPr>
          <w:sz w:val="20"/>
          <w:szCs w:val="20"/>
          <w:color w:val="auto"/>
        </w:rPr>
      </w:pPr>
    </w:p>
    <w:p>
      <w:pPr>
        <w:jc w:val="both"/>
        <w:ind w:right="20" w:firstLine="540"/>
        <w:spacing w:after="0" w:line="276" w:lineRule="auto"/>
        <w:rPr>
          <w:sz w:val="20"/>
          <w:szCs w:val="20"/>
          <w:color w:val="auto"/>
        </w:rPr>
      </w:pPr>
      <w:r>
        <w:rPr>
          <w:rFonts w:ascii="Arial" w:cs="Arial" w:eastAsia="Arial" w:hAnsi="Arial"/>
          <w:sz w:val="19"/>
          <w:szCs w:val="19"/>
          <w:b w:val="1"/>
          <w:bCs w:val="1"/>
          <w:color w:val="auto"/>
        </w:rPr>
        <w:t>We generally sell our products to our customers pursuant to a customer’s standard purchase order and our customary terms and conditions. We do not offer rights to return our products other than for normal warranty conditions, and as such, revenue is recognized based on the transfer of control. We evaluate the creditworthiness of our customers to determine appropriate credit limits prior to the acceptance and shipment of an order. A description of principal activities from which we generate revenues are as follows.</w:t>
      </w:r>
    </w:p>
    <w:p>
      <w:pPr>
        <w:spacing w:after="0" w:line="64" w:lineRule="exact"/>
        <w:rPr>
          <w:sz w:val="20"/>
          <w:szCs w:val="20"/>
          <w:color w:val="auto"/>
        </w:rPr>
      </w:pPr>
    </w:p>
    <w:p>
      <w:pPr>
        <w:jc w:val="both"/>
        <w:ind w:left="720" w:right="20" w:hanging="370"/>
        <w:spacing w:after="0" w:line="287" w:lineRule="auto"/>
        <w:tabs>
          <w:tab w:leader="none" w:pos="7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Products Delivered at a Point in Time. </w:t>
      </w:r>
      <w:r>
        <w:rPr>
          <w:rFonts w:ascii="Arial" w:cs="Arial" w:eastAsia="Arial" w:hAnsi="Arial"/>
          <w:sz w:val="18"/>
          <w:szCs w:val="18"/>
          <w:b w:val="1"/>
          <w:bCs w:val="1"/>
          <w:color w:val="auto"/>
        </w:rPr>
        <w:t>We sell our products and professional services to customers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accordance with the terms of the related customer contracts. We generate revenues from sales of our solutions, which include microinverter units and related accessories, storage solutions, EV charging solutions, and design, proposal, permitting, installation and solar appointment services. Such microinverter units, microinverter accessories, storage and EV solutions, design proposal, permitting, installation and solar appointment services are delivered to customers at a point in time, and we recognize revenue for these products or professional services when we transfer control of the product or professional services to the customer, which is generally upon product shipment or service delivery,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1318895</wp:posOffset>
                </wp:positionV>
                <wp:extent cx="633412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3.85pt" to="505.35pt,103.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1318895</wp:posOffset>
                </wp:positionV>
                <wp:extent cx="633412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3.85pt" to="505.35pt,103.8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59</w:t>
      </w:r>
    </w:p>
    <w:p>
      <w:pPr>
        <w:sectPr>
          <w:pgSz w:w="12240" w:h="15840" w:orient="portrait"/>
          <w:cols w:equalWidth="0" w:num="1">
            <w:col w:w="10260"/>
          </w:cols>
          <w:pgMar w:left="1000" w:top="216" w:right="98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left="720" w:right="20" w:hanging="370"/>
        <w:spacing w:after="0" w:line="285" w:lineRule="auto"/>
        <w:tabs>
          <w:tab w:leader="none" w:pos="7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Products Delivered Over Time. </w:t>
      </w:r>
      <w:r>
        <w:rPr>
          <w:rFonts w:ascii="Arial" w:cs="Arial" w:eastAsia="Arial" w:hAnsi="Arial"/>
          <w:sz w:val="18"/>
          <w:szCs w:val="18"/>
          <w:b w:val="1"/>
          <w:bCs w:val="1"/>
          <w:color w:val="auto"/>
        </w:rPr>
        <w:t>The sale of IQ Gateway and IQ Energy Router includes our cloud-based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monitoring services. The full consideration for these products represents a single performance obligation and is deferred at the sale date and recognized over the estimated service period of 7 and 15 years. We also sell certain communication accessories that contain a service performance obligation to be delivered over time. The revenue from these products is recognized over the related service period, which is typically 5 years. The subscription services revenue generated from each customer’s subscription to our design and proposal service is recognized on a ratable basis over the contract term beginning on the date that our service is made available to the customer. The subscription contracts are generally 3 to 12 months in length and billed in advance. The Enphase Care service plans are offered as either an annual plan or a 10-year prepaid plan and pricing is customized based on the customer’s site and system configuration.</w:t>
      </w:r>
    </w:p>
    <w:p>
      <w:pPr>
        <w:spacing w:after="0" w:line="62"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When we sell a product with more than one performance obligation, such as our IQ Combiner, which includes both hardware and the IQ Gateway, the total consideration is allocated to these performance obligations based on their relative standalone selling prices.</w:t>
      </w:r>
    </w:p>
    <w:p>
      <w:pPr>
        <w:spacing w:after="0" w:line="7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20"/>
          <w:szCs w:val="20"/>
          <w:b w:val="1"/>
          <w:bCs w:val="1"/>
          <w:color w:val="auto"/>
        </w:rPr>
        <w:t>Provisions for rebates, sales incentives and discounts are estimated based on promotions offered to customers, customer specific experience and historical product ASPs. We record such revenue promotions as variable consideration and recognize these promotions as a reduction in revenue at the time the related revenue is recorded.</w:t>
      </w:r>
    </w:p>
    <w:p>
      <w:pPr>
        <w:spacing w:after="0" w:line="76" w:lineRule="exact"/>
        <w:rPr>
          <w:sz w:val="20"/>
          <w:szCs w:val="20"/>
          <w:color w:val="auto"/>
        </w:rPr>
      </w:pPr>
    </w:p>
    <w:p>
      <w:pPr>
        <w:jc w:val="both"/>
        <w:ind w:right="20" w:firstLine="540"/>
        <w:spacing w:after="0" w:line="280" w:lineRule="auto"/>
        <w:rPr>
          <w:sz w:val="20"/>
          <w:szCs w:val="20"/>
          <w:color w:val="auto"/>
        </w:rPr>
      </w:pPr>
      <w:r>
        <w:rPr>
          <w:rFonts w:ascii="Arial" w:cs="Arial" w:eastAsia="Arial" w:hAnsi="Arial"/>
          <w:sz w:val="19"/>
          <w:szCs w:val="19"/>
          <w:b w:val="1"/>
          <w:bCs w:val="1"/>
          <w:color w:val="auto"/>
        </w:rPr>
        <w:t>We record upfront contract acquisition costs, such as sales commissions, to be capitalized and amortized over the estimated life of the asset. For contracts that have a duration of less than one year, we follow the Topic 606 practical expedient and expense these costs when incurred. Commissions related to the sale of monitoring hardware and services are capitalized and amortized over the period of the associated revenue.</w:t>
      </w:r>
    </w:p>
    <w:p>
      <w:pPr>
        <w:spacing w:after="0" w:line="6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 xml:space="preserve">Refer to </w:t>
      </w:r>
      <w:r>
        <w:rPr>
          <w:rFonts w:ascii="Arial" w:cs="Arial" w:eastAsia="Arial" w:hAnsi="Arial"/>
          <w:sz w:val="20"/>
          <w:szCs w:val="20"/>
          <w:b w:val="1"/>
          <w:bCs w:val="1"/>
          <w:color w:val="0000FF"/>
        </w:rPr>
        <w:t>Note 3</w:t>
      </w:r>
      <w:r>
        <w:rPr>
          <w:rFonts w:ascii="Arial" w:cs="Arial" w:eastAsia="Arial" w:hAnsi="Arial"/>
          <w:sz w:val="20"/>
          <w:szCs w:val="20"/>
          <w:b w:val="1"/>
          <w:bCs w:val="1"/>
          <w:color w:val="auto"/>
        </w:rPr>
        <w:t>. “Revenue Recognition,” of the notes to consolidated financial statements included in Part II, Item 8 of this Annual Report on Form 10-K for additional information related to revenue recognition.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Inventory</w:t>
      </w:r>
    </w:p>
    <w:p>
      <w:pPr>
        <w:spacing w:after="0" w:line="128"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8"/>
          <w:szCs w:val="18"/>
          <w:b w:val="1"/>
          <w:bCs w:val="1"/>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estimated selling price less reasonably predictable costs of completion and disposal), inventories are stated at net realizable value. Market is not considered to be less than net realizable value reduced by an allowance for an approximately normal profit margin. We determine cost on a first-in first-out basis and include both the costs of acquisition and manufacturing in our inventory costs. These costs include direct materials, direct labor, and indirect manufacturing costs, including depreciation and amortization. The capitalization of indirect costs is based on the normal utilization of our manufacturing facility in Texas. If the manufacturing facility utilization is abnormally low, the portion of our indirect manufacturing costs related to the abnormal utilization level is expensed as incurred. Other abnormal manufacturing costs, such as wasted materials or excess yield losses, are also expensed as incurred.</w:t>
      </w:r>
    </w:p>
    <w:p>
      <w:pPr>
        <w:spacing w:after="0" w:line="62"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Government Grants</w:t>
      </w:r>
    </w:p>
    <w:p>
      <w:pPr>
        <w:spacing w:after="0" w:line="128"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Government grants represent benefits provided by federal, state or local governments that are not subject to the scope of Accounting Standards Codification 740. We recognize a grant when we have reasonable assurance that we will comply with the grant’s conditions and that the grant will be received. Government grants that are not related to long-lived assets are considered income-based grants, which are recognized as a reduction to the related cost of activities that generated the benefit.</w:t>
      </w:r>
    </w:p>
    <w:p>
      <w:pPr>
        <w:spacing w:after="0" w:line="79" w:lineRule="exact"/>
        <w:rPr>
          <w:sz w:val="20"/>
          <w:szCs w:val="20"/>
          <w:color w:val="auto"/>
        </w:rPr>
      </w:pPr>
    </w:p>
    <w:p>
      <w:pPr>
        <w:jc w:val="both"/>
        <w:ind w:right="20" w:firstLine="540"/>
        <w:spacing w:after="0" w:line="289" w:lineRule="auto"/>
        <w:rPr>
          <w:sz w:val="20"/>
          <w:szCs w:val="20"/>
          <w:color w:val="auto"/>
        </w:rPr>
      </w:pPr>
      <w:r>
        <w:rPr>
          <w:rFonts w:ascii="Arial" w:cs="Arial" w:eastAsia="Arial" w:hAnsi="Arial"/>
          <w:sz w:val="18"/>
          <w:szCs w:val="18"/>
          <w:b w:val="1"/>
          <w:bCs w:val="1"/>
          <w:color w:val="auto"/>
        </w:rPr>
        <w:t>We recognized credits under the AMPTC as a reduction to cost of revenues in the consolidated statements of operations for the microinverters manufactured in the United States and sold to customers. Such credit is also reflected as an increase to prepaid income tax within prepaid expenses and other current assets and reduction of income tax payable within accrued liabilities on our consolidated balance sheets within accrued liabilities. There are currently several critical and complex aspects of the IRA that could affect the estimated benefits we have recognized and expect to recognize from the AMPTC, such as compliance requirements under FEOC provisions establishing an escalating threshold of non-FEOC content that must be met by manufactured components produced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325755</wp:posOffset>
                </wp:positionV>
                <wp:extent cx="633412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5.65pt" to="505.35pt,25.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325755</wp:posOffset>
                </wp:positionV>
                <wp:extent cx="633412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5.65pt" to="505.35pt,25.6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60</w:t>
      </w:r>
    </w:p>
    <w:p>
      <w:pPr>
        <w:sectPr>
          <w:pgSz w:w="12240" w:h="15840" w:orient="portrait"/>
          <w:cols w:equalWidth="0" w:num="1">
            <w:col w:w="10260"/>
          </w:cols>
          <w:pgMar w:left="1000" w:top="216" w:right="98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300" w:lineRule="auto"/>
        <w:rPr>
          <w:sz w:val="20"/>
          <w:szCs w:val="20"/>
          <w:color w:val="auto"/>
        </w:rPr>
      </w:pPr>
      <w:r>
        <w:rPr>
          <w:rFonts w:ascii="Arial" w:cs="Arial" w:eastAsia="Arial" w:hAnsi="Arial"/>
          <w:sz w:val="18"/>
          <w:szCs w:val="18"/>
          <w:b w:val="1"/>
          <w:bCs w:val="1"/>
          <w:color w:val="auto"/>
        </w:rPr>
        <w:t>beginning in 2026. Any modifications to the law or its effects arising, for example, through (i) technical guidance and regulations from the IRS and U.S. Treasury Department, (ii) subsequent amendments to or interpretations of the law, and/or (iii) future laws or regulations rendering certain provisions of the IRA less effective or ineffective, in whole or in part, could result in material adverse changes to the benefits we have recognized and expect to recognize.</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12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0"/>
          <w:szCs w:val="20"/>
          <w:b w:val="1"/>
          <w:bCs w:val="1"/>
          <w:color w:val="auto"/>
        </w:rPr>
        <w:t>The fair value of a financial instrument is the price that would be received to sell an asset or paid to transfer a liability in an orderly transaction between market participants at the measurement date. We have investments categorized as level three in the fair value hierarchy based on inputs that are unobservable and significant to the overall fair value measurement totaling $60.8 million and $64.8 million as of December 31, 2025 and 2024, respectively, which is included in other assets in the consolidated balance sheets.</w:t>
      </w:r>
    </w:p>
    <w:p>
      <w:pPr>
        <w:spacing w:after="0" w:line="79" w:lineRule="exact"/>
        <w:rPr>
          <w:sz w:val="20"/>
          <w:szCs w:val="20"/>
          <w:color w:val="auto"/>
        </w:rPr>
      </w:pPr>
    </w:p>
    <w:p>
      <w:pPr>
        <w:jc w:val="both"/>
        <w:ind w:right="20" w:firstLine="540"/>
        <w:spacing w:after="0" w:line="291" w:lineRule="auto"/>
        <w:rPr>
          <w:sz w:val="20"/>
          <w:szCs w:val="20"/>
          <w:color w:val="auto"/>
        </w:rPr>
      </w:pPr>
      <w:r>
        <w:rPr>
          <w:rFonts w:ascii="Arial" w:cs="Arial" w:eastAsia="Arial" w:hAnsi="Arial"/>
          <w:sz w:val="18"/>
          <w:szCs w:val="18"/>
          <w:b w:val="1"/>
          <w:bCs w:val="1"/>
          <w:color w:val="auto"/>
        </w:rPr>
        <w:t>The carrying amounts of our cash, cash equivalents, restricted cash, accounts receivable, loan receivables, accounts payable and accrued liabilities approximate fair value because of the short maturity of those instruments. Equity investments with readily determinable fair value are carried at fair value based on quoted market prices or estimated based on market conditions and risks existing at each balance sheet date. Equity investments without readily determinable fair value are measured at cost less impairment, and are adjusted for observable price changes in orderly transactions for an identical or similar investment of the same issuer.</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Warranty Obligations</w:t>
      </w:r>
    </w:p>
    <w:p>
      <w:pPr>
        <w:spacing w:after="0" w:line="128" w:lineRule="exact"/>
        <w:rPr>
          <w:sz w:val="20"/>
          <w:szCs w:val="20"/>
          <w:color w:val="auto"/>
        </w:rPr>
      </w:pPr>
    </w:p>
    <w:p>
      <w:pPr>
        <w:jc w:val="both"/>
        <w:ind w:firstLine="540"/>
        <w:spacing w:after="0" w:line="249" w:lineRule="auto"/>
        <w:rPr>
          <w:sz w:val="20"/>
          <w:szCs w:val="20"/>
          <w:color w:val="auto"/>
        </w:rPr>
      </w:pPr>
      <w:r>
        <w:rPr>
          <w:rFonts w:ascii="Arial" w:cs="Arial" w:eastAsia="Arial" w:hAnsi="Arial"/>
          <w:sz w:val="19"/>
          <w:szCs w:val="19"/>
          <w:b w:val="1"/>
          <w:bCs w:val="1"/>
          <w:color w:val="auto"/>
        </w:rPr>
        <w:t>Our warranty accrual provides for the replacement of microinverter units, AC Battery storage solutions and related accessories, EV Chargers, IQ Gateway units and IQ Energy Router units that fail during the product’s warranty term. The warranty term related to microinverter units is 15 years for first and second generation microinverters and up to 25 years for subsequent generation microinverters. The warranty term for AC Battery storage solutions is 10 to 15 years depending on the generation and 5 years for IQ PowerPack 1500. The warranty term for the IQ Gateway is 5 to 15 years depending on the generation, for the IQ Energy Router is 5 years, and for EV Chargers is 1 to 5 years depending on the product. On a quarterly basis, we employ a consistent, systematic and rational methodology to assess the adequacy of our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us to estimate our warranty liability are: (1) the number of units expected to fail and repaired or returned for replacement over time (</w:t>
      </w:r>
      <w:r>
        <w:rPr>
          <w:rFonts w:ascii="Arial" w:cs="Arial" w:eastAsia="Arial" w:hAnsi="Arial"/>
          <w:sz w:val="19"/>
          <w:szCs w:val="19"/>
          <w:b w:val="1"/>
          <w:bCs w:val="1"/>
          <w:i w:val="1"/>
          <w:iCs w:val="1"/>
          <w:color w:val="auto"/>
        </w:rPr>
        <w:t>i.e.,</w:t>
      </w:r>
      <w:r>
        <w:rPr>
          <w:rFonts w:ascii="Arial" w:cs="Arial" w:eastAsia="Arial" w:hAnsi="Arial"/>
          <w:sz w:val="19"/>
          <w:szCs w:val="19"/>
          <w:b w:val="1"/>
          <w:bCs w:val="1"/>
          <w:color w:val="auto"/>
        </w:rPr>
        <w:t xml:space="preserve"> return rate); and (2) the per unit cost of repair or replacement of units, including outbound shipping and limited labor costs, expected to be incurred to replace failed units over time (</w:t>
      </w:r>
      <w:r>
        <w:rPr>
          <w:rFonts w:ascii="Arial" w:cs="Arial" w:eastAsia="Arial" w:hAnsi="Arial"/>
          <w:sz w:val="19"/>
          <w:szCs w:val="19"/>
          <w:b w:val="1"/>
          <w:bCs w:val="1"/>
          <w:i w:val="1"/>
          <w:iCs w:val="1"/>
          <w:color w:val="auto"/>
        </w:rPr>
        <w:t>i.e.,</w:t>
      </w:r>
      <w:r>
        <w:rPr>
          <w:rFonts w:ascii="Arial" w:cs="Arial" w:eastAsia="Arial" w:hAnsi="Arial"/>
          <w:sz w:val="19"/>
          <w:szCs w:val="19"/>
          <w:b w:val="1"/>
          <w:bCs w:val="1"/>
          <w:color w:val="auto"/>
        </w:rPr>
        <w:t xml:space="preserve"> replacement cost).</w:t>
      </w:r>
    </w:p>
    <w:p>
      <w:pPr>
        <w:spacing w:after="0" w:line="82" w:lineRule="exact"/>
        <w:rPr>
          <w:sz w:val="20"/>
          <w:szCs w:val="20"/>
          <w:color w:val="auto"/>
        </w:rPr>
      </w:pPr>
    </w:p>
    <w:p>
      <w:pPr>
        <w:jc w:val="both"/>
        <w:ind w:firstLine="540"/>
        <w:spacing w:after="0" w:line="283" w:lineRule="auto"/>
        <w:rPr>
          <w:sz w:val="20"/>
          <w:szCs w:val="20"/>
          <w:color w:val="auto"/>
        </w:rPr>
      </w:pPr>
      <w:r>
        <w:rPr>
          <w:rFonts w:ascii="Arial" w:cs="Arial" w:eastAsia="Arial" w:hAnsi="Arial"/>
          <w:sz w:val="18"/>
          <w:szCs w:val="18"/>
          <w:b w:val="1"/>
          <w:bCs w:val="1"/>
          <w:i w:val="1"/>
          <w:iCs w:val="1"/>
          <w:color w:val="auto"/>
        </w:rPr>
        <w:t xml:space="preserve">Estimated Return Rates — </w:t>
      </w:r>
      <w:r>
        <w:rPr>
          <w:rFonts w:ascii="Arial" w:cs="Arial" w:eastAsia="Arial" w:hAnsi="Arial"/>
          <w:sz w:val="18"/>
          <w:szCs w:val="18"/>
          <w:b w:val="1"/>
          <w:bCs w:val="1"/>
          <w:color w:val="auto"/>
        </w:rPr>
        <w:t>Our Quality and Reliability department has primary responsibility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estimated return rates for each generation of product. To establish initial return rate estimates for each generation of product, our quality engineers use a combination of industry standard mean time between failure estimates for individual components contained in that generation of product, third-party data collected on similar equipment deployed in outdoor environments similar to those in which our product are installed, and rigorous long term reliability and accelerated life cycle testing which simulates the service life of the product in a short period of time. As units are deployed into operating environments, we continue to monitor product performance through our cloud-based monitoring services. It typically takes three to nine months between the date of sale and date of end-user installation. Consequently, our ability to monitor actual failures of units sold similarly lags by three to nine months. When a product fails and is returned, we perform diagnostic root cause failure analysis to understand and isolate the underlying mechanism(s) causing the failure. We then use the results of this analysis (combined with the actual, cumulative performance data collected on those units prior to failure) to draw conclusions with respect to how or if the identified failure mechanism(s) will impact the remaining units deployed in the installed base.</w:t>
      </w:r>
    </w:p>
    <w:p>
      <w:pPr>
        <w:spacing w:after="0" w:line="67"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As the vast majority of our microinverters have been sold to end users for residential applications, we believe that warranty return rates will be affected by changes over time in residential home ownership because we expect that subsequent homeowners are less likely to file a return than the homeowners who originally purchased the microinverters.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1318895</wp:posOffset>
                </wp:positionV>
                <wp:extent cx="633412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3.85pt" to="505.35pt,103.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1318895</wp:posOffset>
                </wp:positionV>
                <wp:extent cx="633412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3.85pt" to="505.35pt,103.8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61</w:t>
      </w:r>
    </w:p>
    <w:p>
      <w:pPr>
        <w:sectPr>
          <w:pgSz w:w="12240" w:h="15840" w:orient="portrait"/>
          <w:cols w:equalWidth="0" w:num="1">
            <w:col w:w="10260"/>
          </w:cols>
          <w:pgMar w:left="1000" w:top="216" w:right="98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9"/>
          <w:szCs w:val="19"/>
          <w:b w:val="1"/>
          <w:bCs w:val="1"/>
          <w:i w:val="1"/>
          <w:iCs w:val="1"/>
          <w:color w:val="auto"/>
        </w:rPr>
        <w:t xml:space="preserve">Estimated Replacement Costs — </w:t>
      </w:r>
      <w:r>
        <w:rPr>
          <w:rFonts w:ascii="Arial" w:cs="Arial" w:eastAsia="Arial" w:hAnsi="Arial"/>
          <w:sz w:val="19"/>
          <w:szCs w:val="19"/>
          <w:b w:val="1"/>
          <w:bCs w:val="1"/>
          <w:color w:val="auto"/>
        </w:rPr>
        <w:t>Three factors are considered in our analysis of estimated replacement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cost: (1) the estimated cost of replacement products; (2) the estimated cost to ship replacement products to end users; and (3) the estimated labor reimbursement expected to be paid to third-party installers, or estimated labor cost expected to be incurred for field service technicians, performing replacement services for the end user. Because our warranty provides for the replacement of defective products over long periods of time (typically between 5 to 25 years, depending on the product and the generation of that product purchased), the estimated per unit cost of current and future product generations is considered in the estimated replacement cost. Estimated costs to ship replacement units are based on observable, market-based shipping costs paid by us to third-party freight carriers. We have a separate program that allows third-party installers to claim fixed-dollar reimbursements for labor costs they incur to replace failed units for a limited time from the date of original installation. Included in our estimated replacement cost is an analysis of the number of fixed-dollar labor reimbursements expected to be claimed by third-party installers over the limited offering period.</w:t>
      </w:r>
    </w:p>
    <w:p>
      <w:pPr>
        <w:spacing w:after="0" w:line="72"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0"/>
          <w:szCs w:val="20"/>
          <w:b w:val="1"/>
          <w:bCs w:val="1"/>
          <w:color w:val="auto"/>
        </w:rPr>
        <w:t>In addition to the key estimates noted above, we also compare actual warranty results to expected results and evaluate any significant differences. We may make additional adjustments to the warranty provision based on performance trends or other qualitative factors. If actual return rates, or replacement costs differ from our estimates in future periods, changes to these estimates may be required, resulting in increases or decreases in our warranty obligations. Such increases or decreases could be material.</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Fair Value Option for Microinverters and Other Products Sold Since January 1, 2014</w:t>
      </w:r>
    </w:p>
    <w:p>
      <w:pPr>
        <w:spacing w:after="0" w:line="128"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Our warranty obligations related to products sold since January 1, 2014 provide us the right, but not the requirement, to assign our warranty obligations to a third party. Under Accounting Standards Codification 825, “Financial Instruments” (also referred to as the “fair value option”), an entity may choose to elect the fair value option for such warranties at the time it first recognizes the eligible item. We made an irrevocable election to account for all eligible warranty obligations associated with products sold since January 1, 2014 at fair value. This election was made to reflect the underlying economics of the time value of money for an obligation that will be settled over an extended period of up to 25 years.</w:t>
      </w:r>
    </w:p>
    <w:p>
      <w:pPr>
        <w:spacing w:after="0" w:line="83"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 xml:space="preserve">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Refer to </w:t>
      </w:r>
      <w:r>
        <w:rPr>
          <w:rFonts w:ascii="Arial" w:cs="Arial" w:eastAsia="Arial" w:hAnsi="Arial"/>
          <w:sz w:val="20"/>
          <w:szCs w:val="20"/>
          <w:b w:val="1"/>
          <w:bCs w:val="1"/>
          <w:color w:val="0000FF"/>
        </w:rPr>
        <w:t>Note 10</w:t>
      </w:r>
      <w:r>
        <w:rPr>
          <w:rFonts w:ascii="Arial" w:cs="Arial" w:eastAsia="Arial" w:hAnsi="Arial"/>
          <w:sz w:val="20"/>
          <w:szCs w:val="20"/>
          <w:b w:val="1"/>
          <w:bCs w:val="1"/>
          <w:color w:val="auto"/>
        </w:rPr>
        <w:t>. “Fair Value Measurements,” of the notes to consolidated financial statements included in Part II, Item 8 of this Annual Report on Form 10-K for additional information.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28"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We record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82" w:lineRule="exact"/>
        <w:rPr>
          <w:sz w:val="20"/>
          <w:szCs w:val="20"/>
          <w:color w:val="auto"/>
        </w:rPr>
      </w:pPr>
    </w:p>
    <w:p>
      <w:pPr>
        <w:jc w:val="both"/>
        <w:ind w:firstLine="540"/>
        <w:spacing w:after="0" w:line="291" w:lineRule="auto"/>
        <w:rPr>
          <w:sz w:val="20"/>
          <w:szCs w:val="20"/>
          <w:color w:val="auto"/>
        </w:rPr>
      </w:pPr>
      <w:r>
        <w:rPr>
          <w:rFonts w:ascii="Arial" w:cs="Arial" w:eastAsia="Arial" w:hAnsi="Arial"/>
          <w:sz w:val="18"/>
          <w:szCs w:val="18"/>
          <w:b w:val="1"/>
          <w:bCs w:val="1"/>
          <w:color w:val="auto"/>
        </w:rPr>
        <w:t>We assess the realizability of the deferred tax assets to determine release of valuation allowance as necessary. In the event we determine that it is more likely than not that we would be able to realize deferred tax assets in the future in excess of our net recorded amount, an adjustment to the valuation allowance for the deferred tax asset would increase income in the period such determination was made. Likewise, should it be determined that additional amounts of the net deferred tax asset will not be realized in the future, an adjustment to increase the deferred tax asset valuation allowance will be charged to income in the period such determination is made.</w:t>
      </w:r>
    </w:p>
    <w:p>
      <w:pPr>
        <w:spacing w:after="0" w:line="54"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0"/>
          <w:szCs w:val="20"/>
          <w:b w:val="1"/>
          <w:bCs w:val="1"/>
          <w:color w:val="auto"/>
        </w:rPr>
        <w:t>We operate in various tax jurisdictions and are subject to audit by various tax authorities. We follow accounting for uncertainty in income taxes, which requires that the tax effects of a position be recognized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493395</wp:posOffset>
                </wp:positionV>
                <wp:extent cx="633412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8.85pt" to="505.35pt,38.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493395</wp:posOffset>
                </wp:positionV>
                <wp:extent cx="633412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8.85pt" to="505.35pt,38.85pt" o:allowincell="f" strokecolor="#828282" strokeweight="0.25pt"/>
            </w:pict>
          </mc:Fallback>
        </mc:AlternateContent>
      </w:r>
    </w:p>
    <w:p>
      <w:pPr>
        <w:sectPr>
          <w:pgSz w:w="12240" w:h="15840" w:orient="portrait"/>
          <w:cols w:equalWidth="0" w:num="1">
            <w:col w:w="10240"/>
          </w:cols>
          <w:pgMar w:left="1000" w:top="21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828282"/>
        </w:rPr>
        <w:t>Enphase Energy, Inc. | 2025 Form 10-K | 62</w:t>
      </w:r>
    </w:p>
    <w:p>
      <w:pPr>
        <w:sectPr>
          <w:pgSz w:w="12240" w:h="15840" w:orient="portrait"/>
          <w:cols w:equalWidth="0" w:num="1">
            <w:col w:w="10240"/>
          </w:cols>
          <w:pgMar w:left="1000" w:top="216" w:right="1000" w:bottom="0"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3720"/>
        <w:spacing w:after="0" w:line="375" w:lineRule="auto"/>
        <w:rPr>
          <w:sz w:val="20"/>
          <w:szCs w:val="20"/>
          <w:color w:val="auto"/>
        </w:rPr>
      </w:pPr>
      <w:r>
        <w:rPr>
          <w:rFonts w:ascii="Arial" w:cs="Arial" w:eastAsia="Arial" w:hAnsi="Arial"/>
          <w:sz w:val="20"/>
          <w:szCs w:val="20"/>
          <w:b w:val="1"/>
          <w:bCs w:val="1"/>
          <w:color w:val="auto"/>
        </w:rPr>
        <w:t>Item 7A. Quantitative and Qualitative Disclosures About Market Risk Foreign Currency Exchange Risk</w:t>
      </w:r>
    </w:p>
    <w:p>
      <w:pPr>
        <w:spacing w:after="0" w:line="1" w:lineRule="exact"/>
        <w:rPr>
          <w:sz w:val="20"/>
          <w:szCs w:val="20"/>
          <w:color w:val="auto"/>
        </w:rPr>
      </w:pPr>
    </w:p>
    <w:p>
      <w:pPr>
        <w:jc w:val="both"/>
        <w:ind w:right="20" w:firstLine="540"/>
        <w:spacing w:after="0" w:line="267" w:lineRule="auto"/>
        <w:rPr>
          <w:sz w:val="20"/>
          <w:szCs w:val="20"/>
          <w:color w:val="auto"/>
        </w:rPr>
      </w:pPr>
      <w:r>
        <w:rPr>
          <w:rFonts w:ascii="Arial" w:cs="Arial" w:eastAsia="Arial" w:hAnsi="Arial"/>
          <w:sz w:val="19"/>
          <w:szCs w:val="19"/>
          <w:b w:val="1"/>
          <w:bCs w:val="1"/>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primarily from the effect of fluctuating exchange rates on payables and receivables relating to transactions that are denominated in euros, the Indian Rupee, Brazilian real, Mexican peso, the Australian, Canadian and New Zealand dollars, Japanese yen and Chinese yuan. These payables and receivables primarily arise from sales to customers and intercompany transactions. We also face currency exposure that arises from translating the results of our European, Indian, Brazilian, Mexican, Australian, Canadian, New Zealand, Japanese and Chinese operations, including sales and marketing and research and development expenses, to the U.S. dollar at exchange rates that have fluctuated from the beginning of a reporting period. We are a net receiver of euros, and therefore negatively affected by a strengthening of the U.S. dollar relative to the euro and, conversely benefit from a weakening of the U.S. dollar relative to the euro. Sales denominated in the euro as a percentage of net revenues was 14%, 21% and 28% during the years ended December 31, 2025, 2024 and 2023, respectively.</w:t>
      </w:r>
    </w:p>
    <w:p>
      <w:pPr>
        <w:spacing w:after="0" w:line="80"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The effect of a hypothetical 10% adverse change in foreign exchange rates on monetary assets and liabilities on December 31, 2025 would not be material to our financial condition or results of operations. To date, foreign currency transaction gains and losses and exchange rate fluctuations have not been material to our financial statements, and we have not engaged in any foreign currency hedging transactions.</w:t>
      </w:r>
    </w:p>
    <w:p>
      <w:pPr>
        <w:spacing w:after="0" w:line="76" w:lineRule="exact"/>
        <w:rPr>
          <w:sz w:val="20"/>
          <w:szCs w:val="20"/>
          <w:color w:val="auto"/>
        </w:rPr>
      </w:pPr>
    </w:p>
    <w:p>
      <w:pPr>
        <w:jc w:val="both"/>
        <w:ind w:right="20" w:firstLine="540"/>
        <w:spacing w:after="0" w:line="295" w:lineRule="auto"/>
        <w:rPr>
          <w:sz w:val="20"/>
          <w:szCs w:val="20"/>
          <w:color w:val="auto"/>
        </w:rPr>
      </w:pPr>
      <w:r>
        <w:rPr>
          <w:rFonts w:ascii="Arial" w:cs="Arial" w:eastAsia="Arial" w:hAnsi="Arial"/>
          <w:sz w:val="18"/>
          <w:szCs w:val="18"/>
          <w:b w:val="1"/>
          <w:bCs w:val="1"/>
          <w:color w:val="auto"/>
        </w:rPr>
        <w:t>We do not enter into derivative financial instruments for trading or speculative purposes. We did not enter into any foreign currency forward contracts during 2025, 2024 and 2023. Any foreign currency forward contracts entered in the future will be accounted for as derivatives whereby the fair value of the contracts would be reported as other current assets or current liabilities, and gains and losses resulting from changes in the fair value would be reported in other income (expense), net, in the accompanying consolidated statements of operations.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Risk</w:t>
      </w:r>
    </w:p>
    <w:p>
      <w:pPr>
        <w:spacing w:after="0" w:line="130"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Financial instruments that subject us to concentrations of credit risk consist primarily of cash, cash equivalents, marketable securities, accounts receivable and loan receivables. We maintain a substantial portion of our cash balances in non-interest-bearing and interest-bearing marketable securities and money market accounts. We mitigate this credit risk by transacting with major financial institutions with high credit ratings. We are not required to pledge, and are not entitled to receive, cash collateral related to these derivative instruments. We do not enter into derivative contracts for trading or speculative purposes. Our net revenues are primarily concentrated among a limited number of customers. We monitor the financial condition of our customers and perform credit evaluations whenever considered necessary and maintain an allowance for credit losses for estimated potential credit losses.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30"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We had cash, cash equivalents, restricted cash and marketable securities of $1,512.9 million and $1,717.6 million as of December 31, 2025 and 2024, respectively, consisting of both non-interest bearing and interest-bearing marketable securities and money market accounts. Such interest-earning instruments carry a degree of interest rate risk, but the risk is limited due to the duration of our short term investments. To date, fluctuations in interest income have not been significant.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with regard to our cash, cash equivalents, restricted cash and marketable securities.</w:t>
      </w:r>
    </w:p>
    <w:p>
      <w:pPr>
        <w:spacing w:after="0" w:line="74"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Our cash flow exposure due to changes in interest rates related to our debt is limited, as the Notes due 2028 and Notes due 2026 carry a fixed interest rate of 0%. The fair value of these convertible notes may increase or decrease for various reasons, including fluctuations in the market price of our common stock, fluctuations in market interest rates and fluctuations in general economic conditions. Based upon the quoted market price as of December 31, 2025, the fair value of the Notes due 2028 and Notes due 2026 was $500.5 million and $619.4 million, respectively.</w:t>
      </w:r>
    </w:p>
    <w:p>
      <w:pPr>
        <w:spacing w:after="0" w:line="82"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A hypothetical 10% change in interest rates during any of the periods presented would not have had a material impact on our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474345</wp:posOffset>
                </wp:positionV>
                <wp:extent cx="633412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7.35pt" to="505.35pt,37.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474345</wp:posOffset>
                </wp:positionV>
                <wp:extent cx="633412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7.35pt" to="505.35pt,37.3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63</w:t>
      </w:r>
    </w:p>
    <w:p>
      <w:pPr>
        <w:sectPr>
          <w:pgSz w:w="12240" w:h="15840" w:orient="portrait"/>
          <w:cols w:equalWidth="0" w:num="1">
            <w:col w:w="10260"/>
          </w:cols>
          <w:pgMar w:left="1000" w:top="216" w:right="980" w:bottom="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130"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130" w:lineRule="exact"/>
        <w:rPr>
          <w:sz w:val="20"/>
          <w:szCs w:val="20"/>
          <w:color w:val="auto"/>
        </w:rPr>
      </w:pPr>
    </w:p>
    <w:p>
      <w:pPr>
        <w:ind w:left="3280"/>
        <w:spacing w:after="0"/>
        <w:rPr>
          <w:sz w:val="20"/>
          <w:szCs w:val="20"/>
          <w:color w:val="auto"/>
        </w:rPr>
      </w:pPr>
      <w:r>
        <w:rPr>
          <w:rFonts w:ascii="Arial" w:cs="Arial" w:eastAsia="Arial" w:hAnsi="Arial"/>
          <w:sz w:val="20"/>
          <w:szCs w:val="20"/>
          <w:b w:val="1"/>
          <w:bCs w:val="1"/>
          <w:color w:val="auto"/>
        </w:rPr>
        <w:t>AS OF DECEMBER 31, 2025 AND 2024,</w:t>
      </w:r>
    </w:p>
    <w:p>
      <w:pPr>
        <w:spacing w:after="0" w:line="130"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AND FOR THE YEARS ENDED DECEMBER 31, 2025, 2024 AND 2023</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93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Page</w:t>
            </w:r>
          </w:p>
        </w:tc>
      </w:tr>
      <w:tr>
        <w:trPr>
          <w:trHeight w:val="239"/>
        </w:trPr>
        <w:tc>
          <w:tcPr>
            <w:tcW w:w="9300" w:type="dxa"/>
            <w:vAlign w:val="bottom"/>
          </w:tcPr>
          <w:p>
            <w:pPr>
              <w:spacing w:after="0"/>
              <w:rPr>
                <w:sz w:val="20"/>
                <w:szCs w:val="20"/>
                <w:color w:val="auto"/>
              </w:rPr>
            </w:pPr>
            <w:r>
              <w:rPr>
                <w:rFonts w:ascii="Arial" w:cs="Arial" w:eastAsia="Arial" w:hAnsi="Arial"/>
                <w:sz w:val="18"/>
                <w:szCs w:val="18"/>
                <w:b w:val="1"/>
                <w:bCs w:val="1"/>
                <w:color w:val="0000FF"/>
              </w:rPr>
              <w:t xml:space="preserve">Report of Independent Registered Public Accounting Firm (PCAOB ID No. </w:t>
            </w:r>
            <w:r>
              <w:rPr>
                <w:rFonts w:ascii="Arial" w:cs="Arial" w:eastAsia="Arial" w:hAnsi="Arial"/>
                <w:sz w:val="18"/>
                <w:szCs w:val="18"/>
                <w:b w:val="1"/>
                <w:bCs w:val="1"/>
                <w:color w:val="000000"/>
              </w:rPr>
              <w:t>34</w:t>
            </w:r>
            <w:r>
              <w:rPr>
                <w:rFonts w:ascii="Arial" w:cs="Arial" w:eastAsia="Arial" w:hAnsi="Arial"/>
                <w:sz w:val="18"/>
                <w:szCs w:val="18"/>
                <w:b w:val="1"/>
                <w:bCs w:val="1"/>
                <w:color w:val="0000FF"/>
              </w:rPr>
              <w: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000FF"/>
                <w:w w:val="99"/>
              </w:rPr>
              <w:t>65</w:t>
            </w:r>
          </w:p>
        </w:tc>
      </w:tr>
      <w:tr>
        <w:trPr>
          <w:trHeight w:val="341"/>
        </w:trPr>
        <w:tc>
          <w:tcPr>
            <w:tcW w:w="9300" w:type="dxa"/>
            <w:vAlign w:val="bottom"/>
          </w:tcPr>
          <w:p>
            <w:pPr>
              <w:spacing w:after="0"/>
              <w:rPr>
                <w:sz w:val="20"/>
                <w:szCs w:val="20"/>
                <w:color w:val="auto"/>
              </w:rPr>
            </w:pPr>
            <w:r>
              <w:rPr>
                <w:rFonts w:ascii="Arial" w:cs="Arial" w:eastAsia="Arial" w:hAnsi="Arial"/>
                <w:sz w:val="18"/>
                <w:szCs w:val="18"/>
                <w:b w:val="1"/>
                <w:bCs w:val="1"/>
                <w:color w:val="0000FF"/>
              </w:rPr>
              <w:t>Consolidated Balance Sheets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000FF"/>
                <w:w w:val="99"/>
              </w:rPr>
              <w:t>68</w:t>
            </w:r>
          </w:p>
        </w:tc>
      </w:tr>
      <w:tr>
        <w:trPr>
          <w:trHeight w:val="300"/>
        </w:trPr>
        <w:tc>
          <w:tcPr>
            <w:tcW w:w="9300" w:type="dxa"/>
            <w:vAlign w:val="bottom"/>
          </w:tcPr>
          <w:p>
            <w:pPr>
              <w:spacing w:after="0"/>
              <w:rPr>
                <w:sz w:val="20"/>
                <w:szCs w:val="20"/>
                <w:color w:val="auto"/>
              </w:rPr>
            </w:pPr>
            <w:r>
              <w:rPr>
                <w:rFonts w:ascii="Arial" w:cs="Arial" w:eastAsia="Arial" w:hAnsi="Arial"/>
                <w:sz w:val="18"/>
                <w:szCs w:val="18"/>
                <w:b w:val="1"/>
                <w:bCs w:val="1"/>
                <w:color w:val="0000FF"/>
              </w:rPr>
              <w:t>Consolidated Statements of Operations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000FF"/>
                <w:w w:val="99"/>
              </w:rPr>
              <w:t>69</w:t>
            </w:r>
          </w:p>
        </w:tc>
      </w:tr>
      <w:tr>
        <w:trPr>
          <w:trHeight w:val="300"/>
        </w:trPr>
        <w:tc>
          <w:tcPr>
            <w:tcW w:w="9300" w:type="dxa"/>
            <w:vAlign w:val="bottom"/>
          </w:tcPr>
          <w:p>
            <w:pPr>
              <w:spacing w:after="0"/>
              <w:rPr>
                <w:sz w:val="20"/>
                <w:szCs w:val="20"/>
                <w:color w:val="auto"/>
              </w:rPr>
            </w:pPr>
            <w:r>
              <w:rPr>
                <w:rFonts w:ascii="Arial" w:cs="Arial" w:eastAsia="Arial" w:hAnsi="Arial"/>
                <w:sz w:val="18"/>
                <w:szCs w:val="18"/>
                <w:b w:val="1"/>
                <w:bCs w:val="1"/>
                <w:color w:val="0000FF"/>
              </w:rPr>
              <w:t>Consolidated Statements of Comprehensive Income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000FF"/>
                <w:w w:val="99"/>
              </w:rPr>
              <w:t>70</w:t>
            </w:r>
          </w:p>
        </w:tc>
      </w:tr>
      <w:tr>
        <w:trPr>
          <w:trHeight w:val="300"/>
        </w:trPr>
        <w:tc>
          <w:tcPr>
            <w:tcW w:w="9300" w:type="dxa"/>
            <w:vAlign w:val="bottom"/>
          </w:tcPr>
          <w:p>
            <w:pPr>
              <w:spacing w:after="0"/>
              <w:rPr>
                <w:sz w:val="20"/>
                <w:szCs w:val="20"/>
                <w:color w:val="auto"/>
              </w:rPr>
            </w:pPr>
            <w:r>
              <w:rPr>
                <w:rFonts w:ascii="Arial" w:cs="Arial" w:eastAsia="Arial" w:hAnsi="Arial"/>
                <w:sz w:val="18"/>
                <w:szCs w:val="18"/>
                <w:b w:val="1"/>
                <w:bCs w:val="1"/>
                <w:color w:val="0000FF"/>
              </w:rPr>
              <w:t>Consolidated Statements of Stockholders’ Equity</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000FF"/>
                <w:w w:val="99"/>
              </w:rPr>
              <w:t>71</w:t>
            </w:r>
          </w:p>
        </w:tc>
      </w:tr>
      <w:tr>
        <w:trPr>
          <w:trHeight w:val="300"/>
        </w:trPr>
        <w:tc>
          <w:tcPr>
            <w:tcW w:w="9300" w:type="dxa"/>
            <w:vAlign w:val="bottom"/>
          </w:tcPr>
          <w:p>
            <w:pPr>
              <w:spacing w:after="0"/>
              <w:rPr>
                <w:sz w:val="20"/>
                <w:szCs w:val="20"/>
                <w:color w:val="auto"/>
              </w:rPr>
            </w:pPr>
            <w:r>
              <w:rPr>
                <w:rFonts w:ascii="Arial" w:cs="Arial" w:eastAsia="Arial" w:hAnsi="Arial"/>
                <w:sz w:val="18"/>
                <w:szCs w:val="18"/>
                <w:b w:val="1"/>
                <w:bCs w:val="1"/>
                <w:color w:val="0000FF"/>
              </w:rPr>
              <w:t>Consolidated Statements of Cash Flows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000FF"/>
                <w:w w:val="99"/>
              </w:rPr>
              <w:t>72</w:t>
            </w:r>
          </w:p>
        </w:tc>
      </w:tr>
      <w:tr>
        <w:trPr>
          <w:trHeight w:val="300"/>
        </w:trPr>
        <w:tc>
          <w:tcPr>
            <w:tcW w:w="9300" w:type="dxa"/>
            <w:vAlign w:val="bottom"/>
          </w:tcPr>
          <w:p>
            <w:pPr>
              <w:spacing w:after="0"/>
              <w:rPr>
                <w:sz w:val="20"/>
                <w:szCs w:val="20"/>
                <w:color w:val="auto"/>
              </w:rPr>
            </w:pPr>
            <w:r>
              <w:rPr>
                <w:rFonts w:ascii="Arial" w:cs="Arial" w:eastAsia="Arial" w:hAnsi="Arial"/>
                <w:sz w:val="18"/>
                <w:szCs w:val="18"/>
                <w:b w:val="1"/>
                <w:bCs w:val="1"/>
                <w:color w:val="0000FF"/>
              </w:rPr>
              <w:t>Notes to Consolidated Financial Statements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000FF"/>
                <w:w w:val="99"/>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-1339215</wp:posOffset>
            </wp:positionV>
            <wp:extent cx="6530975" cy="13589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7">
                      <a:extLst>
                        <a:ext uri="{28A0092B-C50C-407E-A947-70E740481C1C}"/>
                      </a:extLst>
                    </a:blip>
                    <a:srcRect/>
                    <a:stretch>
                      <a:fillRect/>
                    </a:stretch>
                  </pic:blipFill>
                  <pic:spPr bwMode="auto">
                    <a:xfrm>
                      <a:off x="0" y="0"/>
                      <a:ext cx="6530975" cy="1358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83820</wp:posOffset>
                </wp:positionH>
                <wp:positionV relativeFrom="paragraph">
                  <wp:posOffset>6233795</wp:posOffset>
                </wp:positionV>
                <wp:extent cx="633412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90.85pt" to="505.35pt,49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6233795</wp:posOffset>
                </wp:positionV>
                <wp:extent cx="633412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90.85pt" to="505.35pt,490.85pt" o:allowincell="f" strokecolor="#828282" strokeweight="0.25pt"/>
            </w:pict>
          </mc:Fallback>
        </mc:AlternateContent>
      </w:r>
    </w:p>
    <w:p>
      <w:pPr>
        <w:sectPr>
          <w:pgSz w:w="12240" w:h="15840" w:orient="portrait"/>
          <w:cols w:equalWidth="0" w:num="1">
            <w:col w:w="10240"/>
          </w:cols>
          <w:pgMar w:left="1000" w:top="21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828282"/>
        </w:rPr>
        <w:t>Enphase Energy, Inc. | 2025 Form 10-K | 64</w:t>
      </w:r>
    </w:p>
    <w:p>
      <w:pPr>
        <w:sectPr>
          <w:pgSz w:w="12240" w:h="15840" w:orient="portrait"/>
          <w:cols w:equalWidth="0" w:num="1">
            <w:col w:w="10240"/>
          </w:cols>
          <w:pgMar w:left="1000" w:top="216" w:right="100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Enphase Energy, Inc.</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30" w:lineRule="exact"/>
        <w:rPr>
          <w:sz w:val="20"/>
          <w:szCs w:val="20"/>
          <w:color w:val="auto"/>
        </w:rPr>
      </w:pPr>
    </w:p>
    <w:p>
      <w:pPr>
        <w:jc w:val="both"/>
        <w:ind w:firstLine="540"/>
        <w:spacing w:after="0" w:line="289" w:lineRule="auto"/>
        <w:rPr>
          <w:sz w:val="20"/>
          <w:szCs w:val="20"/>
          <w:color w:val="auto"/>
        </w:rPr>
      </w:pPr>
      <w:r>
        <w:rPr>
          <w:rFonts w:ascii="Arial" w:cs="Arial" w:eastAsia="Arial" w:hAnsi="Arial"/>
          <w:sz w:val="18"/>
          <w:szCs w:val="18"/>
          <w:b w:val="1"/>
          <w:bCs w:val="1"/>
          <w:color w:val="auto"/>
        </w:rPr>
        <w:t>We have audited the accompanying consolidated balance sheets of Enphase Energy, Inc. and subsidiaries (the "Company") as of December 31, 2025, and 2024, the related consolidated statements of operations,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55"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13, 2026, expressed an unqualified opinion on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130" w:lineRule="exact"/>
        <w:rPr>
          <w:sz w:val="20"/>
          <w:szCs w:val="20"/>
          <w:color w:val="auto"/>
        </w:rPr>
      </w:pPr>
    </w:p>
    <w:p>
      <w:pPr>
        <w:jc w:val="both"/>
        <w:ind w:right="20" w:firstLine="540"/>
        <w:spacing w:after="0" w:line="291" w:lineRule="auto"/>
        <w:rPr>
          <w:sz w:val="20"/>
          <w:szCs w:val="20"/>
          <w:color w:val="auto"/>
        </w:rPr>
      </w:pPr>
      <w:r>
        <w:rPr>
          <w:rFonts w:ascii="Arial" w:cs="Arial" w:eastAsia="Arial" w:hAnsi="Arial"/>
          <w:sz w:val="18"/>
          <w:szCs w:val="18"/>
          <w:b w:val="1"/>
          <w:bCs w:val="1"/>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Warranty Obligations - Refer to Notes 2, 9 and 10 to the consolidated financial statements</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Critical Audit Matter Description</w:t>
      </w:r>
    </w:p>
    <w:p>
      <w:pPr>
        <w:spacing w:after="0" w:line="128"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The Company’s warranty obligation provides for the repair or replacement of microinverter and storage products that fail during the product’s warranty term, generally of 10 to 25 years. The estimated warranty liability is developed for each generation of product and requires management to estimate, among other factors, (1) the number of units expected to be claimed under the Company’s warranty over time (</w:t>
      </w:r>
      <w:r>
        <w:rPr>
          <w:rFonts w:ascii="Arial" w:cs="Arial" w:eastAsia="Arial" w:hAnsi="Arial"/>
          <w:sz w:val="19"/>
          <w:szCs w:val="19"/>
          <w:b w:val="1"/>
          <w:bCs w:val="1"/>
          <w:i w:val="1"/>
          <w:iCs w:val="1"/>
          <w:color w:val="auto"/>
        </w:rPr>
        <w:t>i.e.,</w:t>
      </w:r>
      <w:r>
        <w:rPr>
          <w:rFonts w:ascii="Arial" w:cs="Arial" w:eastAsia="Arial" w:hAnsi="Arial"/>
          <w:sz w:val="19"/>
          <w:szCs w:val="19"/>
          <w:b w:val="1"/>
          <w:bCs w:val="1"/>
          <w:color w:val="auto"/>
        </w:rPr>
        <w:t xml:space="preserve"> return rate); and (2) the per unit cost of repair or replacement of units, including outbound shipping and labor costs, expected to be incurred to repair or replace failed units over time (</w:t>
      </w:r>
      <w:r>
        <w:rPr>
          <w:rFonts w:ascii="Arial" w:cs="Arial" w:eastAsia="Arial" w:hAnsi="Arial"/>
          <w:sz w:val="19"/>
          <w:szCs w:val="19"/>
          <w:b w:val="1"/>
          <w:bCs w:val="1"/>
          <w:i w:val="1"/>
          <w:iCs w:val="1"/>
          <w:color w:val="auto"/>
        </w:rPr>
        <w:t>i.e.,</w:t>
      </w:r>
      <w:r>
        <w:rPr>
          <w:rFonts w:ascii="Arial" w:cs="Arial" w:eastAsia="Arial" w:hAnsi="Arial"/>
          <w:sz w:val="19"/>
          <w:szCs w:val="19"/>
          <w:b w:val="1"/>
          <w:bCs w:val="1"/>
          <w:color w:val="auto"/>
        </w:rPr>
        <w:t xml:space="preserve"> replacement cost), all of which consider historical results, trends and the most current data available when the financial statements are available to be issued. The Company’s warranty liability for all microinverter and storage products sold after January 1, 2014, is measured at fair value which incorporates a discount rate based on the Company’s credit adjusted risk free rate.</w:t>
      </w:r>
    </w:p>
    <w:p>
      <w:pPr>
        <w:spacing w:after="0" w:line="68" w:lineRule="exact"/>
        <w:rPr>
          <w:sz w:val="20"/>
          <w:szCs w:val="20"/>
          <w:color w:val="auto"/>
        </w:rPr>
      </w:pPr>
    </w:p>
    <w:p>
      <w:pPr>
        <w:jc w:val="both"/>
        <w:ind w:right="20" w:firstLine="540"/>
        <w:spacing w:after="0" w:line="345" w:lineRule="auto"/>
        <w:rPr>
          <w:sz w:val="20"/>
          <w:szCs w:val="20"/>
          <w:color w:val="auto"/>
        </w:rPr>
      </w:pPr>
      <w:r>
        <w:rPr>
          <w:rFonts w:ascii="Arial" w:cs="Arial" w:eastAsia="Arial" w:hAnsi="Arial"/>
          <w:sz w:val="18"/>
          <w:szCs w:val="18"/>
          <w:b w:val="1"/>
          <w:bCs w:val="1"/>
          <w:color w:val="auto"/>
        </w:rPr>
        <w:t>Given the subjectivity of (1) estimating the number of units expected to be claimed under the Company’s warranty over time; (2) the estimated cost to repair or replace such products, and (3) the specialized valuation skills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293370</wp:posOffset>
                </wp:positionV>
                <wp:extent cx="633412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3.1pt" to="505.35pt,2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293370</wp:posOffset>
                </wp:positionV>
                <wp:extent cx="633412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3.1pt" to="505.35pt,23.1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65</w:t>
      </w:r>
    </w:p>
    <w:p>
      <w:pPr>
        <w:sectPr>
          <w:pgSz w:w="12240" w:h="15840" w:orient="portrait"/>
          <w:cols w:equalWidth="0" w:num="1">
            <w:col w:w="10260"/>
          </w:cols>
          <w:pgMar w:left="1000" w:top="216" w:right="98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required in evaluating discount rates, performing audit procedures to evaluate whether the estimated return rates, repair or replacement costs and discount rate were appropriately determined as of December 31, 2025, required a high degree of auditor judgment and an increased extent of effort.</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How the Critical Audit Matter Was Addressed in the Audit</w:t>
      </w:r>
    </w:p>
    <w:p>
      <w:pPr>
        <w:spacing w:after="0" w:line="128"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20"/>
          <w:szCs w:val="20"/>
          <w:b w:val="1"/>
          <w:bCs w:val="1"/>
          <w:color w:val="auto"/>
        </w:rPr>
        <w:t>Our audit procedures related to the estimated warranty return rates, estimated repair or replacement costs and discount rate used in determining the warranty obligation included the following, among others:</w:t>
      </w:r>
    </w:p>
    <w:p>
      <w:pPr>
        <w:spacing w:after="0" w:line="50" w:lineRule="exact"/>
        <w:rPr>
          <w:sz w:val="20"/>
          <w:szCs w:val="20"/>
          <w:color w:val="auto"/>
        </w:rPr>
      </w:pPr>
    </w:p>
    <w:p>
      <w:pPr>
        <w:ind w:left="720" w:hanging="360"/>
        <w:spacing w:after="0" w:line="268" w:lineRule="auto"/>
        <w:rPr>
          <w:sz w:val="20"/>
          <w:szCs w:val="20"/>
          <w:color w:val="auto"/>
        </w:rPr>
      </w:pPr>
      <w:r>
        <w:rPr>
          <w:rFonts w:ascii="Arial" w:cs="Arial" w:eastAsia="Arial" w:hAnsi="Arial"/>
          <w:sz w:val="20"/>
          <w:szCs w:val="20"/>
          <w:b w:val="1"/>
          <w:bCs w:val="1"/>
          <w:color w:val="auto"/>
        </w:rPr>
        <w:t>– We tested the effectiveness of controls utilized in the review of the warranty obligation calculation, including controls over the determination of estimated warranty return rates, estimated repair or replacement costs and discount rate.</w:t>
      </w:r>
    </w:p>
    <w:p>
      <w:pPr>
        <w:spacing w:after="0" w:line="69" w:lineRule="exact"/>
        <w:rPr>
          <w:sz w:val="20"/>
          <w:szCs w:val="20"/>
          <w:color w:val="auto"/>
        </w:rPr>
      </w:pPr>
    </w:p>
    <w:p>
      <w:pPr>
        <w:ind w:left="720" w:hanging="360"/>
        <w:spacing w:after="0" w:line="268" w:lineRule="auto"/>
        <w:rPr>
          <w:sz w:val="20"/>
          <w:szCs w:val="20"/>
          <w:color w:val="auto"/>
        </w:rPr>
      </w:pPr>
      <w:r>
        <w:rPr>
          <w:rFonts w:ascii="Arial" w:cs="Arial" w:eastAsia="Arial" w:hAnsi="Arial"/>
          <w:sz w:val="20"/>
          <w:szCs w:val="20"/>
          <w:b w:val="1"/>
          <w:bCs w:val="1"/>
          <w:color w:val="auto"/>
        </w:rPr>
        <w:t>– We evaluated the methods and assumptions used by management to estimate warranty return rates, estimated repair or replacement costs and discount rate used as part of the calculation of the warranty obligation by:</w:t>
      </w:r>
    </w:p>
    <w:p>
      <w:pPr>
        <w:spacing w:after="0" w:line="69" w:lineRule="exact"/>
        <w:rPr>
          <w:sz w:val="20"/>
          <w:szCs w:val="20"/>
          <w:color w:val="auto"/>
        </w:rPr>
      </w:pPr>
    </w:p>
    <w:p>
      <w:pPr>
        <w:jc w:val="both"/>
        <w:ind w:left="1440" w:hanging="370"/>
        <w:spacing w:after="0" w:line="262" w:lineRule="auto"/>
        <w:tabs>
          <w:tab w:leader="none" w:pos="1440" w:val="left"/>
        </w:tabs>
        <w:numPr>
          <w:ilvl w:val="1"/>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Testing the underlying data that served as the basis for the Company’s estimated warranty return rates analysis, which include historical warranty returns and historical product sales, in order to evaluate the various assumptions and historical data consisting of failure of individual components contained in its microinverters and storage products.</w:t>
      </w:r>
    </w:p>
    <w:p>
      <w:pPr>
        <w:spacing w:after="0" w:line="75" w:lineRule="exact"/>
        <w:rPr>
          <w:rFonts w:ascii="Arial" w:cs="Arial" w:eastAsia="Arial" w:hAnsi="Arial"/>
          <w:sz w:val="20"/>
          <w:szCs w:val="20"/>
          <w:b w:val="1"/>
          <w:bCs w:val="1"/>
          <w:color w:val="auto"/>
        </w:rPr>
      </w:pPr>
    </w:p>
    <w:p>
      <w:pPr>
        <w:jc w:val="both"/>
        <w:ind w:left="1440" w:hanging="370"/>
        <w:spacing w:after="0" w:line="289" w:lineRule="auto"/>
        <w:tabs>
          <w:tab w:leader="none" w:pos="1440" w:val="left"/>
        </w:tabs>
        <w:numPr>
          <w:ilvl w:val="1"/>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Comparing management’s prior-year assumptions of estimated warranty return rates to actual warranty returns received during the current year to identify potential bias in the determination of the estimated warranty return rates used in the warranty obligation recorded.</w:t>
      </w:r>
    </w:p>
    <w:p>
      <w:pPr>
        <w:spacing w:after="0" w:line="50" w:lineRule="exact"/>
        <w:rPr>
          <w:rFonts w:ascii="Arial" w:cs="Arial" w:eastAsia="Arial" w:hAnsi="Arial"/>
          <w:sz w:val="19"/>
          <w:szCs w:val="19"/>
          <w:b w:val="1"/>
          <w:bCs w:val="1"/>
          <w:color w:val="auto"/>
        </w:rPr>
      </w:pPr>
    </w:p>
    <w:p>
      <w:pPr>
        <w:ind w:left="1440" w:hanging="370"/>
        <w:spacing w:after="0" w:line="287" w:lineRule="auto"/>
        <w:tabs>
          <w:tab w:leader="none" w:pos="1440" w:val="left"/>
        </w:tabs>
        <w:numPr>
          <w:ilvl w:val="1"/>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Testing the relevant inputs into the Company’s per unit repair or replacement costs, including third party vendor quotes.</w:t>
      </w:r>
    </w:p>
    <w:p>
      <w:pPr>
        <w:spacing w:after="0" w:line="49" w:lineRule="exact"/>
        <w:rPr>
          <w:rFonts w:ascii="Arial" w:cs="Arial" w:eastAsia="Arial" w:hAnsi="Arial"/>
          <w:sz w:val="20"/>
          <w:szCs w:val="20"/>
          <w:b w:val="1"/>
          <w:bCs w:val="1"/>
          <w:color w:val="auto"/>
        </w:rPr>
      </w:pPr>
    </w:p>
    <w:p>
      <w:pPr>
        <w:ind w:left="1440" w:hanging="370"/>
        <w:spacing w:after="0" w:line="287" w:lineRule="auto"/>
        <w:tabs>
          <w:tab w:leader="none" w:pos="1440" w:val="left"/>
        </w:tabs>
        <w:numPr>
          <w:ilvl w:val="1"/>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Testing the discount rate used in the Company’s warranty obligation, utilizing internal fair value specialists.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DELOITTE &amp; TOUCHE LLP</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Jose, California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13, 2026</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2010.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3586480</wp:posOffset>
                </wp:positionV>
                <wp:extent cx="633412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2.4pt" to="505.35pt,282.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3586480</wp:posOffset>
                </wp:positionV>
                <wp:extent cx="633412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2.4pt" to="505.35pt,282.4pt" o:allowincell="f" strokecolor="#828282" strokeweight="0.25pt"/>
            </w:pict>
          </mc:Fallback>
        </mc:AlternateContent>
      </w:r>
    </w:p>
    <w:p>
      <w:pPr>
        <w:sectPr>
          <w:pgSz w:w="12240" w:h="15840" w:orient="portrait"/>
          <w:cols w:equalWidth="0" w:num="1">
            <w:col w:w="10240"/>
          </w:cols>
          <w:pgMar w:left="1000" w:top="21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828282"/>
        </w:rPr>
        <w:t>Enphase Energy, Inc. | 2025 Form 10-K | 66</w:t>
      </w:r>
    </w:p>
    <w:p>
      <w:pPr>
        <w:sectPr>
          <w:pgSz w:w="12240" w:h="15840" w:orient="portrait"/>
          <w:cols w:equalWidth="0" w:num="1">
            <w:col w:w="10240"/>
          </w:cols>
          <w:pgMar w:left="1000" w:top="216" w:right="100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Enphase Energy, Inc.</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30" w:lineRule="exact"/>
        <w:rPr>
          <w:sz w:val="20"/>
          <w:szCs w:val="20"/>
          <w:color w:val="auto"/>
        </w:rPr>
      </w:pPr>
    </w:p>
    <w:p>
      <w:pPr>
        <w:jc w:val="both"/>
        <w:ind w:right="20" w:firstLine="450"/>
        <w:spacing w:after="0" w:line="257" w:lineRule="auto"/>
        <w:rPr>
          <w:sz w:val="20"/>
          <w:szCs w:val="20"/>
          <w:color w:val="auto"/>
        </w:rPr>
      </w:pPr>
      <w:r>
        <w:rPr>
          <w:rFonts w:ascii="Arial" w:cs="Arial" w:eastAsia="Arial" w:hAnsi="Arial"/>
          <w:sz w:val="20"/>
          <w:szCs w:val="20"/>
          <w:b w:val="1"/>
          <w:bCs w:val="1"/>
          <w:color w:val="auto"/>
        </w:rPr>
        <w:t xml:space="preserve">We have audited the internal control over financial reporting of Enphase Energy, Inc. and subsidiaries (the “Company”) as of December 31, 2025, based on criteria established in </w:t>
      </w:r>
      <w:r>
        <w:rPr>
          <w:rFonts w:ascii="Arial" w:cs="Arial" w:eastAsia="Arial" w:hAnsi="Arial"/>
          <w:sz w:val="20"/>
          <w:szCs w:val="20"/>
          <w:b w:val="1"/>
          <w:bCs w:val="1"/>
          <w:i w:val="1"/>
          <w:iCs w:val="1"/>
          <w:color w:val="auto"/>
        </w:rPr>
        <w:t>Internal Control — Integrated Framework</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(2013) </w:t>
      </w:r>
      <w:r>
        <w:rPr>
          <w:rFonts w:ascii="Arial" w:cs="Arial" w:eastAsia="Arial" w:hAnsi="Arial"/>
          <w:sz w:val="20"/>
          <w:szCs w:val="20"/>
          <w:b w:val="1"/>
          <w:bCs w:val="1"/>
          <w:color w:val="auto"/>
        </w:rPr>
        <w:t>issued by the Committee of Sponsoring Organizations of the Treadway Commission (COSO). In our opinion,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the Company maintained, in all material respects, effective internal control over financial reporting as of December 31, 2025, based on criteria established in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b w:val="1"/>
          <w:bCs w:val="1"/>
          <w:color w:val="auto"/>
        </w:rPr>
        <w:t xml:space="preserve"> issued by COSO.</w:t>
      </w:r>
    </w:p>
    <w:p>
      <w:pPr>
        <w:spacing w:after="0" w:line="82" w:lineRule="exact"/>
        <w:rPr>
          <w:sz w:val="20"/>
          <w:szCs w:val="20"/>
          <w:color w:val="auto"/>
        </w:rPr>
      </w:pPr>
    </w:p>
    <w:p>
      <w:pPr>
        <w:jc w:val="both"/>
        <w:ind w:firstLine="450"/>
        <w:spacing w:after="0" w:line="262" w:lineRule="auto"/>
        <w:rPr>
          <w:sz w:val="20"/>
          <w:szCs w:val="20"/>
          <w:color w:val="auto"/>
        </w:rPr>
      </w:pPr>
      <w:r>
        <w:rPr>
          <w:rFonts w:ascii="Arial" w:cs="Arial" w:eastAsia="Arial" w:hAnsi="Arial"/>
          <w:sz w:val="20"/>
          <w:szCs w:val="20"/>
          <w:b w:val="1"/>
          <w:bCs w:val="1"/>
          <w:color w:val="auto"/>
        </w:rPr>
        <w:t>We have also audited, in accordance with the standards of the Public Company Accounting Oversight Board (United States) (PCAOB), the consolidated financial statements as of and for the year ended December 31, 2025, of the Company and our report dated February 13, 2026, expressed an unqualified opinion on those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0" w:lineRule="exact"/>
        <w:rPr>
          <w:sz w:val="20"/>
          <w:szCs w:val="20"/>
          <w:color w:val="auto"/>
        </w:rPr>
      </w:pPr>
    </w:p>
    <w:p>
      <w:pPr>
        <w:jc w:val="both"/>
        <w:ind w:right="20" w:firstLine="540"/>
        <w:spacing w:after="0" w:line="256" w:lineRule="auto"/>
        <w:rPr>
          <w:sz w:val="20"/>
          <w:szCs w:val="20"/>
          <w:color w:val="auto"/>
        </w:rPr>
      </w:pPr>
      <w:r>
        <w:rPr>
          <w:rFonts w:ascii="Arial" w:cs="Arial" w:eastAsia="Arial" w:hAnsi="Arial"/>
          <w:sz w:val="20"/>
          <w:szCs w:val="20"/>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ind w:right="20" w:firstLine="540"/>
        <w:spacing w:after="0" w:line="291" w:lineRule="auto"/>
        <w:rPr>
          <w:sz w:val="20"/>
          <w:szCs w:val="20"/>
          <w:color w:val="auto"/>
        </w:rPr>
      </w:pPr>
      <w:r>
        <w:rPr>
          <w:rFonts w:ascii="Arial" w:cs="Arial" w:eastAsia="Arial" w:hAnsi="Arial"/>
          <w:sz w:val="18"/>
          <w:szCs w:val="18"/>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30" w:lineRule="exact"/>
        <w:rPr>
          <w:sz w:val="20"/>
          <w:szCs w:val="20"/>
          <w:color w:val="auto"/>
        </w:rPr>
      </w:pPr>
    </w:p>
    <w:p>
      <w:pPr>
        <w:jc w:val="both"/>
        <w:ind w:right="20" w:firstLine="540"/>
        <w:spacing w:after="0" w:line="285" w:lineRule="auto"/>
        <w:rPr>
          <w:sz w:val="20"/>
          <w:szCs w:val="20"/>
          <w:color w:val="auto"/>
        </w:rPr>
      </w:pPr>
      <w:r>
        <w:rPr>
          <w:rFonts w:ascii="Arial" w:cs="Arial" w:eastAsia="Arial" w:hAnsi="Arial"/>
          <w:sz w:val="18"/>
          <w:szCs w:val="18"/>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DELOITTE &amp; TOUCHE LLP</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Jose, California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13,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767080</wp:posOffset>
                </wp:positionV>
                <wp:extent cx="633412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0.4pt" to="505.35pt,60.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767080</wp:posOffset>
                </wp:positionV>
                <wp:extent cx="633412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0.4pt" to="505.35pt,60.4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67</w:t>
      </w:r>
    </w:p>
    <w:p>
      <w:pPr>
        <w:sectPr>
          <w:pgSz w:w="12240" w:h="15840" w:orient="portrait"/>
          <w:cols w:equalWidth="0" w:num="1">
            <w:col w:w="10260"/>
          </w:cols>
          <w:pgMar w:left="1000" w:top="216" w:right="98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ENPHASE ENERGY, INC.</w:t>
      </w:r>
    </w:p>
    <w:p>
      <w:pPr>
        <w:spacing w:after="0" w:line="70"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CONSOLIDATED BALANCE SHEETS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par value)</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3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As of</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51"/>
              <w:spacing w:after="0" w:line="173"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right"/>
              <w:ind w:right="50"/>
              <w:spacing w:after="0" w:line="173"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7160" w:type="dxa"/>
            <w:vAlign w:val="bottom"/>
            <w:gridSpan w:val="5"/>
          </w:tcPr>
          <w:p>
            <w:pPr>
              <w:ind w:left="30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474,318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369,110</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95,006</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Marketable securities</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1,038,536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1,253,480</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w w:val="98"/>
              </w:rPr>
              <w:t>Accounts receivable, net of allowances of $580 and $7,788 at December 31, 2025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December 31, 2024, respectively</w:t>
            </w:r>
          </w:p>
        </w:tc>
        <w:tc>
          <w:tcPr>
            <w:tcW w:w="3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229,881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223,749</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Inventory</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288,047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165,004</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576,078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220,735</w:t>
            </w:r>
          </w:p>
        </w:tc>
        <w:tc>
          <w:tcPr>
            <w:tcW w:w="0" w:type="dxa"/>
            <w:vAlign w:val="bottom"/>
          </w:tcPr>
          <w:p>
            <w:pPr>
              <w:spacing w:after="0"/>
              <w:rPr>
                <w:sz w:val="1"/>
                <w:szCs w:val="1"/>
                <w:color w:val="auto"/>
              </w:rPr>
            </w:pPr>
          </w:p>
        </w:tc>
      </w:tr>
      <w:tr>
        <w:trPr>
          <w:trHeight w:val="265"/>
        </w:trPr>
        <w:tc>
          <w:tcPr>
            <w:tcW w:w="360" w:type="dxa"/>
            <w:vAlign w:val="bottom"/>
          </w:tcPr>
          <w:p>
            <w:pPr>
              <w:spacing w:after="0"/>
              <w:rPr>
                <w:sz w:val="23"/>
                <w:szCs w:val="23"/>
                <w:color w:val="auto"/>
              </w:rPr>
            </w:pPr>
          </w:p>
        </w:tc>
        <w:tc>
          <w:tcPr>
            <w:tcW w:w="716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2,606,860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2,327,084</w:t>
            </w:r>
          </w:p>
        </w:tc>
        <w:tc>
          <w:tcPr>
            <w:tcW w:w="0" w:type="dxa"/>
            <w:vAlign w:val="bottom"/>
          </w:tcPr>
          <w:p>
            <w:pPr>
              <w:spacing w:after="0"/>
              <w:rPr>
                <w:sz w:val="1"/>
                <w:szCs w:val="1"/>
                <w:color w:val="auto"/>
              </w:rPr>
            </w:pPr>
          </w:p>
        </w:tc>
      </w:tr>
      <w:tr>
        <w:trPr>
          <w:trHeight w:val="285"/>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136,804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147,514</w:t>
            </w:r>
          </w:p>
        </w:tc>
        <w:tc>
          <w:tcPr>
            <w:tcW w:w="0" w:type="dxa"/>
            <w:vAlign w:val="bottom"/>
          </w:tcPr>
          <w:p>
            <w:pPr>
              <w:spacing w:after="0"/>
              <w:rPr>
                <w:sz w:val="1"/>
                <w:szCs w:val="1"/>
                <w:color w:val="auto"/>
              </w:rPr>
            </w:pPr>
          </w:p>
        </w:tc>
      </w:tr>
      <w:tr>
        <w:trPr>
          <w:trHeight w:val="285"/>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Intangible assets, net</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22,288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42,398</w:t>
            </w:r>
          </w:p>
        </w:tc>
        <w:tc>
          <w:tcPr>
            <w:tcW w:w="0" w:type="dxa"/>
            <w:vAlign w:val="bottom"/>
          </w:tcPr>
          <w:p>
            <w:pPr>
              <w:spacing w:after="0"/>
              <w:rPr>
                <w:sz w:val="1"/>
                <w:szCs w:val="1"/>
                <w:color w:val="auto"/>
              </w:rPr>
            </w:pPr>
          </w:p>
        </w:tc>
      </w:tr>
      <w:tr>
        <w:trPr>
          <w:trHeight w:val="285"/>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Goodwill</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214,760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211,571</w:t>
            </w:r>
          </w:p>
        </w:tc>
        <w:tc>
          <w:tcPr>
            <w:tcW w:w="0" w:type="dxa"/>
            <w:vAlign w:val="bottom"/>
          </w:tcPr>
          <w:p>
            <w:pPr>
              <w:spacing w:after="0"/>
              <w:rPr>
                <w:sz w:val="1"/>
                <w:szCs w:val="1"/>
                <w:color w:val="auto"/>
              </w:rPr>
            </w:pPr>
          </w:p>
        </w:tc>
      </w:tr>
      <w:tr>
        <w:trPr>
          <w:trHeight w:val="285"/>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222,677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205,542</w:t>
            </w:r>
          </w:p>
        </w:tc>
        <w:tc>
          <w:tcPr>
            <w:tcW w:w="0" w:type="dxa"/>
            <w:vAlign w:val="bottom"/>
          </w:tcPr>
          <w:p>
            <w:pPr>
              <w:spacing w:after="0"/>
              <w:rPr>
                <w:sz w:val="1"/>
                <w:szCs w:val="1"/>
                <w:color w:val="auto"/>
              </w:rPr>
            </w:pPr>
          </w:p>
        </w:tc>
      </w:tr>
      <w:tr>
        <w:trPr>
          <w:trHeight w:val="285"/>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Deferred tax assets, net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306,403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315,567</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716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3,509,792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3,249,676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160" w:type="dxa"/>
            <w:vAlign w:val="bottom"/>
            <w:gridSpan w:val="5"/>
            <w:vMerge w:val="restart"/>
          </w:tcPr>
          <w:p>
            <w:pPr>
              <w:ind w:left="148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7160" w:type="dxa"/>
            <w:vAlign w:val="bottom"/>
            <w:gridSpan w:val="5"/>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Accounts payable</w:t>
            </w:r>
          </w:p>
        </w:tc>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203,039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90,032</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Accrued liabilities</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217,366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196,887</w:t>
            </w: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Deferred revenues, current</w:t>
            </w:r>
          </w:p>
        </w:tc>
        <w:tc>
          <w:tcPr>
            <w:tcW w:w="3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180,524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237,225</w:t>
            </w:r>
          </w:p>
        </w:tc>
        <w:tc>
          <w:tcPr>
            <w:tcW w:w="0" w:type="dxa"/>
            <w:vAlign w:val="bottom"/>
          </w:tcPr>
          <w:p>
            <w:pPr>
              <w:spacing w:after="0"/>
              <w:rPr>
                <w:sz w:val="1"/>
                <w:szCs w:val="1"/>
                <w:color w:val="auto"/>
              </w:rPr>
            </w:pPr>
          </w:p>
        </w:tc>
      </w:tr>
      <w:tr>
        <w:trPr>
          <w:trHeight w:val="246"/>
        </w:trPr>
        <w:tc>
          <w:tcPr>
            <w:tcW w:w="360" w:type="dxa"/>
            <w:vAlign w:val="bottom"/>
          </w:tcPr>
          <w:p>
            <w:pPr>
              <w:spacing w:after="0"/>
              <w:rPr>
                <w:sz w:val="21"/>
                <w:szCs w:val="21"/>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Warranty obligations, current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29,038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34,656</w:t>
            </w:r>
          </w:p>
        </w:tc>
        <w:tc>
          <w:tcPr>
            <w:tcW w:w="0" w:type="dxa"/>
            <w:vAlign w:val="bottom"/>
          </w:tcPr>
          <w:p>
            <w:pPr>
              <w:spacing w:after="0"/>
              <w:rPr>
                <w:sz w:val="1"/>
                <w:szCs w:val="1"/>
                <w:color w:val="auto"/>
              </w:rPr>
            </w:pPr>
          </w:p>
        </w:tc>
      </w:tr>
      <w:tr>
        <w:trPr>
          <w:trHeight w:val="279"/>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Debt, current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632,183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101,291</w:t>
            </w:r>
          </w:p>
        </w:tc>
        <w:tc>
          <w:tcPr>
            <w:tcW w:w="0" w:type="dxa"/>
            <w:vAlign w:val="bottom"/>
          </w:tcPr>
          <w:p>
            <w:pPr>
              <w:spacing w:after="0"/>
              <w:rPr>
                <w:sz w:val="1"/>
                <w:szCs w:val="1"/>
                <w:color w:val="auto"/>
              </w:rPr>
            </w:pPr>
          </w:p>
        </w:tc>
      </w:tr>
      <w:tr>
        <w:trPr>
          <w:trHeight w:val="265"/>
        </w:trPr>
        <w:tc>
          <w:tcPr>
            <w:tcW w:w="360" w:type="dxa"/>
            <w:vAlign w:val="bottom"/>
          </w:tcPr>
          <w:p>
            <w:pPr>
              <w:spacing w:after="0"/>
              <w:rPr>
                <w:sz w:val="23"/>
                <w:szCs w:val="23"/>
                <w:color w:val="auto"/>
              </w:rPr>
            </w:pPr>
          </w:p>
        </w:tc>
        <w:tc>
          <w:tcPr>
            <w:tcW w:w="716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1,262,150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660,091</w:t>
            </w:r>
          </w:p>
        </w:tc>
        <w:tc>
          <w:tcPr>
            <w:tcW w:w="0" w:type="dxa"/>
            <w:vAlign w:val="bottom"/>
          </w:tcPr>
          <w:p>
            <w:pPr>
              <w:spacing w:after="0"/>
              <w:rPr>
                <w:sz w:val="1"/>
                <w:szCs w:val="1"/>
                <w:color w:val="auto"/>
              </w:rPr>
            </w:pPr>
          </w:p>
        </w:tc>
      </w:tr>
      <w:tr>
        <w:trPr>
          <w:trHeight w:val="268"/>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Long-term liabilities: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Deferred revenues, non-current</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337,923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341,982</w:t>
            </w: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Warranty obligations, non-current</w:t>
            </w:r>
          </w:p>
        </w:tc>
        <w:tc>
          <w:tcPr>
            <w:tcW w:w="3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185,005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158,233</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65,497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55,265</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Debt, non-current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572,194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1,201,089</w:t>
            </w:r>
          </w:p>
        </w:tc>
        <w:tc>
          <w:tcPr>
            <w:tcW w:w="0" w:type="dxa"/>
            <w:vAlign w:val="bottom"/>
          </w:tcPr>
          <w:p>
            <w:pPr>
              <w:spacing w:after="0"/>
              <w:rPr>
                <w:sz w:val="1"/>
                <w:szCs w:val="1"/>
                <w:color w:val="auto"/>
              </w:rPr>
            </w:pPr>
          </w:p>
        </w:tc>
      </w:tr>
      <w:tr>
        <w:trPr>
          <w:trHeight w:val="265"/>
        </w:trPr>
        <w:tc>
          <w:tcPr>
            <w:tcW w:w="360" w:type="dxa"/>
            <w:vAlign w:val="bottom"/>
          </w:tcPr>
          <w:p>
            <w:pPr>
              <w:spacing w:after="0"/>
              <w:rPr>
                <w:sz w:val="23"/>
                <w:szCs w:val="23"/>
                <w:color w:val="auto"/>
              </w:rPr>
            </w:pPr>
          </w:p>
        </w:tc>
        <w:tc>
          <w:tcPr>
            <w:tcW w:w="716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2,422,769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2,416,660</w:t>
            </w:r>
          </w:p>
        </w:tc>
        <w:tc>
          <w:tcPr>
            <w:tcW w:w="0" w:type="dxa"/>
            <w:vAlign w:val="bottom"/>
          </w:tcPr>
          <w:p>
            <w:pPr>
              <w:spacing w:after="0"/>
              <w:rPr>
                <w:sz w:val="1"/>
                <w:szCs w:val="1"/>
                <w:color w:val="auto"/>
              </w:rPr>
            </w:pPr>
          </w:p>
        </w:tc>
      </w:tr>
      <w:tr>
        <w:trPr>
          <w:trHeight w:val="248"/>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60" w:type="dxa"/>
            <w:vAlign w:val="bottom"/>
            <w:vMerge w:val="restart"/>
          </w:tcPr>
          <w:p>
            <w:pPr>
              <w:spacing w:after="0"/>
              <w:rPr>
                <w:sz w:val="7"/>
                <w:szCs w:val="7"/>
                <w:color w:val="auto"/>
              </w:rPr>
            </w:pPr>
          </w:p>
        </w:tc>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w w:val="96"/>
              </w:rPr>
              <w:t>Common stock, $0.00001 par value, 300,000</w:t>
            </w:r>
          </w:p>
        </w:tc>
        <w:tc>
          <w:tcPr>
            <w:tcW w:w="18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60" w:type="dxa"/>
            <w:vAlign w:val="bottom"/>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1880" w:type="dxa"/>
            <w:vAlign w:val="bottom"/>
          </w:tcPr>
          <w:p>
            <w:pPr>
              <w:spacing w:after="0" w:line="169" w:lineRule="exact"/>
              <w:rPr>
                <w:sz w:val="20"/>
                <w:szCs w:val="20"/>
                <w:color w:val="auto"/>
              </w:rPr>
            </w:pPr>
            <w:r>
              <w:rPr>
                <w:rFonts w:ascii="Arial" w:cs="Arial" w:eastAsia="Arial" w:hAnsi="Arial"/>
                <w:sz w:val="18"/>
                <w:szCs w:val="18"/>
                <w:b w:val="1"/>
                <w:bCs w:val="1"/>
                <w:color w:val="auto"/>
                <w:highlight w:val="white"/>
                <w:w w:val="94"/>
              </w:rPr>
              <w:t>shares authorized; and</w:t>
            </w:r>
          </w:p>
        </w:tc>
        <w:tc>
          <w:tcPr>
            <w:tcW w:w="20" w:type="dxa"/>
            <w:vAlign w:val="bottom"/>
            <w:vMerge w:val="continue"/>
          </w:tcPr>
          <w:p>
            <w:pPr>
              <w:spacing w:after="0"/>
              <w:rPr>
                <w:sz w:val="14"/>
                <w:szCs w:val="14"/>
                <w:color w:val="auto"/>
              </w:rPr>
            </w:pPr>
          </w:p>
        </w:tc>
        <w:tc>
          <w:tcPr>
            <w:tcW w:w="162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highlight w:val="white"/>
                <w:w w:val="96"/>
              </w:rPr>
              <w:t>131,080 shares and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552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highlight w:val="white"/>
                <w:w w:val="98"/>
              </w:rPr>
              <w:t>132,448 shares issued and outstanding at December 31, 2025 and</w:t>
            </w:r>
          </w:p>
        </w:tc>
        <w:tc>
          <w:tcPr>
            <w:tcW w:w="144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highlight w:val="white"/>
                <w:w w:val="87"/>
              </w:rPr>
              <w:t>December 31, 2024</w:t>
            </w:r>
          </w:p>
        </w:tc>
        <w:tc>
          <w:tcPr>
            <w:tcW w:w="200" w:type="dxa"/>
            <w:vAlign w:val="bottom"/>
          </w:tcPr>
          <w:p>
            <w:pPr>
              <w:jc w:val="right"/>
              <w:ind w:right="110"/>
              <w:spacing w:after="0"/>
              <w:rPr>
                <w:sz w:val="20"/>
                <w:szCs w:val="20"/>
                <w:color w:val="auto"/>
              </w:rPr>
            </w:pPr>
            <w:r>
              <w:rPr>
                <w:rFonts w:ascii="Arial" w:cs="Arial" w:eastAsia="Arial" w:hAnsi="Arial"/>
                <w:sz w:val="10"/>
                <w:szCs w:val="10"/>
                <w:b w:val="1"/>
                <w:bCs w:val="1"/>
                <w:color w:val="auto"/>
                <w:w w:val="70"/>
              </w:rPr>
              <w:t>,</w:t>
            </w:r>
          </w:p>
        </w:tc>
        <w:tc>
          <w:tcPr>
            <w:tcW w:w="30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respectively</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Additional paid-in capital</w:t>
            </w:r>
          </w:p>
        </w:tc>
        <w:tc>
          <w:tcPr>
            <w:tcW w:w="3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1,289,164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1,084,573</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(203,896)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(245,206)</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1,754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(6,352)</w:t>
            </w:r>
          </w:p>
        </w:tc>
        <w:tc>
          <w:tcPr>
            <w:tcW w:w="0" w:type="dxa"/>
            <w:vAlign w:val="bottom"/>
          </w:tcPr>
          <w:p>
            <w:pPr>
              <w:spacing w:after="0"/>
              <w:rPr>
                <w:sz w:val="1"/>
                <w:szCs w:val="1"/>
                <w:color w:val="auto"/>
              </w:rPr>
            </w:pPr>
          </w:p>
        </w:tc>
      </w:tr>
      <w:tr>
        <w:trPr>
          <w:trHeight w:val="265"/>
        </w:trPr>
        <w:tc>
          <w:tcPr>
            <w:tcW w:w="360" w:type="dxa"/>
            <w:vAlign w:val="bottom"/>
          </w:tcPr>
          <w:p>
            <w:pPr>
              <w:spacing w:after="0"/>
              <w:rPr>
                <w:sz w:val="23"/>
                <w:szCs w:val="23"/>
                <w:color w:val="auto"/>
              </w:rPr>
            </w:pPr>
          </w:p>
        </w:tc>
        <w:tc>
          <w:tcPr>
            <w:tcW w:w="716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1,087,023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833,016</w:t>
            </w:r>
          </w:p>
        </w:tc>
        <w:tc>
          <w:tcPr>
            <w:tcW w:w="0" w:type="dxa"/>
            <w:vAlign w:val="bottom"/>
          </w:tcPr>
          <w:p>
            <w:pPr>
              <w:spacing w:after="0"/>
              <w:rPr>
                <w:sz w:val="1"/>
                <w:szCs w:val="1"/>
                <w:color w:val="auto"/>
              </w:rPr>
            </w:pPr>
          </w:p>
        </w:tc>
      </w:tr>
      <w:tr>
        <w:trPr>
          <w:trHeight w:val="245"/>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3,509,792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3,249,676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-6946265</wp:posOffset>
            </wp:positionV>
            <wp:extent cx="6553200" cy="6965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8">
                      <a:extLst>
                        <a:ext uri="{28A0092B-C50C-407E-A947-70E740481C1C}"/>
                      </a:extLst>
                    </a:blip>
                    <a:srcRect/>
                    <a:stretch>
                      <a:fillRect/>
                    </a:stretch>
                  </pic:blipFill>
                  <pic:spPr bwMode="auto">
                    <a:xfrm>
                      <a:off x="0" y="0"/>
                      <a:ext cx="6553200" cy="6965950"/>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814705</wp:posOffset>
                </wp:positionV>
                <wp:extent cx="633412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4.15pt" to="505.35pt,64.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814705</wp:posOffset>
                </wp:positionV>
                <wp:extent cx="633412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4.15pt" to="505.35pt,64.1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68</w:t>
      </w:r>
    </w:p>
    <w:p>
      <w:pPr>
        <w:sectPr>
          <w:pgSz w:w="12240" w:h="15840" w:orient="portrait"/>
          <w:cols w:equalWidth="0" w:num="1">
            <w:col w:w="10260"/>
          </w:cols>
          <w:pgMar w:left="1000" w:top="216" w:right="98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per share data)</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9"/>
        </w:trPr>
        <w:tc>
          <w:tcPr>
            <w:tcW w:w="616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1,472,985</w:t>
            </w:r>
          </w:p>
        </w:tc>
        <w:tc>
          <w:tcPr>
            <w:tcW w:w="80" w:type="dxa"/>
            <w:vAlign w:val="bottom"/>
          </w:tcPr>
          <w:p>
            <w:pPr>
              <w:spacing w:after="0"/>
              <w:rPr>
                <w:sz w:val="20"/>
                <w:szCs w:val="20"/>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1,330,383</w:t>
            </w:r>
          </w:p>
        </w:tc>
        <w:tc>
          <w:tcPr>
            <w:tcW w:w="60" w:type="dxa"/>
            <w:vAlign w:val="bottom"/>
          </w:tcPr>
          <w:p>
            <w:pPr>
              <w:spacing w:after="0"/>
              <w:rPr>
                <w:sz w:val="20"/>
                <w:szCs w:val="20"/>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2,290,786</w:t>
            </w:r>
          </w:p>
        </w:tc>
        <w:tc>
          <w:tcPr>
            <w:tcW w:w="0" w:type="dxa"/>
            <w:vAlign w:val="bottom"/>
          </w:tcPr>
          <w:p>
            <w:pPr>
              <w:spacing w:after="0"/>
              <w:rPr>
                <w:sz w:val="1"/>
                <w:szCs w:val="1"/>
                <w:color w:val="auto"/>
              </w:rPr>
            </w:pPr>
          </w:p>
        </w:tc>
      </w:tr>
      <w:tr>
        <w:trPr>
          <w:trHeight w:val="251"/>
        </w:trPr>
        <w:tc>
          <w:tcPr>
            <w:tcW w:w="616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785,981</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701,245</w:t>
            </w: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1,232,398</w:t>
            </w:r>
          </w:p>
        </w:tc>
        <w:tc>
          <w:tcPr>
            <w:tcW w:w="0" w:type="dxa"/>
            <w:vAlign w:val="bottom"/>
          </w:tcPr>
          <w:p>
            <w:pPr>
              <w:spacing w:after="0"/>
              <w:rPr>
                <w:sz w:val="1"/>
                <w:szCs w:val="1"/>
                <w:color w:val="auto"/>
              </w:rPr>
            </w:pPr>
          </w:p>
        </w:tc>
      </w:tr>
      <w:tr>
        <w:trPr>
          <w:trHeight w:val="235"/>
        </w:trPr>
        <w:tc>
          <w:tcPr>
            <w:tcW w:w="61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687,004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629,138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1,058,388</w:t>
            </w:r>
          </w:p>
        </w:tc>
        <w:tc>
          <w:tcPr>
            <w:tcW w:w="0" w:type="dxa"/>
            <w:vAlign w:val="bottom"/>
          </w:tcPr>
          <w:p>
            <w:pPr>
              <w:spacing w:after="0"/>
              <w:rPr>
                <w:sz w:val="1"/>
                <w:szCs w:val="1"/>
                <w:color w:val="auto"/>
              </w:rPr>
            </w:pPr>
          </w:p>
        </w:tc>
      </w:tr>
      <w:tr>
        <w:trPr>
          <w:trHeight w:val="235"/>
        </w:trPr>
        <w:tc>
          <w:tcPr>
            <w:tcW w:w="6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Research and development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189,075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201,315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227,336</w:t>
            </w:r>
          </w:p>
        </w:tc>
        <w:tc>
          <w:tcPr>
            <w:tcW w:w="0" w:type="dxa"/>
            <w:vAlign w:val="bottom"/>
          </w:tcPr>
          <w:p>
            <w:pPr>
              <w:spacing w:after="0"/>
              <w:rPr>
                <w:sz w:val="1"/>
                <w:szCs w:val="1"/>
                <w:color w:val="auto"/>
              </w:rPr>
            </w:pPr>
          </w:p>
        </w:tc>
      </w:tr>
      <w:tr>
        <w:trPr>
          <w:trHeight w:val="255"/>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Sales and marketing</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197,505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206,552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231,792</w:t>
            </w:r>
          </w:p>
        </w:tc>
        <w:tc>
          <w:tcPr>
            <w:tcW w:w="0" w:type="dxa"/>
            <w:vAlign w:val="bottom"/>
          </w:tcPr>
          <w:p>
            <w:pPr>
              <w:spacing w:after="0"/>
              <w:rPr>
                <w:sz w:val="1"/>
                <w:szCs w:val="1"/>
                <w:color w:val="auto"/>
              </w:rPr>
            </w:pPr>
          </w:p>
        </w:tc>
      </w:tr>
      <w:tr>
        <w:trPr>
          <w:trHeight w:val="255"/>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General and administrative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135,767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130,825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137,835</w:t>
            </w:r>
          </w:p>
        </w:tc>
        <w:tc>
          <w:tcPr>
            <w:tcW w:w="0" w:type="dxa"/>
            <w:vAlign w:val="bottom"/>
          </w:tcPr>
          <w:p>
            <w:pPr>
              <w:spacing w:after="0"/>
              <w:rPr>
                <w:sz w:val="1"/>
                <w:szCs w:val="1"/>
                <w:color w:val="auto"/>
              </w:rPr>
            </w:pPr>
          </w:p>
        </w:tc>
      </w:tr>
      <w:tr>
        <w:trPr>
          <w:trHeight w:val="255"/>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Restructuring and asset impairment charges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13,154</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15,684</w:t>
            </w:r>
          </w:p>
        </w:tc>
        <w:tc>
          <w:tcPr>
            <w:tcW w:w="0" w:type="dxa"/>
            <w:vAlign w:val="bottom"/>
          </w:tcPr>
          <w:p>
            <w:pPr>
              <w:spacing w:after="0"/>
              <w:rPr>
                <w:sz w:val="1"/>
                <w:szCs w:val="1"/>
                <w:color w:val="auto"/>
              </w:rPr>
            </w:pPr>
          </w:p>
        </w:tc>
      </w:tr>
      <w:tr>
        <w:trPr>
          <w:trHeight w:val="235"/>
        </w:trPr>
        <w:tc>
          <w:tcPr>
            <w:tcW w:w="616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529,478</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551,846</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612,647</w:t>
            </w:r>
          </w:p>
        </w:tc>
        <w:tc>
          <w:tcPr>
            <w:tcW w:w="0" w:type="dxa"/>
            <w:vAlign w:val="bottom"/>
          </w:tcPr>
          <w:p>
            <w:pPr>
              <w:spacing w:after="0"/>
              <w:rPr>
                <w:sz w:val="1"/>
                <w:szCs w:val="1"/>
                <w:color w:val="auto"/>
              </w:rPr>
            </w:pPr>
          </w:p>
        </w:tc>
      </w:tr>
      <w:tr>
        <w:trPr>
          <w:trHeight w:val="239"/>
        </w:trPr>
        <w:tc>
          <w:tcPr>
            <w:tcW w:w="61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157,526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77,292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445,741</w:t>
            </w:r>
          </w:p>
        </w:tc>
        <w:tc>
          <w:tcPr>
            <w:tcW w:w="0" w:type="dxa"/>
            <w:vAlign w:val="bottom"/>
          </w:tcPr>
          <w:p>
            <w:pPr>
              <w:spacing w:after="0"/>
              <w:rPr>
                <w:sz w:val="1"/>
                <w:szCs w:val="1"/>
                <w:color w:val="auto"/>
              </w:rPr>
            </w:pPr>
          </w:p>
        </w:tc>
      </w:tr>
      <w:tr>
        <w:trPr>
          <w:trHeight w:val="251"/>
        </w:trPr>
        <w:tc>
          <w:tcPr>
            <w:tcW w:w="6160" w:type="dxa"/>
            <w:vAlign w:val="bottom"/>
          </w:tcPr>
          <w:p>
            <w:pPr>
              <w:spacing w:after="0"/>
              <w:rPr>
                <w:sz w:val="20"/>
                <w:szCs w:val="20"/>
                <w:color w:val="auto"/>
              </w:rPr>
            </w:pPr>
            <w:r>
              <w:rPr>
                <w:rFonts w:ascii="Arial" w:cs="Arial" w:eastAsia="Arial" w:hAnsi="Arial"/>
                <w:sz w:val="18"/>
                <w:szCs w:val="18"/>
                <w:b w:val="1"/>
                <w:bCs w:val="1"/>
                <w:color w:val="auto"/>
              </w:rPr>
              <w:t>Other income, net</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Interest income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62,722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77,306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69,728</w:t>
            </w:r>
          </w:p>
        </w:tc>
        <w:tc>
          <w:tcPr>
            <w:tcW w:w="0" w:type="dxa"/>
            <w:vAlign w:val="bottom"/>
          </w:tcPr>
          <w:p>
            <w:pPr>
              <w:spacing w:after="0"/>
              <w:rPr>
                <w:sz w:val="1"/>
                <w:szCs w:val="1"/>
                <w:color w:val="auto"/>
              </w:rPr>
            </w:pPr>
          </w:p>
        </w:tc>
      </w:tr>
      <w:tr>
        <w:trPr>
          <w:trHeight w:val="255"/>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(4,521)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(8,905)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(8,839)</w:t>
            </w:r>
          </w:p>
        </w:tc>
        <w:tc>
          <w:tcPr>
            <w:tcW w:w="0" w:type="dxa"/>
            <w:vAlign w:val="bottom"/>
          </w:tcPr>
          <w:p>
            <w:pPr>
              <w:spacing w:after="0"/>
              <w:rPr>
                <w:sz w:val="1"/>
                <w:szCs w:val="1"/>
                <w:color w:val="auto"/>
              </w:rPr>
            </w:pPr>
          </w:p>
        </w:tc>
      </w:tr>
      <w:tr>
        <w:trPr>
          <w:trHeight w:val="255"/>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(25,534)</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6,509</w:t>
            </w:r>
          </w:p>
        </w:tc>
        <w:tc>
          <w:tcPr>
            <w:tcW w:w="0" w:type="dxa"/>
            <w:vAlign w:val="bottom"/>
          </w:tcPr>
          <w:p>
            <w:pPr>
              <w:spacing w:after="0"/>
              <w:rPr>
                <w:sz w:val="1"/>
                <w:szCs w:val="1"/>
                <w:color w:val="auto"/>
              </w:rPr>
            </w:pPr>
          </w:p>
        </w:tc>
      </w:tr>
      <w:tr>
        <w:trPr>
          <w:trHeight w:val="235"/>
        </w:trPr>
        <w:tc>
          <w:tcPr>
            <w:tcW w:w="616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net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47,288</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42,867</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67,398</w:t>
            </w:r>
          </w:p>
        </w:tc>
        <w:tc>
          <w:tcPr>
            <w:tcW w:w="0" w:type="dxa"/>
            <w:vAlign w:val="bottom"/>
          </w:tcPr>
          <w:p>
            <w:pPr>
              <w:spacing w:after="0"/>
              <w:rPr>
                <w:sz w:val="1"/>
                <w:szCs w:val="1"/>
                <w:color w:val="auto"/>
              </w:rPr>
            </w:pPr>
          </w:p>
        </w:tc>
      </w:tr>
      <w:tr>
        <w:trPr>
          <w:trHeight w:val="239"/>
        </w:trPr>
        <w:tc>
          <w:tcPr>
            <w:tcW w:w="61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204,814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120,159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513,139</w:t>
            </w:r>
          </w:p>
        </w:tc>
        <w:tc>
          <w:tcPr>
            <w:tcW w:w="0" w:type="dxa"/>
            <w:vAlign w:val="bottom"/>
          </w:tcPr>
          <w:p>
            <w:pPr>
              <w:spacing w:after="0"/>
              <w:rPr>
                <w:sz w:val="1"/>
                <w:szCs w:val="1"/>
                <w:color w:val="auto"/>
              </w:rPr>
            </w:pPr>
          </w:p>
        </w:tc>
      </w:tr>
      <w:tr>
        <w:trPr>
          <w:trHeight w:val="251"/>
        </w:trPr>
        <w:tc>
          <w:tcPr>
            <w:tcW w:w="616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(32,681)</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(17,501)</w:t>
            </w: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(74,203)</w:t>
            </w: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172,133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102,658</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438,936</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0.76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6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50"/>
              <w:spacing w:after="0" w:line="195"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1.29</w:t>
            </w:r>
          </w:p>
        </w:tc>
        <w:tc>
          <w:tcPr>
            <w:tcW w:w="8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50"/>
              <w:spacing w:after="0" w:line="195"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0.75</w:t>
            </w:r>
          </w:p>
        </w:tc>
        <w:tc>
          <w:tcPr>
            <w:tcW w:w="60" w:type="dxa"/>
            <w:vAlign w:val="bottom"/>
            <w:vMerge w:val="continue"/>
          </w:tcPr>
          <w:p>
            <w:pPr>
              <w:spacing w:after="0"/>
              <w:rPr>
                <w:sz w:val="16"/>
                <w:szCs w:val="16"/>
                <w:color w:val="auto"/>
              </w:rPr>
            </w:pPr>
          </w:p>
        </w:tc>
        <w:tc>
          <w:tcPr>
            <w:tcW w:w="38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Shares used in per share calculation: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Basic</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131,162</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135,167</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136,376</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6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134,886</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140,004</w:t>
            </w: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143,290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-3917315</wp:posOffset>
            </wp:positionV>
            <wp:extent cx="6553200" cy="39370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9">
                      <a:extLst>
                        <a:ext uri="{28A0092B-C50C-407E-A947-70E740481C1C}"/>
                      </a:extLst>
                    </a:blip>
                    <a:srcRect/>
                    <a:stretch>
                      <a:fillRect/>
                    </a:stretch>
                  </pic:blipFill>
                  <pic:spPr bwMode="auto">
                    <a:xfrm>
                      <a:off x="0" y="0"/>
                      <a:ext cx="6553200" cy="3937000"/>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4005580</wp:posOffset>
                </wp:positionV>
                <wp:extent cx="633412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15.4pt" to="505.35pt,315.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4005580</wp:posOffset>
                </wp:positionV>
                <wp:extent cx="633412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15.4pt" to="505.35pt,315.4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69</w:t>
      </w:r>
    </w:p>
    <w:p>
      <w:pPr>
        <w:sectPr>
          <w:pgSz w:w="12240" w:h="15840" w:orient="portrait"/>
          <w:cols w:equalWidth="0" w:num="1">
            <w:col w:w="10260"/>
          </w:cols>
          <w:pgMar w:left="1000" w:top="216" w:right="980" w:bottom="0" w:gutter="0" w:footer="0" w:header="0"/>
          <w:type w:val="continuous"/>
        </w:sectPr>
      </w:pPr>
    </w:p>
    <w:bookmarkStart w:id="69" w:name="page70"/>
    <w:bookmarkEnd w:id="69"/>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20"/>
          <w:szCs w:val="20"/>
          <w:b w:val="1"/>
          <w:bCs w:val="1"/>
          <w:color w:val="auto"/>
        </w:rPr>
        <w:t>ENPHASE ENERGY, INC.</w:t>
      </w:r>
    </w:p>
    <w:p>
      <w:pPr>
        <w:spacing w:after="0" w:line="30" w:lineRule="exact"/>
        <w:rPr>
          <w:sz w:val="20"/>
          <w:szCs w:val="20"/>
          <w:color w:val="auto"/>
        </w:rPr>
      </w:pPr>
    </w:p>
    <w:p>
      <w:pPr>
        <w:jc w:val="center"/>
        <w:ind w:right="-299"/>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10" w:lineRule="exact"/>
        <w:rPr>
          <w:sz w:val="20"/>
          <w:szCs w:val="20"/>
          <w:color w:val="auto"/>
        </w:rPr>
      </w:pPr>
    </w:p>
    <w:p>
      <w:pPr>
        <w:jc w:val="center"/>
        <w:ind w:right="-299"/>
        <w:spacing w:after="0"/>
        <w:rPr>
          <w:sz w:val="20"/>
          <w:szCs w:val="20"/>
          <w:color w:val="auto"/>
        </w:rPr>
      </w:pPr>
      <w:r>
        <w:rPr>
          <w:rFonts w:ascii="Arial" w:cs="Arial" w:eastAsia="Arial" w:hAnsi="Arial"/>
          <w:sz w:val="20"/>
          <w:szCs w:val="20"/>
          <w:b w:val="1"/>
          <w:bCs w:val="1"/>
          <w:color w:val="auto"/>
        </w:rPr>
        <w:t>(In thousands)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5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20"/>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r>
      <w:tr>
        <w:trPr>
          <w:trHeight w:val="265"/>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172,133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102,658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438,936</w:t>
            </w:r>
          </w:p>
        </w:tc>
      </w:tr>
      <w:tr>
        <w:trPr>
          <w:trHeight w:val="251"/>
        </w:trPr>
        <w:tc>
          <w:tcPr>
            <w:tcW w:w="55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3731895</wp:posOffset>
                </wp:positionH>
                <wp:positionV relativeFrom="paragraph">
                  <wp:posOffset>-486410</wp:posOffset>
                </wp:positionV>
                <wp:extent cx="82867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85pt,-38.2999pt" to="359.1pt,-38.2999pt" o:allowincell="f" strokecolor="#000000" strokeweight="0pt"/>
            </w:pict>
          </mc:Fallback>
        </mc:AlternateContent>
        <w:drawing>
          <wp:anchor simplePos="0" relativeHeight="251657728" behindDoc="1" locked="0" layoutInCell="0" allowOverlap="1">
            <wp:simplePos x="0" y="0"/>
            <wp:positionH relativeFrom="column">
              <wp:posOffset>175895</wp:posOffset>
            </wp:positionH>
            <wp:positionV relativeFrom="paragraph">
              <wp:posOffset>-346710</wp:posOffset>
            </wp:positionV>
            <wp:extent cx="6162675" cy="13271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0">
                      <a:extLst>
                        <a:ext uri="{28A0092B-C50C-407E-A947-70E740481C1C}"/>
                      </a:extLst>
                    </a:blip>
                    <a:srcRect/>
                    <a:stretch>
                      <a:fillRect/>
                    </a:stretch>
                  </pic:blipFill>
                  <pic:spPr bwMode="auto">
                    <a:xfrm>
                      <a:off x="0" y="0"/>
                      <a:ext cx="6162675" cy="1327150"/>
                    </a:xfrm>
                    <a:prstGeom prst="rect">
                      <a:avLst/>
                    </a:prstGeom>
                    <a:noFill/>
                  </pic:spPr>
                </pic:pic>
              </a:graphicData>
            </a:graphic>
          </wp:anchor>
        </w:drawing>
      </w:r>
    </w:p>
    <w:p>
      <w:pPr>
        <w:sectPr>
          <w:pgSz w:w="12240" w:h="15840" w:orient="portrait"/>
          <w:cols w:equalWidth="0" w:num="1">
            <w:col w:w="9940"/>
          </w:cols>
          <w:pgMar w:left="1000" w:top="216" w:right="1300" w:bottom="0" w:gutter="0" w:footer="0" w:header="0"/>
        </w:sectPr>
      </w:pPr>
    </w:p>
    <w:p>
      <w:pPr>
        <w:spacing w:after="0" w:line="46" w:lineRule="exact"/>
        <w:rPr>
          <w:sz w:val="20"/>
          <w:szCs w:val="20"/>
          <w:color w:val="auto"/>
        </w:rPr>
      </w:pPr>
    </w:p>
    <w:p>
      <w:pPr>
        <w:ind w:left="720" w:right="2080"/>
        <w:spacing w:after="0" w:line="313" w:lineRule="auto"/>
        <w:rPr>
          <w:sz w:val="20"/>
          <w:szCs w:val="20"/>
          <w:color w:val="auto"/>
        </w:rPr>
      </w:pPr>
      <w:r>
        <w:rPr>
          <w:rFonts w:ascii="Arial" w:cs="Arial" w:eastAsia="Arial" w:hAnsi="Arial"/>
          <w:sz w:val="18"/>
          <w:szCs w:val="18"/>
          <w:b w:val="1"/>
          <w:bCs w:val="1"/>
          <w:color w:val="auto"/>
        </w:rPr>
        <w:t>Foreign currency translation adjustments Marketable securities</w:t>
      </w:r>
    </w:p>
    <w:p>
      <w:pPr>
        <w:jc w:val="both"/>
        <w:ind w:left="840" w:right="220"/>
        <w:spacing w:after="0" w:line="231" w:lineRule="auto"/>
        <w:rPr>
          <w:sz w:val="20"/>
          <w:szCs w:val="20"/>
          <w:color w:val="auto"/>
        </w:rPr>
      </w:pPr>
      <w:r>
        <w:rPr>
          <w:rFonts w:ascii="Arial" w:cs="Arial" w:eastAsia="Arial" w:hAnsi="Arial"/>
          <w:sz w:val="18"/>
          <w:szCs w:val="18"/>
          <w:b w:val="1"/>
          <w:bCs w:val="1"/>
          <w:color w:val="auto"/>
        </w:rPr>
        <w:t>Change in net unrealized gain, net of income tax (provision) benefit of $(757), $115 and $2,468 for the year ended December 31, 2025, 2024 and 2023, respectively.</w:t>
      </w:r>
    </w:p>
    <w:p>
      <w:pPr>
        <w:ind w:left="360"/>
        <w:spacing w:after="0" w:line="232" w:lineRule="auto"/>
        <w:tabs>
          <w:tab w:leader="none" w:pos="5920" w:val="left"/>
        </w:tabs>
        <w:rPr>
          <w:sz w:val="20"/>
          <w:szCs w:val="20"/>
          <w:color w:val="auto"/>
        </w:rPr>
      </w:pPr>
      <w:r>
        <w:rPr>
          <w:rFonts w:ascii="Arial" w:cs="Arial" w:eastAsia="Arial" w:hAnsi="Arial"/>
          <w:sz w:val="18"/>
          <w:szCs w:val="18"/>
          <w:b w:val="1"/>
          <w:bCs w:val="1"/>
          <w:color w:val="auto"/>
        </w:rPr>
        <w:t>Comprehensive income</w:t>
      </w:r>
      <w:r>
        <w:rPr>
          <w:sz w:val="20"/>
          <w:szCs w:val="20"/>
          <w:color w:val="auto"/>
        </w:rPr>
        <w:tab/>
      </w:r>
      <w:r>
        <w:rPr>
          <w:rFonts w:ascii="Arial" w:cs="Arial" w:eastAsia="Arial" w:hAnsi="Arial"/>
          <w:sz w:val="26"/>
          <w:szCs w:val="26"/>
          <w:b w:val="1"/>
          <w:bCs w:val="1"/>
          <w:color w:val="auto"/>
          <w:vertAlign w:val="subscript"/>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5,770</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(4,715)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1,190</w:t>
            </w:r>
          </w:p>
        </w:tc>
      </w:tr>
      <w:tr>
        <w:trPr>
          <w:trHeight w:val="688"/>
        </w:trPr>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2,336</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7,704</w:t>
            </w:r>
          </w:p>
        </w:tc>
      </w:tr>
      <w:tr>
        <w:trPr>
          <w:trHeight w:val="182"/>
        </w:trPr>
        <w:tc>
          <w:tcPr>
            <w:tcW w:w="8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45"/>
        </w:trPr>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180,239</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98,294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447,830</w:t>
            </w:r>
          </w:p>
        </w:tc>
      </w:tr>
      <w:tr>
        <w:trPr>
          <w:trHeight w:val="20"/>
        </w:trPr>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ectPr>
          <w:pgSz w:w="12240" w:h="15840" w:orient="portrait"/>
          <w:cols w:equalWidth="0" w:num="2">
            <w:col w:w="6040" w:space="420"/>
            <w:col w:w="3480"/>
          </w:cols>
          <w:pgMar w:left="1000" w:top="216" w:right="1300" w:bottom="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6785610</wp:posOffset>
                </wp:positionV>
                <wp:extent cx="633412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34.3pt" to="505.35pt,53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6785610</wp:posOffset>
                </wp:positionV>
                <wp:extent cx="633412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34.3pt" to="505.35pt,534.3pt" o:allowincell="f" strokecolor="#828282" strokeweight="0.25pt"/>
            </w:pict>
          </mc:Fallback>
        </mc:AlternateContent>
      </w:r>
    </w:p>
    <w:p>
      <w:pPr>
        <w:sectPr>
          <w:pgSz w:w="12240" w:h="15840" w:orient="portrait"/>
          <w:cols w:equalWidth="0" w:num="1">
            <w:col w:w="9940"/>
          </w:cols>
          <w:pgMar w:left="1000" w:top="216" w:right="13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99"/>
        <w:spacing w:after="0"/>
        <w:rPr>
          <w:sz w:val="20"/>
          <w:szCs w:val="20"/>
          <w:color w:val="auto"/>
        </w:rPr>
      </w:pPr>
      <w:r>
        <w:rPr>
          <w:rFonts w:ascii="Arial" w:cs="Arial" w:eastAsia="Arial" w:hAnsi="Arial"/>
          <w:sz w:val="11"/>
          <w:szCs w:val="11"/>
          <w:b w:val="1"/>
          <w:bCs w:val="1"/>
          <w:color w:val="828282"/>
        </w:rPr>
        <w:t>Enphase Energy, Inc. | 2025 Form 10-K | 70</w:t>
      </w:r>
    </w:p>
    <w:p>
      <w:pPr>
        <w:sectPr>
          <w:pgSz w:w="12240" w:h="15840" w:orient="portrait"/>
          <w:cols w:equalWidth="0" w:num="1">
            <w:col w:w="9940"/>
          </w:cols>
          <w:pgMar w:left="1000" w:top="216" w:right="1300" w:bottom="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1"/>
              <w:spacing w:after="0"/>
              <w:rPr>
                <w:sz w:val="20"/>
                <w:szCs w:val="20"/>
                <w:color w:val="auto"/>
              </w:rPr>
            </w:pPr>
            <w:r>
              <w:rPr>
                <w:rFonts w:ascii="Arial" w:cs="Arial" w:eastAsia="Arial" w:hAnsi="Arial"/>
                <w:sz w:val="16"/>
                <w:szCs w:val="16"/>
                <w:b w:val="1"/>
                <w:bCs w:val="1"/>
                <w:color w:val="auto"/>
                <w:w w:val="99"/>
              </w:rPr>
              <w:t>Accumulated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148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131"/>
              <w:spacing w:after="0" w:line="140" w:lineRule="exact"/>
              <w:rPr>
                <w:sz w:val="20"/>
                <w:szCs w:val="20"/>
                <w:color w:val="auto"/>
              </w:rPr>
            </w:pPr>
            <w:r>
              <w:rPr>
                <w:rFonts w:ascii="Arial" w:cs="Arial" w:eastAsia="Arial" w:hAnsi="Arial"/>
                <w:sz w:val="16"/>
                <w:szCs w:val="16"/>
                <w:b w:val="1"/>
                <w:bCs w:val="1"/>
                <w:color w:val="auto"/>
                <w:w w:val="99"/>
              </w:rPr>
              <w:t>Additional</w:t>
            </w:r>
          </w:p>
        </w:tc>
        <w:tc>
          <w:tcPr>
            <w:tcW w:w="80" w:type="dxa"/>
            <w:vAlign w:val="bottom"/>
          </w:tcPr>
          <w:p>
            <w:pPr>
              <w:spacing w:after="0"/>
              <w:rPr>
                <w:sz w:val="12"/>
                <w:szCs w:val="12"/>
                <w:color w:val="auto"/>
              </w:rPr>
            </w:pPr>
          </w:p>
        </w:tc>
        <w:tc>
          <w:tcPr>
            <w:tcW w:w="1200" w:type="dxa"/>
            <w:vAlign w:val="bottom"/>
            <w:gridSpan w:val="2"/>
          </w:tcPr>
          <w:p>
            <w:pPr>
              <w:jc w:val="center"/>
              <w:spacing w:after="0" w:line="140" w:lineRule="exact"/>
              <w:rPr>
                <w:sz w:val="20"/>
                <w:szCs w:val="20"/>
                <w:color w:val="auto"/>
              </w:rPr>
            </w:pPr>
            <w:r>
              <w:rPr>
                <w:rFonts w:ascii="Arial" w:cs="Arial" w:eastAsia="Arial" w:hAnsi="Arial"/>
                <w:sz w:val="16"/>
                <w:szCs w:val="16"/>
                <w:b w:val="1"/>
                <w:bCs w:val="1"/>
                <w:color w:val="auto"/>
                <w:w w:val="99"/>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51"/>
              <w:spacing w:after="0" w:line="140" w:lineRule="exact"/>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311"/>
              <w:spacing w:after="0" w:line="140"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90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3"/>
                <w:szCs w:val="13"/>
                <w:color w:val="auto"/>
              </w:rPr>
            </w:pPr>
          </w:p>
        </w:tc>
        <w:tc>
          <w:tcPr>
            <w:tcW w:w="80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51"/>
              <w:spacing w:after="0" w:line="160"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11"/>
              <w:spacing w:after="0" w:line="160" w:lineRule="exact"/>
              <w:rPr>
                <w:sz w:val="20"/>
                <w:szCs w:val="20"/>
                <w:color w:val="auto"/>
              </w:rPr>
            </w:pPr>
            <w:r>
              <w:rPr>
                <w:rFonts w:ascii="Arial" w:cs="Arial" w:eastAsia="Arial" w:hAnsi="Arial"/>
                <w:sz w:val="16"/>
                <w:szCs w:val="16"/>
                <w:b w:val="1"/>
                <w:bCs w:val="1"/>
                <w:color w:val="auto"/>
                <w:w w:val="99"/>
              </w:rPr>
              <w:t>Earnings</w:t>
            </w:r>
          </w:p>
        </w:tc>
        <w:tc>
          <w:tcPr>
            <w:tcW w:w="60" w:type="dxa"/>
            <w:vAlign w:val="bottom"/>
          </w:tcPr>
          <w:p>
            <w:pPr>
              <w:spacing w:after="0"/>
              <w:rPr>
                <w:sz w:val="13"/>
                <w:szCs w:val="13"/>
                <w:color w:val="auto"/>
              </w:rPr>
            </w:pPr>
          </w:p>
        </w:tc>
        <w:tc>
          <w:tcPr>
            <w:tcW w:w="1320" w:type="dxa"/>
            <w:vAlign w:val="bottom"/>
            <w:gridSpan w:val="2"/>
          </w:tcPr>
          <w:p>
            <w:pPr>
              <w:ind w:left="60"/>
              <w:spacing w:after="0" w:line="160" w:lineRule="exact"/>
              <w:rPr>
                <w:sz w:val="20"/>
                <w:szCs w:val="20"/>
                <w:color w:val="auto"/>
              </w:rPr>
            </w:pPr>
            <w:r>
              <w:rPr>
                <w:rFonts w:ascii="Arial" w:cs="Arial" w:eastAsia="Arial" w:hAnsi="Arial"/>
                <w:sz w:val="16"/>
                <w:szCs w:val="16"/>
                <w:b w:val="1"/>
                <w:bCs w:val="1"/>
                <w:color w:val="auto"/>
              </w:rPr>
              <w:t>Comprehensive</w:t>
            </w:r>
          </w:p>
        </w:tc>
        <w:tc>
          <w:tcPr>
            <w:tcW w:w="80" w:type="dxa"/>
            <w:vAlign w:val="bottom"/>
          </w:tcPr>
          <w:p>
            <w:pPr>
              <w:spacing w:after="0"/>
              <w:rPr>
                <w:sz w:val="13"/>
                <w:szCs w:val="13"/>
                <w:color w:val="auto"/>
              </w:rPr>
            </w:pPr>
          </w:p>
        </w:tc>
        <w:tc>
          <w:tcPr>
            <w:tcW w:w="1200" w:type="dxa"/>
            <w:vAlign w:val="bottom"/>
            <w:gridSpan w:val="2"/>
          </w:tcPr>
          <w:p>
            <w:pPr>
              <w:ind w:left="80"/>
              <w:spacing w:after="0" w:line="160"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Income (Loss)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65"/>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at December 31, 2022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136,441</w:t>
            </w:r>
          </w:p>
        </w:tc>
        <w:tc>
          <w:tcPr>
            <w:tcW w:w="580" w:type="dxa"/>
            <w:vAlign w:val="bottom"/>
            <w:gridSpan w:val="2"/>
          </w:tcPr>
          <w:p>
            <w:pPr>
              <w:jc w:val="right"/>
              <w:ind w:right="27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819,119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17,335</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(10,882)</w:t>
            </w:r>
          </w:p>
        </w:tc>
        <w:tc>
          <w:tcPr>
            <w:tcW w:w="32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825,573</w:t>
            </w:r>
          </w:p>
        </w:tc>
        <w:tc>
          <w:tcPr>
            <w:tcW w:w="0" w:type="dxa"/>
            <w:vAlign w:val="bottom"/>
          </w:tcPr>
          <w:p>
            <w:pPr>
              <w:spacing w:after="0"/>
              <w:rPr>
                <w:sz w:val="1"/>
                <w:szCs w:val="1"/>
                <w:color w:val="auto"/>
              </w:rPr>
            </w:pPr>
          </w:p>
        </w:tc>
      </w:tr>
      <w:tr>
        <w:trPr>
          <w:trHeight w:val="197"/>
        </w:trPr>
        <w:tc>
          <w:tcPr>
            <w:tcW w:w="3200" w:type="dxa"/>
            <w:vAlign w:val="bottom"/>
          </w:tcPr>
          <w:p>
            <w:pPr>
              <w:ind w:left="180"/>
              <w:spacing w:after="0" w:line="197" w:lineRule="exact"/>
              <w:rPr>
                <w:sz w:val="20"/>
                <w:szCs w:val="20"/>
                <w:color w:val="auto"/>
              </w:rPr>
            </w:pPr>
            <w:r>
              <w:rPr>
                <w:rFonts w:ascii="Arial" w:cs="Arial" w:eastAsia="Arial" w:hAnsi="Arial"/>
                <w:sz w:val="18"/>
                <w:szCs w:val="18"/>
                <w:b w:val="1"/>
                <w:bCs w:val="1"/>
                <w:color w:val="auto"/>
              </w:rPr>
              <w:t>Issuance of common stock from</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260"/>
              <w:spacing w:after="0" w:line="180" w:lineRule="exact"/>
              <w:rPr>
                <w:sz w:val="20"/>
                <w:szCs w:val="20"/>
                <w:color w:val="auto"/>
              </w:rPr>
            </w:pPr>
            <w:r>
              <w:rPr>
                <w:rFonts w:ascii="Arial" w:cs="Arial" w:eastAsia="Arial" w:hAnsi="Arial"/>
                <w:sz w:val="18"/>
                <w:szCs w:val="18"/>
                <w:b w:val="1"/>
                <w:bCs w:val="1"/>
                <w:color w:val="auto"/>
              </w:rPr>
              <w:t>exercise of equity awards and</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1,613</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13,870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13,870</w:t>
            </w:r>
          </w:p>
        </w:tc>
        <w:tc>
          <w:tcPr>
            <w:tcW w:w="0" w:type="dxa"/>
            <w:vAlign w:val="bottom"/>
          </w:tcPr>
          <w:p>
            <w:pPr>
              <w:spacing w:after="0"/>
              <w:rPr>
                <w:sz w:val="1"/>
                <w:szCs w:val="1"/>
                <w:color w:val="auto"/>
              </w:rPr>
            </w:pPr>
          </w:p>
        </w:tc>
      </w:tr>
      <w:tr>
        <w:trPr>
          <w:trHeight w:val="239"/>
        </w:trPr>
        <w:tc>
          <w:tcPr>
            <w:tcW w:w="3200" w:type="dxa"/>
            <w:vAlign w:val="bottom"/>
          </w:tcPr>
          <w:p>
            <w:pPr>
              <w:ind w:left="260"/>
              <w:spacing w:after="0"/>
              <w:rPr>
                <w:sz w:val="20"/>
                <w:szCs w:val="20"/>
                <w:color w:val="auto"/>
              </w:rPr>
            </w:pPr>
            <w:r>
              <w:rPr>
                <w:rFonts w:ascii="Arial" w:cs="Arial" w:eastAsia="Arial" w:hAnsi="Arial"/>
                <w:sz w:val="18"/>
                <w:szCs w:val="18"/>
                <w:b w:val="1"/>
                <w:bCs w:val="1"/>
                <w:color w:val="auto"/>
              </w:rPr>
              <w:t>employee stock purchase plan</w:t>
            </w: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4"/>
              </w:rPr>
              <w:t>Issuance of common stock related to</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260"/>
              <w:spacing w:after="0" w:line="180" w:lineRule="exact"/>
              <w:rPr>
                <w:sz w:val="20"/>
                <w:szCs w:val="20"/>
                <w:color w:val="auto"/>
              </w:rPr>
            </w:pPr>
            <w:r>
              <w:rPr>
                <w:rFonts w:ascii="Arial" w:cs="Arial" w:eastAsia="Arial" w:hAnsi="Arial"/>
                <w:sz w:val="18"/>
                <w:szCs w:val="18"/>
                <w:b w:val="1"/>
                <w:bCs w:val="1"/>
                <w:color w:val="auto"/>
              </w:rPr>
              <w:t>365 Pronto, Inc. post combination</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10,307</w:t>
            </w:r>
          </w:p>
        </w:tc>
        <w:tc>
          <w:tcPr>
            <w:tcW w:w="0" w:type="dxa"/>
            <w:vAlign w:val="bottom"/>
          </w:tcPr>
          <w:p>
            <w:pPr>
              <w:spacing w:after="0"/>
              <w:rPr>
                <w:sz w:val="1"/>
                <w:szCs w:val="1"/>
                <w:color w:val="auto"/>
              </w:rPr>
            </w:pPr>
          </w:p>
        </w:tc>
      </w:tr>
      <w:tr>
        <w:trPr>
          <w:trHeight w:val="239"/>
        </w:trPr>
        <w:tc>
          <w:tcPr>
            <w:tcW w:w="3200" w:type="dxa"/>
            <w:vAlign w:val="bottom"/>
          </w:tcPr>
          <w:p>
            <w:pPr>
              <w:ind w:left="260"/>
              <w:spacing w:after="0"/>
              <w:rPr>
                <w:sz w:val="20"/>
                <w:szCs w:val="20"/>
                <w:color w:val="auto"/>
              </w:rPr>
            </w:pPr>
            <w:r>
              <w:rPr>
                <w:rFonts w:ascii="Arial" w:cs="Arial" w:eastAsia="Arial" w:hAnsi="Arial"/>
                <w:sz w:val="18"/>
                <w:szCs w:val="18"/>
                <w:b w:val="1"/>
                <w:bCs w:val="1"/>
                <w:color w:val="auto"/>
              </w:rPr>
              <w:t>expense</w:t>
            </w: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4"/>
              </w:rPr>
              <w:t>Payment of withholding taxes related</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260"/>
              <w:spacing w:after="0" w:line="180" w:lineRule="exact"/>
              <w:rPr>
                <w:sz w:val="20"/>
                <w:szCs w:val="20"/>
                <w:color w:val="auto"/>
              </w:rPr>
            </w:pPr>
            <w:r>
              <w:rPr>
                <w:rFonts w:ascii="Arial" w:cs="Arial" w:eastAsia="Arial" w:hAnsi="Arial"/>
                <w:sz w:val="18"/>
                <w:szCs w:val="18"/>
                <w:b w:val="1"/>
                <w:bCs w:val="1"/>
                <w:color w:val="auto"/>
              </w:rPr>
              <w:t>to net share settlement of equity</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(120,646)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(120,646)</w:t>
            </w:r>
          </w:p>
        </w:tc>
        <w:tc>
          <w:tcPr>
            <w:tcW w:w="0" w:type="dxa"/>
            <w:vAlign w:val="bottom"/>
          </w:tcPr>
          <w:p>
            <w:pPr>
              <w:spacing w:after="0"/>
              <w:rPr>
                <w:sz w:val="1"/>
                <w:szCs w:val="1"/>
                <w:color w:val="auto"/>
              </w:rPr>
            </w:pPr>
          </w:p>
        </w:tc>
      </w:tr>
      <w:tr>
        <w:trPr>
          <w:trHeight w:val="239"/>
        </w:trPr>
        <w:tc>
          <w:tcPr>
            <w:tcW w:w="3200" w:type="dxa"/>
            <w:vAlign w:val="bottom"/>
          </w:tcPr>
          <w:p>
            <w:pPr>
              <w:ind w:left="260"/>
              <w:spacing w:after="0"/>
              <w:rPr>
                <w:sz w:val="20"/>
                <w:szCs w:val="20"/>
                <w:color w:val="auto"/>
              </w:rPr>
            </w:pPr>
            <w:r>
              <w:rPr>
                <w:rFonts w:ascii="Arial" w:cs="Arial" w:eastAsia="Arial" w:hAnsi="Arial"/>
                <w:sz w:val="18"/>
                <w:szCs w:val="18"/>
                <w:b w:val="1"/>
                <w:bCs w:val="1"/>
                <w:color w:val="auto"/>
              </w:rPr>
              <w:t>awards</w:t>
            </w: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8"/>
              </w:rPr>
              <w:t>Settlement of convertible notes due</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39"/>
        </w:trPr>
        <w:tc>
          <w:tcPr>
            <w:tcW w:w="3200" w:type="dxa"/>
            <w:vAlign w:val="bottom"/>
          </w:tcPr>
          <w:p>
            <w:pPr>
              <w:ind w:left="260"/>
              <w:spacing w:after="0"/>
              <w:rPr>
                <w:sz w:val="20"/>
                <w:szCs w:val="20"/>
                <w:color w:val="auto"/>
              </w:rPr>
            </w:pPr>
            <w:r>
              <w:rPr>
                <w:rFonts w:ascii="Arial" w:cs="Arial" w:eastAsia="Arial" w:hAnsi="Arial"/>
                <w:sz w:val="18"/>
                <w:szCs w:val="18"/>
                <w:b w:val="1"/>
                <w:bCs w:val="1"/>
                <w:color w:val="auto"/>
              </w:rPr>
              <w:t>2023</w:t>
            </w: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211,688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211,688</w:t>
            </w:r>
          </w:p>
        </w:tc>
        <w:tc>
          <w:tcPr>
            <w:tcW w:w="0" w:type="dxa"/>
            <w:vAlign w:val="bottom"/>
          </w:tcPr>
          <w:p>
            <w:pPr>
              <w:spacing w:after="0"/>
              <w:rPr>
                <w:sz w:val="1"/>
                <w:szCs w:val="1"/>
                <w:color w:val="auto"/>
              </w:rPr>
            </w:pPr>
          </w:p>
        </w:tc>
      </w:tr>
      <w:tr>
        <w:trPr>
          <w:trHeight w:val="255"/>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438,936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438,936</w:t>
            </w:r>
          </w:p>
        </w:tc>
        <w:tc>
          <w:tcPr>
            <w:tcW w:w="0" w:type="dxa"/>
            <w:vAlign w:val="bottom"/>
          </w:tcPr>
          <w:p>
            <w:pPr>
              <w:spacing w:after="0"/>
              <w:rPr>
                <w:sz w:val="1"/>
                <w:szCs w:val="1"/>
                <w:color w:val="auto"/>
              </w:rPr>
            </w:pPr>
          </w:p>
        </w:tc>
      </w:tr>
      <w:tr>
        <w:trPr>
          <w:trHeight w:val="255"/>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Repurchases of common stock</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(3,284)</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(409,998)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(409,998)</w:t>
            </w:r>
          </w:p>
        </w:tc>
        <w:tc>
          <w:tcPr>
            <w:tcW w:w="0" w:type="dxa"/>
            <w:vAlign w:val="bottom"/>
          </w:tcPr>
          <w:p>
            <w:pPr>
              <w:spacing w:after="0"/>
              <w:rPr>
                <w:sz w:val="1"/>
                <w:szCs w:val="1"/>
                <w:color w:val="auto"/>
              </w:rPr>
            </w:pPr>
          </w:p>
        </w:tc>
      </w:tr>
      <w:tr>
        <w:trPr>
          <w:trHeight w:val="182"/>
        </w:trPr>
        <w:tc>
          <w:tcPr>
            <w:tcW w:w="3200" w:type="dxa"/>
            <w:vAlign w:val="bottom"/>
          </w:tcPr>
          <w:p>
            <w:pPr>
              <w:ind w:left="180"/>
              <w:spacing w:after="0" w:line="182" w:lineRule="exact"/>
              <w:rPr>
                <w:sz w:val="20"/>
                <w:szCs w:val="20"/>
                <w:color w:val="auto"/>
              </w:rPr>
            </w:pPr>
            <w:r>
              <w:rPr>
                <w:rFonts w:ascii="Arial" w:cs="Arial" w:eastAsia="Arial" w:hAnsi="Arial"/>
                <w:sz w:val="18"/>
                <w:szCs w:val="18"/>
                <w:b w:val="1"/>
                <w:bCs w:val="1"/>
                <w:color w:val="auto"/>
              </w:rPr>
              <w:t>Foreign currency translation</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1,190</w:t>
            </w:r>
          </w:p>
        </w:tc>
        <w:tc>
          <w:tcPr>
            <w:tcW w:w="0" w:type="dxa"/>
            <w:vAlign w:val="bottom"/>
          </w:tcPr>
          <w:p>
            <w:pPr>
              <w:spacing w:after="0"/>
              <w:rPr>
                <w:sz w:val="1"/>
                <w:szCs w:val="1"/>
                <w:color w:val="auto"/>
              </w:rPr>
            </w:pPr>
          </w:p>
        </w:tc>
      </w:tr>
      <w:tr>
        <w:trPr>
          <w:trHeight w:val="239"/>
        </w:trPr>
        <w:tc>
          <w:tcPr>
            <w:tcW w:w="3200" w:type="dxa"/>
            <w:vAlign w:val="bottom"/>
          </w:tcPr>
          <w:p>
            <w:pPr>
              <w:ind w:left="260"/>
              <w:spacing w:after="0"/>
              <w:rPr>
                <w:sz w:val="20"/>
                <w:szCs w:val="20"/>
                <w:color w:val="auto"/>
              </w:rPr>
            </w:pPr>
            <w:r>
              <w:rPr>
                <w:rFonts w:ascii="Arial" w:cs="Arial" w:eastAsia="Arial" w:hAnsi="Arial"/>
                <w:sz w:val="18"/>
                <w:szCs w:val="18"/>
                <w:b w:val="1"/>
                <w:bCs w:val="1"/>
                <w:color w:val="auto"/>
              </w:rPr>
              <w:t>adjustments</w:t>
            </w: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Change in net unrealized gain on</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7,704</w:t>
            </w:r>
          </w:p>
        </w:tc>
        <w:tc>
          <w:tcPr>
            <w:tcW w:w="0" w:type="dxa"/>
            <w:vAlign w:val="bottom"/>
          </w:tcPr>
          <w:p>
            <w:pPr>
              <w:spacing w:after="0"/>
              <w:rPr>
                <w:sz w:val="1"/>
                <w:szCs w:val="1"/>
                <w:color w:val="auto"/>
              </w:rPr>
            </w:pPr>
          </w:p>
        </w:tc>
      </w:tr>
      <w:tr>
        <w:trPr>
          <w:trHeight w:val="238"/>
        </w:trPr>
        <w:tc>
          <w:tcPr>
            <w:tcW w:w="3200" w:type="dxa"/>
            <w:vAlign w:val="bottom"/>
          </w:tcPr>
          <w:p>
            <w:pPr>
              <w:ind w:left="260"/>
              <w:spacing w:after="0"/>
              <w:rPr>
                <w:sz w:val="20"/>
                <w:szCs w:val="20"/>
                <w:color w:val="auto"/>
              </w:rPr>
            </w:pPr>
            <w:r>
              <w:rPr>
                <w:rFonts w:ascii="Arial" w:cs="Arial" w:eastAsia="Arial" w:hAnsi="Arial"/>
                <w:sz w:val="18"/>
                <w:szCs w:val="18"/>
                <w:b w:val="1"/>
                <w:bCs w:val="1"/>
                <w:color w:val="auto"/>
              </w:rPr>
              <w:t>marketable securities, net of tax</w:t>
            </w: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at December 31, 2023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135,722</w:t>
            </w:r>
          </w:p>
        </w:tc>
        <w:tc>
          <w:tcPr>
            <w:tcW w:w="60" w:type="dxa"/>
            <w:vAlign w:val="bottom"/>
          </w:tcPr>
          <w:p>
            <w:pPr>
              <w:spacing w:after="0"/>
              <w:rPr>
                <w:sz w:val="18"/>
                <w:szCs w:val="18"/>
                <w:color w:val="auto"/>
              </w:rPr>
            </w:pPr>
          </w:p>
        </w:tc>
        <w:tc>
          <w:tcPr>
            <w:tcW w:w="5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939,338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46,273</w:t>
            </w:r>
          </w:p>
        </w:tc>
        <w:tc>
          <w:tcPr>
            <w:tcW w:w="60" w:type="dxa"/>
            <w:vAlign w:val="bottom"/>
          </w:tcPr>
          <w:p>
            <w:pPr>
              <w:spacing w:after="0"/>
              <w:rPr>
                <w:sz w:val="18"/>
                <w:szCs w:val="18"/>
                <w:color w:val="auto"/>
              </w:rPr>
            </w:pP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(1,988)</w:t>
            </w:r>
          </w:p>
        </w:tc>
        <w:tc>
          <w:tcPr>
            <w:tcW w:w="80" w:type="dxa"/>
            <w:vAlign w:val="bottom"/>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983,624</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Issuance of common stock from</w:t>
            </w: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0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260"/>
              <w:spacing w:after="0" w:line="180" w:lineRule="exact"/>
              <w:rPr>
                <w:sz w:val="20"/>
                <w:szCs w:val="20"/>
                <w:color w:val="auto"/>
              </w:rPr>
            </w:pPr>
            <w:r>
              <w:rPr>
                <w:rFonts w:ascii="Arial" w:cs="Arial" w:eastAsia="Arial" w:hAnsi="Arial"/>
                <w:sz w:val="18"/>
                <w:szCs w:val="18"/>
                <w:b w:val="1"/>
                <w:bCs w:val="1"/>
                <w:color w:val="auto"/>
              </w:rPr>
              <w:t>exercise of equity awards and</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1,269</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12,688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12,688</w:t>
            </w:r>
          </w:p>
        </w:tc>
        <w:tc>
          <w:tcPr>
            <w:tcW w:w="0" w:type="dxa"/>
            <w:vAlign w:val="bottom"/>
          </w:tcPr>
          <w:p>
            <w:pPr>
              <w:spacing w:after="0"/>
              <w:rPr>
                <w:sz w:val="1"/>
                <w:szCs w:val="1"/>
                <w:color w:val="auto"/>
              </w:rPr>
            </w:pPr>
          </w:p>
        </w:tc>
      </w:tr>
      <w:tr>
        <w:trPr>
          <w:trHeight w:val="212"/>
        </w:trPr>
        <w:tc>
          <w:tcPr>
            <w:tcW w:w="3200" w:type="dxa"/>
            <w:vAlign w:val="bottom"/>
          </w:tcPr>
          <w:p>
            <w:pPr>
              <w:ind w:left="260"/>
              <w:spacing w:after="0"/>
              <w:rPr>
                <w:sz w:val="20"/>
                <w:szCs w:val="20"/>
                <w:color w:val="auto"/>
              </w:rPr>
            </w:pPr>
            <w:r>
              <w:rPr>
                <w:rFonts w:ascii="Arial" w:cs="Arial" w:eastAsia="Arial" w:hAnsi="Arial"/>
                <w:sz w:val="18"/>
                <w:szCs w:val="18"/>
                <w:b w:val="1"/>
                <w:bCs w:val="1"/>
                <w:color w:val="auto"/>
              </w:rPr>
              <w:t>employee stock purchase plan</w:t>
            </w: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w w:val="93"/>
              </w:rPr>
              <w:t>Payment of withholding taxes related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to net share settlement of equity</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awards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(78,813)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(78,813)</w:t>
            </w:r>
          </w:p>
        </w:tc>
        <w:tc>
          <w:tcPr>
            <w:tcW w:w="0" w:type="dxa"/>
            <w:vAlign w:val="bottom"/>
          </w:tcPr>
          <w:p>
            <w:pPr>
              <w:spacing w:after="0"/>
              <w:rPr>
                <w:sz w:val="1"/>
                <w:szCs w:val="1"/>
                <w:color w:val="auto"/>
              </w:rPr>
            </w:pPr>
          </w:p>
        </w:tc>
      </w:tr>
      <w:tr>
        <w:trPr>
          <w:trHeight w:val="255"/>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211,360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211,360</w:t>
            </w:r>
          </w:p>
        </w:tc>
        <w:tc>
          <w:tcPr>
            <w:tcW w:w="0" w:type="dxa"/>
            <w:vAlign w:val="bottom"/>
          </w:tcPr>
          <w:p>
            <w:pPr>
              <w:spacing w:after="0"/>
              <w:rPr>
                <w:sz w:val="1"/>
                <w:szCs w:val="1"/>
                <w:color w:val="auto"/>
              </w:rPr>
            </w:pPr>
          </w:p>
        </w:tc>
      </w:tr>
      <w:tr>
        <w:trPr>
          <w:trHeight w:val="255"/>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102,658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102,658</w:t>
            </w:r>
          </w:p>
        </w:tc>
        <w:tc>
          <w:tcPr>
            <w:tcW w:w="0" w:type="dxa"/>
            <w:vAlign w:val="bottom"/>
          </w:tcPr>
          <w:p>
            <w:pPr>
              <w:spacing w:after="0"/>
              <w:rPr>
                <w:sz w:val="1"/>
                <w:szCs w:val="1"/>
                <w:color w:val="auto"/>
              </w:rPr>
            </w:pPr>
          </w:p>
        </w:tc>
      </w:tr>
      <w:tr>
        <w:trPr>
          <w:trHeight w:val="255"/>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Repurchases of common stock</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(4,543)</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(391,364)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(391,364)</w:t>
            </w:r>
          </w:p>
        </w:tc>
        <w:tc>
          <w:tcPr>
            <w:tcW w:w="0" w:type="dxa"/>
            <w:vAlign w:val="bottom"/>
          </w:tcPr>
          <w:p>
            <w:pPr>
              <w:spacing w:after="0"/>
              <w:rPr>
                <w:sz w:val="1"/>
                <w:szCs w:val="1"/>
                <w:color w:val="auto"/>
              </w:rPr>
            </w:pPr>
          </w:p>
        </w:tc>
      </w:tr>
      <w:tr>
        <w:trPr>
          <w:trHeight w:val="235"/>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w w:val="95"/>
              </w:rPr>
              <w:t>Excise tax on net stock repurchases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(2,773)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(2,773)</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Foreign currency translation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adjustments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(4,715)</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Change in net unrealized gain 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marketable securities, net of tax</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at December 31, 2024</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132,448</w:t>
            </w:r>
          </w:p>
        </w:tc>
        <w:tc>
          <w:tcPr>
            <w:tcW w:w="580" w:type="dxa"/>
            <w:vAlign w:val="bottom"/>
            <w:gridSpan w:val="2"/>
          </w:tcPr>
          <w:p>
            <w:pPr>
              <w:jc w:val="right"/>
              <w:ind w:right="27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1,084,573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(245,206)</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(6,352)</w:t>
            </w:r>
          </w:p>
        </w:tc>
        <w:tc>
          <w:tcPr>
            <w:tcW w:w="32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833,016</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Issuance of common stock from</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exercise of equity awards and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employee stock purchase plan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929</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8,527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8,527</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w w:val="93"/>
              </w:rPr>
              <w:t>Payment of withholding taxes related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to net share settlement of equity</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awards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(18,026)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(18,026)</w:t>
            </w:r>
          </w:p>
        </w:tc>
        <w:tc>
          <w:tcPr>
            <w:tcW w:w="0" w:type="dxa"/>
            <w:vAlign w:val="bottom"/>
          </w:tcPr>
          <w:p>
            <w:pPr>
              <w:spacing w:after="0"/>
              <w:rPr>
                <w:sz w:val="1"/>
                <w:szCs w:val="1"/>
                <w:color w:val="auto"/>
              </w:rPr>
            </w:pPr>
          </w:p>
        </w:tc>
      </w:tr>
      <w:tr>
        <w:trPr>
          <w:trHeight w:val="240"/>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214,090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214,090</w:t>
            </w:r>
          </w:p>
        </w:tc>
        <w:tc>
          <w:tcPr>
            <w:tcW w:w="0" w:type="dxa"/>
            <w:vAlign w:val="bottom"/>
          </w:tcPr>
          <w:p>
            <w:pPr>
              <w:spacing w:after="0"/>
              <w:rPr>
                <w:sz w:val="1"/>
                <w:szCs w:val="1"/>
                <w:color w:val="auto"/>
              </w:rPr>
            </w:pPr>
          </w:p>
        </w:tc>
      </w:tr>
      <w:tr>
        <w:trPr>
          <w:trHeight w:val="240"/>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172,133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172,133</w:t>
            </w:r>
          </w:p>
        </w:tc>
        <w:tc>
          <w:tcPr>
            <w:tcW w:w="0" w:type="dxa"/>
            <w:vAlign w:val="bottom"/>
          </w:tcPr>
          <w:p>
            <w:pPr>
              <w:spacing w:after="0"/>
              <w:rPr>
                <w:sz w:val="1"/>
                <w:szCs w:val="1"/>
                <w:color w:val="auto"/>
              </w:rPr>
            </w:pPr>
          </w:p>
        </w:tc>
      </w:tr>
      <w:tr>
        <w:trPr>
          <w:trHeight w:val="315"/>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Repurchases of common stock</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(2,297)</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(129,957)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(129,957)</w:t>
            </w:r>
          </w:p>
        </w:tc>
        <w:tc>
          <w:tcPr>
            <w:tcW w:w="0" w:type="dxa"/>
            <w:vAlign w:val="bottom"/>
          </w:tcPr>
          <w:p>
            <w:pPr>
              <w:spacing w:after="0"/>
              <w:rPr>
                <w:sz w:val="1"/>
                <w:szCs w:val="1"/>
                <w:color w:val="auto"/>
              </w:rPr>
            </w:pPr>
          </w:p>
        </w:tc>
      </w:tr>
      <w:tr>
        <w:trPr>
          <w:trHeight w:val="315"/>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w w:val="95"/>
              </w:rPr>
              <w:t>Excise tax on net stock repurchases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(866)</w:t>
            </w:r>
          </w:p>
        </w:tc>
        <w:tc>
          <w:tcPr>
            <w:tcW w:w="0" w:type="dxa"/>
            <w:vAlign w:val="bottom"/>
          </w:tcPr>
          <w:p>
            <w:pPr>
              <w:spacing w:after="0"/>
              <w:rPr>
                <w:sz w:val="1"/>
                <w:szCs w:val="1"/>
                <w:color w:val="auto"/>
              </w:rPr>
            </w:pPr>
          </w:p>
        </w:tc>
      </w:tr>
      <w:tr>
        <w:trPr>
          <w:trHeight w:val="241"/>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Foreign currency translation</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adjustments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5,770</w:t>
            </w:r>
          </w:p>
        </w:tc>
        <w:tc>
          <w:tcPr>
            <w:tcW w:w="0" w:type="dxa"/>
            <w:vAlign w:val="bottom"/>
          </w:tcPr>
          <w:p>
            <w:pPr>
              <w:spacing w:after="0"/>
              <w:rPr>
                <w:sz w:val="1"/>
                <w:szCs w:val="1"/>
                <w:color w:val="auto"/>
              </w:rPr>
            </w:pPr>
          </w:p>
        </w:tc>
      </w:tr>
      <w:tr>
        <w:trPr>
          <w:trHeight w:val="241"/>
        </w:trPr>
        <w:tc>
          <w:tcPr>
            <w:tcW w:w="3200" w:type="dxa"/>
            <w:vAlign w:val="bottom"/>
          </w:tcPr>
          <w:p>
            <w:pPr>
              <w:ind w:left="220"/>
              <w:spacing w:after="0"/>
              <w:rPr>
                <w:sz w:val="20"/>
                <w:szCs w:val="20"/>
                <w:color w:val="auto"/>
              </w:rPr>
            </w:pPr>
            <w:r>
              <w:rPr>
                <w:rFonts w:ascii="Arial" w:cs="Arial" w:eastAsia="Arial" w:hAnsi="Arial"/>
                <w:sz w:val="18"/>
                <w:szCs w:val="18"/>
                <w:b w:val="1"/>
                <w:bCs w:val="1"/>
                <w:color w:val="auto"/>
              </w:rPr>
              <w:t>Change in net unrealized gain on</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0" w:type="dxa"/>
            <w:vAlign w:val="bottom"/>
          </w:tcPr>
          <w:p>
            <w:pPr>
              <w:ind w:left="400"/>
              <w:spacing w:after="0"/>
              <w:rPr>
                <w:sz w:val="20"/>
                <w:szCs w:val="20"/>
                <w:color w:val="auto"/>
              </w:rPr>
            </w:pPr>
            <w:r>
              <w:rPr>
                <w:rFonts w:ascii="Arial" w:cs="Arial" w:eastAsia="Arial" w:hAnsi="Arial"/>
                <w:sz w:val="18"/>
                <w:szCs w:val="18"/>
                <w:b w:val="1"/>
                <w:bCs w:val="1"/>
                <w:color w:val="auto"/>
              </w:rPr>
              <w:t>marketable securities, net of tax</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2,336</w:t>
            </w: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at December 31, 2025</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131,080</w:t>
            </w:r>
          </w:p>
        </w:tc>
        <w:tc>
          <w:tcPr>
            <w:tcW w:w="580" w:type="dxa"/>
            <w:vAlign w:val="bottom"/>
            <w:gridSpan w:val="2"/>
          </w:tcPr>
          <w:p>
            <w:pPr>
              <w:jc w:val="right"/>
              <w:ind w:right="27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1,289,164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(203,896)</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1,754</w:t>
            </w:r>
          </w:p>
        </w:tc>
        <w:tc>
          <w:tcPr>
            <w:tcW w:w="32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1,087,023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-7422515</wp:posOffset>
            </wp:positionV>
            <wp:extent cx="6543675" cy="74422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1">
                      <a:extLst>
                        <a:ext uri="{28A0092B-C50C-407E-A947-70E740481C1C}"/>
                      </a:extLst>
                    </a:blip>
                    <a:srcRect/>
                    <a:stretch>
                      <a:fillRect/>
                    </a:stretch>
                  </pic:blipFill>
                  <pic:spPr bwMode="auto">
                    <a:xfrm>
                      <a:off x="0" y="0"/>
                      <a:ext cx="6543675" cy="7442200"/>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519430</wp:posOffset>
                </wp:positionV>
                <wp:extent cx="633412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0.9pt" to="505.35pt,4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519430</wp:posOffset>
                </wp:positionV>
                <wp:extent cx="633412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0.9pt" to="505.35pt,40.9pt" o:allowincell="f" strokecolor="#828282" strokeweight="0.25pt"/>
            </w:pict>
          </mc:Fallback>
        </mc:AlternateContent>
      </w:r>
    </w:p>
    <w:p>
      <w:pPr>
        <w:sectPr>
          <w:pgSz w:w="12240" w:h="15840" w:orient="portrait"/>
          <w:cols w:equalWidth="0" w:num="1">
            <w:col w:w="10240"/>
          </w:cols>
          <w:pgMar w:left="1000" w:top="21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828282"/>
        </w:rPr>
        <w:t>Enphase Energy, Inc. | 2025 Form 10-K | 71</w:t>
      </w:r>
    </w:p>
    <w:p>
      <w:pPr>
        <w:sectPr>
          <w:pgSz w:w="12240" w:h="15840" w:orient="portrait"/>
          <w:cols w:equalWidth="0" w:num="1">
            <w:col w:w="10240"/>
          </w:cols>
          <w:pgMar w:left="1000" w:top="216" w:right="1000" w:bottom="0"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ENPHASE ENERGY, INC.</w:t>
      </w:r>
    </w:p>
    <w:p>
      <w:pPr>
        <w:spacing w:after="0" w:line="70" w:lineRule="exact"/>
        <w:rPr>
          <w:sz w:val="20"/>
          <w:szCs w:val="20"/>
          <w:color w:val="auto"/>
        </w:rPr>
      </w:pPr>
    </w:p>
    <w:p>
      <w:pPr>
        <w:ind w:left="27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172,133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102,658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438,936</w:t>
            </w:r>
          </w:p>
        </w:tc>
        <w:tc>
          <w:tcPr>
            <w:tcW w:w="0" w:type="dxa"/>
            <w:vAlign w:val="bottom"/>
          </w:tcPr>
          <w:p>
            <w:pPr>
              <w:spacing w:after="0"/>
              <w:rPr>
                <w:sz w:val="1"/>
                <w:szCs w:val="1"/>
                <w:color w:val="auto"/>
              </w:rPr>
            </w:pPr>
          </w:p>
        </w:tc>
      </w:tr>
      <w:tr>
        <w:trPr>
          <w:trHeight w:val="197"/>
        </w:trPr>
        <w:tc>
          <w:tcPr>
            <w:tcW w:w="6140" w:type="dxa"/>
            <w:vAlign w:val="bottom"/>
          </w:tcPr>
          <w:p>
            <w:pPr>
              <w:ind w:left="140"/>
              <w:spacing w:after="0" w:line="197" w:lineRule="exact"/>
              <w:rPr>
                <w:sz w:val="20"/>
                <w:szCs w:val="20"/>
                <w:color w:val="auto"/>
              </w:rPr>
            </w:pPr>
            <w:r>
              <w:rPr>
                <w:rFonts w:ascii="Arial" w:cs="Arial" w:eastAsia="Arial" w:hAnsi="Arial"/>
                <w:sz w:val="18"/>
                <w:szCs w:val="18"/>
                <w:b w:val="1"/>
                <w:bCs w:val="1"/>
                <w:color w:val="auto"/>
                <w:w w:val="98"/>
              </w:rPr>
              <w:t>Adjustments to reconcile net income to net cash provided by operating</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activities: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80,645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81,389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74,708</w:t>
            </w:r>
          </w:p>
        </w:tc>
        <w:tc>
          <w:tcPr>
            <w:tcW w:w="0" w:type="dxa"/>
            <w:vAlign w:val="bottom"/>
          </w:tcPr>
          <w:p>
            <w:pPr>
              <w:spacing w:after="0"/>
              <w:rPr>
                <w:sz w:val="1"/>
                <w:szCs w:val="1"/>
                <w:color w:val="auto"/>
              </w:rPr>
            </w:pPr>
          </w:p>
        </w:tc>
      </w:tr>
      <w:tr>
        <w:trPr>
          <w:trHeight w:val="197"/>
        </w:trPr>
        <w:tc>
          <w:tcPr>
            <w:tcW w:w="6140" w:type="dxa"/>
            <w:vAlign w:val="bottom"/>
          </w:tcPr>
          <w:p>
            <w:pPr>
              <w:ind w:left="220"/>
              <w:spacing w:after="0" w:line="197" w:lineRule="exact"/>
              <w:rPr>
                <w:sz w:val="20"/>
                <w:szCs w:val="20"/>
                <w:color w:val="auto"/>
              </w:rPr>
            </w:pPr>
            <w:r>
              <w:rPr>
                <w:rFonts w:ascii="Arial" w:cs="Arial" w:eastAsia="Arial" w:hAnsi="Arial"/>
                <w:sz w:val="18"/>
                <w:szCs w:val="18"/>
                <w:b w:val="1"/>
                <w:bCs w:val="1"/>
                <w:color w:val="auto"/>
              </w:rPr>
              <w:t>Amortization (accretion) of investments purchased at a premium</w:t>
            </w: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(8,599)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(15,561)</w:t>
            </w:r>
          </w:p>
        </w:tc>
        <w:tc>
          <w:tcPr>
            <w:tcW w:w="0" w:type="dxa"/>
            <w:vAlign w:val="bottom"/>
          </w:tcPr>
          <w:p>
            <w:pPr>
              <w:spacing w:after="0"/>
              <w:rPr>
                <w:sz w:val="1"/>
                <w:szCs w:val="1"/>
                <w:color w:val="auto"/>
              </w:rPr>
            </w:pPr>
          </w:p>
        </w:tc>
      </w:tr>
      <w:tr>
        <w:trPr>
          <w:trHeight w:val="239"/>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(discount)</w:t>
            </w: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Provision for (recovery of) credit losses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6,677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1,153</w:t>
            </w:r>
          </w:p>
        </w:tc>
        <w:tc>
          <w:tcPr>
            <w:tcW w:w="0" w:type="dxa"/>
            <w:vAlign w:val="bottom"/>
          </w:tcPr>
          <w:p>
            <w:pPr>
              <w:spacing w:after="0"/>
              <w:rPr>
                <w:sz w:val="1"/>
                <w:szCs w:val="1"/>
                <w:color w:val="auto"/>
              </w:rPr>
            </w:pP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Asset impairment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3,114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28,843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10,603</w:t>
            </w:r>
          </w:p>
        </w:tc>
        <w:tc>
          <w:tcPr>
            <w:tcW w:w="0" w:type="dxa"/>
            <w:vAlign w:val="bottom"/>
          </w:tcPr>
          <w:p>
            <w:pPr>
              <w:spacing w:after="0"/>
              <w:rPr>
                <w:sz w:val="1"/>
                <w:szCs w:val="1"/>
                <w:color w:val="auto"/>
              </w:rPr>
            </w:pP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Non-cash interest expense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4,164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8,650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8,380</w:t>
            </w:r>
          </w:p>
        </w:tc>
        <w:tc>
          <w:tcPr>
            <w:tcW w:w="0" w:type="dxa"/>
            <w:vAlign w:val="bottom"/>
          </w:tcPr>
          <w:p>
            <w:pPr>
              <w:spacing w:after="0"/>
              <w:rPr>
                <w:sz w:val="1"/>
                <w:szCs w:val="1"/>
                <w:color w:val="auto"/>
              </w:rPr>
            </w:pP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Benefit from lease termination</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Change in fair value of debt securities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9,563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(1,967)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(8,078)</w:t>
            </w:r>
          </w:p>
        </w:tc>
        <w:tc>
          <w:tcPr>
            <w:tcW w:w="0" w:type="dxa"/>
            <w:vAlign w:val="bottom"/>
          </w:tcPr>
          <w:p>
            <w:pPr>
              <w:spacing w:after="0"/>
              <w:rPr>
                <w:sz w:val="1"/>
                <w:szCs w:val="1"/>
                <w:color w:val="auto"/>
              </w:rPr>
            </w:pP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Stock-based compensation</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214,090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211,360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212,857</w:t>
            </w:r>
          </w:p>
        </w:tc>
        <w:tc>
          <w:tcPr>
            <w:tcW w:w="0" w:type="dxa"/>
            <w:vAlign w:val="bottom"/>
          </w:tcPr>
          <w:p>
            <w:pPr>
              <w:spacing w:after="0"/>
              <w:rPr>
                <w:sz w:val="1"/>
                <w:szCs w:val="1"/>
                <w:color w:val="auto"/>
              </w:rPr>
            </w:pP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Deferred income taxes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6,083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(58,319)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(43,348)</w:t>
            </w:r>
          </w:p>
        </w:tc>
        <w:tc>
          <w:tcPr>
            <w:tcW w:w="0" w:type="dxa"/>
            <w:vAlign w:val="bottom"/>
          </w:tcPr>
          <w:p>
            <w:pPr>
              <w:spacing w:after="0"/>
              <w:rPr>
                <w:sz w:val="1"/>
                <w:szCs w:val="1"/>
                <w:color w:val="auto"/>
              </w:rPr>
            </w:pP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Changes in operating assets and liabilities: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Accounts receivable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3,840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211,640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(12,478)</w:t>
            </w:r>
          </w:p>
        </w:tc>
        <w:tc>
          <w:tcPr>
            <w:tcW w:w="0" w:type="dxa"/>
            <w:vAlign w:val="bottom"/>
          </w:tcPr>
          <w:p>
            <w:pPr>
              <w:spacing w:after="0"/>
              <w:rPr>
                <w:sz w:val="1"/>
                <w:szCs w:val="1"/>
                <w:color w:val="auto"/>
              </w:rPr>
            </w:pPr>
          </w:p>
        </w:tc>
      </w:tr>
      <w:tr>
        <w:trPr>
          <w:trHeight w:val="25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Inventory</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(123,043)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48,591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(63,887)</w:t>
            </w:r>
          </w:p>
        </w:tc>
        <w:tc>
          <w:tcPr>
            <w:tcW w:w="0" w:type="dxa"/>
            <w:vAlign w:val="bottom"/>
          </w:tcPr>
          <w:p>
            <w:pPr>
              <w:spacing w:after="0"/>
              <w:rPr>
                <w:sz w:val="1"/>
                <w:szCs w:val="1"/>
                <w:color w:val="auto"/>
              </w:rPr>
            </w:pPr>
          </w:p>
        </w:tc>
      </w:tr>
      <w:tr>
        <w:trPr>
          <w:trHeight w:val="25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Prepaid expenses and other assets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(318,558)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(134,343)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(59,777)</w:t>
            </w:r>
          </w:p>
        </w:tc>
        <w:tc>
          <w:tcPr>
            <w:tcW w:w="0" w:type="dxa"/>
            <w:vAlign w:val="bottom"/>
          </w:tcPr>
          <w:p>
            <w:pPr>
              <w:spacing w:after="0"/>
              <w:rPr>
                <w:sz w:val="1"/>
                <w:szCs w:val="1"/>
                <w:color w:val="auto"/>
              </w:rPr>
            </w:pPr>
          </w:p>
        </w:tc>
      </w:tr>
      <w:tr>
        <w:trPr>
          <w:trHeight w:val="25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Accounts payable, accrued and other liabilities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139,143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(85,536)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(22,149)</w:t>
            </w:r>
          </w:p>
        </w:tc>
        <w:tc>
          <w:tcPr>
            <w:tcW w:w="0" w:type="dxa"/>
            <w:vAlign w:val="bottom"/>
          </w:tcPr>
          <w:p>
            <w:pPr>
              <w:spacing w:after="0"/>
              <w:rPr>
                <w:sz w:val="1"/>
                <w:szCs w:val="1"/>
                <w:color w:val="auto"/>
              </w:rPr>
            </w:pPr>
          </w:p>
        </w:tc>
      </w:tr>
      <w:tr>
        <w:trPr>
          <w:trHeight w:val="25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Warranty obligations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21,154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3,802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57,641</w:t>
            </w:r>
          </w:p>
        </w:tc>
        <w:tc>
          <w:tcPr>
            <w:tcW w:w="0" w:type="dxa"/>
            <w:vAlign w:val="bottom"/>
          </w:tcPr>
          <w:p>
            <w:pPr>
              <w:spacing w:after="0"/>
              <w:rPr>
                <w:sz w:val="1"/>
                <w:szCs w:val="1"/>
                <w:color w:val="auto"/>
              </w:rPr>
            </w:pPr>
          </w:p>
        </w:tc>
      </w:tr>
      <w:tr>
        <w:trPr>
          <w:trHeight w:val="255"/>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Deferred revenues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(75,429)</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98,847</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117,780</w:t>
            </w:r>
          </w:p>
        </w:tc>
        <w:tc>
          <w:tcPr>
            <w:tcW w:w="0" w:type="dxa"/>
            <w:vAlign w:val="bottom"/>
          </w:tcPr>
          <w:p>
            <w:pPr>
              <w:spacing w:after="0"/>
              <w:rPr>
                <w:sz w:val="1"/>
                <w:szCs w:val="1"/>
                <w:color w:val="auto"/>
              </w:rPr>
            </w:pPr>
          </w:p>
        </w:tc>
      </w:tr>
      <w:tr>
        <w:trPr>
          <w:trHeight w:val="235"/>
        </w:trPr>
        <w:tc>
          <w:tcPr>
            <w:tcW w:w="6140" w:type="dxa"/>
            <w:vAlign w:val="bottom"/>
          </w:tcPr>
          <w:p>
            <w:pPr>
              <w:ind w:left="58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136,540</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513,693</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696,780</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Purchases of marketable securities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(744,773)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(1,184,649)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(2,081,431)</w:t>
            </w: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Maturities and sales of marketable securities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961,756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1,346,520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1,840,477</w:t>
            </w: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Purchases of property and equipment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(40,639)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(33,604)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(110,401)</w:t>
            </w: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Investment in debt securities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(6,300)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(15,000)</w:t>
            </w: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Investment in equity of private company</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Investment in tax equity fund</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(9,752)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Issuances of loan receivables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(48,500)</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6140" w:type="dxa"/>
            <w:vAlign w:val="bottom"/>
          </w:tcPr>
          <w:p>
            <w:pPr>
              <w:ind w:left="5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106,792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128,267</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(366,355)</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(102,168)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Settlement of Notes due 2025</w:t>
            </w: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w w:val="95"/>
              </w:rPr>
              <w:t>Proceeds from issuances of common stock under employee equity plans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8,527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12,688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13,870</w:t>
            </w:r>
          </w:p>
        </w:tc>
        <w:tc>
          <w:tcPr>
            <w:tcW w:w="0" w:type="dxa"/>
            <w:vAlign w:val="bottom"/>
          </w:tcPr>
          <w:p>
            <w:pPr>
              <w:spacing w:after="0"/>
              <w:rPr>
                <w:sz w:val="1"/>
                <w:szCs w:val="1"/>
                <w:color w:val="auto"/>
              </w:rPr>
            </w:pPr>
          </w:p>
        </w:tc>
      </w:tr>
      <w:tr>
        <w:trPr>
          <w:trHeight w:val="197"/>
        </w:trPr>
        <w:tc>
          <w:tcPr>
            <w:tcW w:w="6140" w:type="dxa"/>
            <w:vAlign w:val="bottom"/>
          </w:tcPr>
          <w:p>
            <w:pPr>
              <w:ind w:left="140"/>
              <w:spacing w:after="0" w:line="197" w:lineRule="exact"/>
              <w:rPr>
                <w:sz w:val="20"/>
                <w:szCs w:val="20"/>
                <w:color w:val="auto"/>
              </w:rPr>
            </w:pPr>
            <w:r>
              <w:rPr>
                <w:rFonts w:ascii="Arial" w:cs="Arial" w:eastAsia="Arial" w:hAnsi="Arial"/>
                <w:sz w:val="18"/>
                <w:szCs w:val="18"/>
                <w:b w:val="1"/>
                <w:bCs w:val="1"/>
                <w:color w:val="auto"/>
                <w:w w:val="98"/>
              </w:rPr>
              <w:t>Payments of withholding taxes related to net share settlement of equity</w:t>
            </w: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(18,026)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(78,813)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(120,646)</w:t>
            </w:r>
          </w:p>
        </w:tc>
        <w:tc>
          <w:tcPr>
            <w:tcW w:w="0" w:type="dxa"/>
            <w:vAlign w:val="bottom"/>
          </w:tcPr>
          <w:p>
            <w:pPr>
              <w:spacing w:after="0"/>
              <w:rPr>
                <w:sz w:val="1"/>
                <w:szCs w:val="1"/>
                <w:color w:val="auto"/>
              </w:rPr>
            </w:pPr>
          </w:p>
        </w:tc>
      </w:tr>
      <w:tr>
        <w:trPr>
          <w:trHeight w:val="239"/>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awards</w:t>
            </w: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Repurchases of common stock</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(129,957)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(391,364)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(409,998)</w:t>
            </w: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Payment of excise tax on net stock repurchases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(2,773)</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6140" w:type="dxa"/>
            <w:vAlign w:val="bottom"/>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(241,624)</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(460,269)</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(516,774)</w:t>
            </w:r>
          </w:p>
        </w:tc>
        <w:tc>
          <w:tcPr>
            <w:tcW w:w="0" w:type="dxa"/>
            <w:vAlign w:val="bottom"/>
          </w:tcPr>
          <w:p>
            <w:pPr>
              <w:spacing w:after="0"/>
              <w:rPr>
                <w:sz w:val="1"/>
                <w:szCs w:val="1"/>
                <w:color w:val="auto"/>
              </w:rPr>
            </w:pPr>
          </w:p>
        </w:tc>
      </w:tr>
      <w:tr>
        <w:trPr>
          <w:trHeight w:val="177"/>
        </w:trPr>
        <w:tc>
          <w:tcPr>
            <w:tcW w:w="6140" w:type="dxa"/>
            <w:vAlign w:val="bottom"/>
          </w:tcPr>
          <w:p>
            <w:pPr>
              <w:ind w:left="500"/>
              <w:spacing w:after="0" w:line="177" w:lineRule="exact"/>
              <w:rPr>
                <w:sz w:val="20"/>
                <w:szCs w:val="20"/>
                <w:color w:val="auto"/>
              </w:rPr>
            </w:pPr>
            <w:r>
              <w:rPr>
                <w:rFonts w:ascii="Arial" w:cs="Arial" w:eastAsia="Arial" w:hAnsi="Arial"/>
                <w:sz w:val="18"/>
                <w:szCs w:val="18"/>
                <w:b w:val="1"/>
                <w:bCs w:val="1"/>
                <w:color w:val="auto"/>
              </w:rPr>
              <w:t>Effect of exchange rate changes on cash, cash equivalents and</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8,494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(6,323)</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1,853</w:t>
            </w:r>
          </w:p>
        </w:tc>
        <w:tc>
          <w:tcPr>
            <w:tcW w:w="0" w:type="dxa"/>
            <w:vAlign w:val="bottom"/>
          </w:tcPr>
          <w:p>
            <w:pPr>
              <w:spacing w:after="0"/>
              <w:rPr>
                <w:sz w:val="1"/>
                <w:szCs w:val="1"/>
                <w:color w:val="auto"/>
              </w:rPr>
            </w:pPr>
          </w:p>
        </w:tc>
      </w:tr>
      <w:tr>
        <w:trPr>
          <w:trHeight w:val="238"/>
        </w:trPr>
        <w:tc>
          <w:tcPr>
            <w:tcW w:w="6140" w:type="dxa"/>
            <w:vAlign w:val="bottom"/>
          </w:tcPr>
          <w:p>
            <w:pPr>
              <w:ind w:left="500"/>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4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10,202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175,368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(184,496)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-6618605</wp:posOffset>
            </wp:positionV>
            <wp:extent cx="6540500" cy="66357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2">
                      <a:extLst>
                        <a:ext uri="{28A0092B-C50C-407E-A947-70E740481C1C}"/>
                      </a:extLst>
                    </a:blip>
                    <a:srcRect/>
                    <a:stretch>
                      <a:fillRect/>
                    </a:stretch>
                  </pic:blipFill>
                  <pic:spPr bwMode="auto">
                    <a:xfrm>
                      <a:off x="0" y="0"/>
                      <a:ext cx="6540500" cy="6635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83820</wp:posOffset>
                </wp:positionH>
                <wp:positionV relativeFrom="paragraph">
                  <wp:posOffset>2202180</wp:posOffset>
                </wp:positionV>
                <wp:extent cx="633412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73.4pt" to="505.35pt,173.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2202180</wp:posOffset>
                </wp:positionV>
                <wp:extent cx="633412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73.4pt" to="505.35pt,173.4pt" o:allowincell="f" strokecolor="#828282" strokeweight="0.25pt"/>
            </w:pict>
          </mc:Fallback>
        </mc:AlternateContent>
      </w:r>
    </w:p>
    <w:p>
      <w:pPr>
        <w:sectPr>
          <w:pgSz w:w="12240" w:h="1692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72</w:t>
      </w:r>
    </w:p>
    <w:p>
      <w:pPr>
        <w:sectPr>
          <w:pgSz w:w="12240" w:h="16920" w:orient="portrait"/>
          <w:cols w:equalWidth="0" w:num="1">
            <w:col w:w="10260"/>
          </w:cols>
          <w:pgMar w:left="1000" w:top="216" w:right="98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2023</w:t>
            </w: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464,116</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288,748</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473,244</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474,318</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464,116</w:t>
            </w:r>
          </w:p>
        </w:tc>
        <w:tc>
          <w:tcPr>
            <w:tcW w:w="60" w:type="dxa"/>
            <w:vAlign w:val="bottom"/>
          </w:tcPr>
          <w:p>
            <w:pPr>
              <w:spacing w:after="0"/>
              <w:rPr>
                <w:sz w:val="18"/>
                <w:szCs w:val="18"/>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288,748</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 to the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14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1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474,318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369,110</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288,748</w:t>
            </w:r>
          </w:p>
        </w:tc>
        <w:tc>
          <w:tcPr>
            <w:tcW w:w="0" w:type="dxa"/>
            <w:vAlign w:val="bottom"/>
          </w:tcPr>
          <w:p>
            <w:pPr>
              <w:spacing w:after="0"/>
              <w:rPr>
                <w:sz w:val="1"/>
                <w:szCs w:val="1"/>
                <w:color w:val="auto"/>
              </w:rPr>
            </w:pPr>
          </w:p>
        </w:tc>
      </w:tr>
      <w:tr>
        <w:trPr>
          <w:trHeight w:val="255"/>
        </w:trPr>
        <w:tc>
          <w:tcPr>
            <w:tcW w:w="6140" w:type="dxa"/>
            <w:vAlign w:val="bottom"/>
          </w:tcPr>
          <w:p>
            <w:pPr>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95,006</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6140" w:type="dxa"/>
            <w:vAlign w:val="bottom"/>
          </w:tcPr>
          <w:p>
            <w:pPr>
              <w:ind w:left="50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474,318</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464,116</w:t>
            </w:r>
          </w:p>
        </w:tc>
        <w:tc>
          <w:tcPr>
            <w:tcW w:w="60" w:type="dxa"/>
            <w:vAlign w:val="bottom"/>
          </w:tcPr>
          <w:p>
            <w:pPr>
              <w:spacing w:after="0"/>
              <w:rPr>
                <w:sz w:val="18"/>
                <w:szCs w:val="18"/>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288,748</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disclosure: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Cash paid for interest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Cash paid for income taxes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20,450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32,660</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74,706</w:t>
            </w:r>
          </w:p>
        </w:tc>
        <w:tc>
          <w:tcPr>
            <w:tcW w:w="0" w:type="dxa"/>
            <w:vAlign w:val="bottom"/>
          </w:tcPr>
          <w:p>
            <w:pPr>
              <w:spacing w:after="0"/>
              <w:rPr>
                <w:sz w:val="1"/>
                <w:szCs w:val="1"/>
                <w:color w:val="auto"/>
              </w:rPr>
            </w:pPr>
          </w:p>
        </w:tc>
      </w:tr>
      <w:tr>
        <w:trPr>
          <w:trHeight w:val="578"/>
        </w:trPr>
        <w:tc>
          <w:tcPr>
            <w:tcW w:w="614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140"/>
              <w:spacing w:after="0" w:line="189" w:lineRule="exact"/>
              <w:rPr>
                <w:sz w:val="20"/>
                <w:szCs w:val="20"/>
                <w:color w:val="auto"/>
              </w:rPr>
            </w:pPr>
            <w:r>
              <w:rPr>
                <w:rFonts w:ascii="Arial" w:cs="Arial" w:eastAsia="Arial" w:hAnsi="Arial"/>
                <w:sz w:val="18"/>
                <w:szCs w:val="18"/>
                <w:b w:val="1"/>
                <w:bCs w:val="1"/>
                <w:color w:val="auto"/>
              </w:rPr>
              <w:t>Purchases of property and equipment through tenant improvement</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855</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allowance</w:t>
            </w:r>
          </w:p>
        </w:tc>
        <w:tc>
          <w:tcPr>
            <w:tcW w:w="3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Purchases of property and equipment included in accounts payable</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15,576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11,188</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-2777490</wp:posOffset>
            </wp:positionV>
            <wp:extent cx="6553200" cy="279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3">
                      <a:extLst>
                        <a:ext uri="{28A0092B-C50C-407E-A947-70E740481C1C}"/>
                      </a:extLst>
                    </a:blip>
                    <a:srcRect/>
                    <a:stretch>
                      <a:fillRect/>
                    </a:stretch>
                  </pic:blipFill>
                  <pic:spPr bwMode="auto">
                    <a:xfrm>
                      <a:off x="0" y="0"/>
                      <a:ext cx="6553200" cy="279717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6358255</wp:posOffset>
                </wp:positionV>
                <wp:extent cx="633412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00.65pt" to="505.35pt,50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6358255</wp:posOffset>
                </wp:positionV>
                <wp:extent cx="633412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00.65pt" to="505.35pt,500.65pt" o:allowincell="f" strokecolor="#828282" strokeweight="0.25pt"/>
            </w:pict>
          </mc:Fallback>
        </mc:AlternateContent>
      </w:r>
    </w:p>
    <w:p>
      <w:pPr>
        <w:sectPr>
          <w:pgSz w:w="12240" w:h="1692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73</w:t>
      </w:r>
    </w:p>
    <w:p>
      <w:pPr>
        <w:sectPr>
          <w:pgSz w:w="12240" w:h="16920" w:orient="portrait"/>
          <w:cols w:equalWidth="0" w:num="1">
            <w:col w:w="10260"/>
          </w:cols>
          <w:pgMar w:left="1000" w:top="216" w:right="980" w:bottom="0" w:gutter="0" w:footer="0" w:header="0"/>
          <w:type w:val="continuous"/>
        </w:sectPr>
      </w:pPr>
    </w:p>
    <w:bookmarkStart w:id="73" w:name="page74"/>
    <w:bookmarkEnd w:id="73"/>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84" w:lineRule="exact"/>
        <w:rPr>
          <w:sz w:val="20"/>
          <w:szCs w:val="20"/>
          <w:color w:val="auto"/>
        </w:rPr>
      </w:pPr>
    </w:p>
    <w:p>
      <w:pPr>
        <w:ind w:left="10" w:right="3840" w:hanging="10"/>
        <w:spacing w:after="0" w:line="375" w:lineRule="auto"/>
        <w:tabs>
          <w:tab w:leader="none" w:pos="55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DESCRIPTION OF BUSINESS AND BASIS OF PRESENTATION Description of Business</w:t>
      </w:r>
    </w:p>
    <w:p>
      <w:pPr>
        <w:spacing w:after="0" w:line="1" w:lineRule="exact"/>
        <w:rPr>
          <w:sz w:val="20"/>
          <w:szCs w:val="20"/>
          <w:color w:val="auto"/>
        </w:rPr>
      </w:pPr>
    </w:p>
    <w:p>
      <w:pPr>
        <w:jc w:val="both"/>
        <w:ind w:left="10" w:right="20" w:firstLine="540"/>
        <w:spacing w:after="0" w:line="314" w:lineRule="auto"/>
        <w:rPr>
          <w:sz w:val="20"/>
          <w:szCs w:val="20"/>
          <w:color w:val="auto"/>
        </w:rPr>
      </w:pPr>
      <w:r>
        <w:rPr>
          <w:rFonts w:ascii="Arial" w:cs="Arial" w:eastAsia="Arial" w:hAnsi="Arial"/>
          <w:sz w:val="19"/>
          <w:szCs w:val="19"/>
          <w:b w:val="1"/>
          <w:bCs w:val="1"/>
          <w:color w:val="auto"/>
        </w:rPr>
        <w:t>Enphase Energy, Inc. (the “Company”) is a global energy technology company. The Company delivers smart, easy-to-use solutions that manage solar generation, storage and communication on one platform.</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Basis of Presentation and Consolidation</w:t>
      </w:r>
    </w:p>
    <w:p>
      <w:pPr>
        <w:spacing w:after="0" w:line="130" w:lineRule="exact"/>
        <w:rPr>
          <w:sz w:val="20"/>
          <w:szCs w:val="20"/>
          <w:color w:val="auto"/>
        </w:rPr>
      </w:pPr>
    </w:p>
    <w:p>
      <w:pPr>
        <w:jc w:val="both"/>
        <w:ind w:left="10" w:right="20" w:firstLine="540"/>
        <w:spacing w:after="0" w:line="259" w:lineRule="auto"/>
        <w:rPr>
          <w:sz w:val="20"/>
          <w:szCs w:val="20"/>
          <w:color w:val="auto"/>
        </w:rPr>
      </w:pPr>
      <w:r>
        <w:rPr>
          <w:rFonts w:ascii="Arial" w:cs="Arial" w:eastAsia="Arial" w:hAnsi="Arial"/>
          <w:sz w:val="20"/>
          <w:szCs w:val="20"/>
          <w:b w:val="1"/>
          <w:bCs w:val="1"/>
          <w:color w:val="auto"/>
        </w:rPr>
        <w:t>The accompanying consolidated financial statements are presented in accordance with accounting principles generally accepted in the United States (“U.S. GAAP”). The consolidated financial statements include the accounts of the Company and its wholly-owned subsidiaries. All intercompany balances and transactions have been eliminated in consolidation. Certain prior period amounts have been reclassified to conform to the current year presentation.</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Use of Estimates</w:t>
      </w:r>
    </w:p>
    <w:p>
      <w:pPr>
        <w:spacing w:after="0" w:line="130" w:lineRule="exact"/>
        <w:rPr>
          <w:sz w:val="20"/>
          <w:szCs w:val="20"/>
          <w:color w:val="auto"/>
        </w:rPr>
      </w:pPr>
    </w:p>
    <w:p>
      <w:pPr>
        <w:jc w:val="both"/>
        <w:ind w:left="10" w:firstLine="540"/>
        <w:spacing w:after="0" w:line="254" w:lineRule="auto"/>
        <w:rPr>
          <w:sz w:val="20"/>
          <w:szCs w:val="20"/>
          <w:color w:val="auto"/>
        </w:rPr>
      </w:pPr>
      <w:r>
        <w:rPr>
          <w:rFonts w:ascii="Arial" w:cs="Arial" w:eastAsia="Arial" w:hAnsi="Arial"/>
          <w:sz w:val="20"/>
          <w:szCs w:val="20"/>
          <w:b w:val="1"/>
          <w:bCs w:val="1"/>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credit losses, stock-based compensation, income tax provision, inventory valuation, government grants, accrued warranty obligations, fair value of debt securities, convertible notes, fair value of acquired intangible assets and goodwill, useful lives of acquired intangible assets and property and equipment, incremental borrowing rate for right-of-use assets and lease liability. These estimates are based on information available as of the date of the financial statements; therefore, actual results could differ materially from those estimates due to risks and uncertainties.</w:t>
      </w:r>
    </w:p>
    <w:p>
      <w:pPr>
        <w:spacing w:after="0" w:line="86" w:lineRule="exact"/>
        <w:rPr>
          <w:sz w:val="20"/>
          <w:szCs w:val="20"/>
          <w:color w:val="auto"/>
        </w:rPr>
      </w:pPr>
    </w:p>
    <w:p>
      <w:pPr>
        <w:ind w:left="10" w:right="4640" w:hanging="10"/>
        <w:spacing w:after="0" w:line="375" w:lineRule="auto"/>
        <w:tabs>
          <w:tab w:leader="none" w:pos="55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Revenue Recognition</w:t>
      </w:r>
    </w:p>
    <w:p>
      <w:pPr>
        <w:spacing w:after="0" w:line="1" w:lineRule="exact"/>
        <w:rPr>
          <w:sz w:val="20"/>
          <w:szCs w:val="20"/>
          <w:color w:val="auto"/>
        </w:rPr>
      </w:pPr>
    </w:p>
    <w:p>
      <w:pPr>
        <w:jc w:val="both"/>
        <w:ind w:left="10" w:right="20" w:firstLine="540"/>
        <w:spacing w:after="0" w:line="259" w:lineRule="auto"/>
        <w:rPr>
          <w:sz w:val="20"/>
          <w:szCs w:val="20"/>
          <w:color w:val="auto"/>
        </w:rPr>
      </w:pPr>
      <w:r>
        <w:rPr>
          <w:rFonts w:ascii="Arial" w:cs="Arial" w:eastAsia="Arial" w:hAnsi="Arial"/>
          <w:sz w:val="20"/>
          <w:szCs w:val="20"/>
          <w:b w:val="1"/>
          <w:bCs w:val="1"/>
          <w:color w:val="auto"/>
        </w:rPr>
        <w:t>The Company generates revenue from the sale of its various products, which include microinverter units and related accessories, IQ Battery and related accessories, IQ PowerPack 1500 and related accessories, electric vehicle (“EV”) charging solutions, IQ Combiner, IQ Gateway and IQ Energy Router, as well as from the sale of services, which include cloud-based monitoring services, design, proposal, permitting, installation and solar appointment generation services, and Enphase Care services.</w:t>
      </w:r>
    </w:p>
    <w:p>
      <w:pPr>
        <w:spacing w:after="0" w:line="79" w:lineRule="exact"/>
        <w:rPr>
          <w:sz w:val="20"/>
          <w:szCs w:val="20"/>
          <w:color w:val="auto"/>
        </w:rPr>
      </w:pPr>
    </w:p>
    <w:p>
      <w:pPr>
        <w:jc w:val="both"/>
        <w:ind w:left="10" w:right="20" w:firstLine="540"/>
        <w:spacing w:after="0" w:line="262" w:lineRule="auto"/>
        <w:rPr>
          <w:sz w:val="20"/>
          <w:szCs w:val="20"/>
          <w:color w:val="auto"/>
        </w:rPr>
      </w:pPr>
      <w:r>
        <w:rPr>
          <w:rFonts w:ascii="Arial" w:cs="Arial" w:eastAsia="Arial" w:hAnsi="Arial"/>
          <w:sz w:val="20"/>
          <w:szCs w:val="20"/>
          <w:b w:val="1"/>
          <w:bCs w:val="1"/>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76" w:lineRule="exact"/>
        <w:rPr>
          <w:sz w:val="20"/>
          <w:szCs w:val="20"/>
          <w:color w:val="auto"/>
        </w:rPr>
      </w:pPr>
    </w:p>
    <w:p>
      <w:pPr>
        <w:jc w:val="both"/>
        <w:ind w:left="730" w:right="20" w:hanging="370"/>
        <w:spacing w:after="0" w:line="238" w:lineRule="auto"/>
        <w:tabs>
          <w:tab w:leader="none" w:pos="730" w:val="left"/>
        </w:tabs>
        <w:numPr>
          <w:ilvl w:val="0"/>
          <w:numId w:val="3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Products Delivered at a Point in Time. </w:t>
      </w:r>
      <w:r>
        <w:rPr>
          <w:rFonts w:ascii="Arial" w:cs="Arial" w:eastAsia="Arial" w:hAnsi="Arial"/>
          <w:sz w:val="20"/>
          <w:szCs w:val="20"/>
          <w:b w:val="1"/>
          <w:bCs w:val="1"/>
          <w:color w:val="auto"/>
        </w:rPr>
        <w:t>The Company sells its products and professional services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customers in accordance with the terms of the related customer contracts. The Company generates revenues from sales of its solutions, which include microinverter units and related accessories, storage solutions, EV charging solutions, and design, proposal, permitting, installation and solar appointment services. Such microinverter units, microinverter accessories, storage and EV solutions, design, proposal, permitting, installation and solar appointment services, are delivered to customers at a point in time, and the Company recognizes revenue for these products or professional services when the Company transfers control of the product or professional services to the customer, which is generally upon product shipment or service delivery,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1600835</wp:posOffset>
                </wp:positionV>
                <wp:extent cx="633412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26.05pt" to="505.85pt,126.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1600835</wp:posOffset>
                </wp:positionV>
                <wp:extent cx="633412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26.05pt" to="505.85pt,126.0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74</w:t>
      </w:r>
    </w:p>
    <w:p>
      <w:pPr>
        <w:sectPr>
          <w:pgSz w:w="12240" w:h="15840" w:orient="portrait"/>
          <w:cols w:equalWidth="0" w:num="1">
            <w:col w:w="10270"/>
          </w:cols>
          <w:pgMar w:left="990" w:top="216" w:right="980" w:bottom="0" w:gutter="0" w:footer="0" w:header="0"/>
          <w:type w:val="continuous"/>
        </w:sectPr>
      </w:pPr>
    </w:p>
    <w:bookmarkStart w:id="74" w:name="page75"/>
    <w:bookmarkEnd w:id="74"/>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both"/>
        <w:ind w:left="720" w:hanging="370"/>
        <w:spacing w:after="0" w:line="268" w:lineRule="auto"/>
        <w:tabs>
          <w:tab w:leader="none" w:pos="720" w:val="left"/>
        </w:tabs>
        <w:numPr>
          <w:ilvl w:val="0"/>
          <w:numId w:val="39"/>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Products Delivered Over Time. </w:t>
      </w:r>
      <w:r>
        <w:rPr>
          <w:rFonts w:ascii="Arial" w:cs="Arial" w:eastAsia="Arial" w:hAnsi="Arial"/>
          <w:sz w:val="19"/>
          <w:szCs w:val="19"/>
          <w:b w:val="1"/>
          <w:bCs w:val="1"/>
          <w:color w:val="auto"/>
        </w:rPr>
        <w:t>The sale of IQ Gateway and IQ Energy Router products includes the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Company’s cloud-based monitoring service. The full consideration for these products represents a single performance obligation and is deferred at the sale date and recognized over the estimated service period of 7 and 15 years. The Company also sells certain communication accessories that contain a service performance obligation to be delivered over time. The revenue from these products is recognized over the related service period, which is typically 5 years. The subscription services revenue generated from each customer’s subscription to the Company’s design and proposal software is recognized on a ratable basis over the contract term beginning on the date that the Company’s service is made available to the customer. The subscription contracts are generally 3 to 12 months in length and billed in advance. The Enphase Care service plans are offered as either an annual plan or a 10-year prepaid plan and pricing is customized based on the customer’s site and system configuration.</w:t>
      </w:r>
    </w:p>
    <w:p>
      <w:pPr>
        <w:spacing w:after="0" w:line="76"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When the Company sells a product with more than one performance obligation, such as the IQ Combiner, which includes both hardware and IQ Gateway, the total consideration is allocated to these performance obligations based on their relative standalone selling prices.</w:t>
      </w:r>
    </w:p>
    <w:p>
      <w:pPr>
        <w:spacing w:after="0" w:line="7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Company estimates and records certain revenue promotions as variable consideration and recognizes these promotions as a reduction in revenue at the time the related revenue is recorded.</w:t>
      </w:r>
    </w:p>
    <w:p>
      <w:pPr>
        <w:spacing w:after="0" w:line="5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The Company records upfront contract acquisition costs, such as sales commissions, to be capitalized and amortized over the estimated life of the asset. For contracts that have a duration of less than one year, the Company follows the Topic 606 practical expedient and expenses these costs when incurred. Commissions related to the Company’s sale of monitoring hardware and service are capitalized and amortized over the period of the associated revenue, which is 5 years to 7 years.</w:t>
      </w:r>
    </w:p>
    <w:p>
      <w:pPr>
        <w:spacing w:after="0" w:line="79" w:lineRule="exact"/>
        <w:rPr>
          <w:sz w:val="20"/>
          <w:szCs w:val="20"/>
          <w:color w:val="auto"/>
        </w:rPr>
      </w:pPr>
    </w:p>
    <w:p>
      <w:pPr>
        <w:ind w:right="1160" w:firstLine="540"/>
        <w:spacing w:after="0" w:line="375" w:lineRule="auto"/>
        <w:rPr>
          <w:sz w:val="20"/>
          <w:szCs w:val="20"/>
          <w:color w:val="auto"/>
        </w:rPr>
      </w:pPr>
      <w:r>
        <w:rPr>
          <w:rFonts w:ascii="Arial" w:cs="Arial" w:eastAsia="Arial" w:hAnsi="Arial"/>
          <w:sz w:val="20"/>
          <w:szCs w:val="20"/>
          <w:b w:val="1"/>
          <w:bCs w:val="1"/>
          <w:color w:val="auto"/>
        </w:rPr>
        <w:t xml:space="preserve">Refer to </w:t>
      </w:r>
      <w:r>
        <w:rPr>
          <w:rFonts w:ascii="Arial" w:cs="Arial" w:eastAsia="Arial" w:hAnsi="Arial"/>
          <w:sz w:val="20"/>
          <w:szCs w:val="20"/>
          <w:b w:val="1"/>
          <w:bCs w:val="1"/>
          <w:color w:val="0000FF"/>
        </w:rPr>
        <w:t>Note 3</w:t>
      </w:r>
      <w:r>
        <w:rPr>
          <w:rFonts w:ascii="Arial" w:cs="Arial" w:eastAsia="Arial" w:hAnsi="Arial"/>
          <w:sz w:val="20"/>
          <w:szCs w:val="20"/>
          <w:b w:val="1"/>
          <w:bCs w:val="1"/>
          <w:color w:val="auto"/>
        </w:rPr>
        <w:t>. “Revenue Recognition,” for additional information related to revenue recognition. Cost of Revenues</w:t>
      </w:r>
    </w:p>
    <w:p>
      <w:pPr>
        <w:spacing w:after="0" w:line="1"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The Company includes the following in cost of revenues: product costs, warranty, manufacturing and installation services personnel, logistics costs, freight costs, inventory write-downs, hosting services costs related to the Company’s cloud-based services, credits recognized from the advanced manufacturing production tax credit (“AMPTC”), depreciation of manufacturing and test equipment, and amortization of capitalized software development costs related to the Company’s cloud-based services, lead acquisition costs, design and proposal services, and employee-related expenses associated with proposal and permitting services and design and proposal service customer support. A description of principal activities from which the Company recognizes cost of revenue is as follows:</w:t>
      </w:r>
    </w:p>
    <w:p>
      <w:pPr>
        <w:spacing w:after="0" w:line="85" w:lineRule="exact"/>
        <w:rPr>
          <w:sz w:val="20"/>
          <w:szCs w:val="20"/>
          <w:color w:val="auto"/>
        </w:rPr>
      </w:pPr>
    </w:p>
    <w:p>
      <w:pPr>
        <w:jc w:val="both"/>
        <w:ind w:left="720" w:right="20" w:hanging="370"/>
        <w:spacing w:after="0" w:line="268" w:lineRule="auto"/>
        <w:tabs>
          <w:tab w:leader="none" w:pos="720" w:val="left"/>
        </w:tabs>
        <w:numPr>
          <w:ilvl w:val="0"/>
          <w:numId w:val="4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Products Delivered at a Point in Time. </w:t>
      </w:r>
      <w:r>
        <w:rPr>
          <w:rFonts w:ascii="Arial" w:cs="Arial" w:eastAsia="Arial" w:hAnsi="Arial"/>
          <w:sz w:val="20"/>
          <w:szCs w:val="20"/>
          <w:b w:val="1"/>
          <w:bCs w:val="1"/>
          <w:color w:val="auto"/>
        </w:rPr>
        <w:t>Cost of revenue from these products is recognized when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Company transfers control of the product to the customer, which is generally upon shipment or service delivery.</w:t>
      </w:r>
    </w:p>
    <w:p>
      <w:pPr>
        <w:spacing w:after="0" w:line="69" w:lineRule="exact"/>
        <w:rPr>
          <w:rFonts w:ascii="Arial" w:cs="Arial" w:eastAsia="Arial" w:hAnsi="Arial"/>
          <w:sz w:val="20"/>
          <w:szCs w:val="20"/>
          <w:b w:val="1"/>
          <w:bCs w:val="1"/>
          <w:i w:val="1"/>
          <w:iCs w:val="1"/>
          <w:color w:val="auto"/>
        </w:rPr>
      </w:pPr>
    </w:p>
    <w:p>
      <w:pPr>
        <w:ind w:left="720" w:hanging="370"/>
        <w:spacing w:after="0" w:line="287" w:lineRule="auto"/>
        <w:tabs>
          <w:tab w:leader="none" w:pos="720" w:val="left"/>
        </w:tabs>
        <w:numPr>
          <w:ilvl w:val="0"/>
          <w:numId w:val="4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Products Delivered Over Time. </w:t>
      </w:r>
      <w:r>
        <w:rPr>
          <w:rFonts w:ascii="Arial" w:cs="Arial" w:eastAsia="Arial" w:hAnsi="Arial"/>
          <w:sz w:val="20"/>
          <w:szCs w:val="20"/>
          <w:b w:val="1"/>
          <w:bCs w:val="1"/>
          <w:color w:val="auto"/>
        </w:rPr>
        <w:t>Cost of revenue from these products is recognized over the related service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period.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Grants</w:t>
      </w:r>
    </w:p>
    <w:p>
      <w:pPr>
        <w:spacing w:after="0" w:line="13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Government grants represent benefits provided by federal, state, or local governments that are not subject to the scope of Accounting Standards Codification (“ASC”) 740. The Company recognizes a grant when it has reasonable assurance that it will comply with the grant’s conditions and that the grant will be received. Government grants that are not related to long-lived assets are considered income-based grants, which are recognized as a reduction to the related cost of activities that generated the benefit.</w:t>
      </w:r>
    </w:p>
    <w:p>
      <w:pPr>
        <w:spacing w:after="0" w:line="79" w:lineRule="exact"/>
        <w:rPr>
          <w:sz w:val="20"/>
          <w:szCs w:val="20"/>
          <w:color w:val="auto"/>
        </w:rPr>
      </w:pPr>
    </w:p>
    <w:p>
      <w:pPr>
        <w:jc w:val="both"/>
        <w:ind w:firstLine="540"/>
        <w:spacing w:after="0" w:line="289" w:lineRule="auto"/>
        <w:rPr>
          <w:sz w:val="20"/>
          <w:szCs w:val="20"/>
          <w:color w:val="auto"/>
        </w:rPr>
      </w:pPr>
      <w:r>
        <w:rPr>
          <w:rFonts w:ascii="Arial" w:cs="Arial" w:eastAsia="Arial" w:hAnsi="Arial"/>
          <w:sz w:val="18"/>
          <w:szCs w:val="18"/>
          <w:b w:val="1"/>
          <w:bCs w:val="1"/>
          <w:color w:val="auto"/>
        </w:rPr>
        <w:t>In August 2022, the U.S. enacted the Inflation Reduction Act of 2022 (“IRA”), which includes credits under the AMPTC, to incentivize clean energy component sourcing and production, including for the production of microinverters. The IRA provides for an AMPTC on microinverters of 11 cents per alternating current watt basis. The AMPTC on microinverters decreases by 25% each year beginning in 2030 and ending after 2032. The Company recognized credits under AMPTC as a reduction to cost of revenues in the consolidated statements of operations for the microinverters manufactured in the United States and sold to customers. Such credit is also reflected as an increase to prepaid income tax on the Company’s consolidated balance sheets within prepaid expenses and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363855</wp:posOffset>
                </wp:positionV>
                <wp:extent cx="633412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65pt" to="505.35pt,28.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363855</wp:posOffset>
                </wp:positionV>
                <wp:extent cx="633412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65pt" to="505.35pt,28.65pt" o:allowincell="f" strokecolor="#828282" strokeweight="0.25pt"/>
            </w:pict>
          </mc:Fallback>
        </mc:AlternateContent>
      </w:r>
    </w:p>
    <w:p>
      <w:pPr>
        <w:sectPr>
          <w:pgSz w:w="12240" w:h="15840" w:orient="portrait"/>
          <w:cols w:equalWidth="0" w:num="1">
            <w:col w:w="10260"/>
          </w:cols>
          <w:pgMar w:left="100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75</w:t>
      </w:r>
    </w:p>
    <w:p>
      <w:pPr>
        <w:sectPr>
          <w:pgSz w:w="12240" w:h="15840" w:orient="portrait"/>
          <w:cols w:equalWidth="0" w:num="1">
            <w:col w:w="10260"/>
          </w:cols>
          <w:pgMar w:left="1000" w:top="126" w:right="980" w:bottom="0" w:gutter="0" w:footer="0" w:header="0"/>
          <w:type w:val="continuous"/>
        </w:sectPr>
      </w:pPr>
    </w:p>
    <w:bookmarkStart w:id="75" w:name="page76"/>
    <w:bookmarkEnd w:id="75"/>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current assets. For the years ended December 31, 2025 and 2024, benefits recognized from AMPTC of $238.7 million and $157.5 million, respectively, were recorded as a prepaid income tax of $227.5 million and $94.9 million (included in prepaid expenses and other current assets), respectively, and reduction of income tax payable of $11.2 million and $62.7 million (included in accrued liabilities), respectively, on the consolidated balance sheets, and as a reduction to cost of revenues of $238.7 million and $157.5 million on the consolidated statements of operations for the year ended December 31, 2025 and 2024, respectively. In addition, the Company recognized a grant receivable of $76.6 million and $15.1 million included in prepaid expenses and other current assets on the consolidated balance sheets as of December 31, 2025 and 2024, respectively, for inventory on hand because it has reasonable assurance that it will comply with the grant’s conditions and that the grant will be received when sold in the following 12 months, which is equal to the reduction of the carrying cost of the inventory on the consolidated balance sheets as of December 31, 2025 and 2024, respectively. Amounts recognized in the consolidated financial statements are based on management’s judgment and interpretation of the most current guidance.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Cash Equivalents and Marketable Securities</w:t>
      </w:r>
    </w:p>
    <w:p>
      <w:pPr>
        <w:spacing w:after="0" w:line="13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The Company classifies investments in marketable securities as available-for-sale investments and records these marketable securities at fair value. The Company determines the appropriate classification of marketable securities at the time of purchase and reevaluates such designation at each balance sheet date. All highly liquid investments with original maturities of 90 days or less from the date of purchase are classified as cash equivalents, while all others are presented within current assets since these investments represent funds available for current operations and the Company has the ability and intent, if necessary, to liquidate any of these investments within one year in order to meet liquidity needs or to grow the business, including for potential business acquisitions or other strategic transactions.</w:t>
      </w:r>
    </w:p>
    <w:p>
      <w:pPr>
        <w:spacing w:after="0" w:line="85"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Marketable securities are recorded at fair value, with the unrealized gains or losses unrelated to credit loss factors included in accumulated other comprehensive income (loss), net of tax. Realized gains and losses and declines in value determined to be other than temporary based on the specific identification method are reported in other income (expense), net, in the consolidated statements of operations.</w:t>
      </w:r>
    </w:p>
    <w:p>
      <w:pPr>
        <w:spacing w:after="0" w:line="76" w:lineRule="exact"/>
        <w:rPr>
          <w:sz w:val="20"/>
          <w:szCs w:val="20"/>
          <w:color w:val="auto"/>
        </w:rPr>
      </w:pPr>
    </w:p>
    <w:p>
      <w:pPr>
        <w:jc w:val="both"/>
        <w:ind w:right="20" w:firstLine="540"/>
        <w:spacing w:after="0" w:line="272" w:lineRule="auto"/>
        <w:rPr>
          <w:sz w:val="20"/>
          <w:szCs w:val="20"/>
          <w:color w:val="auto"/>
        </w:rPr>
      </w:pPr>
      <w:r>
        <w:rPr>
          <w:rFonts w:ascii="Arial" w:cs="Arial" w:eastAsia="Arial" w:hAnsi="Arial"/>
          <w:sz w:val="19"/>
          <w:szCs w:val="19"/>
          <w:b w:val="1"/>
          <w:bCs w:val="1"/>
          <w:color w:val="auto"/>
        </w:rPr>
        <w:t>The Company periodically reviews whether the securities may be other-than-temporarily impaired, including whether or not (i) the Company has the intent to sell the security or (ii) it is more likely than not that the Company will be required to sell the security before its anticipated recovery. If one of these factors is met, the Company records an impairment loss associated with the impaired investment. The impairment loss will be recorded as a write-down of investments in the consolidated balance sheets and a realized loss within other income (expense), net in the consolidated statements of operations. There were no credit-related impairments recognized on the Company’s investments in marketable securities during the periods presented.</w:t>
      </w:r>
    </w:p>
    <w:p>
      <w:pPr>
        <w:spacing w:after="0" w:line="67" w:lineRule="exact"/>
        <w:rPr>
          <w:sz w:val="20"/>
          <w:szCs w:val="20"/>
          <w:color w:val="auto"/>
        </w:rPr>
      </w:pPr>
    </w:p>
    <w:p>
      <w:pPr>
        <w:jc w:val="both"/>
        <w:ind w:right="20" w:firstLine="540"/>
        <w:spacing w:after="0" w:line="280" w:lineRule="auto"/>
        <w:rPr>
          <w:sz w:val="20"/>
          <w:szCs w:val="20"/>
          <w:color w:val="auto"/>
        </w:rPr>
      </w:pPr>
      <w:r>
        <w:rPr>
          <w:rFonts w:ascii="Arial" w:cs="Arial" w:eastAsia="Arial" w:hAnsi="Arial"/>
          <w:sz w:val="19"/>
          <w:szCs w:val="19"/>
          <w:b w:val="1"/>
          <w:bCs w:val="1"/>
          <w:color w:val="auto"/>
        </w:rPr>
        <w:t>For purposes of identifying and measuring impairment, the policy election was made to exclude the applicable accrued interest from both the fair value and amortized cost basis. Applicable accrued interest of $9.7 million and $10.1 million, net of the allowance for credit losses, if any, is recorded in prepaid expenses and other current assets on the consolidated balance sheets as of December 31, 2025 and 2024,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Cash</w:t>
      </w:r>
    </w:p>
    <w:p>
      <w:pPr>
        <w:spacing w:after="0" w:line="13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Restricted cash represents cash held as certificates of deposit collateralized under a letter of credit issued to a customer through April 2025. The letter of credit was required as a performance security in a face amount equal to the aggregate purchase price of the executed sales agreement. The letter of credit was issued per the terms of the executed sales agreement and the Company collateralized certificates of deposit under this letter of credit in an amount of $95.0 million, which was reflected as restricted cash on the Company’s consolidated balance sheet as of December 31, 2024.</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w:t>
      </w:r>
    </w:p>
    <w:p>
      <w:pPr>
        <w:spacing w:after="0" w:line="130" w:lineRule="exact"/>
        <w:rPr>
          <w:sz w:val="20"/>
          <w:szCs w:val="20"/>
          <w:color w:val="auto"/>
        </w:rPr>
      </w:pPr>
    </w:p>
    <w:p>
      <w:pPr>
        <w:jc w:val="both"/>
        <w:ind w:right="20" w:firstLine="540"/>
        <w:spacing w:after="0" w:line="295" w:lineRule="auto"/>
        <w:rPr>
          <w:sz w:val="20"/>
          <w:szCs w:val="20"/>
          <w:color w:val="auto"/>
        </w:rPr>
      </w:pPr>
      <w:r>
        <w:rPr>
          <w:rFonts w:ascii="Arial" w:cs="Arial" w:eastAsia="Arial" w:hAnsi="Arial"/>
          <w:sz w:val="18"/>
          <w:szCs w:val="18"/>
          <w:b w:val="1"/>
          <w:bCs w:val="1"/>
          <w:color w:val="auto"/>
        </w:rPr>
        <w:t>The fair value of a financial instrument is the price that would be received to sell an asset or paid to transfer a liability in an orderly transaction between market participants at the measurement date. The financial instruments include the Company’s cash and cash equivalents, restricted cash, accounts receivable, loan receivables, accounts payable and accrued liabilities. The Company considers the carrying amount of short-term financial instruments to approximate the fair value because of the short maturity of those instruments. The Company’s long-term financial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511175</wp:posOffset>
                </wp:positionV>
                <wp:extent cx="633412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0.25pt" to="505.35pt,40.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511175</wp:posOffset>
                </wp:positionV>
                <wp:extent cx="633412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0.25pt" to="505.35pt,40.25pt" o:allowincell="f" strokecolor="#828282" strokeweight="0.25pt"/>
            </w:pict>
          </mc:Fallback>
        </mc:AlternateContent>
      </w:r>
    </w:p>
    <w:p>
      <w:pPr>
        <w:sectPr>
          <w:pgSz w:w="12240" w:h="15840" w:orient="portrait"/>
          <w:cols w:equalWidth="0" w:num="1">
            <w:col w:w="10260"/>
          </w:cols>
          <w:pgMar w:left="100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76</w:t>
      </w:r>
    </w:p>
    <w:p>
      <w:pPr>
        <w:sectPr>
          <w:pgSz w:w="12240" w:h="15840" w:orient="portrait"/>
          <w:cols w:equalWidth="0" w:num="1">
            <w:col w:w="10260"/>
          </w:cols>
          <w:pgMar w:left="1000" w:top="126" w:right="980" w:bottom="0" w:gutter="0" w:footer="0" w:header="0"/>
          <w:type w:val="continuous"/>
        </w:sectPr>
      </w:pPr>
    </w:p>
    <w:bookmarkStart w:id="76" w:name="page77"/>
    <w:bookmarkEnd w:id="76"/>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both"/>
        <w:ind w:right="20"/>
        <w:spacing w:after="0" w:line="314" w:lineRule="auto"/>
        <w:rPr>
          <w:sz w:val="20"/>
          <w:szCs w:val="20"/>
          <w:color w:val="auto"/>
        </w:rPr>
      </w:pPr>
      <w:r>
        <w:rPr>
          <w:rFonts w:ascii="Arial" w:cs="Arial" w:eastAsia="Arial" w:hAnsi="Arial"/>
          <w:sz w:val="19"/>
          <w:szCs w:val="19"/>
          <w:b w:val="1"/>
          <w:bCs w:val="1"/>
          <w:color w:val="auto"/>
        </w:rPr>
        <w:t>instruments are measured at amortized cost when the fair value option is not elected. The Company evaluates the allowance for credit losses by assessing the risks and losses inherent to the financial instruments.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 in Debt Securities</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 Company elected the fair value option for its investments in convertible notes. These notes are measured at fair value on a recurring basis, with changes in fair value recognized in other expense, net, in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 Receivable and Contract Assets</w:t>
      </w:r>
    </w:p>
    <w:p>
      <w:pPr>
        <w:spacing w:after="0" w:line="130" w:lineRule="exact"/>
        <w:rPr>
          <w:sz w:val="20"/>
          <w:szCs w:val="20"/>
          <w:color w:val="auto"/>
        </w:rPr>
      </w:pPr>
    </w:p>
    <w:p>
      <w:pPr>
        <w:jc w:val="both"/>
        <w:ind w:right="20" w:firstLine="540"/>
        <w:spacing w:after="0" w:line="280" w:lineRule="auto"/>
        <w:rPr>
          <w:sz w:val="20"/>
          <w:szCs w:val="20"/>
          <w:color w:val="auto"/>
        </w:rPr>
      </w:pPr>
      <w:r>
        <w:rPr>
          <w:rFonts w:ascii="Arial" w:cs="Arial" w:eastAsia="Arial" w:hAnsi="Arial"/>
          <w:sz w:val="19"/>
          <w:szCs w:val="19"/>
          <w:b w:val="1"/>
          <w:bCs w:val="1"/>
          <w:color w:val="auto"/>
        </w:rPr>
        <w:t>The Company receives payments from customers based upon contractual payment terms. Accounts receivable are recorded when the right to consideration becomes unconditional. Contract assets recorded in prepaid assets and other current assets on the consolidated balance sheet include deferred product costs and commissions associated with the deferred revenue and will be amortized along with the associated revenue.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Credit Losses</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19"/>
          <w:szCs w:val="19"/>
          <w:b w:val="1"/>
          <w:bCs w:val="1"/>
          <w:color w:val="auto"/>
        </w:rPr>
        <w:t>The Company maintains allowances for credit losses for uncollectible accounts receivable. Management estimates anticipated credit losses based on days past due, customer specific experience, collection history, the financial health of customers, among other factors. Accounts receivable are recorded net of allowance for credit losses totaling $0.6 million and $7.8 million as of December 31, 2025 and December 31, 2024, respectively. The $7.8 million allowance for credit losses as of December 31, 2024 included $6.2 million related to a customer that filed for bankruptcy under Chapter 11 of the United States Bankruptcy Code (“Chapter 11 bankruptcy”) during the year ended December 31, 2024 and $6.2 million was written-off during the year ended December 31, 2025. Management will continue to monitor certain customers experiencing considerable financial difficulties to perform collectability assessment and evaluate the impact to the Company's revenue recognition and allowance for credit losses on its financial statements. Accounts receivable are recorded net of allowance for credit losses. The following table sets forth activities in the allowance for credit losses for the periods indicated.</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r>
      <w:tr>
        <w:trPr>
          <w:trHeight w:val="292"/>
        </w:trPr>
        <w:tc>
          <w:tcPr>
            <w:tcW w:w="6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i w:val="1"/>
                <w:iCs w:val="1"/>
                <w:color w:val="auto"/>
                <w:w w:val="90"/>
              </w:rPr>
              <w:t>(In thousands)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8"/>
        </w:trPr>
        <w:tc>
          <w:tcPr>
            <w:tcW w:w="6140" w:type="dxa"/>
            <w:vAlign w:val="bottom"/>
          </w:tcPr>
          <w:p>
            <w:pPr>
              <w:spacing w:after="0"/>
              <w:rPr>
                <w:sz w:val="20"/>
                <w:szCs w:val="20"/>
                <w:color w:val="auto"/>
              </w:rPr>
            </w:pPr>
            <w:r>
              <w:rPr>
                <w:rFonts w:ascii="Arial" w:cs="Arial" w:eastAsia="Arial" w:hAnsi="Arial"/>
                <w:sz w:val="18"/>
                <w:szCs w:val="18"/>
                <w:b w:val="1"/>
                <w:bCs w:val="1"/>
                <w:color w:val="auto"/>
              </w:rPr>
              <w:t>Balance, at beginning of year</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7,788</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2,502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979</w:t>
            </w: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Net charges to revenue</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4,828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Net charges to expense</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1,849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Write-offs, net of recoveries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r>
      <w:tr>
        <w:trPr>
          <w:trHeight w:val="215"/>
        </w:trPr>
        <w:tc>
          <w:tcPr>
            <w:tcW w:w="6140" w:type="dxa"/>
            <w:vAlign w:val="bottom"/>
          </w:tcPr>
          <w:p>
            <w:pPr>
              <w:spacing w:after="0"/>
              <w:rPr>
                <w:sz w:val="20"/>
                <w:szCs w:val="20"/>
                <w:color w:val="auto"/>
              </w:rPr>
            </w:pPr>
            <w:r>
              <w:rPr>
                <w:rFonts w:ascii="Arial" w:cs="Arial" w:eastAsia="Arial" w:hAnsi="Arial"/>
                <w:sz w:val="18"/>
                <w:szCs w:val="18"/>
                <w:b w:val="1"/>
                <w:bCs w:val="1"/>
                <w:color w:val="auto"/>
              </w:rPr>
              <w:t>Balance, at end of year</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7,788</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2,502</w:t>
            </w:r>
          </w:p>
        </w:tc>
      </w:tr>
      <w:tr>
        <w:trPr>
          <w:trHeight w:val="20"/>
        </w:trPr>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-840740</wp:posOffset>
            </wp:positionV>
            <wp:extent cx="6553200" cy="8604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4">
                      <a:extLst>
                        <a:ext uri="{28A0092B-C50C-407E-A947-70E740481C1C}"/>
                      </a:extLst>
                    </a:blip>
                    <a:srcRect/>
                    <a:stretch>
                      <a:fillRect/>
                    </a:stretch>
                  </pic:blipFill>
                  <pic:spPr bwMode="auto">
                    <a:xfrm>
                      <a:off x="0" y="0"/>
                      <a:ext cx="6553200" cy="86042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Inventory</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19"/>
          <w:szCs w:val="19"/>
          <w:b w:val="1"/>
          <w:bCs w:val="1"/>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9"/>
          <w:szCs w:val="19"/>
          <w:b w:val="1"/>
          <w:bCs w:val="1"/>
          <w:i w:val="1"/>
          <w:iCs w:val="1"/>
          <w:color w:val="auto"/>
        </w:rPr>
        <w:t>i.e.,</w:t>
      </w:r>
      <w:r>
        <w:rPr>
          <w:rFonts w:ascii="Arial" w:cs="Arial" w:eastAsia="Arial" w:hAnsi="Arial"/>
          <w:sz w:val="19"/>
          <w:szCs w:val="19"/>
          <w:b w:val="1"/>
          <w:bCs w:val="1"/>
          <w:color w:val="auto"/>
        </w:rPr>
        <w:t xml:space="preserve"> estimated selling price less reasonably predictable costs of completion and disposal), inventories are stated at net realizable value. Market is not considered to be less than net realizable value reduced by an allowance for an approximately normal profit margin. The Company determines cost on a first-in first-out basis and include both the costs of acquisition and manufacturing in the Company’s inventory costs. These costs include direct materials, direct labor, and indirect manufacturing costs, including depreciation and amortization. The capitalization of indirect costs is based on the normal utilization of the Company’s manufacturing facility in Texas. If the manufacturing facility utilization is abnormally low, the portion of the Company’s indirect manufacturing costs related to the abnormal utilization level is expensed as incurred. Other abnormal manufacturing costs, such as wasted materials or excess yield losses, are also expensed as incurred.</w:t>
      </w:r>
    </w:p>
    <w:p>
      <w:pPr>
        <w:spacing w:after="0" w:line="76"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405130</wp:posOffset>
                </wp:positionV>
                <wp:extent cx="633412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1.9pt" to="505.35pt,3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405130</wp:posOffset>
                </wp:positionV>
                <wp:extent cx="633412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1.9pt" to="505.35pt,31.9pt" o:allowincell="f" strokecolor="#828282" strokeweight="0.25pt"/>
            </w:pict>
          </mc:Fallback>
        </mc:AlternateContent>
      </w:r>
    </w:p>
    <w:p>
      <w:pPr>
        <w:sectPr>
          <w:pgSz w:w="12240" w:h="15840" w:orient="portrait"/>
          <w:cols w:equalWidth="0" w:num="1">
            <w:col w:w="10260"/>
          </w:cols>
          <w:pgMar w:left="100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77</w:t>
      </w:r>
    </w:p>
    <w:p>
      <w:pPr>
        <w:sectPr>
          <w:pgSz w:w="12240" w:h="15840" w:orient="portrait"/>
          <w:cols w:equalWidth="0" w:num="1">
            <w:col w:w="10260"/>
          </w:cols>
          <w:pgMar w:left="1000" w:top="126" w:right="980" w:bottom="0" w:gutter="0" w:footer="0" w:header="0"/>
          <w:type w:val="continuous"/>
        </w:sectPr>
      </w:pPr>
    </w:p>
    <w:bookmarkStart w:id="77" w:name="page78"/>
    <w:bookmarkEnd w:id="77"/>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are computed using the straight-line method over the estimated useful lives of the assets, which range from 3 to 10 years. Leasehold improvements are amortized over the shorter of the lease term or expected useful life of the improvements.</w:t>
      </w:r>
    </w:p>
    <w:p>
      <w:pPr>
        <w:spacing w:after="0" w:line="82" w:lineRule="exact"/>
        <w:rPr>
          <w:sz w:val="20"/>
          <w:szCs w:val="20"/>
          <w:color w:val="auto"/>
        </w:rPr>
      </w:pPr>
    </w:p>
    <w:p>
      <w:pPr>
        <w:jc w:val="both"/>
        <w:ind w:right="20" w:firstLine="540"/>
        <w:spacing w:after="0" w:line="269" w:lineRule="auto"/>
        <w:rPr>
          <w:sz w:val="20"/>
          <w:szCs w:val="20"/>
          <w:color w:val="auto"/>
        </w:rPr>
      </w:pPr>
      <w:r>
        <w:rPr>
          <w:rFonts w:ascii="Arial" w:cs="Arial" w:eastAsia="Arial" w:hAnsi="Arial"/>
          <w:sz w:val="19"/>
          <w:szCs w:val="19"/>
          <w:b w:val="1"/>
          <w:bCs w:val="1"/>
          <w:color w:val="auto"/>
        </w:rPr>
        <w:t>Internal-use software, whether purchased or developed, is capitalized at cost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internal-use software requires judgment in determining when a project has reached the development stage and the period over which the Company expects to benefit from the use of that software. Capitalized costs are recorded as part of property and equipment in the consolidated balance sheets. Capitalized internal-use software is amortized on a straight-line basis over its estimated useful life, which is generally three years, and is recorded as cost of revenue in the consolidated statements of operations.</w:t>
      </w:r>
    </w:p>
    <w:p>
      <w:pPr>
        <w:spacing w:after="0" w:line="71"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The Company capitalizes implementation costs related to cloud computing (</w:t>
      </w:r>
      <w:r>
        <w:rPr>
          <w:rFonts w:ascii="Arial" w:cs="Arial" w:eastAsia="Arial" w:hAnsi="Arial"/>
          <w:sz w:val="20"/>
          <w:szCs w:val="20"/>
          <w:b w:val="1"/>
          <w:bCs w:val="1"/>
          <w:i w:val="1"/>
          <w:iCs w:val="1"/>
          <w:color w:val="auto"/>
        </w:rPr>
        <w:t>i.e.,</w:t>
      </w:r>
      <w:r>
        <w:rPr>
          <w:rFonts w:ascii="Arial" w:cs="Arial" w:eastAsia="Arial" w:hAnsi="Arial"/>
          <w:sz w:val="20"/>
          <w:szCs w:val="20"/>
          <w:b w:val="1"/>
          <w:bCs w:val="1"/>
          <w:color w:val="auto"/>
        </w:rPr>
        <w:t xml:space="preserve"> hosting) arrangements that are accounted for as a service contract that meets the accounting requirement for capitalization as such implementation costs were incurred to develop or utilize internal-use software hosted by a third-party vendor. The capitalized implementation costs are recorded as part of “Other assets” on the consolidated balance sheets and is amortized over the length of the service contract.</w:t>
      </w:r>
    </w:p>
    <w:p>
      <w:pPr>
        <w:spacing w:after="0" w:line="79" w:lineRule="exact"/>
        <w:rPr>
          <w:sz w:val="20"/>
          <w:szCs w:val="20"/>
          <w:color w:val="auto"/>
        </w:rPr>
      </w:pPr>
    </w:p>
    <w:p>
      <w:pPr>
        <w:jc w:val="both"/>
        <w:ind w:firstLine="540"/>
        <w:spacing w:after="0" w:line="269" w:lineRule="auto"/>
        <w:rPr>
          <w:sz w:val="20"/>
          <w:szCs w:val="20"/>
          <w:color w:val="auto"/>
        </w:rPr>
      </w:pPr>
      <w:r>
        <w:rPr>
          <w:rFonts w:ascii="Arial" w:cs="Arial" w:eastAsia="Arial" w:hAnsi="Arial"/>
          <w:sz w:val="19"/>
          <w:szCs w:val="19"/>
          <w:b w:val="1"/>
          <w:bCs w:val="1"/>
          <w:color w:val="auto"/>
        </w:rPr>
        <w:t>Property and equipment, including internal-use software, and capitalized implementation costs related to cloud computing arrangements, are reviewed for impairment whenever events or changes in circumstances indicate that the carrying amount of an asset group may not be recoverable. An impairment loss would be recognized when the carrying amount of an asset group exceeds the estimated undiscounted future cash flows expected to result from the use of the asset group and its eventual disposition. The amount of the impairment loss to be recorded is calculated by the excess of the asset group’s carrying value over its fair value. Fair value is generally determined using an undiscounted cash flow analysis. The Company recorded asset impairment charges of $1.6 million, $2.3 million and $5.7 million in the years ended December 31, 2025, 2024 and 2023, respectively, associated with property and equipment, net. There were no events or changes in circumstances that may indicate the carrying amount of the remaining long-lived assets is not recoverable.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 Company determines if an arrangement is or contains a lease at inception. Operating lease assets represent the Company’s right to use an underlying asset for the lease term and lease liabilities represent the Company’s obligation to make lease payments over the lease term.</w:t>
      </w:r>
    </w:p>
    <w:p>
      <w:pPr>
        <w:spacing w:after="0" w:line="70"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The Company does not have any finance leases. Operating lease assets and liabilities are recognized based on the present value of the remaining lease payments over the lease term,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 Leases with an initial term of one year or less are considered short-term leases and are not recognized as lease assets and liabilities. The Company recognizes the cost of such short-term leases on a straight-line basis over the term of the underlying agreement. The Company combines the lease and non-lease components in determining the operating lease assets and liabilities.</w:t>
      </w:r>
    </w:p>
    <w:p>
      <w:pPr>
        <w:spacing w:after="0" w:line="68"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An impairment loss would be recognized when the carrying amount of an asset group exceeds the estimated undiscounted future cash flows expected to result from the use of the asset group. The Company recorded right of use asset impairment charges of $1.5 million, less than $0.1 million and $1.1 million in the years ended December 31, 2025, 2024 and 2023,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640080</wp:posOffset>
                </wp:positionV>
                <wp:extent cx="633412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0.4pt" to="505.35pt,50.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640080</wp:posOffset>
                </wp:positionV>
                <wp:extent cx="633412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0.4pt" to="505.35pt,50.4pt" o:allowincell="f" strokecolor="#828282" strokeweight="0.25pt"/>
            </w:pict>
          </mc:Fallback>
        </mc:AlternateContent>
      </w:r>
    </w:p>
    <w:p>
      <w:pPr>
        <w:sectPr>
          <w:pgSz w:w="12240" w:h="15840" w:orient="portrait"/>
          <w:cols w:equalWidth="0" w:num="1">
            <w:col w:w="10260"/>
          </w:cols>
          <w:pgMar w:left="100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78</w:t>
      </w:r>
    </w:p>
    <w:p>
      <w:pPr>
        <w:sectPr>
          <w:pgSz w:w="12240" w:h="15840" w:orient="portrait"/>
          <w:cols w:equalWidth="0" w:num="1">
            <w:col w:w="10260"/>
          </w:cols>
          <w:pgMar w:left="1000" w:top="126" w:right="980" w:bottom="0" w:gutter="0" w:footer="0" w:header="0"/>
          <w:type w:val="continuous"/>
        </w:sectPr>
      </w:pPr>
    </w:p>
    <w:bookmarkStart w:id="78" w:name="page79"/>
    <w:bookmarkEnd w:id="78"/>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8"/>
          <w:szCs w:val="18"/>
          <w:b w:val="1"/>
          <w:bCs w:val="1"/>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the Company to make estimates, which are based on all available information and in some cases assumptions with respect to the timing and amount of future revenues and expenses associated with an asset. Accounting for business acquisitions requires the Company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 Additional information existing as of the acquisition date but unknown to the Company may become known during the remainder of the measurement period, not to exceed 12 months from the acquisition date, which may result in changes to the amounts and allocations recorded.</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3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Goodwill results from the purchase consideration paid in excess of the fair value of the net assets recorded in connection with business acquisitions. Goodwill is not amortized but is assessed for potential impairment at least annually during the fourth quarter of each fiscal year or between annual tests if an event occurs or circumstances change that would indicate the carrying amount may be impaired. Goodwill is tested at the reporting unit level, which the Company has determined to be the same as the entity as a whole (entity level). The Company first performs qualitative assessment to determine whether it is more likely than not that the fair value of the Company’s reporting unit is less than its carrying value. If, after assessing the qualitative factors, the Company determines that it is more likely than not that the fair value of its reporting unit is less than its carrying value, an impairment analysis will be performed.</w:t>
      </w:r>
    </w:p>
    <w:p>
      <w:pPr>
        <w:spacing w:after="0" w:line="81" w:lineRule="exact"/>
        <w:rPr>
          <w:sz w:val="20"/>
          <w:szCs w:val="20"/>
          <w:color w:val="auto"/>
        </w:rPr>
      </w:pPr>
    </w:p>
    <w:p>
      <w:pPr>
        <w:jc w:val="both"/>
        <w:ind w:right="20" w:firstLine="540"/>
        <w:spacing w:after="0" w:line="276" w:lineRule="auto"/>
        <w:rPr>
          <w:sz w:val="20"/>
          <w:szCs w:val="20"/>
          <w:color w:val="auto"/>
        </w:rPr>
      </w:pPr>
      <w:r>
        <w:rPr>
          <w:rFonts w:ascii="Arial" w:cs="Arial" w:eastAsia="Arial" w:hAnsi="Arial"/>
          <w:sz w:val="19"/>
          <w:szCs w:val="19"/>
          <w:b w:val="1"/>
          <w:bCs w:val="1"/>
          <w:color w:val="auto"/>
        </w:rPr>
        <w:t>Qualitative factors include industry and market consideration, overall financial performance, share price trends and market capitalization and Company-specific events. The Company determined, after performing a qualitative review of its one reporting unit, that it is more likely than not that the fair value of its reporting unit exceeds its carrying value. Accordingly, there was no indication of impairment in the years ended December 31, 2025, 2024 and 2023 and no quantitative goodwill impairment test was performed.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Intangible Assets</w:t>
      </w:r>
    </w:p>
    <w:p>
      <w:pPr>
        <w:spacing w:after="0" w:line="130" w:lineRule="exact"/>
        <w:rPr>
          <w:sz w:val="20"/>
          <w:szCs w:val="20"/>
          <w:color w:val="auto"/>
        </w:rPr>
      </w:pPr>
    </w:p>
    <w:p>
      <w:pPr>
        <w:jc w:val="both"/>
        <w:ind w:firstLine="540"/>
        <w:spacing w:after="0" w:line="284" w:lineRule="auto"/>
        <w:rPr>
          <w:sz w:val="20"/>
          <w:szCs w:val="20"/>
          <w:color w:val="auto"/>
        </w:rPr>
      </w:pPr>
      <w:r>
        <w:rPr>
          <w:rFonts w:ascii="Arial" w:cs="Arial" w:eastAsia="Arial" w:hAnsi="Arial"/>
          <w:sz w:val="18"/>
          <w:szCs w:val="18"/>
          <w:b w:val="1"/>
          <w:bCs w:val="1"/>
          <w:color w:val="auto"/>
        </w:rPr>
        <w:t>Intangible assets include patents and other purchased intangible assets. Intangible assets with finite lives are amortized on a straight-line basis, with estimated useful lives ranging from 5 to 9 years. Indefinite-lived 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group may not be recoverable. An impairment loss is recognized when the carrying amount of an asset group exceeds the estimated undiscounted cash flows used in determining the fair value of the asset group. The amount of the impairment loss to be recorded is calculated by the excess of the asset group’s carrying value over its fair value. Fair value is generally determined using a discounted cash flow analysis. The Company recorded asset impairment charges of zero, $3.5 million and $3.8 million in the years ended December 31, 2025, 2024 and 2023, respectively, associated with the developed technology and customer relationship intangible asset. There were no events or changes in circumstances that may indicate the carrying amount of remaining assets is not recoverable.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 Liabilities</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Warranty Obligations</w:t>
      </w:r>
    </w:p>
    <w:p>
      <w:pPr>
        <w:spacing w:after="0" w:line="130" w:lineRule="exact"/>
        <w:rPr>
          <w:sz w:val="20"/>
          <w:szCs w:val="20"/>
          <w:color w:val="auto"/>
        </w:rPr>
      </w:pPr>
    </w:p>
    <w:p>
      <w:pPr>
        <w:jc w:val="both"/>
        <w:ind w:right="20" w:firstLine="540"/>
        <w:spacing w:after="0" w:line="291" w:lineRule="auto"/>
        <w:rPr>
          <w:sz w:val="20"/>
          <w:szCs w:val="20"/>
          <w:color w:val="auto"/>
        </w:rPr>
      </w:pPr>
      <w:r>
        <w:rPr>
          <w:rFonts w:ascii="Arial" w:cs="Arial" w:eastAsia="Arial" w:hAnsi="Arial"/>
          <w:sz w:val="18"/>
          <w:szCs w:val="18"/>
          <w:b w:val="1"/>
          <w:bCs w:val="1"/>
          <w:color w:val="auto"/>
        </w:rPr>
        <w:t>The Company’s warranty accrual provides for the replacement of microinverter units, AC Battery storage solutions and accessories, EV Chargers, IQ Gateway units and IQ Energy Router units that fail during the product’s warranty term. The warranty term related to microinverter units is typically 15 years for first and second generation microinverters and up to 25 years for subsequent generation microinverters. The warranty term for AC Battery storage solutions is 10 to 15 years depending on the generation and 5 years for IQ PowerPack 1500. The warranty term for the IQ Gateway is 5 to 15 years depending on the generation, IQ Energy Router is 5 years, and for EV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363220</wp:posOffset>
                </wp:positionV>
                <wp:extent cx="633412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6pt" to="505.35pt,28.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363220</wp:posOffset>
                </wp:positionV>
                <wp:extent cx="633412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8.6pt" to="505.35pt,28.6pt" o:allowincell="f" strokecolor="#828282" strokeweight="0.25pt"/>
            </w:pict>
          </mc:Fallback>
        </mc:AlternateContent>
      </w:r>
    </w:p>
    <w:p>
      <w:pPr>
        <w:sectPr>
          <w:pgSz w:w="12240" w:h="15840" w:orient="portrait"/>
          <w:cols w:equalWidth="0" w:num="1">
            <w:col w:w="10260"/>
          </w:cols>
          <w:pgMar w:left="100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79</w:t>
      </w:r>
    </w:p>
    <w:p>
      <w:pPr>
        <w:sectPr>
          <w:pgSz w:w="12240" w:h="15840" w:orient="portrait"/>
          <w:cols w:equalWidth="0" w:num="1">
            <w:col w:w="10260"/>
          </w:cols>
          <w:pgMar w:left="1000" w:top="126" w:right="980" w:bottom="0" w:gutter="0" w:footer="0" w:header="0"/>
          <w:type w:val="continuous"/>
        </w:sectPr>
      </w:pPr>
    </w:p>
    <w:bookmarkStart w:id="79" w:name="page80"/>
    <w:bookmarkEnd w:id="79"/>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Chargers is 1 to 5 years depending on the product.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and be repaired or returned for replacement over time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xml:space="preserve"> return rate); and (2) the per unit cost of repair or replacement of units, including outbound shipping and labor costs, expected to be incurred to replace failed units over time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xml:space="preserve"> replacement cost).</w:t>
      </w:r>
    </w:p>
    <w:p>
      <w:pPr>
        <w:spacing w:after="0" w:line="60" w:lineRule="exact"/>
        <w:rPr>
          <w:sz w:val="20"/>
          <w:szCs w:val="20"/>
          <w:color w:val="auto"/>
        </w:rPr>
      </w:pPr>
    </w:p>
    <w:p>
      <w:pPr>
        <w:jc w:val="both"/>
        <w:ind w:firstLine="540"/>
        <w:spacing w:after="0" w:line="283" w:lineRule="auto"/>
        <w:rPr>
          <w:sz w:val="20"/>
          <w:szCs w:val="20"/>
          <w:color w:val="auto"/>
        </w:rPr>
      </w:pPr>
      <w:r>
        <w:rPr>
          <w:rFonts w:ascii="Arial" w:cs="Arial" w:eastAsia="Arial" w:hAnsi="Arial"/>
          <w:sz w:val="18"/>
          <w:szCs w:val="18"/>
          <w:b w:val="1"/>
          <w:bCs w:val="1"/>
          <w:i w:val="1"/>
          <w:iCs w:val="1"/>
          <w:color w:val="auto"/>
        </w:rPr>
        <w:t xml:space="preserve">Estimated Return Rates — </w:t>
      </w:r>
      <w:r>
        <w:rPr>
          <w:rFonts w:ascii="Arial" w:cs="Arial" w:eastAsia="Arial" w:hAnsi="Arial"/>
          <w:sz w:val="18"/>
          <w:szCs w:val="18"/>
          <w:b w:val="1"/>
          <w:bCs w:val="1"/>
          <w:color w:val="auto"/>
        </w:rPr>
        <w:t>The Company’s Quality and Reliability department has primary responsibility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determine the estimated return rates for each generation of product. To establish initial return rate estimates for each generation of product, the Company’s quality engineers use a combination of industry standard mean time between failure estimates for individual components contained in its product, third-party data collected on similar equipment deployed in outdoor environments similar to those in which the Company’s products are installed, and rigorous long term reliability and accelerated life cycle testing which simulates the service life of the product in a short period of time. As units are deployed into operating environments, the Company continues to monitor product performance through its cloud-based monitoring services. It typically takes three to nine months between the date of sale and date of end-user installation. Consequently, the Company’s ability to monitor actual failures of units sold similarly lags by three to nine months. When a product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through the Company’s cloud-based monitoring services) to draw conclusions with respect to how or if the identified failure mechanism(s) will impact the remaining units deployed in the installed base.</w:t>
      </w:r>
    </w:p>
    <w:p>
      <w:pPr>
        <w:spacing w:after="0" w:line="63"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As the vast majority of the Company’s microinverters have been sold to end users for residential applications, the Company believes that warranty return rates will be affected by changes over time in residential home ownership because the Company expects that subsequent homeowners are less likely to file returns than the homeowners who originally purchase the microinverters.</w:t>
      </w:r>
    </w:p>
    <w:p>
      <w:pPr>
        <w:spacing w:after="0" w:line="76" w:lineRule="exact"/>
        <w:rPr>
          <w:sz w:val="20"/>
          <w:szCs w:val="20"/>
          <w:color w:val="auto"/>
        </w:rPr>
      </w:pPr>
    </w:p>
    <w:p>
      <w:pPr>
        <w:jc w:val="both"/>
        <w:ind w:right="20" w:firstLine="540"/>
        <w:spacing w:after="0" w:line="267" w:lineRule="auto"/>
        <w:rPr>
          <w:sz w:val="20"/>
          <w:szCs w:val="20"/>
          <w:color w:val="auto"/>
        </w:rPr>
      </w:pPr>
      <w:r>
        <w:rPr>
          <w:rFonts w:ascii="Arial" w:cs="Arial" w:eastAsia="Arial" w:hAnsi="Arial"/>
          <w:sz w:val="19"/>
          <w:szCs w:val="19"/>
          <w:b w:val="1"/>
          <w:bCs w:val="1"/>
          <w:i w:val="1"/>
          <w:iCs w:val="1"/>
          <w:color w:val="auto"/>
        </w:rPr>
        <w:t xml:space="preserve">Estimated Replacement Costs — </w:t>
      </w:r>
      <w:r>
        <w:rPr>
          <w:rFonts w:ascii="Arial" w:cs="Arial" w:eastAsia="Arial" w:hAnsi="Arial"/>
          <w:sz w:val="19"/>
          <w:szCs w:val="19"/>
          <w:b w:val="1"/>
          <w:bCs w:val="1"/>
          <w:color w:val="auto"/>
        </w:rPr>
        <w:t>Three factors are considered in the Company’s analysis of estimated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replacement cost: (1) the estimated cost of replacement products; (2) the estimated cost to ship replacement products to end users; and (3) the estimated labor reimbursement expected to be paid to third-party installers, or estimated labor cost expected to be incurred for field service technicians, performing replacement services for the end user. Because the Company’s warranty provides for the replacement of defective microinverters or other products over long periods of time (between 5 years to 25 years, depending on the product and the generation of that product purchased), the estimated per unit cost of current and future product generations is considered in the estimated replacement cost. Estimated costs to ship replacement units are based on observable, market-based shipping costs paid by the Company to third-party freight carriers. The Company has a separate program that allows third-party installers to claim fixed-dollar reimbursements for labor costs they incur to replace failed products for a limited time from the date of original installation. Included in the Company’s estimated replacement cost is an analysis of the number of fixed-dollar labor reimbursements expected to be claimed by third-party installers over the limited offering period.</w:t>
      </w:r>
    </w:p>
    <w:p>
      <w:pPr>
        <w:spacing w:after="0" w:line="80" w:lineRule="exact"/>
        <w:rPr>
          <w:sz w:val="20"/>
          <w:szCs w:val="20"/>
          <w:color w:val="auto"/>
        </w:rPr>
      </w:pPr>
    </w:p>
    <w:p>
      <w:pPr>
        <w:jc w:val="both"/>
        <w:ind w:right="20" w:firstLine="540"/>
        <w:spacing w:after="0" w:line="295" w:lineRule="auto"/>
        <w:rPr>
          <w:sz w:val="20"/>
          <w:szCs w:val="20"/>
          <w:color w:val="auto"/>
        </w:rPr>
      </w:pPr>
      <w:r>
        <w:rPr>
          <w:rFonts w:ascii="Arial" w:cs="Arial" w:eastAsia="Arial" w:hAnsi="Arial"/>
          <w:sz w:val="18"/>
          <w:szCs w:val="18"/>
          <w:b w:val="1"/>
          <w:bCs w:val="1"/>
          <w:color w:val="auto"/>
        </w:rPr>
        <w:t>In addition to the key estimates noted above, the Company also compares actual warranty results to expected results and evaluates any significant differences. Management may make additional adjustments to the warranty provision based on performance trends or other qualitative factors. If actual return rates or replacement costs differ from the Company’s estimates in future periods, changes to these estimates may be required, resulting in increases or decreases in the Company’s warranty obligations. Such increases or decreases could be material.</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Fair Value Option for Microinverters and Other Products Sold Since January 1, 2014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1477010</wp:posOffset>
                </wp:positionV>
                <wp:extent cx="633412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6.3pt" to="505.35pt,116.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1477010</wp:posOffset>
                </wp:positionV>
                <wp:extent cx="633412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6.3pt" to="505.35pt,116.3pt" o:allowincell="f" strokecolor="#828282" strokeweight="0.25pt"/>
            </w:pict>
          </mc:Fallback>
        </mc:AlternateContent>
      </w:r>
    </w:p>
    <w:p>
      <w:pPr>
        <w:sectPr>
          <w:pgSz w:w="12240" w:h="15840" w:orient="portrait"/>
          <w:cols w:equalWidth="0" w:num="1">
            <w:col w:w="10260"/>
          </w:cols>
          <w:pgMar w:left="100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80</w:t>
      </w:r>
    </w:p>
    <w:p>
      <w:pPr>
        <w:sectPr>
          <w:pgSz w:w="12240" w:h="15840" w:orient="portrait"/>
          <w:cols w:equalWidth="0" w:num="1">
            <w:col w:w="10260"/>
          </w:cols>
          <w:pgMar w:left="1000" w:top="126" w:right="980" w:bottom="0" w:gutter="0" w:footer="0" w:header="0"/>
          <w:type w:val="continuous"/>
        </w:sectPr>
      </w:pPr>
    </w:p>
    <w:bookmarkStart w:id="80" w:name="page81"/>
    <w:bookmarkEnd w:id="80"/>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The Company’s warranty obligations related to products sold since January 1, 2014 provide the Company the right, but not the requirement, to assign its warranty obligations to a third party. Under ASC 825, “Financial Instruments” (also referred to as “fair value option”), an entity may choose to elect the fair value option for such warranties at the time it first recognizes the eligible item. The Company made an irrevocable election to account for all eligible warranty obligations associated with products sold since January 1, 2014 at fair value. This election was made to reflect the underlying economics of the time value of money for an obligation that will be settled over an extended period of up to 25 years.</w:t>
      </w:r>
    </w:p>
    <w:p>
      <w:pPr>
        <w:spacing w:after="0" w:line="83"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 xml:space="preserve">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the Company’s credit-adjusted risk-free rate. Refer to </w:t>
      </w:r>
      <w:r>
        <w:rPr>
          <w:rFonts w:ascii="Arial" w:cs="Arial" w:eastAsia="Arial" w:hAnsi="Arial"/>
          <w:sz w:val="19"/>
          <w:szCs w:val="19"/>
          <w:b w:val="1"/>
          <w:bCs w:val="1"/>
          <w:color w:val="0000FF"/>
        </w:rPr>
        <w:t>Note 10</w:t>
      </w:r>
      <w:r>
        <w:rPr>
          <w:rFonts w:ascii="Arial" w:cs="Arial" w:eastAsia="Arial" w:hAnsi="Arial"/>
          <w:sz w:val="19"/>
          <w:szCs w:val="19"/>
          <w:b w:val="1"/>
          <w:bCs w:val="1"/>
          <w:color w:val="auto"/>
        </w:rPr>
        <w:t>. “Fair Value Measurements,” for additional information.</w:t>
      </w:r>
    </w:p>
    <w:p>
      <w:pPr>
        <w:spacing w:after="0" w:line="74"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Warranty obligations initially recorded at fair value at the time of sale will be subsequently re-measured to fair value at each reporting date. In addition, the fair value of the liability will be accreted over the corresponding term of the warranty of up to 25 years using the effective interest method.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Commitments and Contingencies</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In the normal course of business, the Company is subject to loss contingencies, such as legal proceedings and claims arising out of its business. An accrual for a loss contingency is recognized when it is probable and the amount of loss can be reasonably estimated.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 Company accounts for repurchase of common stock under Accounting Standards Codification Topic 505 and charges the entire cost of repurchase including excise tax accrued pursuant to the repurchase to the accumulated earnings (deficit).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 Costs</w:t>
      </w:r>
    </w:p>
    <w:p>
      <w:pPr>
        <w:spacing w:after="0" w:line="130" w:lineRule="exact"/>
        <w:rPr>
          <w:sz w:val="20"/>
          <w:szCs w:val="20"/>
          <w:color w:val="auto"/>
        </w:rPr>
      </w:pPr>
    </w:p>
    <w:p>
      <w:pPr>
        <w:jc w:val="both"/>
        <w:ind w:firstLine="540"/>
        <w:spacing w:after="0" w:line="314" w:lineRule="auto"/>
        <w:rPr>
          <w:sz w:val="20"/>
          <w:szCs w:val="20"/>
          <w:color w:val="auto"/>
        </w:rPr>
      </w:pPr>
      <w:r>
        <w:rPr>
          <w:rFonts w:ascii="Arial" w:cs="Arial" w:eastAsia="Arial" w:hAnsi="Arial"/>
          <w:sz w:val="19"/>
          <w:szCs w:val="19"/>
          <w:b w:val="1"/>
          <w:bCs w:val="1"/>
          <w:color w:val="auto"/>
        </w:rPr>
        <w:t>Advertising costs, which are expensed and included in sales and marketing expense when incurred, were $2.7 million, $1.7 million and $3.8 million during the years ended December 31, 2025, 2024 and 2023, respectively.</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Costs</w:t>
      </w:r>
    </w:p>
    <w:p>
      <w:pPr>
        <w:spacing w:after="0" w:line="130"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20"/>
          <w:szCs w:val="20"/>
          <w:b w:val="1"/>
          <w:bCs w:val="1"/>
          <w:color w:val="auto"/>
        </w:rPr>
        <w:t>The Company expenses research and development costs as incurred. Research and development expense consists primarily of expensed equipment for product development, personnel costs, including salaries, benefits and stock-based compensation, other professional costs and allocated facilities costs.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130"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made to employees and directors, based on the estimated fair values on the date of the grant. The fair value of restricted stock units (“RSUs”) granted is determined based on the price of the Company’s common stock on the date of grant. The fair value of non-market-based performance stock units (“PSUs”) granted is determined based on the date of grant or when achievement of performance is probable. The fair value of market-based performance stock units granted is determined using a Monte-Carlo model based on the date of grant or when achievement of performance is probable.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1217930</wp:posOffset>
                </wp:positionV>
                <wp:extent cx="633412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5.9pt" to="505.35pt,95.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1217930</wp:posOffset>
                </wp:positionV>
                <wp:extent cx="633412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5.9pt" to="505.35pt,95.9pt" o:allowincell="f" strokecolor="#828282" strokeweight="0.25pt"/>
            </w:pict>
          </mc:Fallback>
        </mc:AlternateContent>
      </w:r>
    </w:p>
    <w:p>
      <w:pPr>
        <w:sectPr>
          <w:pgSz w:w="12240" w:h="15840" w:orient="portrait"/>
          <w:cols w:equalWidth="0" w:num="1">
            <w:col w:w="10260"/>
          </w:cols>
          <w:pgMar w:left="100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81</w:t>
      </w:r>
    </w:p>
    <w:p>
      <w:pPr>
        <w:sectPr>
          <w:pgSz w:w="12240" w:h="15840" w:orient="portrait"/>
          <w:cols w:equalWidth="0" w:num="1">
            <w:col w:w="10260"/>
          </w:cols>
          <w:pgMar w:left="1000" w:top="126" w:right="980" w:bottom="0" w:gutter="0" w:footer="0" w:header="0"/>
          <w:type w:val="continuous"/>
        </w:sectPr>
      </w:pPr>
    </w:p>
    <w:bookmarkStart w:id="81" w:name="page82"/>
    <w:bookmarkEnd w:id="81"/>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9"/>
          <w:szCs w:val="19"/>
          <w:b w:val="1"/>
          <w:bCs w:val="1"/>
          <w:color w:val="auto"/>
        </w:rPr>
        <w:t>Stock-based compensation for RSUs is recognized on a straight-line basis over the requisite service period. Stock-based compensation for PSUs without market conditions is recognized when the performance condition is probable of being achieved, and then on a graded basis over the requisite service period. Stock-based compensation for PSUs with market conditions is recognized on a straight-line basis over the requisite service period. Additionally, the Company estimates its forfeiture rate annually based on historical experience and revises the estimates of forfeiture in subsequent periods if actual forfeitures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30" w:lineRule="exact"/>
        <w:rPr>
          <w:sz w:val="20"/>
          <w:szCs w:val="20"/>
          <w:color w:val="auto"/>
        </w:rPr>
      </w:pPr>
    </w:p>
    <w:p>
      <w:pPr>
        <w:jc w:val="both"/>
        <w:ind w:right="20" w:firstLine="540"/>
        <w:spacing w:after="0" w:line="269" w:lineRule="auto"/>
        <w:rPr>
          <w:sz w:val="20"/>
          <w:szCs w:val="20"/>
          <w:color w:val="auto"/>
        </w:rPr>
      </w:pPr>
      <w:r>
        <w:rPr>
          <w:rFonts w:ascii="Arial" w:cs="Arial" w:eastAsia="Arial" w:hAnsi="Arial"/>
          <w:sz w:val="19"/>
          <w:szCs w:val="19"/>
          <w:b w:val="1"/>
          <w:bCs w:val="1"/>
          <w:color w:val="auto"/>
        </w:rPr>
        <w:t>The Company and most of its subsidiaries use their respective local currency as their functional currency. Accordingly, foreign currency assets and liabilities are translated using exchange rates in effect at the end of the period and income or loss are translated using average exchange rates for the period. Aggregate exchange gains and losses arising from the translation of foreign assets and liabilities are included in accumulated other comprehensive loss in stockholders' equity. Foreign subsidiaries that use the U.S. dollar as their functional currency remeasure monetary assets and liabilities using exchange rates in effect at the end of the period. In addition, transactions that are denominated in non-functional currency are remeasured using exchange rates in effect at the end of the period. Exchange gains and losses arising from the remeasurement of monetary assets and liabilities are included in other income (expense), net, in the consolidated statements of operations. Non-monetary assets and liabilities are carried at their historical values.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w:t>
      </w:r>
    </w:p>
    <w:p>
      <w:pPr>
        <w:spacing w:after="0" w:line="130"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9"/>
          <w:szCs w:val="19"/>
          <w:b w:val="1"/>
          <w:bCs w:val="1"/>
          <w:color w:val="auto"/>
        </w:rPr>
        <w:t>Comprehensive income consists of two components, net income and other comprehensive income. Other comprehensive income refers to gains and losses that are recorded as an element of stockholders’ equity but are excluded from net income. The Company’s other comprehensive income consists of foreign currency translation adjustments and changes in net unrealized gain (loss) on marketable securities, net of tax.</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130" w:lineRule="exact"/>
        <w:rPr>
          <w:sz w:val="20"/>
          <w:szCs w:val="20"/>
          <w:color w:val="auto"/>
        </w:rPr>
      </w:pPr>
    </w:p>
    <w:p>
      <w:pPr>
        <w:jc w:val="both"/>
        <w:ind w:right="20" w:firstLine="540"/>
        <w:spacing w:after="0" w:line="257" w:lineRule="auto"/>
        <w:rPr>
          <w:sz w:val="20"/>
          <w:szCs w:val="20"/>
          <w:color w:val="auto"/>
        </w:rPr>
      </w:pPr>
      <w:r>
        <w:rPr>
          <w:rFonts w:ascii="Arial" w:cs="Arial" w:eastAsia="Arial" w:hAnsi="Arial"/>
          <w:sz w:val="20"/>
          <w:szCs w:val="20"/>
          <w:b w:val="1"/>
          <w:bCs w:val="1"/>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82"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The Company assesses the realizability of the deferred tax assets to determine release of valuation allowance as necessary. In the event the Company determines that it is more likely than not that the Company would be able to realize deferred tax assets in the future in excess of its net recorded amount, an adjustment to the valuation allowance for the deferred tax asset would increase income in the period such determination was made. Likewise, should it be determined that additional amounts of the net deferred tax asset will not be realized in the future, an adjustment to increase the deferred tax asset valuation allowance will reduce income in the period such determination is made.</w:t>
      </w:r>
    </w:p>
    <w:p>
      <w:pPr>
        <w:spacing w:after="0" w:line="83" w:lineRule="exact"/>
        <w:rPr>
          <w:sz w:val="20"/>
          <w:szCs w:val="20"/>
          <w:color w:val="auto"/>
        </w:rPr>
      </w:pPr>
    </w:p>
    <w:p>
      <w:pPr>
        <w:jc w:val="both"/>
        <w:ind w:firstLine="540"/>
        <w:spacing w:after="0" w:line="276" w:lineRule="auto"/>
        <w:rPr>
          <w:sz w:val="20"/>
          <w:szCs w:val="20"/>
          <w:color w:val="auto"/>
        </w:rPr>
      </w:pPr>
      <w:r>
        <w:rPr>
          <w:rFonts w:ascii="Arial" w:cs="Arial" w:eastAsia="Arial" w:hAnsi="Arial"/>
          <w:sz w:val="19"/>
          <w:szCs w:val="19"/>
          <w:b w:val="1"/>
          <w:bCs w:val="1"/>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130" w:lineRule="exact"/>
        <w:rPr>
          <w:sz w:val="20"/>
          <w:szCs w:val="20"/>
          <w:color w:val="auto"/>
        </w:rPr>
      </w:pPr>
    </w:p>
    <w:p>
      <w:pPr>
        <w:jc w:val="both"/>
        <w:ind w:firstLine="540"/>
        <w:spacing w:after="0" w:line="289" w:lineRule="auto"/>
        <w:rPr>
          <w:sz w:val="20"/>
          <w:szCs w:val="20"/>
          <w:color w:val="auto"/>
        </w:rPr>
      </w:pPr>
      <w:r>
        <w:rPr>
          <w:rFonts w:ascii="Arial" w:cs="Arial" w:eastAsia="Arial" w:hAnsi="Arial"/>
          <w:sz w:val="18"/>
          <w:szCs w:val="18"/>
          <w:b w:val="1"/>
          <w:bCs w:val="1"/>
          <w:color w:val="auto"/>
        </w:rPr>
        <w:t xml:space="preserve">In December 2023, the Financial Accounting Standards Board (“FASB”) issued Accounting Standards Update (“ASU”) 2023-09, “Income Taxes (Topic 740): Improvements to Income Tax Disclosures” (“ASU 2023-09”). ASU 2023-09 requires that an entity disclose specific categories in the effective tax rate reconciliation as well as provide additional information for reconciling items that meet a quantitative threshold, certain disclosures of state versus federal income tax expenses and taxes paid. ASU 2023-09 was effective for fiscal years beginning after December 15, 2024 and interim periods for fiscal years beginning after December 15, 2025. The Company adopted ASU 2023-09 effective for this Annual Report on Form 10-K for the year ended December 31, 2025. Refer to </w:t>
      </w:r>
      <w:r>
        <w:rPr>
          <w:rFonts w:ascii="Arial" w:cs="Arial" w:eastAsia="Arial" w:hAnsi="Arial"/>
          <w:sz w:val="18"/>
          <w:szCs w:val="18"/>
          <w:b w:val="1"/>
          <w:bCs w:val="1"/>
          <w:color w:val="0000FF"/>
        </w:rPr>
        <w:t>Note 16</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440055</wp:posOffset>
                </wp:positionV>
                <wp:extent cx="633412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4.65pt" to="505.35pt,3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440055</wp:posOffset>
                </wp:positionV>
                <wp:extent cx="633412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4.65pt" to="505.35pt,34.65pt" o:allowincell="f" strokecolor="#828282" strokeweight="0.25pt"/>
            </w:pict>
          </mc:Fallback>
        </mc:AlternateContent>
      </w:r>
    </w:p>
    <w:p>
      <w:pPr>
        <w:sectPr>
          <w:pgSz w:w="12240" w:h="15840" w:orient="portrait"/>
          <w:cols w:equalWidth="0" w:num="1">
            <w:col w:w="10260"/>
          </w:cols>
          <w:pgMar w:left="100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82</w:t>
      </w:r>
    </w:p>
    <w:p>
      <w:pPr>
        <w:sectPr>
          <w:pgSz w:w="12240" w:h="15840" w:orient="portrait"/>
          <w:cols w:equalWidth="0" w:num="1">
            <w:col w:w="10260"/>
          </w:cols>
          <w:pgMar w:left="1000" w:top="126" w:right="980" w:bottom="0" w:gutter="0" w:footer="0" w:header="0"/>
          <w:type w:val="continuous"/>
        </w:sectPr>
      </w:pPr>
    </w:p>
    <w:bookmarkStart w:id="82" w:name="page83"/>
    <w:bookmarkEnd w:id="82"/>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both"/>
        <w:ind w:right="20"/>
        <w:spacing w:after="0" w:line="287" w:lineRule="auto"/>
        <w:rPr>
          <w:sz w:val="20"/>
          <w:szCs w:val="20"/>
          <w:color w:val="auto"/>
        </w:rPr>
      </w:pPr>
      <w:r>
        <w:rPr>
          <w:rFonts w:ascii="Arial" w:cs="Arial" w:eastAsia="Arial" w:hAnsi="Arial"/>
          <w:sz w:val="20"/>
          <w:szCs w:val="20"/>
          <w:b w:val="1"/>
          <w:bCs w:val="1"/>
          <w:color w:val="auto"/>
        </w:rPr>
        <w:t>“Income Taxes,” for additional disclosures. Since ASU 2023-09 addresses only disclosures, the adoption of ASU 2023-09 did not have a significant impact on its consolidated financial statements.</w:t>
      </w:r>
    </w:p>
    <w:p>
      <w:pPr>
        <w:spacing w:after="0" w:line="50" w:lineRule="exact"/>
        <w:rPr>
          <w:sz w:val="20"/>
          <w:szCs w:val="20"/>
          <w:color w:val="auto"/>
        </w:rPr>
      </w:pPr>
    </w:p>
    <w:p>
      <w:pPr>
        <w:jc w:val="both"/>
        <w:ind w:right="20" w:firstLine="540"/>
        <w:spacing w:after="0" w:line="255" w:lineRule="auto"/>
        <w:rPr>
          <w:sz w:val="20"/>
          <w:szCs w:val="20"/>
          <w:color w:val="auto"/>
        </w:rPr>
      </w:pPr>
      <w:r>
        <w:rPr>
          <w:rFonts w:ascii="Arial" w:cs="Arial" w:eastAsia="Arial" w:hAnsi="Arial"/>
          <w:sz w:val="20"/>
          <w:szCs w:val="20"/>
          <w:b w:val="1"/>
          <w:bCs w:val="1"/>
          <w:color w:val="auto"/>
        </w:rPr>
        <w:t>In July 2025, the FASB issued ASU 2025-05, “Financial Instruments - Credit Losses (Topic 326): Measurement of Credit Losses for Accounts Receivable and Contract Assets” (“ASU 2025-05”), which introduces a practical expedient for the application of the current expected credit loss model to current accounts receivable and contract assets. The practical expedient allows entities to assume that conditions as of the balance sheet date remain unchanged over the remaining life of these assets, thereby eliminating the need to incorporate macroeconomic forecasts. ASU 2025-05 is effective beginning after December 15, 2025, and interim reporting periods within those annual reporting periods. The Company adopted ASU 2025-05 effective for this Annual Report on Form 10-K for the year ended December 31, 2025, which did not have a significant impact on its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 Yet Effective</w:t>
      </w:r>
    </w:p>
    <w:p>
      <w:pPr>
        <w:spacing w:after="0" w:line="128" w:lineRule="exact"/>
        <w:rPr>
          <w:sz w:val="20"/>
          <w:szCs w:val="20"/>
          <w:color w:val="auto"/>
        </w:rPr>
      </w:pPr>
    </w:p>
    <w:p>
      <w:pPr>
        <w:jc w:val="both"/>
        <w:ind w:right="20" w:firstLine="540"/>
        <w:spacing w:after="0" w:line="295" w:lineRule="auto"/>
        <w:rPr>
          <w:sz w:val="20"/>
          <w:szCs w:val="20"/>
          <w:color w:val="auto"/>
        </w:rPr>
      </w:pPr>
      <w:r>
        <w:rPr>
          <w:rFonts w:ascii="Arial" w:cs="Arial" w:eastAsia="Arial" w:hAnsi="Arial"/>
          <w:sz w:val="18"/>
          <w:szCs w:val="18"/>
          <w:b w:val="1"/>
          <w:bCs w:val="1"/>
          <w:color w:val="auto"/>
        </w:rPr>
        <w:t>In November 2024, the FASB issued ASU 2024-03, “Income Statement-Reporting Comprehensive Income-Expense Disaggregation Disclosures” (“ASU 2024-03”), which requires additional disclosure of certain costs and expenses within the notes to the financial statements. ASU 2024-03 will be effective for fiscal years beginning after December 15, 2026, and interim periods beginning after December 15, 2027. Early adoption is permitted. The Company is currently evaluating the impact from ASU 2024-03 on its consolidated financial statements disclosures.</w:t>
      </w:r>
    </w:p>
    <w:p>
      <w:pPr>
        <w:spacing w:after="0" w:line="48"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In September 2025, the FASB issued ASU 2025-06, “Goodwill and Other-Internal-Use Software (Subtopic 350-40):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from ASU 2025-06 on its consolidated financial statements.</w:t>
      </w:r>
    </w:p>
    <w:p>
      <w:pPr>
        <w:spacing w:after="0" w:line="85" w:lineRule="exact"/>
        <w:rPr>
          <w:sz w:val="20"/>
          <w:szCs w:val="20"/>
          <w:color w:val="auto"/>
        </w:rPr>
      </w:pPr>
    </w:p>
    <w:p>
      <w:pPr>
        <w:jc w:val="both"/>
        <w:ind w:right="20" w:firstLine="540"/>
        <w:spacing w:after="0" w:line="256" w:lineRule="auto"/>
        <w:rPr>
          <w:sz w:val="20"/>
          <w:szCs w:val="20"/>
          <w:color w:val="auto"/>
        </w:rPr>
      </w:pPr>
      <w:r>
        <w:rPr>
          <w:rFonts w:ascii="Arial" w:cs="Arial" w:eastAsia="Arial" w:hAnsi="Arial"/>
          <w:sz w:val="20"/>
          <w:szCs w:val="20"/>
          <w:b w:val="1"/>
          <w:bCs w:val="1"/>
          <w:color w:val="auto"/>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from ASU 2025-10 on its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3200400</wp:posOffset>
                </wp:positionV>
                <wp:extent cx="633412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52pt" to="505.35pt,2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3200400</wp:posOffset>
                </wp:positionV>
                <wp:extent cx="633412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52pt" to="505.35pt,252pt" o:allowincell="f" strokecolor="#828282" strokeweight="0.25pt"/>
            </w:pict>
          </mc:Fallback>
        </mc:AlternateContent>
      </w:r>
    </w:p>
    <w:p>
      <w:pPr>
        <w:sectPr>
          <w:pgSz w:w="12240" w:h="15840" w:orient="portrait"/>
          <w:cols w:equalWidth="0" w:num="1">
            <w:col w:w="10260"/>
          </w:cols>
          <w:pgMar w:left="100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83</w:t>
      </w:r>
    </w:p>
    <w:p>
      <w:pPr>
        <w:sectPr>
          <w:pgSz w:w="12240" w:h="15840" w:orient="portrait"/>
          <w:cols w:equalWidth="0" w:num="1">
            <w:col w:w="10260"/>
          </w:cols>
          <w:pgMar w:left="1000" w:top="126" w:right="980" w:bottom="0" w:gutter="0" w:footer="0" w:header="0"/>
          <w:type w:val="continuous"/>
        </w:sectPr>
      </w:pPr>
    </w:p>
    <w:bookmarkStart w:id="83" w:name="page84"/>
    <w:bookmarkEnd w:id="83"/>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ind w:left="10" w:right="7300" w:hanging="10"/>
        <w:spacing w:after="0" w:line="395" w:lineRule="auto"/>
        <w:tabs>
          <w:tab w:leader="none" w:pos="550"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REVENUE RECOGNITION Disaggregated Revenue</w:t>
      </w:r>
    </w:p>
    <w:p>
      <w:pPr>
        <w:spacing w:after="0" w:line="1" w:lineRule="exact"/>
        <w:rPr>
          <w:sz w:val="20"/>
          <w:szCs w:val="20"/>
          <w:color w:val="auto"/>
        </w:rPr>
      </w:pPr>
    </w:p>
    <w:p>
      <w:pPr>
        <w:jc w:val="both"/>
        <w:ind w:left="10" w:right="20" w:firstLine="540"/>
        <w:spacing w:after="0" w:line="268" w:lineRule="auto"/>
        <w:rPr>
          <w:sz w:val="20"/>
          <w:szCs w:val="20"/>
          <w:color w:val="auto"/>
        </w:rPr>
      </w:pPr>
      <w:r>
        <w:rPr>
          <w:rFonts w:ascii="Arial" w:cs="Arial" w:eastAsia="Arial" w:hAnsi="Arial"/>
          <w:sz w:val="20"/>
          <w:szCs w:val="20"/>
          <w:b w:val="1"/>
          <w:bCs w:val="1"/>
          <w:color w:val="auto"/>
        </w:rPr>
        <w:t>The Company has one major business activity, which is the design, manufacture and sale of solutions for the solar photovoltaic (“PV”) industry. Disaggregated revenue by primary geographical market and timing of revenue recognition for the Company’s single product line were as follows: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0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69"/>
        </w:trPr>
        <w:tc>
          <w:tcPr>
            <w:tcW w:w="100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220" w:type="dxa"/>
            <w:vAlign w:val="bottom"/>
            <w:gridSpan w:val="2"/>
          </w:tcPr>
          <w:p>
            <w:pPr>
              <w:ind w:left="40"/>
              <w:spacing w:after="0"/>
              <w:rPr>
                <w:sz w:val="20"/>
                <w:szCs w:val="20"/>
                <w:color w:val="auto"/>
              </w:rPr>
            </w:pPr>
            <w:r>
              <w:rPr>
                <w:rFonts w:ascii="Arial" w:cs="Arial" w:eastAsia="Arial" w:hAnsi="Arial"/>
                <w:sz w:val="18"/>
                <w:szCs w:val="18"/>
                <w:b w:val="1"/>
                <w:bCs w:val="1"/>
                <w:color w:val="auto"/>
              </w:rPr>
              <w:t>Primary geographical markets: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20" w:type="dxa"/>
            <w:vAlign w:val="bottom"/>
            <w:gridSpan w:val="2"/>
          </w:tcPr>
          <w:p>
            <w:pPr>
              <w:ind w:left="180"/>
              <w:spacing w:after="0"/>
              <w:rPr>
                <w:sz w:val="20"/>
                <w:szCs w:val="20"/>
                <w:color w:val="auto"/>
              </w:rPr>
            </w:pPr>
            <w:r>
              <w:rPr>
                <w:rFonts w:ascii="Arial" w:cs="Arial" w:eastAsia="Arial" w:hAnsi="Arial"/>
                <w:sz w:val="18"/>
                <w:szCs w:val="18"/>
                <w:b w:val="1"/>
                <w:bCs w:val="1"/>
                <w:color w:val="auto"/>
              </w:rPr>
              <w:t>United States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1,188,718</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934,690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1,469,108</w:t>
            </w:r>
          </w:p>
        </w:tc>
        <w:tc>
          <w:tcPr>
            <w:tcW w:w="0" w:type="dxa"/>
            <w:vAlign w:val="bottom"/>
          </w:tcPr>
          <w:p>
            <w:pPr>
              <w:spacing w:after="0"/>
              <w:rPr>
                <w:sz w:val="1"/>
                <w:szCs w:val="1"/>
                <w:color w:val="auto"/>
              </w:rPr>
            </w:pPr>
          </w:p>
        </w:tc>
      </w:tr>
      <w:tr>
        <w:trPr>
          <w:trHeight w:val="255"/>
        </w:trPr>
        <w:tc>
          <w:tcPr>
            <w:tcW w:w="6220" w:type="dxa"/>
            <w:vAlign w:val="bottom"/>
            <w:gridSpan w:val="2"/>
          </w:tcPr>
          <w:p>
            <w:pPr>
              <w:ind w:left="180"/>
              <w:spacing w:after="0" w:line="255" w:lineRule="exact"/>
              <w:rPr>
                <w:sz w:val="20"/>
                <w:szCs w:val="20"/>
                <w:color w:val="auto"/>
              </w:rPr>
            </w:pPr>
            <w:r>
              <w:rPr>
                <w:rFonts w:ascii="Arial" w:cs="Arial" w:eastAsia="Arial" w:hAnsi="Arial"/>
                <w:sz w:val="18"/>
                <w:szCs w:val="18"/>
                <w:b w:val="1"/>
                <w:bCs w:val="1"/>
                <w:color w:val="auto"/>
              </w:rPr>
              <w:t xml:space="preserve">International </w:t>
            </w:r>
            <w:r>
              <w:rPr>
                <w:rFonts w:ascii="Arial" w:cs="Arial" w:eastAsia="Arial" w:hAnsi="Arial"/>
                <w:sz w:val="23"/>
                <w:szCs w:val="23"/>
                <w:b w:val="1"/>
                <w:bCs w:val="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284,267</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395,693</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821,678</w:t>
            </w:r>
          </w:p>
        </w:tc>
        <w:tc>
          <w:tcPr>
            <w:tcW w:w="0" w:type="dxa"/>
            <w:vAlign w:val="bottom"/>
          </w:tcPr>
          <w:p>
            <w:pPr>
              <w:spacing w:after="0"/>
              <w:rPr>
                <w:sz w:val="1"/>
                <w:szCs w:val="1"/>
                <w:color w:val="auto"/>
              </w:rPr>
            </w:pPr>
          </w:p>
        </w:tc>
      </w:tr>
      <w:tr>
        <w:trPr>
          <w:trHeight w:val="215"/>
        </w:trPr>
        <w:tc>
          <w:tcPr>
            <w:tcW w:w="62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1,472,985</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1,330,383</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2,290,786</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Products delivered at a point in time</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1,350,011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1,204,367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2,181,099</w:t>
            </w:r>
          </w:p>
        </w:tc>
        <w:tc>
          <w:tcPr>
            <w:tcW w:w="0" w:type="dxa"/>
            <w:vAlign w:val="bottom"/>
          </w:tcPr>
          <w:p>
            <w:pPr>
              <w:spacing w:after="0"/>
              <w:rPr>
                <w:sz w:val="1"/>
                <w:szCs w:val="1"/>
                <w:color w:val="auto"/>
              </w:rPr>
            </w:pPr>
          </w:p>
        </w:tc>
      </w:tr>
      <w:tr>
        <w:trPr>
          <w:trHeight w:val="255"/>
        </w:trPr>
        <w:tc>
          <w:tcPr>
            <w:tcW w:w="62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Products and services delivered over time</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122,974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126,016</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109,687</w:t>
            </w:r>
          </w:p>
        </w:tc>
        <w:tc>
          <w:tcPr>
            <w:tcW w:w="0" w:type="dxa"/>
            <w:vAlign w:val="bottom"/>
          </w:tcPr>
          <w:p>
            <w:pPr>
              <w:spacing w:after="0"/>
              <w:rPr>
                <w:sz w:val="1"/>
                <w:szCs w:val="1"/>
                <w:color w:val="auto"/>
              </w:rPr>
            </w:pPr>
          </w:p>
        </w:tc>
      </w:tr>
      <w:tr>
        <w:trPr>
          <w:trHeight w:val="215"/>
        </w:trPr>
        <w:tc>
          <w:tcPr>
            <w:tcW w:w="62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1,472,985</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1,330,383</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2,290,786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00" w:type="dxa"/>
            <w:vAlign w:val="bottom"/>
            <w:tcBorders>
              <w:bottom w:val="single" w:sz="8" w:color="auto"/>
            </w:tcBorders>
          </w:tcPr>
          <w:p>
            <w:pPr>
              <w:spacing w:after="0"/>
              <w:rPr>
                <w:sz w:val="15"/>
                <w:szCs w:val="15"/>
                <w:color w:val="auto"/>
              </w:rPr>
            </w:pPr>
          </w:p>
        </w:tc>
        <w:tc>
          <w:tcPr>
            <w:tcW w:w="5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-1577340</wp:posOffset>
            </wp:positionV>
            <wp:extent cx="6553200" cy="14700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5">
                      <a:extLst>
                        <a:ext uri="{28A0092B-C50C-407E-A947-70E740481C1C}"/>
                      </a:extLst>
                    </a:blip>
                    <a:srcRect/>
                    <a:stretch>
                      <a:fillRect/>
                    </a:stretch>
                  </pic:blipFill>
                  <pic:spPr bwMode="auto">
                    <a:xfrm>
                      <a:off x="0" y="0"/>
                      <a:ext cx="6553200" cy="1470025"/>
                    </a:xfrm>
                    <a:prstGeom prst="rect">
                      <a:avLst/>
                    </a:prstGeom>
                    <a:noFill/>
                  </pic:spPr>
                </pic:pic>
              </a:graphicData>
            </a:graphic>
          </wp:anchor>
        </w:drawing>
      </w:r>
    </w:p>
    <w:p>
      <w:pPr>
        <w:spacing w:after="0" w:line="210" w:lineRule="exact"/>
        <w:rPr>
          <w:sz w:val="20"/>
          <w:szCs w:val="20"/>
          <w:color w:val="auto"/>
        </w:rPr>
      </w:pPr>
    </w:p>
    <w:p>
      <w:pPr>
        <w:jc w:val="both"/>
        <w:ind w:left="10" w:right="20" w:hanging="10"/>
        <w:spacing w:after="0" w:line="262" w:lineRule="auto"/>
        <w:tabs>
          <w:tab w:leader="none" w:pos="333"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The Company’s net revenues generated from France have represented less than 10%, 10.6% and less than 10% of its net revenues for the years ended December 31, 2025, 2024 and 2023, respectively. The Company’s net revenues generated from the Netherlands have represented less than 10%, less than 10% and 15.3% of its net revenues for the years ended December 31, 2025, 2024 and 2023, respectively.</w:t>
      </w:r>
    </w:p>
    <w:p>
      <w:pPr>
        <w:spacing w:after="0" w:line="7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Contract Balances</w:t>
      </w:r>
    </w:p>
    <w:p>
      <w:pPr>
        <w:spacing w:after="0" w:line="130"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Accounts receivable, and contract assets and contract liabilities from contracts with customers, were as follows:</w:t>
      </w:r>
    </w:p>
    <w:p>
      <w:pPr>
        <w:spacing w:after="0" w:line="103"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320" w:type="dxa"/>
            <w:vAlign w:val="bottom"/>
            <w:gridSpan w:val="2"/>
          </w:tcPr>
          <w:p>
            <w:pPr>
              <w:jc w:val="right"/>
              <w:ind w:right="53"/>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December 31,</w:t>
            </w:r>
          </w:p>
        </w:tc>
      </w:tr>
      <w:tr>
        <w:trPr>
          <w:trHeight w:val="214"/>
        </w:trPr>
        <w:tc>
          <w:tcPr>
            <w:tcW w:w="7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2024</w:t>
            </w:r>
          </w:p>
        </w:tc>
      </w:tr>
      <w:tr>
        <w:trPr>
          <w:trHeight w:val="269"/>
        </w:trPr>
        <w:tc>
          <w:tcPr>
            <w:tcW w:w="7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gridSpan w:val="4"/>
          </w:tcPr>
          <w:p>
            <w:pPr>
              <w:jc w:val="right"/>
              <w:ind w:right="732"/>
              <w:spacing w:after="0"/>
              <w:rPr>
                <w:sz w:val="20"/>
                <w:szCs w:val="20"/>
                <w:color w:val="auto"/>
              </w:rPr>
            </w:pPr>
            <w:r>
              <w:rPr>
                <w:rFonts w:ascii="Arial" w:cs="Arial" w:eastAsia="Arial" w:hAnsi="Arial"/>
                <w:sz w:val="16"/>
                <w:szCs w:val="16"/>
                <w:b w:val="1"/>
                <w:bCs w:val="1"/>
                <w:i w:val="1"/>
                <w:iCs w:val="1"/>
                <w:color w:val="auto"/>
              </w:rPr>
              <w:t>(In thousands)</w:t>
            </w:r>
          </w:p>
        </w:tc>
      </w:tr>
      <w:tr>
        <w:trPr>
          <w:trHeight w:val="281"/>
        </w:trPr>
        <w:tc>
          <w:tcPr>
            <w:tcW w:w="752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3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229,881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223,749</w:t>
            </w: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Short-term contract assets (Prepaid expenses and other current assets)</w:t>
            </w:r>
          </w:p>
        </w:tc>
        <w:tc>
          <w:tcPr>
            <w:tcW w:w="3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35,976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42,001</w:t>
            </w: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Long-term contract assets (Other assets)</w:t>
            </w:r>
          </w:p>
        </w:tc>
        <w:tc>
          <w:tcPr>
            <w:tcW w:w="3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115,067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110,954</w:t>
            </w: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Short-term contract liabilities (Deferred revenues, current)</w:t>
            </w:r>
          </w:p>
        </w:tc>
        <w:tc>
          <w:tcPr>
            <w:tcW w:w="3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180,524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237,225</w:t>
            </w: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Long-term contract liabilities (Deferred revenues, non-current)</w:t>
            </w:r>
          </w:p>
        </w:tc>
        <w:tc>
          <w:tcPr>
            <w:tcW w:w="3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337,923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341,982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-815340</wp:posOffset>
            </wp:positionV>
            <wp:extent cx="6540500" cy="8350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6">
                      <a:extLst>
                        <a:ext uri="{28A0092B-C50C-407E-A947-70E740481C1C}"/>
                      </a:extLst>
                    </a:blip>
                    <a:srcRect/>
                    <a:stretch>
                      <a:fillRect/>
                    </a:stretch>
                  </pic:blipFill>
                  <pic:spPr bwMode="auto">
                    <a:xfrm>
                      <a:off x="0" y="0"/>
                      <a:ext cx="6540500" cy="835025"/>
                    </a:xfrm>
                    <a:prstGeom prst="rect">
                      <a:avLst/>
                    </a:prstGeom>
                    <a:noFill/>
                  </pic:spPr>
                </pic:pic>
              </a:graphicData>
            </a:graphic>
          </wp:anchor>
        </w:drawing>
      </w:r>
    </w:p>
    <w:p>
      <w:pPr>
        <w:spacing w:after="0" w:line="154" w:lineRule="exact"/>
        <w:rPr>
          <w:sz w:val="20"/>
          <w:szCs w:val="20"/>
          <w:color w:val="auto"/>
        </w:rPr>
      </w:pPr>
    </w:p>
    <w:p>
      <w:pPr>
        <w:jc w:val="both"/>
        <w:ind w:left="10" w:right="20" w:firstLine="540"/>
        <w:spacing w:after="0" w:line="268" w:lineRule="auto"/>
        <w:rPr>
          <w:sz w:val="20"/>
          <w:szCs w:val="20"/>
          <w:color w:val="auto"/>
        </w:rPr>
      </w:pPr>
      <w:r>
        <w:rPr>
          <w:rFonts w:ascii="Arial" w:cs="Arial" w:eastAsia="Arial" w:hAnsi="Arial"/>
          <w:sz w:val="20"/>
          <w:szCs w:val="20"/>
          <w:b w:val="1"/>
          <w:bCs w:val="1"/>
          <w:color w:val="auto"/>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spacing w:after="0" w:line="70" w:lineRule="exact"/>
        <w:rPr>
          <w:sz w:val="20"/>
          <w:szCs w:val="20"/>
          <w:color w:val="auto"/>
        </w:rPr>
      </w:pPr>
    </w:p>
    <w:p>
      <w:pPr>
        <w:jc w:val="both"/>
        <w:ind w:left="10" w:right="20" w:firstLine="540"/>
        <w:spacing w:after="0" w:line="268" w:lineRule="auto"/>
        <w:rPr>
          <w:sz w:val="20"/>
          <w:szCs w:val="20"/>
          <w:color w:val="auto"/>
        </w:rPr>
      </w:pPr>
      <w:r>
        <w:rPr>
          <w:rFonts w:ascii="Arial" w:cs="Arial" w:eastAsia="Arial" w:hAnsi="Arial"/>
          <w:sz w:val="20"/>
          <w:szCs w:val="20"/>
          <w:b w:val="1"/>
          <w:bCs w:val="1"/>
          <w:color w:val="auto"/>
        </w:rPr>
        <w:t>Contract assets include deferred product costs and commissions associated with the deferred revenue and will be amortized along with the associated revenue. The Company had no asset impairment charges related to contract assets for the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1744345</wp:posOffset>
                </wp:positionV>
                <wp:extent cx="633412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37.35pt" to="505.85pt,137.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1744345</wp:posOffset>
                </wp:positionV>
                <wp:extent cx="633412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37.35pt" to="505.85pt,137.35pt" o:allowincell="f" strokecolor="#828282" strokeweight="0.25pt"/>
            </w:pict>
          </mc:Fallback>
        </mc:AlternateContent>
      </w:r>
    </w:p>
    <w:p>
      <w:pPr>
        <w:sectPr>
          <w:pgSz w:w="12240" w:h="15840" w:orient="portrait"/>
          <w:cols w:equalWidth="0" w:num="1">
            <w:col w:w="10270"/>
          </w:cols>
          <w:pgMar w:left="99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84</w:t>
      </w:r>
    </w:p>
    <w:p>
      <w:pPr>
        <w:sectPr>
          <w:pgSz w:w="12240" w:h="15840" w:orient="portrait"/>
          <w:cols w:equalWidth="0" w:num="1">
            <w:col w:w="10270"/>
          </w:cols>
          <w:pgMar w:left="990" w:top="126" w:right="980" w:bottom="0" w:gutter="0" w:footer="0" w:header="0"/>
          <w:type w:val="continuous"/>
        </w:sectPr>
      </w:pPr>
    </w:p>
    <w:bookmarkStart w:id="84" w:name="page85"/>
    <w:bookmarkEnd w:id="84"/>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ind w:left="550"/>
        <w:spacing w:after="0"/>
        <w:rPr>
          <w:sz w:val="20"/>
          <w:szCs w:val="20"/>
          <w:color w:val="auto"/>
        </w:rPr>
      </w:pPr>
      <w:r>
        <w:rPr>
          <w:rFonts w:ascii="Arial" w:cs="Arial" w:eastAsia="Arial" w:hAnsi="Arial"/>
          <w:sz w:val="18"/>
          <w:szCs w:val="18"/>
          <w:b w:val="1"/>
          <w:bCs w:val="1"/>
          <w:color w:val="auto"/>
        </w:rPr>
        <w:t>Significant changes in the balances of contract assets (prepaid expenses and other assets) in the year ended</w:t>
      </w:r>
    </w:p>
    <w:p>
      <w:pPr>
        <w:spacing w:after="0" w:line="5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December 31, 2025 were as follows (in thousands):</w:t>
      </w:r>
    </w:p>
    <w:p>
      <w:pPr>
        <w:spacing w:after="0" w:line="202" w:lineRule="exact"/>
        <w:rPr>
          <w:sz w:val="20"/>
          <w:szCs w:val="20"/>
          <w:color w:val="auto"/>
        </w:rPr>
      </w:pPr>
    </w:p>
    <w:tbl>
      <w:tblPr>
        <w:tblLayout w:type="fixed"/>
        <w:tblInd w:w="50" w:type="dxa"/>
        <w:tblCellMar>
          <w:top w:w="0" w:type="dxa"/>
          <w:left w:w="0" w:type="dxa"/>
          <w:bottom w:w="0" w:type="dxa"/>
          <w:right w:w="0" w:type="dxa"/>
        </w:tblCellMar>
      </w:tblPr>
      <w:tr>
        <w:trPr>
          <w:trHeight w:val="247"/>
        </w:trPr>
        <w:tc>
          <w:tcPr>
            <w:tcW w:w="8900" w:type="dxa"/>
            <w:vAlign w:val="bottom"/>
          </w:tcPr>
          <w:p>
            <w:pPr>
              <w:spacing w:after="0"/>
              <w:rPr>
                <w:sz w:val="20"/>
                <w:szCs w:val="20"/>
                <w:color w:val="auto"/>
              </w:rPr>
            </w:pPr>
            <w:r>
              <w:rPr>
                <w:rFonts w:ascii="Arial" w:cs="Arial" w:eastAsia="Arial" w:hAnsi="Arial"/>
                <w:sz w:val="18"/>
                <w:szCs w:val="18"/>
                <w:b w:val="1"/>
                <w:bCs w:val="1"/>
                <w:color w:val="auto"/>
              </w:rPr>
              <w:t>Contract Assets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7"/>
        </w:trPr>
        <w:tc>
          <w:tcPr>
            <w:tcW w:w="8900" w:type="dxa"/>
            <w:vAlign w:val="bottom"/>
          </w:tcPr>
          <w:p>
            <w:pPr>
              <w:spacing w:after="0"/>
              <w:rPr>
                <w:sz w:val="20"/>
                <w:szCs w:val="20"/>
                <w:color w:val="auto"/>
              </w:rPr>
            </w:pPr>
            <w:r>
              <w:rPr>
                <w:rFonts w:ascii="Arial" w:cs="Arial" w:eastAsia="Arial" w:hAnsi="Arial"/>
                <w:sz w:val="18"/>
                <w:szCs w:val="18"/>
                <w:b w:val="1"/>
                <w:bCs w:val="1"/>
                <w:color w:val="auto"/>
              </w:rPr>
              <w:t>Contract assets, beginning of period</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152,955</w:t>
            </w:r>
          </w:p>
        </w:tc>
      </w:tr>
      <w:tr>
        <w:trPr>
          <w:trHeight w:val="285"/>
        </w:trPr>
        <w:tc>
          <w:tcPr>
            <w:tcW w:w="8900" w:type="dxa"/>
            <w:vAlign w:val="bottom"/>
          </w:tcPr>
          <w:p>
            <w:pPr>
              <w:ind w:left="120"/>
              <w:spacing w:after="0"/>
              <w:rPr>
                <w:sz w:val="20"/>
                <w:szCs w:val="20"/>
                <w:color w:val="auto"/>
              </w:rPr>
            </w:pPr>
            <w:r>
              <w:rPr>
                <w:rFonts w:ascii="Arial" w:cs="Arial" w:eastAsia="Arial" w:hAnsi="Arial"/>
                <w:sz w:val="18"/>
                <w:szCs w:val="18"/>
                <w:b w:val="1"/>
                <w:bCs w:val="1"/>
                <w:color w:val="auto"/>
              </w:rPr>
              <w:t>Amount recognized</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(34,792)</w:t>
            </w:r>
          </w:p>
        </w:tc>
      </w:tr>
      <w:tr>
        <w:trPr>
          <w:trHeight w:val="285"/>
        </w:trPr>
        <w:tc>
          <w:tcPr>
            <w:tcW w:w="8900" w:type="dxa"/>
            <w:vAlign w:val="bottom"/>
          </w:tcPr>
          <w:p>
            <w:pPr>
              <w:ind w:left="120"/>
              <w:spacing w:after="0"/>
              <w:rPr>
                <w:sz w:val="20"/>
                <w:szCs w:val="20"/>
                <w:color w:val="auto"/>
              </w:rPr>
            </w:pPr>
            <w:r>
              <w:rPr>
                <w:rFonts w:ascii="Arial" w:cs="Arial" w:eastAsia="Arial" w:hAnsi="Arial"/>
                <w:sz w:val="18"/>
                <w:szCs w:val="18"/>
                <w:b w:val="1"/>
                <w:bCs w:val="1"/>
                <w:color w:val="auto"/>
              </w:rPr>
              <w:t>Increased due to billings</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32,880</w:t>
            </w:r>
          </w:p>
        </w:tc>
      </w:tr>
      <w:tr>
        <w:trPr>
          <w:trHeight w:val="245"/>
        </w:trPr>
        <w:tc>
          <w:tcPr>
            <w:tcW w:w="8900" w:type="dxa"/>
            <w:vAlign w:val="bottom"/>
          </w:tcPr>
          <w:p>
            <w:pPr>
              <w:spacing w:after="0"/>
              <w:rPr>
                <w:sz w:val="20"/>
                <w:szCs w:val="20"/>
                <w:color w:val="auto"/>
              </w:rPr>
            </w:pPr>
            <w:r>
              <w:rPr>
                <w:rFonts w:ascii="Arial" w:cs="Arial" w:eastAsia="Arial" w:hAnsi="Arial"/>
                <w:sz w:val="18"/>
                <w:szCs w:val="18"/>
                <w:b w:val="1"/>
                <w:bCs w:val="1"/>
                <w:color w:val="auto"/>
              </w:rPr>
              <w:t>Contract assets, end of period</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151,043</w:t>
            </w:r>
          </w:p>
        </w:tc>
      </w:tr>
      <w:tr>
        <w:trPr>
          <w:trHeight w:val="20"/>
        </w:trPr>
        <w:tc>
          <w:tcPr>
            <w:tcW w:w="8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7">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15" w:lineRule="exact"/>
        <w:rPr>
          <w:sz w:val="20"/>
          <w:szCs w:val="20"/>
          <w:color w:val="auto"/>
        </w:rPr>
      </w:pPr>
    </w:p>
    <w:p>
      <w:pPr>
        <w:jc w:val="both"/>
        <w:ind w:left="10" w:right="20" w:firstLine="540"/>
        <w:spacing w:after="0" w:line="268" w:lineRule="auto"/>
        <w:rPr>
          <w:sz w:val="20"/>
          <w:szCs w:val="20"/>
          <w:color w:val="auto"/>
        </w:rPr>
      </w:pPr>
      <w:r>
        <w:rPr>
          <w:rFonts w:ascii="Arial" w:cs="Arial" w:eastAsia="Arial" w:hAnsi="Arial"/>
          <w:sz w:val="20"/>
          <w:szCs w:val="20"/>
          <w:b w:val="1"/>
          <w:bCs w:val="1"/>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70" w:lineRule="exact"/>
        <w:rPr>
          <w:sz w:val="20"/>
          <w:szCs w:val="20"/>
          <w:color w:val="auto"/>
        </w:rPr>
      </w:pPr>
    </w:p>
    <w:p>
      <w:pPr>
        <w:jc w:val="both"/>
        <w:ind w:left="10" w:right="20" w:firstLine="540"/>
        <w:spacing w:after="0" w:line="311" w:lineRule="auto"/>
        <w:rPr>
          <w:sz w:val="20"/>
          <w:szCs w:val="20"/>
          <w:color w:val="auto"/>
        </w:rPr>
      </w:pPr>
      <w:r>
        <w:rPr>
          <w:rFonts w:ascii="Arial" w:cs="Arial" w:eastAsia="Arial" w:hAnsi="Arial"/>
          <w:sz w:val="18"/>
          <w:szCs w:val="18"/>
          <w:b w:val="1"/>
          <w:bCs w:val="1"/>
          <w:color w:val="auto"/>
        </w:rPr>
        <w:t>For the year ended December 31, 2025 and 2024, contract liabilities included $62.9 million and $110.3 million, respectively, of cash prepayments from its customers for products to be delivered in 2026 and 2025, respectively, which represents the amount equal to the aggregate purchase price of the executed sales agreements.</w:t>
      </w:r>
    </w:p>
    <w:p>
      <w:pPr>
        <w:spacing w:after="0" w:line="35"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Significant changes in contract liabilities (deferred revenue) in the year ended December 31, 2025 were as follows (in thousands):</w:t>
      </w:r>
    </w:p>
    <w:p>
      <w:pPr>
        <w:spacing w:after="0" w:line="142" w:lineRule="exact"/>
        <w:rPr>
          <w:sz w:val="20"/>
          <w:szCs w:val="20"/>
          <w:color w:val="auto"/>
        </w:rPr>
      </w:pPr>
    </w:p>
    <w:tbl>
      <w:tblPr>
        <w:tblLayout w:type="fixed"/>
        <w:tblInd w:w="50" w:type="dxa"/>
        <w:tblCellMar>
          <w:top w:w="0" w:type="dxa"/>
          <w:left w:w="0" w:type="dxa"/>
          <w:bottom w:w="0" w:type="dxa"/>
          <w:right w:w="0" w:type="dxa"/>
        </w:tblCellMar>
      </w:tblPr>
      <w:tr>
        <w:trPr>
          <w:trHeight w:val="247"/>
        </w:trPr>
        <w:tc>
          <w:tcPr>
            <w:tcW w:w="8900" w:type="dxa"/>
            <w:vAlign w:val="bottom"/>
          </w:tcPr>
          <w:p>
            <w:pPr>
              <w:spacing w:after="0"/>
              <w:rPr>
                <w:sz w:val="20"/>
                <w:szCs w:val="20"/>
                <w:color w:val="auto"/>
              </w:rPr>
            </w:pPr>
            <w:r>
              <w:rPr>
                <w:rFonts w:ascii="Arial" w:cs="Arial" w:eastAsia="Arial" w:hAnsi="Arial"/>
                <w:sz w:val="18"/>
                <w:szCs w:val="18"/>
                <w:b w:val="1"/>
                <w:bCs w:val="1"/>
                <w:color w:val="auto"/>
              </w:rPr>
              <w:t>Contract Liabilities</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7"/>
        </w:trPr>
        <w:tc>
          <w:tcPr>
            <w:tcW w:w="8900" w:type="dxa"/>
            <w:vAlign w:val="bottom"/>
          </w:tcPr>
          <w:p>
            <w:pPr>
              <w:spacing w:after="0"/>
              <w:rPr>
                <w:sz w:val="20"/>
                <w:szCs w:val="20"/>
                <w:color w:val="auto"/>
              </w:rPr>
            </w:pPr>
            <w:r>
              <w:rPr>
                <w:rFonts w:ascii="Arial" w:cs="Arial" w:eastAsia="Arial" w:hAnsi="Arial"/>
                <w:sz w:val="18"/>
                <w:szCs w:val="18"/>
                <w:b w:val="1"/>
                <w:bCs w:val="1"/>
                <w:color w:val="auto"/>
              </w:rPr>
              <w:t>Contract liabilities, beginning of period</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579,207</w:t>
            </w:r>
          </w:p>
        </w:tc>
      </w:tr>
      <w:tr>
        <w:trPr>
          <w:trHeight w:val="285"/>
        </w:trPr>
        <w:tc>
          <w:tcPr>
            <w:tcW w:w="8900" w:type="dxa"/>
            <w:vAlign w:val="bottom"/>
          </w:tcPr>
          <w:p>
            <w:pPr>
              <w:ind w:left="120"/>
              <w:spacing w:after="0"/>
              <w:rPr>
                <w:sz w:val="20"/>
                <w:szCs w:val="20"/>
                <w:color w:val="auto"/>
              </w:rPr>
            </w:pPr>
            <w:r>
              <w:rPr>
                <w:rFonts w:ascii="Arial" w:cs="Arial" w:eastAsia="Arial" w:hAnsi="Arial"/>
                <w:sz w:val="18"/>
                <w:szCs w:val="18"/>
                <w:b w:val="1"/>
                <w:bCs w:val="1"/>
                <w:color w:val="auto"/>
              </w:rPr>
              <w:t>Revenue recognized</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(233,246)</w:t>
            </w:r>
          </w:p>
        </w:tc>
      </w:tr>
      <w:tr>
        <w:trPr>
          <w:trHeight w:val="285"/>
        </w:trPr>
        <w:tc>
          <w:tcPr>
            <w:tcW w:w="8900" w:type="dxa"/>
            <w:vAlign w:val="bottom"/>
          </w:tcPr>
          <w:p>
            <w:pPr>
              <w:ind w:left="120"/>
              <w:spacing w:after="0"/>
              <w:rPr>
                <w:sz w:val="20"/>
                <w:szCs w:val="20"/>
                <w:color w:val="auto"/>
              </w:rPr>
            </w:pPr>
            <w:r>
              <w:rPr>
                <w:rFonts w:ascii="Arial" w:cs="Arial" w:eastAsia="Arial" w:hAnsi="Arial"/>
                <w:sz w:val="18"/>
                <w:szCs w:val="18"/>
                <w:b w:val="1"/>
                <w:bCs w:val="1"/>
                <w:color w:val="auto"/>
              </w:rPr>
              <w:t>Increased due to billings</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172,486</w:t>
            </w:r>
          </w:p>
        </w:tc>
      </w:tr>
      <w:tr>
        <w:trPr>
          <w:trHeight w:val="245"/>
        </w:trPr>
        <w:tc>
          <w:tcPr>
            <w:tcW w:w="8900" w:type="dxa"/>
            <w:vAlign w:val="bottom"/>
          </w:tcPr>
          <w:p>
            <w:pPr>
              <w:spacing w:after="0"/>
              <w:rPr>
                <w:sz w:val="20"/>
                <w:szCs w:val="20"/>
                <w:color w:val="auto"/>
              </w:rPr>
            </w:pPr>
            <w:r>
              <w:rPr>
                <w:rFonts w:ascii="Arial" w:cs="Arial" w:eastAsia="Arial" w:hAnsi="Arial"/>
                <w:sz w:val="18"/>
                <w:szCs w:val="18"/>
                <w:b w:val="1"/>
                <w:bCs w:val="1"/>
                <w:color w:val="auto"/>
              </w:rPr>
              <w:t>Contract liabilities, end of period</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518,447</w:t>
            </w:r>
          </w:p>
        </w:tc>
      </w:tr>
      <w:tr>
        <w:trPr>
          <w:trHeight w:val="20"/>
        </w:trPr>
        <w:tc>
          <w:tcPr>
            <w:tcW w:w="8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8">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1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Remaining Performance Obligations</w:t>
      </w:r>
    </w:p>
    <w:p>
      <w:pPr>
        <w:spacing w:after="0" w:line="130"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Estimated revenue expected to be recognized in future periods related to performance obligations that are unsatisfied or partially unsatisfied at the end of the reporting period were as follows:</w:t>
      </w:r>
    </w:p>
    <w:p>
      <w:pPr>
        <w:sectPr>
          <w:pgSz w:w="12240" w:h="15840" w:orient="portrait"/>
          <w:cols w:equalWidth="0" w:num="1">
            <w:col w:w="10270"/>
          </w:cols>
          <w:pgMar w:left="990" w:top="1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
        <w:spacing w:after="0"/>
        <w:rPr>
          <w:sz w:val="20"/>
          <w:szCs w:val="20"/>
          <w:color w:val="auto"/>
        </w:rPr>
      </w:pPr>
      <w:r>
        <w:rPr>
          <w:rFonts w:ascii="Arial" w:cs="Arial" w:eastAsia="Arial" w:hAnsi="Arial"/>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6553200" cy="13176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9">
                      <a:extLst>
                        <a:ext uri="{28A0092B-C50C-407E-A947-70E740481C1C}"/>
                      </a:extLst>
                    </a:blip>
                    <a:srcRect/>
                    <a:stretch>
                      <a:fillRect/>
                    </a:stretch>
                  </pic:blipFill>
                  <pic:spPr bwMode="auto">
                    <a:xfrm>
                      <a:off x="0" y="0"/>
                      <a:ext cx="6553200" cy="1317625"/>
                    </a:xfrm>
                    <a:prstGeom prst="rect">
                      <a:avLst/>
                    </a:prstGeom>
                    <a:noFill/>
                  </pic:spPr>
                </pic:pic>
              </a:graphicData>
            </a:graphic>
          </wp:anchor>
        </w:drawing>
      </w:r>
    </w:p>
    <w:p>
      <w:pPr>
        <w:spacing w:after="0" w:line="58" w:lineRule="exact"/>
        <w:rPr>
          <w:sz w:val="20"/>
          <w:szCs w:val="20"/>
          <w:color w:val="auto"/>
        </w:rPr>
      </w:pPr>
    </w:p>
    <w:p>
      <w:pPr>
        <w:ind w:left="190"/>
        <w:spacing w:after="0"/>
        <w:rPr>
          <w:sz w:val="20"/>
          <w:szCs w:val="20"/>
          <w:color w:val="auto"/>
        </w:rPr>
      </w:pPr>
      <w:r>
        <w:rPr>
          <w:rFonts w:ascii="Arial" w:cs="Arial" w:eastAsia="Arial" w:hAnsi="Arial"/>
          <w:sz w:val="18"/>
          <w:szCs w:val="18"/>
          <w:b w:val="1"/>
          <w:bCs w:val="1"/>
          <w:color w:val="auto"/>
        </w:rPr>
        <w:t>2026</w:t>
      </w:r>
    </w:p>
    <w:p>
      <w:pPr>
        <w:spacing w:after="0" w:line="78" w:lineRule="exact"/>
        <w:rPr>
          <w:sz w:val="20"/>
          <w:szCs w:val="20"/>
          <w:color w:val="auto"/>
        </w:rPr>
      </w:pPr>
    </w:p>
    <w:p>
      <w:pPr>
        <w:ind w:left="190"/>
        <w:spacing w:after="0"/>
        <w:rPr>
          <w:sz w:val="20"/>
          <w:szCs w:val="20"/>
          <w:color w:val="auto"/>
        </w:rPr>
      </w:pPr>
      <w:r>
        <w:rPr>
          <w:rFonts w:ascii="Arial" w:cs="Arial" w:eastAsia="Arial" w:hAnsi="Arial"/>
          <w:sz w:val="18"/>
          <w:szCs w:val="18"/>
          <w:b w:val="1"/>
          <w:bCs w:val="1"/>
          <w:color w:val="auto"/>
        </w:rPr>
        <w:t>2027</w:t>
      </w:r>
    </w:p>
    <w:p>
      <w:pPr>
        <w:spacing w:after="0" w:line="78" w:lineRule="exact"/>
        <w:rPr>
          <w:sz w:val="20"/>
          <w:szCs w:val="20"/>
          <w:color w:val="auto"/>
        </w:rPr>
      </w:pPr>
    </w:p>
    <w:p>
      <w:pPr>
        <w:ind w:left="190"/>
        <w:spacing w:after="0"/>
        <w:rPr>
          <w:sz w:val="20"/>
          <w:szCs w:val="20"/>
          <w:color w:val="auto"/>
        </w:rPr>
      </w:pPr>
      <w:r>
        <w:rPr>
          <w:rFonts w:ascii="Arial" w:cs="Arial" w:eastAsia="Arial" w:hAnsi="Arial"/>
          <w:sz w:val="18"/>
          <w:szCs w:val="18"/>
          <w:b w:val="1"/>
          <w:bCs w:val="1"/>
          <w:color w:val="auto"/>
        </w:rPr>
        <w:t>2028</w:t>
      </w:r>
    </w:p>
    <w:p>
      <w:pPr>
        <w:spacing w:after="0" w:line="78" w:lineRule="exact"/>
        <w:rPr>
          <w:sz w:val="20"/>
          <w:szCs w:val="20"/>
          <w:color w:val="auto"/>
        </w:rPr>
      </w:pPr>
    </w:p>
    <w:p>
      <w:pPr>
        <w:ind w:left="190"/>
        <w:spacing w:after="0"/>
        <w:rPr>
          <w:sz w:val="20"/>
          <w:szCs w:val="20"/>
          <w:color w:val="auto"/>
        </w:rPr>
      </w:pPr>
      <w:r>
        <w:rPr>
          <w:rFonts w:ascii="Arial" w:cs="Arial" w:eastAsia="Arial" w:hAnsi="Arial"/>
          <w:sz w:val="18"/>
          <w:szCs w:val="18"/>
          <w:b w:val="1"/>
          <w:bCs w:val="1"/>
          <w:color w:val="auto"/>
        </w:rPr>
        <w:t>2029</w:t>
      </w:r>
    </w:p>
    <w:p>
      <w:pPr>
        <w:spacing w:after="0" w:line="78" w:lineRule="exact"/>
        <w:rPr>
          <w:sz w:val="20"/>
          <w:szCs w:val="20"/>
          <w:color w:val="auto"/>
        </w:rPr>
      </w:pPr>
    </w:p>
    <w:p>
      <w:pPr>
        <w:ind w:left="190"/>
        <w:spacing w:after="0"/>
        <w:rPr>
          <w:sz w:val="20"/>
          <w:szCs w:val="20"/>
          <w:color w:val="auto"/>
        </w:rPr>
      </w:pPr>
      <w:r>
        <w:rPr>
          <w:rFonts w:ascii="Arial" w:cs="Arial" w:eastAsia="Arial" w:hAnsi="Arial"/>
          <w:sz w:val="18"/>
          <w:szCs w:val="18"/>
          <w:b w:val="1"/>
          <w:bCs w:val="1"/>
          <w:color w:val="auto"/>
        </w:rPr>
        <w:t>Thereafter</w:t>
      </w:r>
    </w:p>
    <w:p>
      <w:pPr>
        <w:spacing w:after="0" w:line="78" w:lineRule="exact"/>
        <w:rPr>
          <w:sz w:val="20"/>
          <w:szCs w:val="20"/>
          <w:color w:val="auto"/>
        </w:rPr>
      </w:pPr>
    </w:p>
    <w:p>
      <w:pPr>
        <w:ind w:left="270"/>
        <w:spacing w:after="0"/>
        <w:rPr>
          <w:sz w:val="20"/>
          <w:szCs w:val="20"/>
          <w:color w:val="auto"/>
        </w:rPr>
      </w:pPr>
      <w:r>
        <w:rPr>
          <w:rFonts w:ascii="Arial" w:cs="Arial" w:eastAsia="Arial" w:hAnsi="Arial"/>
          <w:sz w:val="18"/>
          <w:szCs w:val="18"/>
          <w:b w:val="1"/>
          <w:bCs w:val="1"/>
          <w:color w:val="auto"/>
        </w:rPr>
        <w:t>Total</w:t>
      </w:r>
    </w:p>
    <w:p>
      <w:pPr>
        <w:spacing w:after="0" w:line="206" w:lineRule="exact"/>
        <w:rPr>
          <w:sz w:val="20"/>
          <w:szCs w:val="20"/>
          <w:color w:val="auto"/>
        </w:rPr>
      </w:pPr>
    </w:p>
    <w:p>
      <w:pPr>
        <w:ind w:left="550" w:hanging="550"/>
        <w:spacing w:after="0"/>
        <w:tabs>
          <w:tab w:leader="none" w:pos="55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INVENTORY</w:t>
      </w:r>
    </w:p>
    <w:p>
      <w:pPr>
        <w:spacing w:after="0" w:line="130" w:lineRule="exact"/>
        <w:rPr>
          <w:rFonts w:ascii="Arial" w:cs="Arial" w:eastAsia="Arial" w:hAnsi="Arial"/>
          <w:sz w:val="20"/>
          <w:szCs w:val="20"/>
          <w:b w:val="1"/>
          <w:bCs w:val="1"/>
          <w:color w:val="auto"/>
        </w:rPr>
      </w:pPr>
    </w:p>
    <w:p>
      <w:pPr>
        <w:ind w:left="550"/>
        <w:spacing w:after="0"/>
        <w:rPr>
          <w:rFonts w:ascii="Arial" w:cs="Arial" w:eastAsia="Arial" w:hAnsi="Arial"/>
          <w:sz w:val="20"/>
          <w:szCs w:val="20"/>
          <w:b w:val="1"/>
          <w:bCs w:val="1"/>
          <w:color w:val="auto"/>
        </w:rPr>
      </w:pPr>
      <w:r>
        <w:rPr>
          <w:rFonts w:ascii="Arial" w:cs="Arial" w:eastAsia="Arial" w:hAnsi="Arial"/>
          <w:sz w:val="18"/>
          <w:szCs w:val="18"/>
          <w:b w:val="1"/>
          <w:bCs w:val="1"/>
          <w:color w:val="auto"/>
        </w:rPr>
        <w:t>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586105</wp:posOffset>
            </wp:positionV>
            <wp:extent cx="6540500" cy="2063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0">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
        <w:spacing w:after="0"/>
        <w:rPr>
          <w:sz w:val="20"/>
          <w:szCs w:val="20"/>
          <w:color w:val="auto"/>
        </w:rPr>
      </w:pPr>
      <w:r>
        <w:rPr>
          <w:rFonts w:ascii="Arial" w:cs="Arial" w:eastAsia="Arial" w:hAnsi="Arial"/>
          <w:sz w:val="18"/>
          <w:szCs w:val="18"/>
          <w:b w:val="1"/>
          <w:bCs w:val="1"/>
          <w:color w:val="auto"/>
        </w:rPr>
        <w:t xml:space="preserve">Raw materials </w:t>
      </w:r>
      <w:r>
        <w:rPr>
          <w:rFonts w:ascii="Arial" w:cs="Arial" w:eastAsia="Arial" w:hAnsi="Arial"/>
          <w:sz w:val="23"/>
          <w:szCs w:val="23"/>
          <w:b w:val="1"/>
          <w:bCs w:val="1"/>
          <w:color w:val="auto"/>
          <w:vertAlign w:val="superscript"/>
        </w:rPr>
        <w:t>(1)</w:t>
      </w:r>
    </w:p>
    <w:p>
      <w:pPr>
        <w:spacing w:after="0" w:line="39" w:lineRule="exact"/>
        <w:rPr>
          <w:sz w:val="20"/>
          <w:szCs w:val="20"/>
          <w:color w:val="auto"/>
        </w:rPr>
      </w:pPr>
    </w:p>
    <w:p>
      <w:pPr>
        <w:ind w:left="50"/>
        <w:spacing w:after="0"/>
        <w:rPr>
          <w:sz w:val="20"/>
          <w:szCs w:val="20"/>
          <w:color w:val="auto"/>
        </w:rPr>
      </w:pPr>
      <w:r>
        <w:rPr>
          <w:rFonts w:ascii="Arial" w:cs="Arial" w:eastAsia="Arial" w:hAnsi="Arial"/>
          <w:sz w:val="18"/>
          <w:szCs w:val="18"/>
          <w:b w:val="1"/>
          <w:bCs w:val="1"/>
          <w:color w:val="auto"/>
        </w:rPr>
        <w:t xml:space="preserve">Work-in-process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6553200" cy="4127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1">
                      <a:extLst>
                        <a:ext uri="{28A0092B-C50C-407E-A947-70E740481C1C}"/>
                      </a:extLst>
                    </a:blip>
                    <a:srcRect/>
                    <a:stretch>
                      <a:fillRect/>
                    </a:stretch>
                  </pic:blipFill>
                  <pic:spPr bwMode="auto">
                    <a:xfrm>
                      <a:off x="0" y="0"/>
                      <a:ext cx="6553200" cy="412750"/>
                    </a:xfrm>
                    <a:prstGeom prst="rect">
                      <a:avLst/>
                    </a:prstGeom>
                    <a:noFill/>
                  </pic:spPr>
                </pic:pic>
              </a:graphicData>
            </a:graphic>
          </wp:anchor>
        </w:drawing>
      </w:r>
    </w:p>
    <w:p>
      <w:pPr>
        <w:spacing w:after="0" w:line="1" w:lineRule="exact"/>
        <w:rPr>
          <w:sz w:val="20"/>
          <w:szCs w:val="20"/>
          <w:color w:val="auto"/>
        </w:rPr>
      </w:pPr>
    </w:p>
    <w:p>
      <w:pPr>
        <w:ind w:left="50"/>
        <w:spacing w:after="0"/>
        <w:rPr>
          <w:sz w:val="20"/>
          <w:szCs w:val="20"/>
          <w:color w:val="auto"/>
        </w:rPr>
      </w:pPr>
      <w:r>
        <w:rPr>
          <w:rFonts w:ascii="Arial" w:cs="Arial" w:eastAsia="Arial" w:hAnsi="Arial"/>
          <w:sz w:val="18"/>
          <w:szCs w:val="18"/>
          <w:b w:val="1"/>
          <w:bCs w:val="1"/>
          <w:color w:val="auto"/>
        </w:rPr>
        <w:t>Finished goods</w:t>
      </w:r>
    </w:p>
    <w:p>
      <w:pPr>
        <w:spacing w:after="0" w:line="60" w:lineRule="exact"/>
        <w:rPr>
          <w:sz w:val="20"/>
          <w:szCs w:val="20"/>
          <w:color w:val="auto"/>
        </w:rPr>
      </w:pPr>
    </w:p>
    <w:p>
      <w:pPr>
        <w:ind w:left="290"/>
        <w:spacing w:after="0"/>
        <w:rPr>
          <w:sz w:val="20"/>
          <w:szCs w:val="20"/>
          <w:color w:val="auto"/>
        </w:rPr>
      </w:pPr>
      <w:r>
        <w:rPr>
          <w:rFonts w:ascii="Arial" w:cs="Arial" w:eastAsia="Arial" w:hAnsi="Arial"/>
          <w:sz w:val="18"/>
          <w:szCs w:val="18"/>
          <w:b w:val="1"/>
          <w:bCs w:val="1"/>
          <w:color w:val="auto"/>
        </w:rPr>
        <w:t>Total inventory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712470</wp:posOffset>
                </wp:positionV>
                <wp:extent cx="633412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56.1pt" to="505.85pt,56.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712470</wp:posOffset>
                </wp:positionV>
                <wp:extent cx="633412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56.1pt" to="505.85pt,56.1pt" o:allowincell="f" strokecolor="#828282" strokeweight="0.25pt"/>
            </w:pict>
          </mc:Fallback>
        </mc:AlternateConten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left="-399"/>
        <w:spacing w:after="0"/>
        <w:rPr>
          <w:sz w:val="20"/>
          <w:szCs w:val="20"/>
          <w:color w:val="auto"/>
        </w:rPr>
      </w:pPr>
      <w:r>
        <w:rPr>
          <w:rFonts w:ascii="Arial" w:cs="Arial" w:eastAsia="Arial" w:hAnsi="Arial"/>
          <w:sz w:val="16"/>
          <w:szCs w:val="16"/>
          <w:b w:val="1"/>
          <w:bCs w:val="1"/>
          <w:color w:val="auto"/>
        </w:rPr>
        <w:t>December 31,</w:t>
      </w:r>
    </w:p>
    <w:p>
      <w:pPr>
        <w:jc w:val="center"/>
        <w:ind w:left="-399"/>
        <w:spacing w:after="0"/>
        <w:rPr>
          <w:sz w:val="20"/>
          <w:szCs w:val="20"/>
          <w:color w:val="auto"/>
        </w:rPr>
      </w:pP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879475</wp:posOffset>
                </wp:positionH>
                <wp:positionV relativeFrom="paragraph">
                  <wp:posOffset>15240</wp:posOffset>
                </wp:positionV>
                <wp:extent cx="82867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25pt,1.2pt" to="134.5pt,1.2pt" o:allowincell="f" strokecolor="#000000" strokeweight="1pt"/>
            </w:pict>
          </mc:Fallback>
        </mc:AlternateConten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6"/>
          <w:szCs w:val="16"/>
          <w:b w:val="1"/>
          <w:bCs w:val="1"/>
          <w:i w:val="1"/>
          <w:iCs w:val="1"/>
          <w:color w:val="auto"/>
        </w:rPr>
        <w:t>(In thousands)</w:t>
      </w:r>
    </w:p>
    <w:p>
      <w:pPr>
        <w:spacing w:after="0" w:line="382" w:lineRule="exact"/>
        <w:rPr>
          <w:sz w:val="20"/>
          <w:szCs w:val="20"/>
          <w:color w:val="auto"/>
        </w:rPr>
      </w:pPr>
    </w:p>
    <w:p>
      <w:pPr>
        <w:jc w:val="both"/>
        <w:ind w:left="1440"/>
        <w:spacing w:after="0"/>
        <w:tabs>
          <w:tab w:leader="none" w:pos="1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180,524</w:t>
      </w:r>
    </w:p>
    <w:p>
      <w:pPr>
        <w:spacing w:after="0" w:line="78"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105,097</w:t>
      </w:r>
    </w:p>
    <w:p>
      <w:pPr>
        <w:spacing w:after="0" w:line="78"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91,701</w:t>
      </w:r>
    </w:p>
    <w:p>
      <w:pPr>
        <w:spacing w:after="0" w:line="78"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73,985</w:t>
      </w:r>
    </w:p>
    <w:p>
      <w:pPr>
        <w:spacing w:after="0" w:line="78"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67,140</w:t>
      </w:r>
    </w:p>
    <w:p>
      <w:pPr>
        <w:spacing w:after="0" w:line="78" w:lineRule="exact"/>
        <w:rPr>
          <w:sz w:val="20"/>
          <w:szCs w:val="20"/>
          <w:color w:val="auto"/>
        </w:rPr>
      </w:pPr>
    </w:p>
    <w:p>
      <w:pPr>
        <w:ind w:left="1440"/>
        <w:spacing w:after="0"/>
        <w:tabs>
          <w:tab w:leader="none" w:pos="1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518,447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gridSpan w:val="2"/>
          </w:tcPr>
          <w:p>
            <w:pPr>
              <w:jc w:val="right"/>
              <w:ind w:right="53"/>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December 31,</w:t>
            </w:r>
          </w:p>
        </w:tc>
      </w:tr>
      <w:tr>
        <w:trPr>
          <w:trHeight w:val="214"/>
        </w:trPr>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2024</w:t>
            </w:r>
          </w:p>
        </w:tc>
      </w:tr>
      <w:tr>
        <w:trPr>
          <w:trHeight w:val="269"/>
        </w:trPr>
        <w:tc>
          <w:tcPr>
            <w:tcW w:w="320" w:type="dxa"/>
            <w:vAlign w:val="bottom"/>
          </w:tcPr>
          <w:p>
            <w:pPr>
              <w:spacing w:after="0"/>
              <w:rPr>
                <w:sz w:val="23"/>
                <w:szCs w:val="23"/>
                <w:color w:val="auto"/>
              </w:rPr>
            </w:pPr>
          </w:p>
        </w:tc>
        <w:tc>
          <w:tcPr>
            <w:tcW w:w="2380" w:type="dxa"/>
            <w:vAlign w:val="bottom"/>
            <w:gridSpan w:val="4"/>
          </w:tcPr>
          <w:p>
            <w:pPr>
              <w:jc w:val="right"/>
              <w:ind w:right="732"/>
              <w:spacing w:after="0"/>
              <w:rPr>
                <w:sz w:val="20"/>
                <w:szCs w:val="20"/>
                <w:color w:val="auto"/>
              </w:rPr>
            </w:pPr>
            <w:r>
              <w:rPr>
                <w:rFonts w:ascii="Arial" w:cs="Arial" w:eastAsia="Arial" w:hAnsi="Arial"/>
                <w:sz w:val="16"/>
                <w:szCs w:val="16"/>
                <w:b w:val="1"/>
                <w:bCs w:val="1"/>
                <w:i w:val="1"/>
                <w:iCs w:val="1"/>
                <w:color w:val="auto"/>
              </w:rPr>
              <w:t>(In thousands)</w:t>
            </w:r>
          </w:p>
        </w:tc>
      </w:tr>
      <w:tr>
        <w:trPr>
          <w:trHeight w:val="311"/>
        </w:trPr>
        <w:tc>
          <w:tcPr>
            <w:tcW w:w="32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102,512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38,740</w:t>
            </w:r>
          </w:p>
        </w:tc>
      </w:tr>
      <w:tr>
        <w:trPr>
          <w:trHeight w:val="285"/>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8,353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5"/>
        </w:trPr>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177,182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126,264</w:t>
            </w:r>
          </w:p>
        </w:tc>
      </w:tr>
      <w:tr>
        <w:trPr>
          <w:trHeight w:val="245"/>
        </w:trPr>
        <w:tc>
          <w:tcPr>
            <w:tcW w:w="32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288,047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165,004</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6850" w:space="720"/>
            <w:col w:w="2700"/>
          </w:cols>
          <w:pgMar w:left="990" w:top="126"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85</w:t>
      </w:r>
    </w:p>
    <w:p>
      <w:pPr>
        <w:sectPr>
          <w:pgSz w:w="12240" w:h="15840" w:orient="portrait"/>
          <w:cols w:equalWidth="0" w:num="1">
            <w:col w:w="10270"/>
          </w:cols>
          <w:pgMar w:left="990" w:top="126" w:right="980" w:bottom="0" w:gutter="0" w:footer="0" w:header="0"/>
          <w:type w:val="continuous"/>
        </w:sectPr>
      </w:pPr>
    </w:p>
    <w:bookmarkStart w:id="85" w:name="page86"/>
    <w:bookmarkEnd w:id="85"/>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3817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5pt" to="50.25pt,19.7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 w:right="20" w:hanging="10"/>
        <w:spacing w:after="0" w:line="345" w:lineRule="auto"/>
        <w:tabs>
          <w:tab w:leader="none" w:pos="323"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 November 2025, the Company commenced in-house manufacturing at the Texas facility previously operated by Salcomp Manufacturing USA Corp, resulting in higher raw materials and new work-in-process inventory.</w:t>
      </w:r>
    </w:p>
    <w:p>
      <w:pPr>
        <w:spacing w:after="0" w:line="5" w:lineRule="exact"/>
        <w:rPr>
          <w:sz w:val="20"/>
          <w:szCs w:val="20"/>
          <w:color w:val="auto"/>
        </w:rPr>
      </w:pPr>
    </w:p>
    <w:p>
      <w:pPr>
        <w:ind w:left="550" w:hanging="550"/>
        <w:spacing w:after="0"/>
        <w:tabs>
          <w:tab w:leader="none" w:pos="55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PROPERTY AND EQUIPMENT, NET</w:t>
      </w:r>
    </w:p>
    <w:p>
      <w:pPr>
        <w:spacing w:after="0" w:line="130" w:lineRule="exact"/>
        <w:rPr>
          <w:rFonts w:ascii="Arial" w:cs="Arial" w:eastAsia="Arial" w:hAnsi="Arial"/>
          <w:sz w:val="20"/>
          <w:szCs w:val="20"/>
          <w:b w:val="1"/>
          <w:bCs w:val="1"/>
          <w:color w:val="auto"/>
        </w:rPr>
      </w:pPr>
    </w:p>
    <w:p>
      <w:pPr>
        <w:ind w:left="55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Property and equipment, net, consist of the following:</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6020" w:type="dxa"/>
            <w:vAlign w:val="bottom"/>
          </w:tcPr>
          <w:p>
            <w:pPr>
              <w:spacing w:after="0"/>
              <w:rPr>
                <w:sz w:val="18"/>
                <w:szCs w:val="18"/>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Estimated Useful</w:t>
            </w: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line="20" w:lineRule="exact"/>
              <w:rPr>
                <w:sz w:val="1"/>
                <w:szCs w:val="1"/>
                <w:color w:val="auto"/>
              </w:rPr>
            </w:pPr>
          </w:p>
        </w:tc>
      </w:tr>
      <w:tr>
        <w:trPr>
          <w:trHeight w:val="214"/>
        </w:trPr>
        <w:tc>
          <w:tcPr>
            <w:tcW w:w="602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020" w:type="dxa"/>
            <w:vAlign w:val="bottom"/>
          </w:tcPr>
          <w:p>
            <w:pPr>
              <w:spacing w:after="0"/>
              <w:rPr>
                <w:sz w:val="24"/>
                <w:szCs w:val="2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i w:val="1"/>
                <w:iCs w:val="1"/>
                <w:color w:val="auto"/>
                <w:w w:val="99"/>
              </w:rPr>
              <w:t>(Years)</w:t>
            </w:r>
          </w:p>
        </w:tc>
        <w:tc>
          <w:tcPr>
            <w:tcW w:w="320" w:type="dxa"/>
            <w:vAlign w:val="bottom"/>
          </w:tcPr>
          <w:p>
            <w:pPr>
              <w:spacing w:after="0"/>
              <w:rPr>
                <w:sz w:val="24"/>
                <w:szCs w:val="24"/>
                <w:color w:val="auto"/>
              </w:rPr>
            </w:pPr>
          </w:p>
        </w:tc>
        <w:tc>
          <w:tcPr>
            <w:tcW w:w="2380" w:type="dxa"/>
            <w:vAlign w:val="bottom"/>
            <w:gridSpan w:val="4"/>
          </w:tcPr>
          <w:p>
            <w:pPr>
              <w:jc w:val="right"/>
              <w:ind w:right="731"/>
              <w:spacing w:after="0"/>
              <w:rPr>
                <w:sz w:val="20"/>
                <w:szCs w:val="20"/>
                <w:color w:val="auto"/>
              </w:rPr>
            </w:pPr>
            <w:r>
              <w:rPr>
                <w:rFonts w:ascii="Arial" w:cs="Arial" w:eastAsia="Arial" w:hAnsi="Arial"/>
                <w:sz w:val="16"/>
                <w:szCs w:val="16"/>
                <w:b w:val="1"/>
                <w:bCs w:val="1"/>
                <w:i w:val="1"/>
                <w:iCs w:val="1"/>
                <w:color w:val="auto"/>
              </w:rPr>
              <w:t>(In thousands)</w:t>
            </w: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0"/>
                <w:szCs w:val="20"/>
                <w:color w:val="auto"/>
              </w:rPr>
            </w:pPr>
            <w:r>
              <w:rPr>
                <w:rFonts w:ascii="Arial" w:cs="Arial" w:eastAsia="Arial" w:hAnsi="Arial"/>
                <w:sz w:val="18"/>
                <w:szCs w:val="18"/>
                <w:b w:val="1"/>
                <w:bCs w:val="1"/>
                <w:color w:val="auto"/>
              </w:rPr>
              <w:t>Equipment and machinery</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3-10</w:t>
            </w:r>
          </w:p>
        </w:tc>
        <w:tc>
          <w:tcPr>
            <w:tcW w:w="60" w:type="dxa"/>
            <w:vAlign w:val="bottom"/>
          </w:tcPr>
          <w:p>
            <w:pPr>
              <w:spacing w:after="0"/>
              <w:rPr>
                <w:sz w:val="24"/>
                <w:szCs w:val="24"/>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232,023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207,300</w:t>
            </w:r>
          </w:p>
        </w:tc>
        <w:tc>
          <w:tcPr>
            <w:tcW w:w="0" w:type="dxa"/>
            <w:vAlign w:val="bottom"/>
          </w:tcPr>
          <w:p>
            <w:pPr>
              <w:spacing w:after="0"/>
              <w:rPr>
                <w:sz w:val="1"/>
                <w:szCs w:val="1"/>
                <w:color w:val="auto"/>
              </w:rPr>
            </w:pPr>
          </w:p>
        </w:tc>
      </w:tr>
      <w:tr>
        <w:trPr>
          <w:trHeight w:val="285"/>
        </w:trPr>
        <w:tc>
          <w:tcPr>
            <w:tcW w:w="6020" w:type="dxa"/>
            <w:vAlign w:val="bottom"/>
          </w:tcPr>
          <w:p>
            <w:pPr>
              <w:spacing w:after="0"/>
              <w:rPr>
                <w:sz w:val="20"/>
                <w:szCs w:val="20"/>
                <w:color w:val="auto"/>
              </w:rPr>
            </w:pPr>
            <w:r>
              <w:rPr>
                <w:rFonts w:ascii="Arial" w:cs="Arial" w:eastAsia="Arial" w:hAnsi="Arial"/>
                <w:sz w:val="18"/>
                <w:szCs w:val="18"/>
                <w:b w:val="1"/>
                <w:bCs w:val="1"/>
                <w:color w:val="auto"/>
              </w:rPr>
              <w:t>Furniture and fixtures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5-10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3,341</w:t>
            </w:r>
          </w:p>
        </w:tc>
        <w:tc>
          <w:tcPr>
            <w:tcW w:w="0" w:type="dxa"/>
            <w:vAlign w:val="bottom"/>
          </w:tcPr>
          <w:p>
            <w:pPr>
              <w:spacing w:after="0"/>
              <w:rPr>
                <w:sz w:val="1"/>
                <w:szCs w:val="1"/>
                <w:color w:val="auto"/>
              </w:rPr>
            </w:pPr>
          </w:p>
        </w:tc>
      </w:tr>
      <w:tr>
        <w:trPr>
          <w:trHeight w:val="285"/>
        </w:trPr>
        <w:tc>
          <w:tcPr>
            <w:tcW w:w="6020" w:type="dxa"/>
            <w:vAlign w:val="bottom"/>
          </w:tcPr>
          <w:p>
            <w:pPr>
              <w:spacing w:after="0"/>
              <w:rPr>
                <w:sz w:val="20"/>
                <w:szCs w:val="20"/>
                <w:color w:val="auto"/>
              </w:rPr>
            </w:pPr>
            <w:r>
              <w:rPr>
                <w:rFonts w:ascii="Arial" w:cs="Arial" w:eastAsia="Arial" w:hAnsi="Arial"/>
                <w:sz w:val="18"/>
                <w:szCs w:val="18"/>
                <w:b w:val="1"/>
                <w:bCs w:val="1"/>
                <w:color w:val="auto"/>
              </w:rPr>
              <w:t>Computer equipment</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7,241</w:t>
            </w:r>
          </w:p>
        </w:tc>
        <w:tc>
          <w:tcPr>
            <w:tcW w:w="0" w:type="dxa"/>
            <w:vAlign w:val="bottom"/>
          </w:tcPr>
          <w:p>
            <w:pPr>
              <w:spacing w:after="0"/>
              <w:rPr>
                <w:sz w:val="1"/>
                <w:szCs w:val="1"/>
                <w:color w:val="auto"/>
              </w:rPr>
            </w:pPr>
          </w:p>
        </w:tc>
      </w:tr>
      <w:tr>
        <w:trPr>
          <w:trHeight w:val="285"/>
        </w:trPr>
        <w:tc>
          <w:tcPr>
            <w:tcW w:w="6020" w:type="dxa"/>
            <w:vAlign w:val="bottom"/>
          </w:tcPr>
          <w:p>
            <w:pPr>
              <w:spacing w:after="0"/>
              <w:rPr>
                <w:sz w:val="20"/>
                <w:szCs w:val="20"/>
                <w:color w:val="auto"/>
              </w:rPr>
            </w:pPr>
            <w:r>
              <w:rPr>
                <w:rFonts w:ascii="Arial" w:cs="Arial" w:eastAsia="Arial" w:hAnsi="Arial"/>
                <w:sz w:val="18"/>
                <w:szCs w:val="18"/>
                <w:b w:val="1"/>
                <w:bCs w:val="1"/>
                <w:color w:val="auto"/>
              </w:rPr>
              <w:t>Capitalized software costs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84,453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74,558</w:t>
            </w:r>
          </w:p>
        </w:tc>
        <w:tc>
          <w:tcPr>
            <w:tcW w:w="0" w:type="dxa"/>
            <w:vAlign w:val="bottom"/>
          </w:tcPr>
          <w:p>
            <w:pPr>
              <w:spacing w:after="0"/>
              <w:rPr>
                <w:sz w:val="1"/>
                <w:szCs w:val="1"/>
                <w:color w:val="auto"/>
              </w:rPr>
            </w:pPr>
          </w:p>
        </w:tc>
      </w:tr>
      <w:tr>
        <w:trPr>
          <w:trHeight w:val="285"/>
        </w:trPr>
        <w:tc>
          <w:tcPr>
            <w:tcW w:w="602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3-10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32,860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19,047</w:t>
            </w:r>
          </w:p>
        </w:tc>
        <w:tc>
          <w:tcPr>
            <w:tcW w:w="0" w:type="dxa"/>
            <w:vAlign w:val="bottom"/>
          </w:tcPr>
          <w:p>
            <w:pPr>
              <w:spacing w:after="0"/>
              <w:rPr>
                <w:sz w:val="1"/>
                <w:szCs w:val="1"/>
                <w:color w:val="auto"/>
              </w:rPr>
            </w:pPr>
          </w:p>
        </w:tc>
      </w:tr>
      <w:tr>
        <w:trPr>
          <w:trHeight w:val="285"/>
        </w:trPr>
        <w:tc>
          <w:tcPr>
            <w:tcW w:w="6020" w:type="dxa"/>
            <w:vAlign w:val="bottom"/>
          </w:tcPr>
          <w:p>
            <w:pPr>
              <w:spacing w:after="0"/>
              <w:rPr>
                <w:sz w:val="20"/>
                <w:szCs w:val="20"/>
                <w:color w:val="auto"/>
              </w:rPr>
            </w:pPr>
            <w:r>
              <w:rPr>
                <w:rFonts w:ascii="Arial" w:cs="Arial" w:eastAsia="Arial" w:hAnsi="Arial"/>
                <w:sz w:val="18"/>
                <w:szCs w:val="18"/>
                <w:b w:val="1"/>
                <w:bCs w:val="1"/>
                <w:color w:val="auto"/>
              </w:rPr>
              <w:t>Construction in process</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19,305</w:t>
            </w:r>
          </w:p>
        </w:tc>
        <w:tc>
          <w:tcPr>
            <w:tcW w:w="0" w:type="dxa"/>
            <w:vAlign w:val="bottom"/>
          </w:tcPr>
          <w:p>
            <w:pPr>
              <w:spacing w:after="0"/>
              <w:rPr>
                <w:sz w:val="1"/>
                <w:szCs w:val="1"/>
                <w:color w:val="auto"/>
              </w:rPr>
            </w:pPr>
          </w:p>
        </w:tc>
      </w:tr>
      <w:tr>
        <w:trPr>
          <w:trHeight w:val="265"/>
        </w:trPr>
        <w:tc>
          <w:tcPr>
            <w:tcW w:w="60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370,684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330,792</w:t>
            </w:r>
          </w:p>
        </w:tc>
        <w:tc>
          <w:tcPr>
            <w:tcW w:w="0" w:type="dxa"/>
            <w:vAlign w:val="bottom"/>
          </w:tcPr>
          <w:p>
            <w:pPr>
              <w:spacing w:after="0"/>
              <w:rPr>
                <w:sz w:val="1"/>
                <w:szCs w:val="1"/>
                <w:color w:val="auto"/>
              </w:rPr>
            </w:pPr>
          </w:p>
        </w:tc>
      </w:tr>
      <w:tr>
        <w:trPr>
          <w:trHeight w:val="285"/>
        </w:trPr>
        <w:tc>
          <w:tcPr>
            <w:tcW w:w="6020" w:type="dxa"/>
            <w:vAlign w:val="bottom"/>
          </w:tcPr>
          <w:p>
            <w:pPr>
              <w:ind w:left="380"/>
              <w:spacing w:after="0"/>
              <w:rPr>
                <w:sz w:val="20"/>
                <w:szCs w:val="20"/>
                <w:color w:val="auto"/>
              </w:rPr>
            </w:pPr>
            <w:r>
              <w:rPr>
                <w:rFonts w:ascii="Arial" w:cs="Arial" w:eastAsia="Arial" w:hAnsi="Arial"/>
                <w:sz w:val="18"/>
                <w:szCs w:val="18"/>
                <w:b w:val="1"/>
                <w:bCs w:val="1"/>
                <w:color w:val="auto"/>
              </w:rPr>
              <w:t>Less: accumulated depreciation and amortization</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(233,880)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(183,278)</w:t>
            </w:r>
          </w:p>
        </w:tc>
        <w:tc>
          <w:tcPr>
            <w:tcW w:w="0" w:type="dxa"/>
            <w:vAlign w:val="bottom"/>
          </w:tcPr>
          <w:p>
            <w:pPr>
              <w:spacing w:after="0"/>
              <w:rPr>
                <w:sz w:val="1"/>
                <w:szCs w:val="1"/>
                <w:color w:val="auto"/>
              </w:rPr>
            </w:pPr>
          </w:p>
        </w:tc>
      </w:tr>
      <w:tr>
        <w:trPr>
          <w:trHeight w:val="245"/>
        </w:trPr>
        <w:tc>
          <w:tcPr>
            <w:tcW w:w="60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136,804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147,514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553200" cy="16795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2">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115" w:lineRule="exact"/>
        <w:rPr>
          <w:sz w:val="20"/>
          <w:szCs w:val="20"/>
          <w:color w:val="auto"/>
        </w:rPr>
      </w:pPr>
    </w:p>
    <w:p>
      <w:pPr>
        <w:ind w:left="10" w:right="20" w:firstLine="540"/>
        <w:spacing w:after="0" w:line="287" w:lineRule="auto"/>
        <w:rPr>
          <w:sz w:val="20"/>
          <w:szCs w:val="20"/>
          <w:color w:val="auto"/>
        </w:rPr>
      </w:pPr>
      <w:r>
        <w:rPr>
          <w:rFonts w:ascii="Arial" w:cs="Arial" w:eastAsia="Arial" w:hAnsi="Arial"/>
          <w:sz w:val="20"/>
          <w:szCs w:val="20"/>
          <w:b w:val="1"/>
          <w:bCs w:val="1"/>
          <w:color w:val="auto"/>
        </w:rPr>
        <w:t>Depreciation expense for property and equipment, net, for the years ended December 31, 2025, 2024 and 2023 was $52.8 million, $51.5 million and $40.7 million, respectively.</w:t>
      </w:r>
    </w:p>
    <w:p>
      <w:pPr>
        <w:spacing w:after="0" w:line="50"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As of December 31, 2025 and 2024, unamortized capitalized software costs were $17.5 million and $22.6 million, respectively.</w:t>
      </w:r>
    </w:p>
    <w:p>
      <w:pPr>
        <w:spacing w:after="0" w:line="50" w:lineRule="exact"/>
        <w:rPr>
          <w:sz w:val="20"/>
          <w:szCs w:val="20"/>
          <w:color w:val="auto"/>
        </w:rPr>
      </w:pPr>
    </w:p>
    <w:p>
      <w:pPr>
        <w:jc w:val="both"/>
        <w:ind w:left="10" w:firstLine="540"/>
        <w:spacing w:after="0" w:line="280" w:lineRule="auto"/>
        <w:rPr>
          <w:sz w:val="20"/>
          <w:szCs w:val="20"/>
          <w:color w:val="auto"/>
        </w:rPr>
      </w:pPr>
      <w:r>
        <w:rPr>
          <w:rFonts w:ascii="Arial" w:cs="Arial" w:eastAsia="Arial" w:hAnsi="Arial"/>
          <w:sz w:val="19"/>
          <w:szCs w:val="19"/>
          <w:b w:val="1"/>
          <w:bCs w:val="1"/>
          <w:color w:val="auto"/>
        </w:rPr>
        <w:t>During the years ended December 31, 2025, 2024 and 2023, the Company determined that a triggering event had occurred as a result of changes to the Company’s long-term projections, accordingly, the Company recorded an impairment charge for the property and equipment, net asset of $1.6 million, $2.3 million and $5.7 million, respectively, within “Restructuring and asset impairment charges” on the consolidated statements of operations.</w:t>
      </w:r>
    </w:p>
    <w:p>
      <w:pPr>
        <w:spacing w:after="0" w:line="60" w:lineRule="exact"/>
        <w:rPr>
          <w:sz w:val="20"/>
          <w:szCs w:val="20"/>
          <w:color w:val="auto"/>
        </w:rPr>
      </w:pPr>
    </w:p>
    <w:p>
      <w:pPr>
        <w:ind w:left="550" w:hanging="550"/>
        <w:spacing w:after="0"/>
        <w:tabs>
          <w:tab w:leader="none" w:pos="55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INTANGIBLE ASSETS</w:t>
      </w:r>
    </w:p>
    <w:p>
      <w:pPr>
        <w:spacing w:after="0" w:line="130" w:lineRule="exact"/>
        <w:rPr>
          <w:rFonts w:ascii="Arial" w:cs="Arial" w:eastAsia="Arial" w:hAnsi="Arial"/>
          <w:sz w:val="20"/>
          <w:szCs w:val="20"/>
          <w:b w:val="1"/>
          <w:bCs w:val="1"/>
          <w:color w:val="auto"/>
        </w:rPr>
      </w:pPr>
    </w:p>
    <w:p>
      <w:pPr>
        <w:ind w:left="55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The Company’s goodwill as of December 31, 2025 and December 31, 2024 was as follows:</w:t>
      </w:r>
    </w:p>
    <w:p>
      <w:pPr>
        <w:spacing w:after="0" w:line="201"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7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2024</w:t>
            </w:r>
          </w:p>
        </w:tc>
      </w:tr>
      <w:tr>
        <w:trPr>
          <w:trHeight w:val="269"/>
        </w:trPr>
        <w:tc>
          <w:tcPr>
            <w:tcW w:w="7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gridSpan w:val="4"/>
          </w:tcPr>
          <w:p>
            <w:pPr>
              <w:jc w:val="right"/>
              <w:ind w:right="733"/>
              <w:spacing w:after="0"/>
              <w:rPr>
                <w:sz w:val="20"/>
                <w:szCs w:val="20"/>
                <w:color w:val="auto"/>
              </w:rPr>
            </w:pPr>
            <w:r>
              <w:rPr>
                <w:rFonts w:ascii="Arial" w:cs="Arial" w:eastAsia="Arial" w:hAnsi="Arial"/>
                <w:sz w:val="16"/>
                <w:szCs w:val="16"/>
                <w:b w:val="1"/>
                <w:bCs w:val="1"/>
                <w:i w:val="1"/>
                <w:iCs w:val="1"/>
                <w:color w:val="auto"/>
              </w:rPr>
              <w:t>(In thousands)</w:t>
            </w:r>
          </w:p>
        </w:tc>
      </w:tr>
      <w:tr>
        <w:trPr>
          <w:trHeight w:val="281"/>
        </w:trPr>
        <w:tc>
          <w:tcPr>
            <w:tcW w:w="7520" w:type="dxa"/>
            <w:vAlign w:val="bottom"/>
          </w:tcPr>
          <w:p>
            <w:pPr>
              <w:spacing w:after="0"/>
              <w:rPr>
                <w:sz w:val="20"/>
                <w:szCs w:val="20"/>
                <w:color w:val="auto"/>
              </w:rPr>
            </w:pPr>
            <w:r>
              <w:rPr>
                <w:rFonts w:ascii="Arial" w:cs="Arial" w:eastAsia="Arial" w:hAnsi="Arial"/>
                <w:sz w:val="18"/>
                <w:szCs w:val="18"/>
                <w:b w:val="1"/>
                <w:bCs w:val="1"/>
                <w:color w:val="auto"/>
              </w:rPr>
              <w:t>Goodwill, beginning of period</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211,571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214,562</w:t>
            </w:r>
          </w:p>
        </w:tc>
      </w:tr>
      <w:tr>
        <w:trPr>
          <w:trHeight w:val="255"/>
        </w:trPr>
        <w:tc>
          <w:tcPr>
            <w:tcW w:w="7520" w:type="dxa"/>
            <w:vAlign w:val="bottom"/>
          </w:tcPr>
          <w:p>
            <w:pPr>
              <w:ind w:left="120"/>
              <w:spacing w:after="0"/>
              <w:rPr>
                <w:sz w:val="20"/>
                <w:szCs w:val="20"/>
                <w:color w:val="auto"/>
              </w:rPr>
            </w:pPr>
            <w:r>
              <w:rPr>
                <w:rFonts w:ascii="Arial" w:cs="Arial" w:eastAsia="Arial" w:hAnsi="Arial"/>
                <w:sz w:val="18"/>
                <w:szCs w:val="18"/>
                <w:b w:val="1"/>
                <w:bCs w:val="1"/>
                <w:color w:val="auto"/>
              </w:rPr>
              <w:t>Currency translation adjustment</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(2,991)</w:t>
            </w:r>
          </w:p>
        </w:tc>
      </w:tr>
      <w:tr>
        <w:trPr>
          <w:trHeight w:val="215"/>
        </w:trPr>
        <w:tc>
          <w:tcPr>
            <w:tcW w:w="7520" w:type="dxa"/>
            <w:vAlign w:val="bottom"/>
          </w:tcPr>
          <w:p>
            <w:pPr>
              <w:spacing w:after="0"/>
              <w:rPr>
                <w:sz w:val="20"/>
                <w:szCs w:val="20"/>
                <w:color w:val="auto"/>
              </w:rPr>
            </w:pPr>
            <w:r>
              <w:rPr>
                <w:rFonts w:ascii="Arial" w:cs="Arial" w:eastAsia="Arial" w:hAnsi="Arial"/>
                <w:sz w:val="18"/>
                <w:szCs w:val="18"/>
                <w:b w:val="1"/>
                <w:bCs w:val="1"/>
                <w:color w:val="auto"/>
              </w:rPr>
              <w:t>Goodwill, end of period</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214,760</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211,571</w:t>
            </w: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-516890</wp:posOffset>
            </wp:positionV>
            <wp:extent cx="6553200" cy="5365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3">
                      <a:extLst>
                        <a:ext uri="{28A0092B-C50C-407E-A947-70E740481C1C}"/>
                      </a:extLst>
                    </a:blip>
                    <a:srcRect/>
                    <a:stretch>
                      <a:fillRect/>
                    </a:stretch>
                  </pic:blipFill>
                  <pic:spPr bwMode="auto">
                    <a:xfrm>
                      <a:off x="0" y="0"/>
                      <a:ext cx="6553200" cy="5365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90170</wp:posOffset>
                </wp:positionH>
                <wp:positionV relativeFrom="paragraph">
                  <wp:posOffset>2585720</wp:posOffset>
                </wp:positionV>
                <wp:extent cx="633412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203.6pt" to="505.85pt,203.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2585720</wp:posOffset>
                </wp:positionV>
                <wp:extent cx="633412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203.6pt" to="505.85pt,203.6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86</w:t>
      </w:r>
    </w:p>
    <w:p>
      <w:pPr>
        <w:sectPr>
          <w:pgSz w:w="12240" w:h="15840" w:orient="portrait"/>
          <w:cols w:equalWidth="0" w:num="1">
            <w:col w:w="10270"/>
          </w:cols>
          <w:pgMar w:left="990" w:top="216" w:right="980" w:bottom="0" w:gutter="0" w:footer="0" w:header="0"/>
          <w:type w:val="continuous"/>
        </w:sectPr>
      </w:pPr>
    </w:p>
    <w:bookmarkStart w:id="86" w:name="page87"/>
    <w:bookmarkEnd w:id="86"/>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Company’s purchased intangible assets as of December 31, 2025 and December 31, 2024 were as follows: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 2025</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Gross</w:t>
            </w:r>
          </w:p>
        </w:tc>
        <w:tc>
          <w:tcPr>
            <w:tcW w:w="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9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Impairment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80" w:type="dxa"/>
            <w:vAlign w:val="bottom"/>
            <w:gridSpan w:val="5"/>
          </w:tcPr>
          <w:p>
            <w:pPr>
              <w:ind w:left="40"/>
              <w:spacing w:after="0"/>
              <w:rPr>
                <w:sz w:val="20"/>
                <w:szCs w:val="20"/>
                <w:color w:val="auto"/>
              </w:rPr>
            </w:pPr>
            <w:r>
              <w:rPr>
                <w:rFonts w:ascii="Arial" w:cs="Arial" w:eastAsia="Arial" w:hAnsi="Arial"/>
                <w:sz w:val="16"/>
                <w:szCs w:val="16"/>
                <w:b w:val="1"/>
                <w:bCs w:val="1"/>
                <w:i w:val="1"/>
                <w:iCs w:val="1"/>
                <w:color w:val="auto"/>
                <w:w w:val="92"/>
              </w:rPr>
              <w:t>(In thousands)</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00" w:type="dxa"/>
            <w:vAlign w:val="bottom"/>
          </w:tcPr>
          <w:p>
            <w:pPr>
              <w:spacing w:after="0"/>
              <w:rPr>
                <w:sz w:val="20"/>
                <w:szCs w:val="20"/>
                <w:color w:val="auto"/>
              </w:rPr>
            </w:pPr>
            <w:r>
              <w:rPr>
                <w:rFonts w:ascii="Arial" w:cs="Arial" w:eastAsia="Arial" w:hAnsi="Arial"/>
                <w:sz w:val="18"/>
                <w:szCs w:val="18"/>
                <w:b w:val="1"/>
                <w:bCs w:val="1"/>
                <w:color w:val="auto"/>
              </w:rPr>
              <w:t>Intangible assets: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300" w:type="dxa"/>
            <w:vAlign w:val="bottom"/>
          </w:tcPr>
          <w:p>
            <w:pPr>
              <w:ind w:left="220"/>
              <w:spacing w:after="0"/>
              <w:rPr>
                <w:sz w:val="20"/>
                <w:szCs w:val="20"/>
                <w:color w:val="auto"/>
              </w:rPr>
            </w:pPr>
            <w:r>
              <w:rPr>
                <w:rFonts w:ascii="Arial" w:cs="Arial" w:eastAsia="Arial" w:hAnsi="Arial"/>
                <w:sz w:val="18"/>
                <w:szCs w:val="18"/>
                <w:b w:val="1"/>
                <w:bCs w:val="1"/>
                <w:color w:val="auto"/>
              </w:rPr>
              <w:t>Indefinite-lived intangibles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2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0" w:type="dxa"/>
            <w:vAlign w:val="bottom"/>
          </w:tcPr>
          <w:p>
            <w:pPr>
              <w:spacing w:after="0"/>
              <w:rPr>
                <w:sz w:val="1"/>
                <w:szCs w:val="1"/>
                <w:color w:val="auto"/>
              </w:rPr>
            </w:pPr>
          </w:p>
        </w:tc>
      </w:tr>
      <w:tr>
        <w:trPr>
          <w:trHeight w:val="255"/>
        </w:trPr>
        <w:tc>
          <w:tcPr>
            <w:tcW w:w="3300" w:type="dxa"/>
            <w:vAlign w:val="bottom"/>
          </w:tcPr>
          <w:p>
            <w:pPr>
              <w:ind w:left="220"/>
              <w:spacing w:after="0"/>
              <w:rPr>
                <w:sz w:val="20"/>
                <w:szCs w:val="20"/>
                <w:color w:val="auto"/>
              </w:rPr>
            </w:pPr>
            <w:r>
              <w:rPr>
                <w:rFonts w:ascii="Arial" w:cs="Arial" w:eastAsia="Arial" w:hAnsi="Arial"/>
                <w:sz w:val="18"/>
                <w:szCs w:val="18"/>
                <w:b w:val="1"/>
                <w:bCs w:val="1"/>
                <w:color w:val="auto"/>
              </w:rPr>
              <w:t>Intangible assets with finite lives:</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300" w:type="dxa"/>
            <w:vAlign w:val="bottom"/>
          </w:tcPr>
          <w:p>
            <w:pPr>
              <w:ind w:left="280"/>
              <w:spacing w:after="0"/>
              <w:rPr>
                <w:sz w:val="20"/>
                <w:szCs w:val="20"/>
                <w:color w:val="auto"/>
              </w:rPr>
            </w:pPr>
            <w:r>
              <w:rPr>
                <w:rFonts w:ascii="Arial" w:cs="Arial" w:eastAsia="Arial" w:hAnsi="Arial"/>
                <w:sz w:val="18"/>
                <w:szCs w:val="18"/>
                <w:b w:val="1"/>
                <w:bCs w:val="1"/>
                <w:color w:val="auto"/>
              </w:rPr>
              <w:t>Developed technology</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47,683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(42,242)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5,441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51,054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(35,903)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(3,351)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11,800</w:t>
            </w:r>
          </w:p>
        </w:tc>
        <w:tc>
          <w:tcPr>
            <w:tcW w:w="0" w:type="dxa"/>
            <w:vAlign w:val="bottom"/>
          </w:tcPr>
          <w:p>
            <w:pPr>
              <w:spacing w:after="0"/>
              <w:rPr>
                <w:sz w:val="1"/>
                <w:szCs w:val="1"/>
                <w:color w:val="auto"/>
              </w:rPr>
            </w:pPr>
          </w:p>
        </w:tc>
      </w:tr>
      <w:tr>
        <w:trPr>
          <w:trHeight w:val="255"/>
        </w:trPr>
        <w:tc>
          <w:tcPr>
            <w:tcW w:w="3300" w:type="dxa"/>
            <w:vAlign w:val="bottom"/>
          </w:tcPr>
          <w:p>
            <w:pPr>
              <w:ind w:left="280"/>
              <w:spacing w:after="0"/>
              <w:rPr>
                <w:sz w:val="20"/>
                <w:szCs w:val="20"/>
                <w:color w:val="auto"/>
              </w:rPr>
            </w:pPr>
            <w:r>
              <w:rPr>
                <w:rFonts w:ascii="Arial" w:cs="Arial" w:eastAsia="Arial" w:hAnsi="Arial"/>
                <w:sz w:val="18"/>
                <w:szCs w:val="18"/>
                <w:b w:val="1"/>
                <w:bCs w:val="1"/>
                <w:color w:val="auto"/>
              </w:rPr>
              <w:t>Customer relationships</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51,114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(42,000)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9,114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51,306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(35,804)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15,325</w:t>
            </w:r>
          </w:p>
        </w:tc>
        <w:tc>
          <w:tcPr>
            <w:tcW w:w="0" w:type="dxa"/>
            <w:vAlign w:val="bottom"/>
          </w:tcPr>
          <w:p>
            <w:pPr>
              <w:spacing w:after="0"/>
              <w:rPr>
                <w:sz w:val="1"/>
                <w:szCs w:val="1"/>
                <w:color w:val="auto"/>
              </w:rPr>
            </w:pPr>
          </w:p>
        </w:tc>
      </w:tr>
      <w:tr>
        <w:trPr>
          <w:trHeight w:val="285"/>
        </w:trPr>
        <w:tc>
          <w:tcPr>
            <w:tcW w:w="3300" w:type="dxa"/>
            <w:vAlign w:val="bottom"/>
          </w:tcPr>
          <w:p>
            <w:pPr>
              <w:ind w:left="280"/>
              <w:spacing w:after="0"/>
              <w:rPr>
                <w:sz w:val="20"/>
                <w:szCs w:val="20"/>
                <w:color w:val="auto"/>
              </w:rPr>
            </w:pPr>
            <w:r>
              <w:rPr>
                <w:rFonts w:ascii="Arial" w:cs="Arial" w:eastAsia="Arial" w:hAnsi="Arial"/>
                <w:sz w:val="18"/>
                <w:szCs w:val="18"/>
                <w:b w:val="1"/>
                <w:bCs w:val="1"/>
                <w:color w:val="auto"/>
              </w:rPr>
              <w:t>Trade-names</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37,700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(30,253)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37,700</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(22,713)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14,987</w:t>
            </w:r>
          </w:p>
        </w:tc>
        <w:tc>
          <w:tcPr>
            <w:tcW w:w="0" w:type="dxa"/>
            <w:vAlign w:val="bottom"/>
          </w:tcPr>
          <w:p>
            <w:pPr>
              <w:spacing w:after="0"/>
              <w:rPr>
                <w:sz w:val="1"/>
                <w:szCs w:val="1"/>
                <w:color w:val="auto"/>
              </w:rPr>
            </w:pPr>
          </w:p>
        </w:tc>
      </w:tr>
      <w:tr>
        <w:trPr>
          <w:trHeight w:val="215"/>
        </w:trPr>
        <w:tc>
          <w:tcPr>
            <w:tcW w:w="3300" w:type="dxa"/>
            <w:vAlign w:val="bottom"/>
          </w:tcPr>
          <w:p>
            <w:pPr>
              <w:ind w:left="460"/>
              <w:spacing w:after="0"/>
              <w:rPr>
                <w:sz w:val="20"/>
                <w:szCs w:val="20"/>
                <w:color w:val="auto"/>
              </w:rPr>
            </w:pPr>
            <w:r>
              <w:rPr>
                <w:rFonts w:ascii="Arial" w:cs="Arial" w:eastAsia="Arial" w:hAnsi="Arial"/>
                <w:sz w:val="18"/>
                <w:szCs w:val="18"/>
                <w:b w:val="1"/>
                <w:bCs w:val="1"/>
                <w:color w:val="auto"/>
                <w:w w:val="97"/>
              </w:rPr>
              <w:t>Total purchased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136,783</w:t>
            </w:r>
          </w:p>
        </w:tc>
        <w:tc>
          <w:tcPr>
            <w:tcW w:w="60" w:type="dxa"/>
            <w:vAlign w:val="bottom"/>
          </w:tcPr>
          <w:p>
            <w:pPr>
              <w:spacing w:after="0"/>
              <w:rPr>
                <w:sz w:val="18"/>
                <w:szCs w:val="18"/>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(114,495)</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22,288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140,346</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(94,420)</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(3,528)</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42,398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-1202690</wp:posOffset>
            </wp:positionV>
            <wp:extent cx="6553200" cy="12223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44">
                      <a:extLst>
                        <a:ext uri="{28A0092B-C50C-407E-A947-70E740481C1C}"/>
                      </a:extLst>
                    </a:blip>
                    <a:srcRect/>
                    <a:stretch>
                      <a:fillRect/>
                    </a:stretch>
                  </pic:blipFill>
                  <pic:spPr bwMode="auto">
                    <a:xfrm>
                      <a:off x="0" y="0"/>
                      <a:ext cx="6553200" cy="1222375"/>
                    </a:xfrm>
                    <a:prstGeom prst="rect">
                      <a:avLst/>
                    </a:prstGeom>
                    <a:noFill/>
                  </pic:spPr>
                </pic:pic>
              </a:graphicData>
            </a:graphic>
          </wp:anchor>
        </w:drawing>
      </w:r>
    </w:p>
    <w:p>
      <w:pPr>
        <w:spacing w:after="0" w:line="115"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During the year ended December 31, 2025, intangible assets decreased by less than $0.1 million due to the impact of foreign currency translation.</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Amortization expense related to finite-lived intangible assets were as 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Years Ended December 31,</w:t>
            </w:r>
          </w:p>
        </w:tc>
      </w:tr>
      <w:tr>
        <w:trPr>
          <w:trHeight w:val="235"/>
        </w:trPr>
        <w:tc>
          <w:tcPr>
            <w:tcW w:w="7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2024</w:t>
            </w:r>
          </w:p>
        </w:tc>
      </w:tr>
      <w:tr>
        <w:trPr>
          <w:trHeight w:val="269"/>
        </w:trPr>
        <w:tc>
          <w:tcPr>
            <w:tcW w:w="7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40" w:type="dxa"/>
            <w:vAlign w:val="bottom"/>
            <w:gridSpan w:val="4"/>
          </w:tcPr>
          <w:p>
            <w:pPr>
              <w:jc w:val="right"/>
              <w:ind w:right="732"/>
              <w:spacing w:after="0"/>
              <w:rPr>
                <w:sz w:val="20"/>
                <w:szCs w:val="20"/>
                <w:color w:val="auto"/>
              </w:rPr>
            </w:pPr>
            <w:r>
              <w:rPr>
                <w:rFonts w:ascii="Arial" w:cs="Arial" w:eastAsia="Arial" w:hAnsi="Arial"/>
                <w:sz w:val="16"/>
                <w:szCs w:val="16"/>
                <w:b w:val="1"/>
                <w:bCs w:val="1"/>
                <w:i w:val="1"/>
                <w:iCs w:val="1"/>
                <w:color w:val="auto"/>
              </w:rPr>
              <w:t>(In thousands)</w:t>
            </w:r>
          </w:p>
        </w:tc>
      </w:tr>
      <w:tr>
        <w:trPr>
          <w:trHeight w:val="281"/>
        </w:trPr>
        <w:tc>
          <w:tcPr>
            <w:tcW w:w="7540" w:type="dxa"/>
            <w:vAlign w:val="bottom"/>
          </w:tcPr>
          <w:p>
            <w:pPr>
              <w:spacing w:after="0"/>
              <w:rPr>
                <w:sz w:val="20"/>
                <w:szCs w:val="20"/>
                <w:color w:val="auto"/>
              </w:rPr>
            </w:pPr>
            <w:r>
              <w:rPr>
                <w:rFonts w:ascii="Arial" w:cs="Arial" w:eastAsia="Arial" w:hAnsi="Arial"/>
                <w:sz w:val="18"/>
                <w:szCs w:val="18"/>
                <w:b w:val="1"/>
                <w:bCs w:val="1"/>
                <w:color w:val="auto"/>
              </w:rPr>
              <w:t>Developed technology</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6,401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8,780</w:t>
            </w:r>
          </w:p>
        </w:tc>
      </w:tr>
      <w:tr>
        <w:trPr>
          <w:trHeight w:val="285"/>
        </w:trPr>
        <w:tc>
          <w:tcPr>
            <w:tcW w:w="7540" w:type="dxa"/>
            <w:vAlign w:val="bottom"/>
          </w:tcPr>
          <w:p>
            <w:pPr>
              <w:spacing w:after="0"/>
              <w:rPr>
                <w:sz w:val="20"/>
                <w:szCs w:val="20"/>
                <w:color w:val="auto"/>
              </w:rPr>
            </w:pPr>
            <w:r>
              <w:rPr>
                <w:rFonts w:ascii="Arial" w:cs="Arial" w:eastAsia="Arial" w:hAnsi="Arial"/>
                <w:sz w:val="18"/>
                <w:szCs w:val="18"/>
                <w:b w:val="1"/>
                <w:bCs w:val="1"/>
                <w:color w:val="auto"/>
              </w:rPr>
              <w:t>Customer relationships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6,242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6,254</w:t>
            </w:r>
          </w:p>
        </w:tc>
      </w:tr>
      <w:tr>
        <w:trPr>
          <w:trHeight w:val="285"/>
        </w:trPr>
        <w:tc>
          <w:tcPr>
            <w:tcW w:w="7540" w:type="dxa"/>
            <w:vAlign w:val="bottom"/>
          </w:tcPr>
          <w:p>
            <w:pPr>
              <w:spacing w:after="0"/>
              <w:rPr>
                <w:sz w:val="20"/>
                <w:szCs w:val="20"/>
                <w:color w:val="auto"/>
              </w:rPr>
            </w:pPr>
            <w:r>
              <w:rPr>
                <w:rFonts w:ascii="Arial" w:cs="Arial" w:eastAsia="Arial" w:hAnsi="Arial"/>
                <w:sz w:val="18"/>
                <w:szCs w:val="18"/>
                <w:b w:val="1"/>
                <w:bCs w:val="1"/>
                <w:color w:val="auto"/>
              </w:rPr>
              <w:t>Trade-names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7,540</w:t>
            </w:r>
          </w:p>
        </w:tc>
      </w:tr>
      <w:tr>
        <w:trPr>
          <w:trHeight w:val="245"/>
        </w:trPr>
        <w:tc>
          <w:tcPr>
            <w:tcW w:w="7540" w:type="dxa"/>
            <w:vAlign w:val="bottom"/>
          </w:tcPr>
          <w:p>
            <w:pPr>
              <w:ind w:left="140"/>
              <w:spacing w:after="0"/>
              <w:rPr>
                <w:sz w:val="20"/>
                <w:szCs w:val="20"/>
                <w:color w:val="auto"/>
              </w:rPr>
            </w:pPr>
            <w:r>
              <w:rPr>
                <w:rFonts w:ascii="Arial" w:cs="Arial" w:eastAsia="Arial" w:hAnsi="Arial"/>
                <w:sz w:val="18"/>
                <w:szCs w:val="18"/>
                <w:b w:val="1"/>
                <w:bCs w:val="1"/>
                <w:color w:val="auto"/>
              </w:rPr>
              <w:t>Total amortization expense</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22,574</w:t>
            </w: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-735965</wp:posOffset>
            </wp:positionV>
            <wp:extent cx="6553200" cy="7556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45">
                      <a:extLst>
                        <a:ext uri="{28A0092B-C50C-407E-A947-70E740481C1C}"/>
                      </a:extLst>
                    </a:blip>
                    <a:srcRect/>
                    <a:stretch>
                      <a:fillRect/>
                    </a:stretch>
                  </pic:blipFill>
                  <pic:spPr bwMode="auto">
                    <a:xfrm>
                      <a:off x="0" y="0"/>
                      <a:ext cx="6553200" cy="755650"/>
                    </a:xfrm>
                    <a:prstGeom prst="rect">
                      <a:avLst/>
                    </a:prstGeom>
                    <a:noFill/>
                  </pic:spPr>
                </pic:pic>
              </a:graphicData>
            </a:graphic>
          </wp:anchor>
        </w:drawing>
      </w:r>
    </w:p>
    <w:p>
      <w:pPr>
        <w:spacing w:after="0" w:line="115"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Amortization of developed technology is recorded to cost of revenues, amortization of customer relationships and trade-names are recorded to sales and marketing expense, and amortization of certain customer relationships is recorded as a reduction to revenue.</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The expected future amortization expense of intangible assets as of December 31, 2025 is presented below:</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December 31,</w:t>
            </w:r>
          </w:p>
        </w:tc>
      </w:tr>
      <w:tr>
        <w:trPr>
          <w:trHeight w:val="214"/>
        </w:trPr>
        <w:tc>
          <w:tcPr>
            <w:tcW w:w="8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2025</w:t>
            </w:r>
          </w:p>
        </w:tc>
      </w:tr>
      <w:tr>
        <w:trPr>
          <w:trHeight w:val="209"/>
        </w:trPr>
        <w:tc>
          <w:tcPr>
            <w:tcW w:w="8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i w:val="1"/>
                <w:iCs w:val="1"/>
                <w:color w:val="auto"/>
                <w:w w:val="92"/>
              </w:rPr>
              <w:t>(In thousands)</w:t>
            </w:r>
          </w:p>
        </w:tc>
      </w:tr>
      <w:tr>
        <w:trPr>
          <w:trHeight w:val="311"/>
        </w:trPr>
        <w:tc>
          <w:tcPr>
            <w:tcW w:w="8900" w:type="dxa"/>
            <w:vAlign w:val="bottom"/>
          </w:tcPr>
          <w:p>
            <w:pPr>
              <w:jc w:val="right"/>
              <w:ind w:right="7890"/>
              <w:spacing w:after="0"/>
              <w:rPr>
                <w:sz w:val="20"/>
                <w:szCs w:val="20"/>
                <w:color w:val="auto"/>
              </w:rPr>
            </w:pPr>
            <w:r>
              <w:rPr>
                <w:rFonts w:ascii="Arial" w:cs="Arial" w:eastAsia="Arial" w:hAnsi="Arial"/>
                <w:sz w:val="18"/>
                <w:szCs w:val="18"/>
                <w:b w:val="1"/>
                <w:bCs w:val="1"/>
                <w:color w:val="auto"/>
                <w:w w:val="90"/>
              </w:rPr>
              <w:t>Fiscal year:</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5"/>
        </w:trPr>
        <w:tc>
          <w:tcPr>
            <w:tcW w:w="8900" w:type="dxa"/>
            <w:vAlign w:val="bottom"/>
          </w:tcPr>
          <w:p>
            <w:pPr>
              <w:jc w:val="right"/>
              <w:ind w:right="8270"/>
              <w:spacing w:after="0"/>
              <w:rPr>
                <w:sz w:val="20"/>
                <w:szCs w:val="20"/>
                <w:color w:val="auto"/>
              </w:rPr>
            </w:pPr>
            <w:r>
              <w:rPr>
                <w:rFonts w:ascii="Arial" w:cs="Arial" w:eastAsia="Arial" w:hAnsi="Arial"/>
                <w:sz w:val="18"/>
                <w:szCs w:val="18"/>
                <w:b w:val="1"/>
                <w:bCs w:val="1"/>
                <w:color w:val="auto"/>
              </w:rPr>
              <w:t>2026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17,979</w:t>
            </w:r>
          </w:p>
        </w:tc>
      </w:tr>
      <w:tr>
        <w:trPr>
          <w:trHeight w:val="285"/>
        </w:trPr>
        <w:tc>
          <w:tcPr>
            <w:tcW w:w="8900" w:type="dxa"/>
            <w:vAlign w:val="bottom"/>
          </w:tcPr>
          <w:p>
            <w:pPr>
              <w:jc w:val="right"/>
              <w:ind w:right="8270"/>
              <w:spacing w:after="0"/>
              <w:rPr>
                <w:sz w:val="20"/>
                <w:szCs w:val="20"/>
                <w:color w:val="auto"/>
              </w:rPr>
            </w:pPr>
            <w:r>
              <w:rPr>
                <w:rFonts w:ascii="Arial" w:cs="Arial" w:eastAsia="Arial" w:hAnsi="Arial"/>
                <w:sz w:val="18"/>
                <w:szCs w:val="18"/>
                <w:b w:val="1"/>
                <w:bCs w:val="1"/>
                <w:color w:val="auto"/>
              </w:rPr>
              <w:t>2027</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4,023</w:t>
            </w:r>
          </w:p>
        </w:tc>
      </w:tr>
      <w:tr>
        <w:trPr>
          <w:trHeight w:val="245"/>
        </w:trPr>
        <w:tc>
          <w:tcPr>
            <w:tcW w:w="8900" w:type="dxa"/>
            <w:vAlign w:val="bottom"/>
          </w:tcPr>
          <w:p>
            <w:pPr>
              <w:jc w:val="right"/>
              <w:ind w:right="821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22,002</w:t>
            </w: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46">
                      <a:extLst>
                        <a:ext uri="{28A0092B-C50C-407E-A947-70E740481C1C}"/>
                      </a:extLst>
                    </a:blip>
                    <a:srcRect/>
                    <a:stretch>
                      <a:fillRect/>
                    </a:stretch>
                  </pic:blipFill>
                  <pic:spPr bwMode="auto">
                    <a:xfrm>
                      <a:off x="0" y="0"/>
                      <a:ext cx="6553200" cy="7747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83820</wp:posOffset>
                </wp:positionH>
                <wp:positionV relativeFrom="paragraph">
                  <wp:posOffset>2509520</wp:posOffset>
                </wp:positionV>
                <wp:extent cx="633412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97.6pt" to="505.35pt,19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2509520</wp:posOffset>
                </wp:positionV>
                <wp:extent cx="633412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97.6pt" to="505.35pt,197.6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87</w:t>
      </w:r>
    </w:p>
    <w:p>
      <w:pPr>
        <w:sectPr>
          <w:pgSz w:w="12240" w:h="15840" w:orient="portrait"/>
          <w:cols w:equalWidth="0" w:num="1">
            <w:col w:w="10260"/>
          </w:cols>
          <w:pgMar w:left="1000" w:top="216" w:right="980" w:bottom="0" w:gutter="0" w:footer="0" w:header="0"/>
          <w:type w:val="continuous"/>
        </w:sectPr>
      </w:pPr>
    </w:p>
    <w:bookmarkStart w:id="87" w:name="page88"/>
    <w:bookmarkEnd w:id="87"/>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ind w:left="550" w:right="2340" w:hanging="550"/>
        <w:spacing w:after="0" w:line="467" w:lineRule="auto"/>
        <w:tabs>
          <w:tab w:leader="none" w:pos="55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RESTRICTED CASH AND MARKETABLE SECURITIES Cash equivalents, restricted cash and marketable securities consist of the following:</w:t>
      </w:r>
    </w:p>
    <w:tbl>
      <w:tblPr>
        <w:tblLayout w:type="fixed"/>
        <w:tblInd w:w="50" w:type="dxa"/>
        <w:tblCellMar>
          <w:top w:w="0" w:type="dxa"/>
          <w:left w:w="0" w:type="dxa"/>
          <w:bottom w:w="0" w:type="dxa"/>
          <w:right w:w="0" w:type="dxa"/>
        </w:tblCellMar>
      </w:tblPr>
      <w:tr>
        <w:trPr>
          <w:trHeight w:val="214"/>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111"/>
              <w:spacing w:after="0"/>
              <w:rPr>
                <w:sz w:val="20"/>
                <w:szCs w:val="20"/>
                <w:color w:val="auto"/>
              </w:rPr>
            </w:pPr>
            <w:r>
              <w:rPr>
                <w:rFonts w:ascii="Arial" w:cs="Arial" w:eastAsia="Arial" w:hAnsi="Arial"/>
                <w:sz w:val="16"/>
                <w:szCs w:val="16"/>
                <w:b w:val="1"/>
                <w:bCs w:val="1"/>
                <w:color w:val="auto"/>
                <w:w w:val="99"/>
              </w:rPr>
              <w:t>As of December 31, 2025</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99"/>
              </w:rPr>
              <w:t>Amortized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3"/>
              <w:spacing w:after="0" w:line="159" w:lineRule="exact"/>
              <w:rPr>
                <w:sz w:val="20"/>
                <w:szCs w:val="20"/>
                <w:color w:val="auto"/>
              </w:rPr>
            </w:pPr>
            <w:r>
              <w:rPr>
                <w:rFonts w:ascii="Arial" w:cs="Arial" w:eastAsia="Arial" w:hAnsi="Arial"/>
                <w:sz w:val="16"/>
                <w:szCs w:val="16"/>
                <w:b w:val="1"/>
                <w:bCs w:val="1"/>
                <w:color w:val="auto"/>
                <w:w w:val="99"/>
              </w:rPr>
              <w:t>Gross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91"/>
              <w:spacing w:after="0" w:line="159" w:lineRule="exact"/>
              <w:rPr>
                <w:sz w:val="20"/>
                <w:szCs w:val="20"/>
                <w:color w:val="auto"/>
              </w:rPr>
            </w:pPr>
            <w:r>
              <w:rPr>
                <w:rFonts w:ascii="Arial" w:cs="Arial" w:eastAsia="Arial" w:hAnsi="Arial"/>
                <w:sz w:val="16"/>
                <w:szCs w:val="16"/>
                <w:b w:val="1"/>
                <w:bCs w:val="1"/>
                <w:color w:val="auto"/>
                <w:w w:val="99"/>
              </w:rPr>
              <w:t>Fair Value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1"/>
              <w:spacing w:after="0" w:line="159" w:lineRule="exact"/>
              <w:rPr>
                <w:sz w:val="20"/>
                <w:szCs w:val="20"/>
                <w:color w:val="auto"/>
              </w:rPr>
            </w:pPr>
            <w:r>
              <w:rPr>
                <w:rFonts w:ascii="Arial" w:cs="Arial" w:eastAsia="Arial" w:hAnsi="Arial"/>
                <w:sz w:val="16"/>
                <w:szCs w:val="16"/>
                <w:b w:val="1"/>
                <w:bCs w:val="1"/>
                <w:color w:val="auto"/>
                <w:w w:val="97"/>
              </w:rPr>
              <w:t>Cash</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rPr>
              <w:t>Marketable</w:t>
            </w:r>
          </w:p>
        </w:tc>
        <w:tc>
          <w:tcPr>
            <w:tcW w:w="0" w:type="dxa"/>
            <w:vAlign w:val="bottom"/>
          </w:tcPr>
          <w:p>
            <w:pPr>
              <w:spacing w:after="0"/>
              <w:rPr>
                <w:sz w:val="1"/>
                <w:szCs w:val="1"/>
                <w:color w:val="auto"/>
              </w:rPr>
            </w:pPr>
          </w:p>
        </w:tc>
      </w:tr>
      <w:tr>
        <w:trPr>
          <w:trHeight w:val="160"/>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92"/>
              <w:spacing w:after="0" w:line="160" w:lineRule="exact"/>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center"/>
              <w:ind w:right="100"/>
              <w:spacing w:after="0" w:line="160" w:lineRule="exact"/>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3"/>
                <w:szCs w:val="13"/>
                <w:color w:val="auto"/>
              </w:rPr>
            </w:pPr>
          </w:p>
        </w:tc>
        <w:tc>
          <w:tcPr>
            <w:tcW w:w="108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Equivalents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2"/>
              <w:spacing w:after="0" w:line="160"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8"/>
              </w:rPr>
              <w:t>Gains</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7"/>
              </w:rPr>
              <w:t>Losses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6"/>
          </w:tcPr>
          <w:p>
            <w:pPr>
              <w:jc w:val="right"/>
              <w:ind w:right="531"/>
              <w:spacing w:after="0"/>
              <w:rPr>
                <w:sz w:val="20"/>
                <w:szCs w:val="20"/>
                <w:color w:val="auto"/>
              </w:rPr>
            </w:pPr>
            <w:r>
              <w:rPr>
                <w:rFonts w:ascii="Arial" w:cs="Arial" w:eastAsia="Arial" w:hAnsi="Arial"/>
                <w:sz w:val="16"/>
                <w:szCs w:val="16"/>
                <w:b w:val="1"/>
                <w:bCs w:val="1"/>
                <w:i w:val="1"/>
                <w:iCs w:val="1"/>
                <w:color w:val="auto"/>
              </w:rPr>
              <w:t>(In thousands)</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120" w:type="dxa"/>
            <w:vAlign w:val="bottom"/>
          </w:tcPr>
          <w:p>
            <w:pPr>
              <w:spacing w:after="0"/>
              <w:rPr>
                <w:sz w:val="20"/>
                <w:szCs w:val="20"/>
                <w:color w:val="auto"/>
              </w:rPr>
            </w:pPr>
            <w:r>
              <w:rPr>
                <w:rFonts w:ascii="Arial" w:cs="Arial" w:eastAsia="Arial" w:hAnsi="Arial"/>
                <w:sz w:val="18"/>
                <w:szCs w:val="18"/>
                <w:b w:val="1"/>
                <w:bCs w:val="1"/>
                <w:color w:val="auto"/>
              </w:rPr>
              <w:t>Money market funds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186,677</w:t>
            </w:r>
          </w:p>
        </w:tc>
        <w:tc>
          <w:tcPr>
            <w:tcW w:w="3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186,677</w:t>
            </w: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186,677</w:t>
            </w:r>
          </w:p>
        </w:tc>
        <w:tc>
          <w:tcPr>
            <w:tcW w:w="2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2120" w:type="dxa"/>
            <w:vAlign w:val="bottom"/>
          </w:tcPr>
          <w:p>
            <w:pPr>
              <w:spacing w:after="0"/>
              <w:rPr>
                <w:sz w:val="20"/>
                <w:szCs w:val="20"/>
                <w:color w:val="auto"/>
              </w:rPr>
            </w:pPr>
            <w:r>
              <w:rPr>
                <w:rFonts w:ascii="Arial" w:cs="Arial" w:eastAsia="Arial" w:hAnsi="Arial"/>
                <w:sz w:val="18"/>
                <w:szCs w:val="18"/>
                <w:b w:val="1"/>
                <w:bCs w:val="1"/>
                <w:color w:val="auto"/>
              </w:rPr>
              <w:t>Certificates of deposit</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14,506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14,515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14,515</w:t>
            </w:r>
          </w:p>
        </w:tc>
        <w:tc>
          <w:tcPr>
            <w:tcW w:w="0" w:type="dxa"/>
            <w:vAlign w:val="bottom"/>
          </w:tcPr>
          <w:p>
            <w:pPr>
              <w:spacing w:after="0"/>
              <w:rPr>
                <w:sz w:val="1"/>
                <w:szCs w:val="1"/>
                <w:color w:val="auto"/>
              </w:rPr>
            </w:pPr>
          </w:p>
        </w:tc>
      </w:tr>
      <w:tr>
        <w:trPr>
          <w:trHeight w:val="255"/>
        </w:trPr>
        <w:tc>
          <w:tcPr>
            <w:tcW w:w="2120" w:type="dxa"/>
            <w:vAlign w:val="bottom"/>
          </w:tcPr>
          <w:p>
            <w:pPr>
              <w:spacing w:after="0"/>
              <w:rPr>
                <w:sz w:val="20"/>
                <w:szCs w:val="20"/>
                <w:color w:val="auto"/>
              </w:rPr>
            </w:pPr>
            <w:r>
              <w:rPr>
                <w:rFonts w:ascii="Arial" w:cs="Arial" w:eastAsia="Arial" w:hAnsi="Arial"/>
                <w:sz w:val="18"/>
                <w:szCs w:val="18"/>
                <w:b w:val="1"/>
                <w:bCs w:val="1"/>
                <w:color w:val="auto"/>
              </w:rPr>
              <w:t>Commercial paper</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27,886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27,893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14,985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12,908</w:t>
            </w:r>
          </w:p>
        </w:tc>
        <w:tc>
          <w:tcPr>
            <w:tcW w:w="0" w:type="dxa"/>
            <w:vAlign w:val="bottom"/>
          </w:tcPr>
          <w:p>
            <w:pPr>
              <w:spacing w:after="0"/>
              <w:rPr>
                <w:sz w:val="1"/>
                <w:szCs w:val="1"/>
                <w:color w:val="auto"/>
              </w:rPr>
            </w:pPr>
          </w:p>
        </w:tc>
      </w:tr>
      <w:tr>
        <w:trPr>
          <w:trHeight w:val="255"/>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w w:val="95"/>
              </w:rPr>
              <w:t>Corporate notes and bonds</w:t>
            </w: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371,895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1,493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373,383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373,383</w:t>
            </w:r>
          </w:p>
        </w:tc>
        <w:tc>
          <w:tcPr>
            <w:tcW w:w="0" w:type="dxa"/>
            <w:vAlign w:val="bottom"/>
          </w:tcPr>
          <w:p>
            <w:pPr>
              <w:spacing w:after="0"/>
              <w:rPr>
                <w:sz w:val="1"/>
                <w:szCs w:val="1"/>
                <w:color w:val="auto"/>
              </w:rPr>
            </w:pPr>
          </w:p>
        </w:tc>
      </w:tr>
      <w:tr>
        <w:trPr>
          <w:trHeight w:val="255"/>
        </w:trPr>
        <w:tc>
          <w:tcPr>
            <w:tcW w:w="2120" w:type="dxa"/>
            <w:vAlign w:val="bottom"/>
          </w:tcPr>
          <w:p>
            <w:pPr>
              <w:spacing w:after="0"/>
              <w:rPr>
                <w:sz w:val="20"/>
                <w:szCs w:val="20"/>
                <w:color w:val="auto"/>
              </w:rPr>
            </w:pPr>
            <w:r>
              <w:rPr>
                <w:rFonts w:ascii="Arial" w:cs="Arial" w:eastAsia="Arial" w:hAnsi="Arial"/>
                <w:sz w:val="18"/>
                <w:szCs w:val="18"/>
                <w:b w:val="1"/>
                <w:bCs w:val="1"/>
                <w:color w:val="auto"/>
              </w:rPr>
              <w:t>U.S. Treasuries</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93,613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93,639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29,885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63,754</w:t>
            </w:r>
          </w:p>
        </w:tc>
        <w:tc>
          <w:tcPr>
            <w:tcW w:w="0" w:type="dxa"/>
            <w:vAlign w:val="bottom"/>
          </w:tcPr>
          <w:p>
            <w:pPr>
              <w:spacing w:after="0"/>
              <w:rPr>
                <w:sz w:val="1"/>
                <w:szCs w:val="1"/>
                <w:color w:val="auto"/>
              </w:rPr>
            </w:pPr>
          </w:p>
        </w:tc>
      </w:tr>
      <w:tr>
        <w:trPr>
          <w:trHeight w:val="255"/>
        </w:trPr>
        <w:tc>
          <w:tcPr>
            <w:tcW w:w="3260" w:type="dxa"/>
            <w:vAlign w:val="bottom"/>
            <w:gridSpan w:val="4"/>
          </w:tcPr>
          <w:p>
            <w:pPr>
              <w:spacing w:after="0"/>
              <w:rPr>
                <w:sz w:val="20"/>
                <w:szCs w:val="20"/>
                <w:color w:val="auto"/>
              </w:rPr>
            </w:pPr>
            <w:r>
              <w:rPr>
                <w:rFonts w:ascii="Arial" w:cs="Arial" w:eastAsia="Arial" w:hAnsi="Arial"/>
                <w:sz w:val="18"/>
                <w:szCs w:val="18"/>
                <w:b w:val="1"/>
                <w:bCs w:val="1"/>
                <w:color w:val="auto"/>
              </w:rPr>
              <w:t>U.S. Government agency securities</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572,311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1,669</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573,976</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573,976</w:t>
            </w:r>
          </w:p>
        </w:tc>
        <w:tc>
          <w:tcPr>
            <w:tcW w:w="0" w:type="dxa"/>
            <w:vAlign w:val="bottom"/>
          </w:tcPr>
          <w:p>
            <w:pPr>
              <w:spacing w:after="0"/>
              <w:rPr>
                <w:sz w:val="1"/>
                <w:szCs w:val="1"/>
                <w:color w:val="auto"/>
              </w:rPr>
            </w:pPr>
          </w:p>
        </w:tc>
      </w:tr>
      <w:tr>
        <w:trPr>
          <w:trHeight w:val="275"/>
        </w:trPr>
        <w:tc>
          <w:tcPr>
            <w:tcW w:w="212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1,266,888</w:t>
            </w:r>
          </w:p>
        </w:tc>
        <w:tc>
          <w:tcPr>
            <w:tcW w:w="80" w:type="dxa"/>
            <w:vAlign w:val="bottom"/>
            <w:gridSpan w:val="2"/>
          </w:tcPr>
          <w:p>
            <w:pPr>
              <w:spacing w:after="0"/>
              <w:rPr>
                <w:sz w:val="23"/>
                <w:szCs w:val="23"/>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3,206</w:t>
            </w:r>
          </w:p>
        </w:tc>
        <w:tc>
          <w:tcPr>
            <w:tcW w:w="60" w:type="dxa"/>
            <w:vAlign w:val="bottom"/>
          </w:tcPr>
          <w:p>
            <w:pPr>
              <w:spacing w:after="0"/>
              <w:rPr>
                <w:sz w:val="23"/>
                <w:szCs w:val="23"/>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gridSpan w:val="2"/>
          </w:tcPr>
          <w:p>
            <w:pPr>
              <w:spacing w:after="0"/>
              <w:rPr>
                <w:sz w:val="23"/>
                <w:szCs w:val="2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$ 1,270,083</w:t>
            </w:r>
          </w:p>
        </w:tc>
        <w:tc>
          <w:tcPr>
            <w:tcW w:w="60" w:type="dxa"/>
            <w:vAlign w:val="bottom"/>
          </w:tcPr>
          <w:p>
            <w:pPr>
              <w:spacing w:after="0"/>
              <w:rPr>
                <w:sz w:val="23"/>
                <w:szCs w:val="23"/>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231,547</w:t>
            </w:r>
          </w:p>
        </w:tc>
        <w:tc>
          <w:tcPr>
            <w:tcW w:w="80" w:type="dxa"/>
            <w:vAlign w:val="bottom"/>
            <w:gridSpan w:val="2"/>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1,038,536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center"/>
              <w:ind w:right="131"/>
              <w:spacing w:after="0"/>
              <w:rPr>
                <w:sz w:val="20"/>
                <w:szCs w:val="20"/>
                <w:color w:val="auto"/>
              </w:rPr>
            </w:pPr>
            <w:r>
              <w:rPr>
                <w:rFonts w:ascii="Arial" w:cs="Arial" w:eastAsia="Arial" w:hAnsi="Arial"/>
                <w:sz w:val="16"/>
                <w:szCs w:val="16"/>
                <w:b w:val="1"/>
                <w:bCs w:val="1"/>
                <w:color w:val="auto"/>
                <w:w w:val="99"/>
              </w:rPr>
              <w:t>As of December 31, 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9"/>
              </w:rPr>
              <w:t>Amortized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72"/>
              <w:spacing w:after="0" w:line="159" w:lineRule="exact"/>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33"/>
              <w:spacing w:after="0" w:line="159" w:lineRule="exact"/>
              <w:rPr>
                <w:sz w:val="20"/>
                <w:szCs w:val="20"/>
                <w:color w:val="auto"/>
              </w:rPr>
            </w:pPr>
            <w:r>
              <w:rPr>
                <w:rFonts w:ascii="Arial" w:cs="Arial" w:eastAsia="Arial" w:hAnsi="Arial"/>
                <w:sz w:val="16"/>
                <w:szCs w:val="16"/>
                <w:b w:val="1"/>
                <w:bCs w:val="1"/>
                <w:color w:val="auto"/>
                <w:w w:val="99"/>
              </w:rPr>
              <w:t>Fair Value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1"/>
              <w:spacing w:after="0" w:line="159" w:lineRule="exact"/>
              <w:rPr>
                <w:sz w:val="20"/>
                <w:szCs w:val="20"/>
                <w:color w:val="auto"/>
              </w:rPr>
            </w:pPr>
            <w:r>
              <w:rPr>
                <w:rFonts w:ascii="Arial" w:cs="Arial" w:eastAsia="Arial" w:hAnsi="Arial"/>
                <w:sz w:val="16"/>
                <w:szCs w:val="16"/>
                <w:b w:val="1"/>
                <w:bCs w:val="1"/>
                <w:color w:val="auto"/>
              </w:rPr>
              <w:t>Cash</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98"/>
              </w:rPr>
              <w:t>Marketable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52"/>
              <w:spacing w:after="0" w:line="159" w:lineRule="exact"/>
              <w:rPr>
                <w:sz w:val="20"/>
                <w:szCs w:val="20"/>
                <w:color w:val="auto"/>
              </w:rPr>
            </w:pPr>
            <w:r>
              <w:rPr>
                <w:rFonts w:ascii="Arial" w:cs="Arial" w:eastAsia="Arial" w:hAnsi="Arial"/>
                <w:sz w:val="16"/>
                <w:szCs w:val="16"/>
                <w:b w:val="1"/>
                <w:bCs w:val="1"/>
                <w:color w:val="auto"/>
                <w:w w:val="99"/>
              </w:rPr>
              <w:t>Restricted</w:t>
            </w:r>
          </w:p>
        </w:tc>
        <w:tc>
          <w:tcPr>
            <w:tcW w:w="0" w:type="dxa"/>
            <w:vAlign w:val="bottom"/>
          </w:tcPr>
          <w:p>
            <w:pPr>
              <w:spacing w:after="0"/>
              <w:rPr>
                <w:sz w:val="1"/>
                <w:szCs w:val="1"/>
                <w:color w:val="auto"/>
              </w:rPr>
            </w:pPr>
          </w:p>
        </w:tc>
      </w:tr>
      <w:tr>
        <w:trPr>
          <w:trHeight w:val="160"/>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00"/>
              <w:spacing w:after="0" w:line="160" w:lineRule="exact"/>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3"/>
                <w:szCs w:val="13"/>
                <w:color w:val="auto"/>
              </w:rPr>
            </w:pPr>
          </w:p>
        </w:tc>
        <w:tc>
          <w:tcPr>
            <w:tcW w:w="108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center"/>
              <w:ind w:right="60"/>
              <w:spacing w:after="0" w:line="160" w:lineRule="exact"/>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Equivalents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1"/>
              <w:spacing w:after="0" w:line="160" w:lineRule="exact"/>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2"/>
              <w:spacing w:after="0" w:line="160" w:lineRule="exact"/>
              <w:rPr>
                <w:sz w:val="20"/>
                <w:szCs w:val="20"/>
                <w:color w:val="auto"/>
              </w:rPr>
            </w:pPr>
            <w:r>
              <w:rPr>
                <w:rFonts w:ascii="Arial" w:cs="Arial" w:eastAsia="Arial" w:hAnsi="Arial"/>
                <w:sz w:val="16"/>
                <w:szCs w:val="16"/>
                <w:b w:val="1"/>
                <w:bCs w:val="1"/>
                <w:color w:val="auto"/>
              </w:rPr>
              <w:t>Cash</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8"/>
              </w:rPr>
              <w:t>Gains</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rPr>
              <w:t>Losses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gridSpan w:val="5"/>
          </w:tcPr>
          <w:p>
            <w:pPr>
              <w:jc w:val="right"/>
              <w:ind w:right="493"/>
              <w:spacing w:after="0"/>
              <w:rPr>
                <w:sz w:val="20"/>
                <w:szCs w:val="20"/>
                <w:color w:val="auto"/>
              </w:rPr>
            </w:pPr>
            <w:r>
              <w:rPr>
                <w:rFonts w:ascii="Arial" w:cs="Arial" w:eastAsia="Arial" w:hAnsi="Arial"/>
                <w:sz w:val="16"/>
                <w:szCs w:val="16"/>
                <w:b w:val="1"/>
                <w:bCs w:val="1"/>
                <w:i w:val="1"/>
                <w:iCs w:val="1"/>
                <w:color w:val="auto"/>
              </w:rPr>
              <w:t>(In thousands)</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120" w:type="dxa"/>
            <w:vAlign w:val="bottom"/>
          </w:tcPr>
          <w:p>
            <w:pPr>
              <w:spacing w:after="0"/>
              <w:rPr>
                <w:sz w:val="20"/>
                <w:szCs w:val="20"/>
                <w:color w:val="auto"/>
              </w:rPr>
            </w:pPr>
            <w:r>
              <w:rPr>
                <w:rFonts w:ascii="Arial" w:cs="Arial" w:eastAsia="Arial" w:hAnsi="Arial"/>
                <w:sz w:val="18"/>
                <w:szCs w:val="18"/>
                <w:b w:val="1"/>
                <w:bCs w:val="1"/>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191,410</w:t>
            </w:r>
          </w:p>
        </w:tc>
        <w:tc>
          <w:tcPr>
            <w:tcW w:w="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191,410</w:t>
            </w:r>
          </w:p>
        </w:tc>
        <w:tc>
          <w:tcPr>
            <w:tcW w:w="2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191,410</w:t>
            </w: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2120" w:type="dxa"/>
            <w:vAlign w:val="bottom"/>
          </w:tcPr>
          <w:p>
            <w:pPr>
              <w:spacing w:after="0"/>
              <w:rPr>
                <w:sz w:val="20"/>
                <w:szCs w:val="20"/>
                <w:color w:val="auto"/>
              </w:rPr>
            </w:pPr>
            <w:r>
              <w:rPr>
                <w:rFonts w:ascii="Arial" w:cs="Arial" w:eastAsia="Arial" w:hAnsi="Arial"/>
                <w:sz w:val="18"/>
                <w:szCs w:val="18"/>
                <w:b w:val="1"/>
                <w:bCs w:val="1"/>
                <w:color w:val="auto"/>
              </w:rPr>
              <w:t>Certificates of deposit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125,087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125,092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30,092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95,000</w:t>
            </w:r>
          </w:p>
        </w:tc>
        <w:tc>
          <w:tcPr>
            <w:tcW w:w="0" w:type="dxa"/>
            <w:vAlign w:val="bottom"/>
          </w:tcPr>
          <w:p>
            <w:pPr>
              <w:spacing w:after="0"/>
              <w:rPr>
                <w:sz w:val="1"/>
                <w:szCs w:val="1"/>
                <w:color w:val="auto"/>
              </w:rPr>
            </w:pPr>
          </w:p>
        </w:tc>
      </w:tr>
      <w:tr>
        <w:trPr>
          <w:trHeight w:val="255"/>
        </w:trPr>
        <w:tc>
          <w:tcPr>
            <w:tcW w:w="2120" w:type="dxa"/>
            <w:vAlign w:val="bottom"/>
          </w:tcPr>
          <w:p>
            <w:pPr>
              <w:spacing w:after="0"/>
              <w:rPr>
                <w:sz w:val="20"/>
                <w:szCs w:val="20"/>
                <w:color w:val="auto"/>
              </w:rPr>
            </w:pPr>
            <w:r>
              <w:rPr>
                <w:rFonts w:ascii="Arial" w:cs="Arial" w:eastAsia="Arial" w:hAnsi="Arial"/>
                <w:sz w:val="18"/>
                <w:szCs w:val="18"/>
                <w:b w:val="1"/>
                <w:bCs w:val="1"/>
                <w:color w:val="auto"/>
              </w:rPr>
              <w:t>Commercial paper</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30,681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30,713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30,713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120" w:type="dxa"/>
            <w:vAlign w:val="bottom"/>
          </w:tcPr>
          <w:p>
            <w:pPr>
              <w:spacing w:after="0" w:line="197" w:lineRule="exact"/>
              <w:rPr>
                <w:sz w:val="20"/>
                <w:szCs w:val="20"/>
                <w:color w:val="auto"/>
              </w:rPr>
            </w:pPr>
            <w:r>
              <w:rPr>
                <w:rFonts w:ascii="Arial" w:cs="Arial" w:eastAsia="Arial" w:hAnsi="Arial"/>
                <w:sz w:val="18"/>
                <w:szCs w:val="18"/>
                <w:b w:val="1"/>
                <w:bCs w:val="1"/>
                <w:color w:val="auto"/>
              </w:rPr>
              <w:t>Corporate notes and</w:t>
            </w: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449,612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(1,157)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449,570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449,570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2120" w:type="dxa"/>
            <w:vAlign w:val="bottom"/>
          </w:tcPr>
          <w:p>
            <w:pPr>
              <w:spacing w:after="0"/>
              <w:rPr>
                <w:sz w:val="20"/>
                <w:szCs w:val="20"/>
                <w:color w:val="auto"/>
              </w:rPr>
            </w:pPr>
            <w:r>
              <w:rPr>
                <w:rFonts w:ascii="Arial" w:cs="Arial" w:eastAsia="Arial" w:hAnsi="Arial"/>
                <w:sz w:val="18"/>
                <w:szCs w:val="18"/>
                <w:b w:val="1"/>
                <w:bCs w:val="1"/>
                <w:color w:val="auto"/>
              </w:rPr>
              <w:t>bonds</w:t>
            </w: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120" w:type="dxa"/>
            <w:vAlign w:val="bottom"/>
          </w:tcPr>
          <w:p>
            <w:pPr>
              <w:spacing w:after="0"/>
              <w:rPr>
                <w:sz w:val="20"/>
                <w:szCs w:val="20"/>
                <w:color w:val="auto"/>
              </w:rPr>
            </w:pPr>
            <w:r>
              <w:rPr>
                <w:rFonts w:ascii="Arial" w:cs="Arial" w:eastAsia="Arial" w:hAnsi="Arial"/>
                <w:sz w:val="18"/>
                <w:szCs w:val="18"/>
                <w:b w:val="1"/>
                <w:bCs w:val="1"/>
                <w:color w:val="auto"/>
              </w:rPr>
              <w:t>U.S. Treasuries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111,606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111,612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111,612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120" w:type="dxa"/>
            <w:vAlign w:val="bottom"/>
          </w:tcPr>
          <w:p>
            <w:pPr>
              <w:spacing w:after="0" w:line="197" w:lineRule="exact"/>
              <w:rPr>
                <w:sz w:val="20"/>
                <w:szCs w:val="20"/>
                <w:color w:val="auto"/>
              </w:rPr>
            </w:pPr>
            <w:r>
              <w:rPr>
                <w:rFonts w:ascii="Arial" w:cs="Arial" w:eastAsia="Arial" w:hAnsi="Arial"/>
                <w:sz w:val="18"/>
                <w:szCs w:val="18"/>
                <w:b w:val="1"/>
                <w:bCs w:val="1"/>
                <w:color w:val="auto"/>
                <w:w w:val="98"/>
              </w:rPr>
              <w:t>U.S. Government agency</w:t>
            </w: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631,389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631,493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631,493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1,539,785</w:t>
            </w:r>
          </w:p>
        </w:tc>
        <w:tc>
          <w:tcPr>
            <w:tcW w:w="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2,451</w:t>
            </w:r>
          </w:p>
        </w:tc>
        <w:tc>
          <w:tcPr>
            <w:tcW w:w="3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(2,346)</w:t>
            </w:r>
          </w:p>
        </w:tc>
        <w:tc>
          <w:tcPr>
            <w:tcW w:w="6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1,539,890</w:t>
            </w:r>
          </w:p>
        </w:tc>
        <w:tc>
          <w:tcPr>
            <w:tcW w:w="2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191,410</w:t>
            </w: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rPr>
              <w:t>$ 1,253,480</w:t>
            </w:r>
          </w:p>
        </w:tc>
        <w:tc>
          <w:tcPr>
            <w:tcW w:w="2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95,000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-3456940</wp:posOffset>
            </wp:positionV>
            <wp:extent cx="6553200" cy="12223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7">
                      <a:extLst>
                        <a:ext uri="{28A0092B-C50C-407E-A947-70E740481C1C}"/>
                      </a:extLst>
                    </a:blip>
                    <a:srcRect/>
                    <a:stretch>
                      <a:fillRect/>
                    </a:stretch>
                  </pic:blipFill>
                  <pic:spPr bwMode="auto">
                    <a:xfrm>
                      <a:off x="0" y="0"/>
                      <a:ext cx="6553200" cy="1222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-1431290</wp:posOffset>
            </wp:positionV>
            <wp:extent cx="6553200" cy="14509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48">
                      <a:extLst>
                        <a:ext uri="{28A0092B-C50C-407E-A947-70E740481C1C}"/>
                      </a:extLst>
                    </a:blip>
                    <a:srcRect/>
                    <a:stretch>
                      <a:fillRect/>
                    </a:stretch>
                  </pic:blipFill>
                  <pic:spPr bwMode="auto">
                    <a:xfrm>
                      <a:off x="0" y="0"/>
                      <a:ext cx="6553200" cy="1450975"/>
                    </a:xfrm>
                    <a:prstGeom prst="rect">
                      <a:avLst/>
                    </a:prstGeom>
                    <a:noFill/>
                  </pic:spPr>
                </pic:pic>
              </a:graphicData>
            </a:graphic>
          </wp:anchor>
        </w:drawing>
      </w:r>
    </w:p>
    <w:p>
      <w:pPr>
        <w:spacing w:after="0" w:line="115"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The following table summarizes the contractual maturities of the Company’s cash equivalents and marketable securities as of December 31, 2025:</w:t>
      </w:r>
    </w:p>
    <w:p>
      <w:pPr>
        <w:spacing w:after="0" w:line="114" w:lineRule="exact"/>
        <w:rPr>
          <w:sz w:val="20"/>
          <w:szCs w:val="20"/>
          <w:color w:val="auto"/>
        </w:rPr>
      </w:pPr>
    </w:p>
    <w:tbl>
      <w:tblPr>
        <w:tblLayout w:type="fixed"/>
        <w:tblInd w:w="50" w:type="dxa"/>
        <w:tblCellMar>
          <w:top w:w="0" w:type="dxa"/>
          <w:left w:w="0" w:type="dxa"/>
          <w:bottom w:w="0" w:type="dxa"/>
          <w:right w:w="0" w:type="dxa"/>
        </w:tblCellMar>
      </w:tblPr>
      <w:tr>
        <w:trPr>
          <w:trHeight w:val="222"/>
        </w:trPr>
        <w:tc>
          <w:tcPr>
            <w:tcW w:w="7520" w:type="dxa"/>
            <w:vAlign w:val="bottom"/>
          </w:tcPr>
          <w:p>
            <w:pPr>
              <w:spacing w:after="0"/>
              <w:rPr>
                <w:sz w:val="19"/>
                <w:szCs w:val="19"/>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Fair Value</w:t>
            </w:r>
          </w:p>
        </w:tc>
      </w:tr>
      <w:tr>
        <w:trPr>
          <w:trHeight w:val="269"/>
        </w:trPr>
        <w:tc>
          <w:tcPr>
            <w:tcW w:w="7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4"/>
          </w:tcPr>
          <w:p>
            <w:pPr>
              <w:jc w:val="right"/>
              <w:ind w:right="733"/>
              <w:spacing w:after="0"/>
              <w:rPr>
                <w:sz w:val="20"/>
                <w:szCs w:val="20"/>
                <w:color w:val="auto"/>
              </w:rPr>
            </w:pPr>
            <w:r>
              <w:rPr>
                <w:rFonts w:ascii="Arial" w:cs="Arial" w:eastAsia="Arial" w:hAnsi="Arial"/>
                <w:sz w:val="16"/>
                <w:szCs w:val="16"/>
                <w:b w:val="1"/>
                <w:bCs w:val="1"/>
                <w:i w:val="1"/>
                <w:iCs w:val="1"/>
                <w:color w:val="auto"/>
              </w:rPr>
              <w:t>(In thousands)</w:t>
            </w:r>
          </w:p>
        </w:tc>
      </w:tr>
      <w:tr>
        <w:trPr>
          <w:trHeight w:val="281"/>
        </w:trPr>
        <w:tc>
          <w:tcPr>
            <w:tcW w:w="7520" w:type="dxa"/>
            <w:vAlign w:val="bottom"/>
          </w:tcPr>
          <w:p>
            <w:pPr>
              <w:spacing w:after="0"/>
              <w:rPr>
                <w:sz w:val="20"/>
                <w:szCs w:val="20"/>
                <w:color w:val="auto"/>
              </w:rPr>
            </w:pPr>
            <w:r>
              <w:rPr>
                <w:rFonts w:ascii="Arial" w:cs="Arial" w:eastAsia="Arial" w:hAnsi="Arial"/>
                <w:sz w:val="18"/>
                <w:szCs w:val="18"/>
                <w:b w:val="1"/>
                <w:bCs w:val="1"/>
                <w:color w:val="auto"/>
              </w:rPr>
              <w:t>Due within one year</w:t>
            </w:r>
          </w:p>
        </w:tc>
        <w:tc>
          <w:tcPr>
            <w:tcW w:w="3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943,153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944,502</w:t>
            </w: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Due within one to three years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323,735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325,581</w:t>
            </w:r>
          </w:p>
        </w:tc>
      </w:tr>
      <w:tr>
        <w:trPr>
          <w:trHeight w:val="215"/>
        </w:trPr>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1,266,888</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1,270,083</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-516890</wp:posOffset>
            </wp:positionV>
            <wp:extent cx="6553200" cy="5365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49">
                      <a:extLst>
                        <a:ext uri="{28A0092B-C50C-407E-A947-70E740481C1C}"/>
                      </a:extLst>
                    </a:blip>
                    <a:srcRect/>
                    <a:stretch>
                      <a:fillRect/>
                    </a:stretch>
                  </pic:blipFill>
                  <pic:spPr bwMode="auto">
                    <a:xfrm>
                      <a:off x="0" y="0"/>
                      <a:ext cx="6553200" cy="536575"/>
                    </a:xfrm>
                    <a:prstGeom prst="rect">
                      <a:avLst/>
                    </a:prstGeom>
                    <a:noFill/>
                  </pic:spPr>
                </pic:pic>
              </a:graphicData>
            </a:graphic>
          </wp:anchor>
        </w:drawing>
      </w:r>
    </w:p>
    <w:p>
      <w:pPr>
        <w:spacing w:after="0" w:line="115"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All available-for-sale securities have been classified as current, based on management's intent and ability to use the funds in current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2265045</wp:posOffset>
                </wp:positionV>
                <wp:extent cx="633412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78.35pt" to="505.85pt,178.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2265045</wp:posOffset>
                </wp:positionV>
                <wp:extent cx="633412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78.35pt" to="505.85pt,178.3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88</w:t>
      </w:r>
    </w:p>
    <w:p>
      <w:pPr>
        <w:sectPr>
          <w:pgSz w:w="12240" w:h="15840" w:orient="portrait"/>
          <w:cols w:equalWidth="0" w:num="1">
            <w:col w:w="10270"/>
          </w:cols>
          <w:pgMar w:left="990" w:top="216" w:right="980" w:bottom="0" w:gutter="0" w:footer="0" w:header="0"/>
          <w:type w:val="continuous"/>
        </w:sectPr>
      </w:pPr>
    </w:p>
    <w:bookmarkStart w:id="88" w:name="page89"/>
    <w:bookmarkEnd w:id="88"/>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ind w:left="10" w:right="6060" w:hanging="10"/>
        <w:spacing w:after="0" w:line="395" w:lineRule="auto"/>
        <w:tabs>
          <w:tab w:leader="none" w:pos="55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OTHER FINANCIAL INFORMATION Prepaid Expenses and Other Current Assets</w:t>
      </w:r>
    </w:p>
    <w:p>
      <w:pPr>
        <w:ind w:left="550"/>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Prepaid expenses and other current assets consist of the following:</w:t>
      </w:r>
    </w:p>
    <w:p>
      <w:pPr>
        <w:spacing w:after="0" w:line="200" w:lineRule="exact"/>
        <w:rPr>
          <w:sz w:val="20"/>
          <w:szCs w:val="20"/>
          <w:color w:val="auto"/>
        </w:rPr>
      </w:pPr>
    </w:p>
    <w:p>
      <w:pPr>
        <w:spacing w:after="0" w:line="298"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320" w:type="dxa"/>
            <w:vAlign w:val="bottom"/>
            <w:gridSpan w:val="2"/>
          </w:tcPr>
          <w:p>
            <w:pPr>
              <w:jc w:val="right"/>
              <w:ind w:right="53"/>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December 31,</w:t>
            </w:r>
          </w:p>
        </w:tc>
      </w:tr>
      <w:tr>
        <w:trPr>
          <w:trHeight w:val="214"/>
        </w:trPr>
        <w:tc>
          <w:tcPr>
            <w:tcW w:w="7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2024</w:t>
            </w:r>
          </w:p>
        </w:tc>
      </w:tr>
      <w:tr>
        <w:trPr>
          <w:trHeight w:val="269"/>
        </w:trPr>
        <w:tc>
          <w:tcPr>
            <w:tcW w:w="7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gridSpan w:val="4"/>
          </w:tcPr>
          <w:p>
            <w:pPr>
              <w:jc w:val="right"/>
              <w:ind w:right="732"/>
              <w:spacing w:after="0"/>
              <w:rPr>
                <w:sz w:val="20"/>
                <w:szCs w:val="20"/>
                <w:color w:val="auto"/>
              </w:rPr>
            </w:pPr>
            <w:r>
              <w:rPr>
                <w:rFonts w:ascii="Arial" w:cs="Arial" w:eastAsia="Arial" w:hAnsi="Arial"/>
                <w:sz w:val="16"/>
                <w:szCs w:val="16"/>
                <w:b w:val="1"/>
                <w:bCs w:val="1"/>
                <w:i w:val="1"/>
                <w:iCs w:val="1"/>
                <w:color w:val="auto"/>
              </w:rPr>
              <w:t>(In thousands)</w:t>
            </w:r>
          </w:p>
        </w:tc>
      </w:tr>
      <w:tr>
        <w:trPr>
          <w:trHeight w:val="311"/>
        </w:trPr>
        <w:tc>
          <w:tcPr>
            <w:tcW w:w="7520" w:type="dxa"/>
            <w:vAlign w:val="bottom"/>
          </w:tcPr>
          <w:p>
            <w:pPr>
              <w:spacing w:after="0"/>
              <w:rPr>
                <w:sz w:val="20"/>
                <w:szCs w:val="20"/>
                <w:color w:val="auto"/>
              </w:rPr>
            </w:pPr>
            <w:r>
              <w:rPr>
                <w:rFonts w:ascii="Arial" w:cs="Arial" w:eastAsia="Arial" w:hAnsi="Arial"/>
                <w:sz w:val="18"/>
                <w:szCs w:val="18"/>
                <w:b w:val="1"/>
                <w:bCs w:val="1"/>
                <w:color w:val="auto"/>
              </w:rPr>
              <w:t>Prepaid income tax</w:t>
            </w:r>
          </w:p>
        </w:tc>
        <w:tc>
          <w:tcPr>
            <w:tcW w:w="32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354,080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111,090</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Grant receivable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76,621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15,123</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Loan receivable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48,324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97,053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94,522</w:t>
            </w:r>
          </w:p>
        </w:tc>
      </w:tr>
      <w:tr>
        <w:trPr>
          <w:trHeight w:val="245"/>
        </w:trPr>
        <w:tc>
          <w:tcPr>
            <w:tcW w:w="7520" w:type="dxa"/>
            <w:vAlign w:val="bottom"/>
          </w:tcPr>
          <w:p>
            <w:pPr>
              <w:ind w:left="120"/>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32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576,078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220,735</w:t>
            </w:r>
          </w:p>
        </w:tc>
      </w:tr>
      <w:tr>
        <w:trPr>
          <w:trHeight w:val="20"/>
        </w:trPr>
        <w:tc>
          <w:tcPr>
            <w:tcW w:w="7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553200" cy="9556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50">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11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Accrued Liabilities</w:t>
      </w:r>
    </w:p>
    <w:p>
      <w:pPr>
        <w:spacing w:after="0" w:line="130" w:lineRule="exact"/>
        <w:rPr>
          <w:sz w:val="20"/>
          <w:szCs w:val="20"/>
          <w:color w:val="auto"/>
        </w:rPr>
      </w:pPr>
    </w:p>
    <w:p>
      <w:pPr>
        <w:ind w:left="550"/>
        <w:spacing w:after="0"/>
        <w:rPr>
          <w:sz w:val="20"/>
          <w:szCs w:val="20"/>
          <w:color w:val="auto"/>
        </w:rPr>
      </w:pPr>
      <w:r>
        <w:rPr>
          <w:rFonts w:ascii="Arial" w:cs="Arial" w:eastAsia="Arial" w:hAnsi="Arial"/>
          <w:sz w:val="20"/>
          <w:szCs w:val="20"/>
          <w:b w:val="1"/>
          <w:bCs w:val="1"/>
          <w:color w:val="auto"/>
        </w:rPr>
        <w:t>Accrued liabilities consist of the following:</w:t>
      </w:r>
    </w:p>
    <w:p>
      <w:pPr>
        <w:spacing w:after="0" w:line="198"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32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right"/>
              <w:ind w:right="51"/>
              <w:spacing w:after="0"/>
              <w:rPr>
                <w:sz w:val="20"/>
                <w:szCs w:val="20"/>
                <w:color w:val="auto"/>
              </w:rPr>
            </w:pPr>
            <w:r>
              <w:rPr>
                <w:rFonts w:ascii="Arial" w:cs="Arial" w:eastAsia="Arial" w:hAnsi="Arial"/>
                <w:sz w:val="16"/>
                <w:szCs w:val="16"/>
                <w:b w:val="1"/>
                <w:bCs w:val="1"/>
                <w:color w:val="auto"/>
              </w:rPr>
              <w:t>December 31,</w:t>
            </w:r>
          </w:p>
        </w:tc>
      </w:tr>
      <w:tr>
        <w:trPr>
          <w:trHeight w:val="214"/>
        </w:trPr>
        <w:tc>
          <w:tcPr>
            <w:tcW w:w="7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r>
      <w:tr>
        <w:trPr>
          <w:trHeight w:val="269"/>
        </w:trPr>
        <w:tc>
          <w:tcPr>
            <w:tcW w:w="7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gridSpan w:val="4"/>
          </w:tcPr>
          <w:p>
            <w:pPr>
              <w:jc w:val="right"/>
              <w:ind w:right="731"/>
              <w:spacing w:after="0"/>
              <w:rPr>
                <w:sz w:val="20"/>
                <w:szCs w:val="20"/>
                <w:color w:val="auto"/>
              </w:rPr>
            </w:pPr>
            <w:r>
              <w:rPr>
                <w:rFonts w:ascii="Arial" w:cs="Arial" w:eastAsia="Arial" w:hAnsi="Arial"/>
                <w:sz w:val="16"/>
                <w:szCs w:val="16"/>
                <w:b w:val="1"/>
                <w:bCs w:val="1"/>
                <w:i w:val="1"/>
                <w:iCs w:val="1"/>
                <w:color w:val="auto"/>
              </w:rPr>
              <w:t>(In thousands)</w:t>
            </w:r>
          </w:p>
        </w:tc>
      </w:tr>
      <w:tr>
        <w:trPr>
          <w:trHeight w:val="311"/>
        </w:trPr>
        <w:tc>
          <w:tcPr>
            <w:tcW w:w="7520" w:type="dxa"/>
            <w:vAlign w:val="bottom"/>
          </w:tcPr>
          <w:p>
            <w:pPr>
              <w:spacing w:after="0"/>
              <w:rPr>
                <w:sz w:val="20"/>
                <w:szCs w:val="20"/>
                <w:color w:val="auto"/>
              </w:rPr>
            </w:pPr>
            <w:r>
              <w:rPr>
                <w:rFonts w:ascii="Arial" w:cs="Arial" w:eastAsia="Arial" w:hAnsi="Arial"/>
                <w:sz w:val="18"/>
                <w:szCs w:val="18"/>
                <w:b w:val="1"/>
                <w:bCs w:val="1"/>
                <w:color w:val="auto"/>
              </w:rPr>
              <w:t>Customer rebates and sales incentives</w:t>
            </w:r>
          </w:p>
        </w:tc>
        <w:tc>
          <w:tcPr>
            <w:tcW w:w="32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79,585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96,324</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Liability due to supply and service agreements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62,789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52,575</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Duties and tariffs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30,499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4,665</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Freight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8,034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7,497</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Salaries, commissions, incentive compensation and benefits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11,956</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Income tax payable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4,919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3,540</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Operating lease liabilities, current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5,815</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VAT payable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2,226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1,472</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Liabilities related to restructuring accruals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3,262</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9,781</w:t>
            </w:r>
          </w:p>
        </w:tc>
      </w:tr>
      <w:tr>
        <w:trPr>
          <w:trHeight w:val="245"/>
        </w:trPr>
        <w:tc>
          <w:tcPr>
            <w:tcW w:w="7520" w:type="dxa"/>
            <w:vAlign w:val="bottom"/>
          </w:tcPr>
          <w:p>
            <w:pPr>
              <w:ind w:left="120"/>
              <w:spacing w:after="0"/>
              <w:rPr>
                <w:sz w:val="20"/>
                <w:szCs w:val="20"/>
                <w:color w:val="auto"/>
              </w:rPr>
            </w:pPr>
            <w:r>
              <w:rPr>
                <w:rFonts w:ascii="Arial" w:cs="Arial" w:eastAsia="Arial" w:hAnsi="Arial"/>
                <w:sz w:val="18"/>
                <w:szCs w:val="18"/>
                <w:b w:val="1"/>
                <w:bCs w:val="1"/>
                <w:color w:val="auto"/>
              </w:rPr>
              <w:t>Total accrued liabilities</w:t>
            </w:r>
          </w:p>
        </w:tc>
        <w:tc>
          <w:tcPr>
            <w:tcW w:w="32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217,366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196,887</w:t>
            </w:r>
          </w:p>
        </w:tc>
      </w:tr>
      <w:tr>
        <w:trPr>
          <w:trHeight w:val="20"/>
        </w:trPr>
        <w:tc>
          <w:tcPr>
            <w:tcW w:w="7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-2021840</wp:posOffset>
            </wp:positionV>
            <wp:extent cx="6553200" cy="20415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51">
                      <a:extLst>
                        <a:ext uri="{28A0092B-C50C-407E-A947-70E740481C1C}"/>
                      </a:extLst>
                    </a:blip>
                    <a:srcRect/>
                    <a:stretch>
                      <a:fillRect/>
                    </a:stretch>
                  </pic:blipFill>
                  <pic:spPr bwMode="auto">
                    <a:xfrm>
                      <a:off x="0" y="0"/>
                      <a:ext cx="6553200" cy="2041525"/>
                    </a:xfrm>
                    <a:prstGeom prst="rect">
                      <a:avLst/>
                    </a:prstGeom>
                    <a:noFill/>
                  </pic:spPr>
                </pic:pic>
              </a:graphicData>
            </a:graphic>
          </wp:anchor>
        </w:drawing>
      </w:r>
    </w:p>
    <w:p>
      <w:pPr>
        <w:spacing w:after="0" w:line="115" w:lineRule="exact"/>
        <w:rPr>
          <w:sz w:val="20"/>
          <w:szCs w:val="20"/>
          <w:color w:val="auto"/>
        </w:rPr>
      </w:pPr>
    </w:p>
    <w:p>
      <w:pPr>
        <w:ind w:left="550" w:hanging="550"/>
        <w:spacing w:after="0"/>
        <w:tabs>
          <w:tab w:leader="none" w:pos="55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WARRANTY OBLIGATIONS</w:t>
      </w:r>
    </w:p>
    <w:p>
      <w:pPr>
        <w:spacing w:after="0" w:line="130" w:lineRule="exact"/>
        <w:rPr>
          <w:rFonts w:ascii="Arial" w:cs="Arial" w:eastAsia="Arial" w:hAnsi="Arial"/>
          <w:sz w:val="20"/>
          <w:szCs w:val="20"/>
          <w:b w:val="1"/>
          <w:bCs w:val="1"/>
          <w:color w:val="auto"/>
        </w:rPr>
      </w:pPr>
    </w:p>
    <w:p>
      <w:pPr>
        <w:ind w:left="55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The Company’s warranty obligation activities were as follows:</w:t>
      </w:r>
    </w:p>
    <w:p>
      <w:pPr>
        <w:spacing w:after="0" w:line="201"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6"/>
                <w:szCs w:val="16"/>
                <w:b w:val="1"/>
                <w:bCs w:val="1"/>
                <w:color w:val="auto"/>
                <w:w w:val="99"/>
              </w:rPr>
              <w:t>Years Ended December 31,</w:t>
            </w:r>
          </w:p>
        </w:tc>
        <w:tc>
          <w:tcPr>
            <w:tcW w:w="92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r>
      <w:tr>
        <w:trPr>
          <w:trHeight w:val="269"/>
        </w:trPr>
        <w:tc>
          <w:tcPr>
            <w:tcW w:w="6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center"/>
              <w:ind w:right="52"/>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81"/>
        </w:trPr>
        <w:tc>
          <w:tcPr>
            <w:tcW w:w="6140" w:type="dxa"/>
            <w:vAlign w:val="bottom"/>
          </w:tcPr>
          <w:p>
            <w:pPr>
              <w:spacing w:after="0"/>
              <w:rPr>
                <w:sz w:val="20"/>
                <w:szCs w:val="20"/>
                <w:color w:val="auto"/>
              </w:rPr>
            </w:pPr>
            <w:r>
              <w:rPr>
                <w:rFonts w:ascii="Arial" w:cs="Arial" w:eastAsia="Arial" w:hAnsi="Arial"/>
                <w:sz w:val="18"/>
                <w:szCs w:val="18"/>
                <w:b w:val="1"/>
                <w:bCs w:val="1"/>
                <w:color w:val="auto"/>
              </w:rPr>
              <w:t>Warranty obligations, beginning of period</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192,889</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189,087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131,446</w:t>
            </w: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Accruals for warranties issued during period</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29,108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27,544</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51,866</w:t>
            </w: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Expense (benefit) from changes in estimates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12,500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1,082</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(19,176)</w:t>
            </w:r>
          </w:p>
        </w:tc>
      </w:tr>
      <w:tr>
        <w:trPr>
          <w:trHeight w:val="25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Settlements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(27,086)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(27,611)</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(27,216)</w:t>
            </w:r>
          </w:p>
        </w:tc>
      </w:tr>
      <w:tr>
        <w:trPr>
          <w:trHeight w:val="251"/>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Increase due to accretion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13,399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11,010</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13,821</w:t>
            </w:r>
          </w:p>
        </w:tc>
      </w:tr>
      <w:tr>
        <w:trPr>
          <w:trHeight w:val="256"/>
        </w:trPr>
        <w:tc>
          <w:tcPr>
            <w:tcW w:w="6140" w:type="dxa"/>
            <w:vAlign w:val="bottom"/>
          </w:tcPr>
          <w:p>
            <w:pPr>
              <w:ind w:left="220"/>
              <w:spacing w:after="0" w:line="256" w:lineRule="exact"/>
              <w:rPr>
                <w:sz w:val="20"/>
                <w:szCs w:val="20"/>
                <w:color w:val="auto"/>
              </w:rPr>
            </w:pPr>
            <w:r>
              <w:rPr>
                <w:rFonts w:ascii="Arial" w:cs="Arial" w:eastAsia="Arial" w:hAnsi="Arial"/>
                <w:sz w:val="18"/>
                <w:szCs w:val="18"/>
                <w:b w:val="1"/>
                <w:bCs w:val="1"/>
                <w:color w:val="auto"/>
              </w:rPr>
              <w:t xml:space="preserve">Change in discount rate </w:t>
            </w:r>
            <w:r>
              <w:rPr>
                <w:rFonts w:ascii="Arial" w:cs="Arial" w:eastAsia="Arial" w:hAnsi="Arial"/>
                <w:sz w:val="23"/>
                <w:szCs w:val="23"/>
                <w:b w:val="1"/>
                <w:bCs w:val="1"/>
                <w:color w:val="auto"/>
                <w:vertAlign w:val="superscript"/>
              </w:rPr>
              <w:t>(1)</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44,422</w:t>
            </w:r>
          </w:p>
        </w:tc>
      </w:tr>
      <w:tr>
        <w:trPr>
          <w:trHeight w:val="242"/>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(6,564)</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(7,764)</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(6,076)</w:t>
            </w:r>
          </w:p>
        </w:tc>
      </w:tr>
      <w:tr>
        <w:trPr>
          <w:trHeight w:val="239"/>
        </w:trPr>
        <w:tc>
          <w:tcPr>
            <w:tcW w:w="6140" w:type="dxa"/>
            <w:vAlign w:val="bottom"/>
          </w:tcPr>
          <w:p>
            <w:pPr>
              <w:spacing w:after="0"/>
              <w:rPr>
                <w:sz w:val="20"/>
                <w:szCs w:val="20"/>
                <w:color w:val="auto"/>
              </w:rPr>
            </w:pPr>
            <w:r>
              <w:rPr>
                <w:rFonts w:ascii="Arial" w:cs="Arial" w:eastAsia="Arial" w:hAnsi="Arial"/>
                <w:sz w:val="18"/>
                <w:szCs w:val="18"/>
                <w:b w:val="1"/>
                <w:bCs w:val="1"/>
                <w:color w:val="auto"/>
              </w:rPr>
              <w:t>Warranty obligations, end of period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214,043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192,889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189,087</w:t>
            </w:r>
          </w:p>
        </w:tc>
      </w:tr>
      <w:tr>
        <w:trPr>
          <w:trHeight w:val="251"/>
        </w:trPr>
        <w:tc>
          <w:tcPr>
            <w:tcW w:w="6140" w:type="dxa"/>
            <w:vAlign w:val="bottom"/>
          </w:tcPr>
          <w:p>
            <w:pPr>
              <w:ind w:left="120"/>
              <w:spacing w:after="0"/>
              <w:rPr>
                <w:sz w:val="20"/>
                <w:szCs w:val="20"/>
                <w:color w:val="auto"/>
              </w:rPr>
            </w:pPr>
            <w:r>
              <w:rPr>
                <w:rFonts w:ascii="Arial" w:cs="Arial" w:eastAsia="Arial" w:hAnsi="Arial"/>
                <w:sz w:val="18"/>
                <w:szCs w:val="18"/>
                <w:b w:val="1"/>
                <w:bCs w:val="1"/>
                <w:color w:val="auto"/>
              </w:rPr>
              <w:t>Less: warranty obligations, current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(29,038)</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(34,656)</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(36,066)</w:t>
            </w:r>
          </w:p>
        </w:tc>
      </w:tr>
      <w:tr>
        <w:trPr>
          <w:trHeight w:val="215"/>
        </w:trPr>
        <w:tc>
          <w:tcPr>
            <w:tcW w:w="6140" w:type="dxa"/>
            <w:vAlign w:val="bottom"/>
          </w:tcPr>
          <w:p>
            <w:pPr>
              <w:ind w:left="240"/>
              <w:spacing w:after="0"/>
              <w:rPr>
                <w:sz w:val="20"/>
                <w:szCs w:val="20"/>
                <w:color w:val="auto"/>
              </w:rPr>
            </w:pPr>
            <w:r>
              <w:rPr>
                <w:rFonts w:ascii="Arial" w:cs="Arial" w:eastAsia="Arial" w:hAnsi="Arial"/>
                <w:sz w:val="18"/>
                <w:szCs w:val="18"/>
                <w:b w:val="1"/>
                <w:bCs w:val="1"/>
                <w:color w:val="auto"/>
              </w:rPr>
              <w:t>Warranty obligations, non-current</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185,005</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158,233</w:t>
            </w:r>
          </w:p>
        </w:tc>
        <w:tc>
          <w:tcPr>
            <w:tcW w:w="60" w:type="dxa"/>
            <w:vAlign w:val="bottom"/>
          </w:tcPr>
          <w:p>
            <w:pPr>
              <w:spacing w:after="0"/>
              <w:rPr>
                <w:sz w:val="18"/>
                <w:szCs w:val="18"/>
                <w:color w:val="auto"/>
              </w:rPr>
            </w:pP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153,021</w:t>
            </w:r>
          </w:p>
        </w:tc>
      </w:tr>
      <w:tr>
        <w:trPr>
          <w:trHeight w:val="20"/>
        </w:trPr>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-1640840</wp:posOffset>
            </wp:positionV>
            <wp:extent cx="6553200" cy="16605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52">
                      <a:extLst>
                        <a:ext uri="{28A0092B-C50C-407E-A947-70E740481C1C}"/>
                      </a:extLst>
                    </a:blip>
                    <a:srcRect/>
                    <a:stretch>
                      <a:fillRect/>
                    </a:stretch>
                  </pic:blipFill>
                  <pic:spPr bwMode="auto">
                    <a:xfrm>
                      <a:off x="0" y="0"/>
                      <a:ext cx="6553200" cy="16605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90170</wp:posOffset>
                </wp:positionH>
                <wp:positionV relativeFrom="paragraph">
                  <wp:posOffset>642620</wp:posOffset>
                </wp:positionV>
                <wp:extent cx="633412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50.6pt" to="505.85pt,5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642620</wp:posOffset>
                </wp:positionV>
                <wp:extent cx="633412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50.6pt" to="505.85pt,50.6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89</w:t>
      </w:r>
    </w:p>
    <w:p>
      <w:pPr>
        <w:sectPr>
          <w:pgSz w:w="12240" w:h="15840" w:orient="portrait"/>
          <w:cols w:equalWidth="0" w:num="1">
            <w:col w:w="10270"/>
          </w:cols>
          <w:pgMar w:left="990" w:top="216" w:right="980" w:bottom="0" w:gutter="0" w:footer="0" w:header="0"/>
          <w:type w:val="continuous"/>
        </w:sectPr>
      </w:pPr>
    </w:p>
    <w:bookmarkStart w:id="89" w:name="page90"/>
    <w:bookmarkEnd w:id="89"/>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3817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5pt" to="50.25pt,19.7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 w:right="20" w:hanging="10"/>
        <w:spacing w:after="0" w:line="287" w:lineRule="auto"/>
        <w:tabs>
          <w:tab w:leader="none" w:pos="323"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Refer to </w:t>
      </w:r>
      <w:r>
        <w:rPr>
          <w:rFonts w:ascii="Arial" w:cs="Arial" w:eastAsia="Arial" w:hAnsi="Arial"/>
          <w:sz w:val="20"/>
          <w:szCs w:val="20"/>
          <w:b w:val="1"/>
          <w:bCs w:val="1"/>
          <w:u w:val="single" w:color="auto"/>
          <w:color w:val="0000FF"/>
        </w:rPr>
        <w:t>Note 10</w:t>
      </w:r>
      <w:r>
        <w:rPr>
          <w:rFonts w:ascii="Arial" w:cs="Arial" w:eastAsia="Arial" w:hAnsi="Arial"/>
          <w:sz w:val="20"/>
          <w:szCs w:val="20"/>
          <w:b w:val="1"/>
          <w:bCs w:val="1"/>
          <w:color w:val="auto"/>
        </w:rPr>
        <w:t>, “Fair Value Measurements” for additional information about the monetary impact for changes in the discount rate.</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Changes in Estimates</w:t>
      </w:r>
    </w:p>
    <w:p>
      <w:pPr>
        <w:spacing w:after="0" w:line="130" w:lineRule="exact"/>
        <w:rPr>
          <w:sz w:val="20"/>
          <w:szCs w:val="20"/>
          <w:color w:val="auto"/>
        </w:rPr>
      </w:pPr>
    </w:p>
    <w:p>
      <w:pPr>
        <w:jc w:val="both"/>
        <w:ind w:left="10" w:firstLine="540"/>
        <w:spacing w:after="0" w:line="273" w:lineRule="auto"/>
        <w:rPr>
          <w:sz w:val="20"/>
          <w:szCs w:val="20"/>
          <w:color w:val="auto"/>
        </w:rPr>
      </w:pPr>
      <w:r>
        <w:rPr>
          <w:rFonts w:ascii="Arial" w:cs="Arial" w:eastAsia="Arial" w:hAnsi="Arial"/>
          <w:sz w:val="19"/>
          <w:szCs w:val="19"/>
          <w:b w:val="1"/>
          <w:bCs w:val="1"/>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battery and related accessories. The changes in estimates discussed below resulted from consideration of new or additional information becoming available and subsequent developments. Changes in estimates included in the table above were comprised of the following:</w:t>
      </w:r>
    </w:p>
    <w:p>
      <w:pPr>
        <w:spacing w:after="0" w:line="71"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2025</w:t>
      </w:r>
    </w:p>
    <w:p>
      <w:pPr>
        <w:spacing w:after="0" w:line="128" w:lineRule="exact"/>
        <w:rPr>
          <w:sz w:val="20"/>
          <w:szCs w:val="20"/>
          <w:color w:val="auto"/>
        </w:rPr>
      </w:pPr>
    </w:p>
    <w:p>
      <w:pPr>
        <w:jc w:val="both"/>
        <w:ind w:left="10" w:right="20" w:firstLine="540"/>
        <w:spacing w:after="0" w:line="257" w:lineRule="auto"/>
        <w:rPr>
          <w:sz w:val="20"/>
          <w:szCs w:val="20"/>
          <w:color w:val="auto"/>
        </w:rPr>
      </w:pPr>
      <w:r>
        <w:rPr>
          <w:rFonts w:ascii="Arial" w:cs="Arial" w:eastAsia="Arial" w:hAnsi="Arial"/>
          <w:sz w:val="20"/>
          <w:szCs w:val="20"/>
          <w:b w:val="1"/>
          <w:bCs w:val="1"/>
          <w:color w:val="auto"/>
        </w:rPr>
        <w:t>In the year ended December 31, 2025, the Company recorded $12.5 million in warranty expense from changes in estimates, of which $13.7 million related to an increase in product replacement costs primarily for estimated additional tariff costs and $6.1 million related to continuing analysis of field performance data and diagnostic root-cause failure analysis primarily for prior generation products, partially offset by $7.3 million related to continuing analysis of field performance data and diagnostic root-cause failure analysis for Enphase IQ Battery storage systems.</w:t>
      </w:r>
    </w:p>
    <w:p>
      <w:pPr>
        <w:spacing w:after="0" w:line="84"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2024</w:t>
      </w:r>
    </w:p>
    <w:p>
      <w:pPr>
        <w:spacing w:after="0" w:line="128" w:lineRule="exact"/>
        <w:rPr>
          <w:sz w:val="20"/>
          <w:szCs w:val="20"/>
          <w:color w:val="auto"/>
        </w:rPr>
      </w:pPr>
    </w:p>
    <w:p>
      <w:pPr>
        <w:jc w:val="both"/>
        <w:ind w:left="10" w:right="20" w:firstLine="540"/>
        <w:spacing w:after="0" w:line="268" w:lineRule="auto"/>
        <w:rPr>
          <w:sz w:val="20"/>
          <w:szCs w:val="20"/>
          <w:color w:val="auto"/>
        </w:rPr>
      </w:pPr>
      <w:r>
        <w:rPr>
          <w:rFonts w:ascii="Arial" w:cs="Arial" w:eastAsia="Arial" w:hAnsi="Arial"/>
          <w:sz w:val="19"/>
          <w:szCs w:val="19"/>
          <w:b w:val="1"/>
          <w:bCs w:val="1"/>
          <w:color w:val="auto"/>
        </w:rPr>
        <w:t>In the year ended December 31, 2024, the Company recorded $1.1 million in warranty expense from changes in estimates, of which $10.2 million related to the Company proactively addressing certain component defects in a specific population of products that did not meet the Company’s high quality standards, $6.0 million for continuing analysis of field performance data and diagnostic root-cause failure analysis primarily related to prior generation products, $5.8 million from increase in product replacement costs due to increase in freight costs as well as $0.5 million related to increasing the warranty term to 20 years for microinverter units sold in Mexico, Colombia, Panama, Costa Rica and nine Caribbean countries. This expense was partially offset by a benefit from $17.0 million related to a decrease in product replacement costs primarily associated with Enphase IQ Battery storage systems and related accessories as the Company expanded its network of field service technicians in the United States, Europe and Australia to provide direct homeowner assistance, and $4.4 million related to continuing analysis of field performance data and diagnostic root-cause failure analysis for early generations of the Enphase IQ Battery storage system.</w:t>
      </w:r>
    </w:p>
    <w:p>
      <w:pPr>
        <w:spacing w:after="0" w:line="74"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2023</w:t>
      </w:r>
    </w:p>
    <w:p>
      <w:pPr>
        <w:spacing w:after="0" w:line="128" w:lineRule="exact"/>
        <w:rPr>
          <w:sz w:val="20"/>
          <w:szCs w:val="20"/>
          <w:color w:val="auto"/>
        </w:rPr>
      </w:pPr>
    </w:p>
    <w:p>
      <w:pPr>
        <w:jc w:val="both"/>
        <w:ind w:left="10" w:firstLine="540"/>
        <w:spacing w:after="0" w:line="270" w:lineRule="auto"/>
        <w:rPr>
          <w:sz w:val="20"/>
          <w:szCs w:val="20"/>
          <w:color w:val="auto"/>
        </w:rPr>
      </w:pPr>
      <w:r>
        <w:rPr>
          <w:rFonts w:ascii="Arial" w:cs="Arial" w:eastAsia="Arial" w:hAnsi="Arial"/>
          <w:sz w:val="19"/>
          <w:szCs w:val="19"/>
          <w:b w:val="1"/>
          <w:bCs w:val="1"/>
          <w:color w:val="auto"/>
        </w:rPr>
        <w:t>In the year ended December 31, 2023, the Company recorded $19.2 million in warranty benefit from changes in estimates, of which $27.3 million related to a decrease in product replacement costs related to Enphase IQ Battery storage systems and accessories as the Company expanded its network of field service technicians in the United States, Europe and Australia to provide direct homeowner assistance, and $8.8 million related to a decrease in product replacement costs for all other products. This benefit was partially offset by $8.6 million related to the Company proactively addressing certain component defects in a specific population of products that did not meet the Company's high quality standards as well as continuing analysis of field performance data and diagnostic root-cause failure analysis primarily for prior generation products and $8.3 million for increasing the warranty period for the IQ Battery from 10 years to 15 years.</w:t>
      </w:r>
    </w:p>
    <w:p>
      <w:pPr>
        <w:spacing w:after="0" w:line="68" w:lineRule="exact"/>
        <w:rPr>
          <w:sz w:val="20"/>
          <w:szCs w:val="20"/>
          <w:color w:val="auto"/>
        </w:rPr>
      </w:pPr>
    </w:p>
    <w:p>
      <w:pPr>
        <w:ind w:left="550" w:hanging="550"/>
        <w:spacing w:after="0"/>
        <w:tabs>
          <w:tab w:leader="none" w:pos="55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130" w:lineRule="exact"/>
        <w:rPr>
          <w:sz w:val="20"/>
          <w:szCs w:val="20"/>
          <w:color w:val="auto"/>
        </w:rPr>
      </w:pPr>
    </w:p>
    <w:p>
      <w:pPr>
        <w:jc w:val="both"/>
        <w:ind w:left="10" w:right="20" w:firstLine="540"/>
        <w:spacing w:after="0" w:line="257" w:lineRule="auto"/>
        <w:rPr>
          <w:sz w:val="20"/>
          <w:szCs w:val="20"/>
          <w:color w:val="auto"/>
        </w:rPr>
      </w:pPr>
      <w:r>
        <w:rPr>
          <w:rFonts w:ascii="Arial" w:cs="Arial" w:eastAsia="Arial" w:hAnsi="Arial"/>
          <w:sz w:val="20"/>
          <w:szCs w:val="20"/>
          <w:b w:val="1"/>
          <w:bCs w:val="1"/>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727075</wp:posOffset>
                </wp:positionV>
                <wp:extent cx="633412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57.25pt" to="505.85pt,5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727075</wp:posOffset>
                </wp:positionV>
                <wp:extent cx="633412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57.25pt" to="505.85pt,57.2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90</w:t>
      </w:r>
    </w:p>
    <w:p>
      <w:pPr>
        <w:sectPr>
          <w:pgSz w:w="12240" w:h="15840" w:orient="portrait"/>
          <w:cols w:equalWidth="0" w:num="1">
            <w:col w:w="10270"/>
          </w:cols>
          <w:pgMar w:left="990" w:top="216" w:right="980" w:bottom="0" w:gutter="0" w:footer="0" w:header="0"/>
          <w:type w:val="continuous"/>
        </w:sectPr>
      </w:pPr>
    </w:p>
    <w:bookmarkStart w:id="90" w:name="page91"/>
    <w:bookmarkEnd w:id="90"/>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76" w:lineRule="exact"/>
        <w:rPr>
          <w:sz w:val="20"/>
          <w:szCs w:val="20"/>
          <w:color w:val="auto"/>
        </w:rPr>
      </w:pPr>
    </w:p>
    <w:p>
      <w:pPr>
        <w:jc w:val="both"/>
        <w:ind w:left="720" w:right="20" w:hanging="370"/>
        <w:spacing w:after="0" w:line="262" w:lineRule="auto"/>
        <w:tabs>
          <w:tab w:leader="none" w:pos="7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Level 1 - 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75"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Level 2 - Valuations based on one or more quoted prices in markets that are not active or for which all significant inputs are observable, either directly or indirectly.</w:t>
      </w:r>
    </w:p>
    <w:p>
      <w:pPr>
        <w:spacing w:after="0" w:line="49" w:lineRule="exact"/>
        <w:rPr>
          <w:rFonts w:ascii="Arial" w:cs="Arial" w:eastAsia="Arial" w:hAnsi="Arial"/>
          <w:sz w:val="20"/>
          <w:szCs w:val="20"/>
          <w:b w:val="1"/>
          <w:bCs w:val="1"/>
          <w:color w:val="auto"/>
        </w:rPr>
      </w:pPr>
    </w:p>
    <w:p>
      <w:pPr>
        <w:ind w:left="720" w:right="20" w:hanging="370"/>
        <w:spacing w:after="0" w:line="287" w:lineRule="auto"/>
        <w:tabs>
          <w:tab w:leader="none" w:pos="7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Level 3 - Valuations based on inputs that are unobservable and significant to the overall fair value measurement.</w:t>
      </w:r>
    </w:p>
    <w:p>
      <w:pPr>
        <w:spacing w:after="0" w:line="50" w:lineRule="exact"/>
        <w:rPr>
          <w:sz w:val="20"/>
          <w:szCs w:val="20"/>
          <w:color w:val="auto"/>
        </w:rPr>
      </w:pPr>
    </w:p>
    <w:p>
      <w:pPr>
        <w:ind w:right="20" w:firstLine="540"/>
        <w:spacing w:after="0" w:line="287" w:lineRule="auto"/>
        <w:rPr>
          <w:sz w:val="20"/>
          <w:szCs w:val="20"/>
          <w:color w:val="auto"/>
        </w:rPr>
      </w:pPr>
      <w:r>
        <w:rPr>
          <w:rFonts w:ascii="Arial" w:cs="Arial" w:eastAsia="Arial" w:hAnsi="Arial"/>
          <w:sz w:val="20"/>
          <w:szCs w:val="20"/>
          <w:b w:val="1"/>
          <w:bCs w:val="1"/>
          <w:color w:val="auto"/>
        </w:rPr>
        <w:t>The following table presents assets and liabilities measured at fair value on a recurring basis using the above input categories: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December 31, 2025</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December 31, 2024</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gridSpan w:val="4"/>
          </w:tcPr>
          <w:p>
            <w:pPr>
              <w:jc w:val="right"/>
              <w:ind w:right="531"/>
              <w:spacing w:after="0"/>
              <w:rPr>
                <w:sz w:val="20"/>
                <w:szCs w:val="20"/>
                <w:color w:val="auto"/>
              </w:rPr>
            </w:pPr>
            <w:r>
              <w:rPr>
                <w:rFonts w:ascii="Arial" w:cs="Arial" w:eastAsia="Arial" w:hAnsi="Arial"/>
                <w:sz w:val="16"/>
                <w:szCs w:val="16"/>
                <w:b w:val="1"/>
                <w:bCs w:val="1"/>
                <w:i w:val="1"/>
                <w:iCs w:val="1"/>
                <w:color w:val="auto"/>
              </w:rPr>
              <w:t>(In thousands)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260" w:type="dxa"/>
            <w:vAlign w:val="bottom"/>
          </w:tcPr>
          <w:p>
            <w:pPr>
              <w:ind w:left="140"/>
              <w:spacing w:after="0" w:line="191" w:lineRule="exact"/>
              <w:rPr>
                <w:sz w:val="20"/>
                <w:szCs w:val="20"/>
                <w:color w:val="auto"/>
              </w:rPr>
            </w:pPr>
            <w:r>
              <w:rPr>
                <w:rFonts w:ascii="Arial" w:cs="Arial" w:eastAsia="Arial" w:hAnsi="Arial"/>
                <w:sz w:val="18"/>
                <w:szCs w:val="18"/>
                <w:b w:val="1"/>
                <w:bCs w:val="1"/>
                <w:i w:val="1"/>
                <w:iCs w:val="1"/>
                <w:color w:val="auto"/>
                <w:w w:val="95"/>
              </w:rPr>
              <w:t>Cash equivalents, restricted cash and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marketable securities: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Money market funds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186,677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191,410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Certificates of deposit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95,000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Commercial paper</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14,985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U.S. Treasuries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29,885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32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Marketable securities: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Certificates of deposit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14,515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30,092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Commercial paper</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12,908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30,713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Corporate notes and bonds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373,383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449,570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U.S. Treasuries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63,754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111,612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w w:val="95"/>
              </w:rPr>
              <w:t>U.S. Government agency securities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573,976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631,493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32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Other assets: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Investments in debt securities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55,046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64,834</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Investment in equity instruments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Investment in tax equity fund</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186,677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1,089,706</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60,800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286,410</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1,253,480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64,834</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2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Warranty obligations: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23,259</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27,173</w:t>
            </w:r>
          </w:p>
        </w:tc>
        <w:tc>
          <w:tcPr>
            <w:tcW w:w="0" w:type="dxa"/>
            <w:vAlign w:val="bottom"/>
          </w:tcPr>
          <w:p>
            <w:pPr>
              <w:spacing w:after="0"/>
              <w:rPr>
                <w:sz w:val="1"/>
                <w:szCs w:val="1"/>
                <w:color w:val="auto"/>
              </w:rPr>
            </w:pPr>
          </w:p>
        </w:tc>
      </w:tr>
      <w:tr>
        <w:trPr>
          <w:trHeight w:val="255"/>
        </w:trPr>
        <w:tc>
          <w:tcPr>
            <w:tcW w:w="3260" w:type="dxa"/>
            <w:vAlign w:val="bottom"/>
          </w:tcPr>
          <w:p>
            <w:pPr>
              <w:ind w:left="360"/>
              <w:spacing w:after="0"/>
              <w:rPr>
                <w:sz w:val="20"/>
                <w:szCs w:val="20"/>
                <w:color w:val="auto"/>
              </w:rPr>
            </w:pPr>
            <w:r>
              <w:rPr>
                <w:rFonts w:ascii="Arial" w:cs="Arial" w:eastAsia="Arial" w:hAnsi="Arial"/>
                <w:sz w:val="18"/>
                <w:szCs w:val="18"/>
                <w:b w:val="1"/>
                <w:bCs w:val="1"/>
                <w:color w:val="auto"/>
              </w:rPr>
              <w:t>Non-current</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169,963</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143,743</w:t>
            </w:r>
          </w:p>
        </w:tc>
        <w:tc>
          <w:tcPr>
            <w:tcW w:w="0" w:type="dxa"/>
            <w:vAlign w:val="bottom"/>
          </w:tcPr>
          <w:p>
            <w:pPr>
              <w:spacing w:after="0"/>
              <w:rPr>
                <w:sz w:val="1"/>
                <w:szCs w:val="1"/>
                <w:color w:val="auto"/>
              </w:rPr>
            </w:pPr>
          </w:p>
        </w:tc>
      </w:tr>
      <w:tr>
        <w:trPr>
          <w:trHeight w:val="177"/>
        </w:trPr>
        <w:tc>
          <w:tcPr>
            <w:tcW w:w="3260" w:type="dxa"/>
            <w:vAlign w:val="bottom"/>
          </w:tcPr>
          <w:p>
            <w:pPr>
              <w:ind w:left="500"/>
              <w:spacing w:after="0" w:line="177" w:lineRule="exact"/>
              <w:rPr>
                <w:sz w:val="20"/>
                <w:szCs w:val="20"/>
                <w:color w:val="auto"/>
              </w:rPr>
            </w:pPr>
            <w:r>
              <w:rPr>
                <w:rFonts w:ascii="Arial" w:cs="Arial" w:eastAsia="Arial" w:hAnsi="Arial"/>
                <w:sz w:val="18"/>
                <w:szCs w:val="18"/>
                <w:b w:val="1"/>
                <w:bCs w:val="1"/>
                <w:color w:val="auto"/>
              </w:rPr>
              <w:t>Total warranty obligations</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193,222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170,916</w:t>
            </w:r>
          </w:p>
        </w:tc>
        <w:tc>
          <w:tcPr>
            <w:tcW w:w="0" w:type="dxa"/>
            <w:vAlign w:val="bottom"/>
          </w:tcPr>
          <w:p>
            <w:pPr>
              <w:spacing w:after="0"/>
              <w:rPr>
                <w:sz w:val="1"/>
                <w:szCs w:val="1"/>
                <w:color w:val="auto"/>
              </w:rPr>
            </w:pPr>
          </w:p>
        </w:tc>
      </w:tr>
      <w:tr>
        <w:trPr>
          <w:trHeight w:val="238"/>
        </w:trPr>
        <w:tc>
          <w:tcPr>
            <w:tcW w:w="3260" w:type="dxa"/>
            <w:vAlign w:val="bottom"/>
          </w:tcPr>
          <w:p>
            <w:pPr>
              <w:ind w:left="500"/>
              <w:spacing w:after="0"/>
              <w:rPr>
                <w:sz w:val="20"/>
                <w:szCs w:val="20"/>
                <w:color w:val="auto"/>
              </w:rPr>
            </w:pPr>
            <w:r>
              <w:rPr>
                <w:rFonts w:ascii="Arial" w:cs="Arial" w:eastAsia="Arial" w:hAnsi="Arial"/>
                <w:sz w:val="18"/>
                <w:szCs w:val="18"/>
                <w:b w:val="1"/>
                <w:bCs w:val="1"/>
                <w:color w:val="auto"/>
              </w:rPr>
              <w:t>measured at fair value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193,222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170,916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-4164965</wp:posOffset>
            </wp:positionV>
            <wp:extent cx="6553200" cy="41846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53">
                      <a:extLst>
                        <a:ext uri="{28A0092B-C50C-407E-A947-70E740481C1C}"/>
                      </a:extLst>
                    </a:blip>
                    <a:srcRect/>
                    <a:stretch>
                      <a:fillRect/>
                    </a:stretch>
                  </pic:blipFill>
                  <pic:spPr bwMode="auto">
                    <a:xfrm>
                      <a:off x="0" y="0"/>
                      <a:ext cx="6553200" cy="41846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83820</wp:posOffset>
                </wp:positionH>
                <wp:positionV relativeFrom="paragraph">
                  <wp:posOffset>1483995</wp:posOffset>
                </wp:positionV>
                <wp:extent cx="633412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6.85pt" to="505.35pt,116.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1483995</wp:posOffset>
                </wp:positionV>
                <wp:extent cx="633412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6.85pt" to="505.35pt,116.8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91</w:t>
      </w:r>
    </w:p>
    <w:p>
      <w:pPr>
        <w:sectPr>
          <w:pgSz w:w="12240" w:h="15840" w:orient="portrait"/>
          <w:cols w:equalWidth="0" w:num="1">
            <w:col w:w="10260"/>
          </w:cols>
          <w:pgMar w:left="1000" w:top="216" w:right="980" w:bottom="0" w:gutter="0" w:footer="0" w:header="0"/>
          <w:type w:val="continuous"/>
        </w:sectPr>
      </w:pPr>
    </w:p>
    <w:bookmarkStart w:id="91" w:name="page92"/>
    <w:bookmarkEnd w:id="91"/>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due 2028 and Notes due 2026</w:t>
      </w:r>
    </w:p>
    <w:p>
      <w:pPr>
        <w:spacing w:after="0" w:line="130"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9"/>
          <w:szCs w:val="19"/>
          <w:b w:val="1"/>
          <w:bCs w:val="1"/>
          <w:color w:val="auto"/>
        </w:rPr>
        <w:t xml:space="preserve">The Company carries the Notes due 2028 (as defined in </w:t>
      </w:r>
      <w:r>
        <w:rPr>
          <w:rFonts w:ascii="Arial" w:cs="Arial" w:eastAsia="Arial" w:hAnsi="Arial"/>
          <w:sz w:val="19"/>
          <w:szCs w:val="19"/>
          <w:b w:val="1"/>
          <w:bCs w:val="1"/>
          <w:color w:val="0000FF"/>
        </w:rPr>
        <w:t>Note 12</w:t>
      </w:r>
      <w:r>
        <w:rPr>
          <w:rFonts w:ascii="Arial" w:cs="Arial" w:eastAsia="Arial" w:hAnsi="Arial"/>
          <w:sz w:val="19"/>
          <w:szCs w:val="19"/>
          <w:b w:val="1"/>
          <w:bCs w:val="1"/>
          <w:color w:val="auto"/>
        </w:rPr>
        <w:t xml:space="preserve">, “Debt”) and Notes due 2026 (as defined in </w:t>
      </w:r>
      <w:r>
        <w:rPr>
          <w:rFonts w:ascii="Arial" w:cs="Arial" w:eastAsia="Arial" w:hAnsi="Arial"/>
          <w:sz w:val="19"/>
          <w:szCs w:val="19"/>
          <w:b w:val="1"/>
          <w:bCs w:val="1"/>
          <w:color w:val="0000FF"/>
        </w:rPr>
        <w:t>Note 12</w:t>
      </w:r>
      <w:r>
        <w:rPr>
          <w:rFonts w:ascii="Arial" w:cs="Arial" w:eastAsia="Arial" w:hAnsi="Arial"/>
          <w:sz w:val="19"/>
          <w:szCs w:val="19"/>
          <w:b w:val="1"/>
          <w:bCs w:val="1"/>
          <w:color w:val="000000"/>
        </w:rPr>
        <w:t>, “Debt”) at face value less unamortized debt issuance costs on its consolidated balance sheets. As of</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000000"/>
        </w:rPr>
        <w:t>December 31, 2025, the fair value of the Notes due 2028 and Notes due 2026 was $500.5 million and $619.4 million, respectively. The fair value as of December 31, 2025 was determined based on the closing trading price per $100 principal amount as of the last day of trading for the period. The Company considers the fair value of the Notes due 2028 and Notes due 2026 to be a Level 2 measurement as they are not actively traded.</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investments without readily determinable fair value</w:t>
      </w:r>
    </w:p>
    <w:p>
      <w:pPr>
        <w:spacing w:after="0" w:line="130" w:lineRule="exact"/>
        <w:rPr>
          <w:sz w:val="20"/>
          <w:szCs w:val="20"/>
          <w:color w:val="auto"/>
        </w:rPr>
      </w:pPr>
    </w:p>
    <w:p>
      <w:pPr>
        <w:jc w:val="both"/>
        <w:ind w:firstLine="540"/>
        <w:spacing w:after="0" w:line="300" w:lineRule="auto"/>
        <w:rPr>
          <w:sz w:val="20"/>
          <w:szCs w:val="20"/>
          <w:color w:val="auto"/>
        </w:rPr>
      </w:pPr>
      <w:r>
        <w:rPr>
          <w:rFonts w:ascii="Arial" w:cs="Arial" w:eastAsia="Arial" w:hAnsi="Arial"/>
          <w:sz w:val="18"/>
          <w:szCs w:val="18"/>
          <w:b w:val="1"/>
          <w:bCs w:val="1"/>
          <w:color w:val="auto"/>
        </w:rPr>
        <w:t>The Company had previously invested $6.0 million in a privately-held company without a readily determinable fair value. During the year ended December 31, 2024, the Company determined that the carrying value of the investment was not recoverable. Accordingly, the Company recorded an impairment charge of $6.0 million within “Other income, net” on the consolidated statements of operations for the year ended December 31, 2024.</w:t>
      </w:r>
    </w:p>
    <w:p>
      <w:pPr>
        <w:spacing w:after="0" w:line="45"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b w:val="1"/>
          <w:bCs w:val="1"/>
          <w:color w:val="auto"/>
        </w:rPr>
        <w:t>In October 2025, the Company invested $5.0 million to acquire 19.99% of the outstanding membership interests of a privately-held company without a readily determinable fair value. The Company elected the fair value option for this investment. Accordingly, this investment is measured at fair value on a recurring basis, with changes in fair value recognized in “Other expense, net” in the Company’s consolidated statements of operations. Further, the Company has concluded that this investment is considered to be a Level 3 measurement due to the use of significant unobservable inputs in the valuation model. The fair value of this investment approximated the purchase price as of December 31, 2025. This investment is included in “Other assets” on the consolidated balance sheet.</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 in debt securities</w:t>
      </w:r>
    </w:p>
    <w:p>
      <w:pPr>
        <w:spacing w:after="0" w:line="130"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8"/>
          <w:szCs w:val="18"/>
          <w:b w:val="1"/>
          <w:bCs w:val="1"/>
          <w:color w:val="auto"/>
        </w:rPr>
        <w:t>In January 2021, the Company invested approximately $25.0 million in a privately-held company. The Company concluded the investment qualifies as an investment in a debt security, as it accrues interest and principal plus accrued interest becomes payable back to the Company at certain dates unless it is converted to equity at a pre-determined price. As the investment includes a conversion option, the Company has elected to account for this investment under the fair value option and any change in fair value of the investment is recognized in “Other income (expense), net” in the Company’s consolidated statements of operations for that period. Further, the Company has concluded that the Company’s investment in a debt security is considered to be a Level 3 measurement due to the use of significant unobservable inputs in the valuation model. The fair value of $29.6 million and $34.4 million as of December 31, 2025 and 2024, respectively, was determined using discounted cash flow methodology and assumptions include implied yield and change in estimated term of investment being held-to-maturity.</w:t>
      </w:r>
    </w:p>
    <w:p>
      <w:pPr>
        <w:spacing w:after="0" w:line="62"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20"/>
          <w:szCs w:val="20"/>
          <w:b w:val="1"/>
          <w:bCs w:val="1"/>
          <w:color w:val="auto"/>
        </w:rPr>
        <w:t>In September 2021, the Company invested approximately $13.0 million in secured convertible promissory notes issued by the stockholders of a privately-held company. The investment qualifies as an investment in a debt security and will accrete interest and principal plus accrued interest that becomes payable at certain dates unless it is converted to equity at a pre-determined price. As the investment includes a conversion option, the Company has elected to account for this investment under the fair value option and any change in fair value of the investment is recognized in “Other income (expense), net” in the Company’s consolidated statements of operations for that period. Further, the Company has concluded that the Company’s investment in a debt security is considered to be a Level 3 measurement due to the use of significant unobservable inputs in the valuation model. The fair value of $11.0 million and $13.9 million as of December 31, 2025 and 2024, respectively, was determined using discounted cash flow methodology and assumptions include implied yield and change in estimated term of investment being held-to-maturity.</w:t>
      </w:r>
    </w:p>
    <w:p>
      <w:pPr>
        <w:spacing w:after="0" w:line="83"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In December 2022, the Company took a non-voting participating interest of approximately $15.0 million in a loan held by a privately-held company. As of December 31, 2024, the Company accreted interest of approximately $2.0 million in “Other income (expense), net” in the consolidated statements of operations. The Company determined that the carrying value of the investment was not recoverable as the privately-held company filed for Chapter 11 bankruptcy during the year ended December 31, 2024. Accordingly, the Company recorded an impairment charge of $17.0 million within “Other income, net” on the consolidated statements of operations for the year ended December 31, 2024.</w:t>
      </w:r>
    </w:p>
    <w:p>
      <w:pPr>
        <w:spacing w:after="0" w:line="83" w:lineRule="exact"/>
        <w:rPr>
          <w:sz w:val="20"/>
          <w:szCs w:val="20"/>
          <w:color w:val="auto"/>
        </w:rPr>
      </w:pPr>
    </w:p>
    <w:p>
      <w:pPr>
        <w:jc w:val="both"/>
        <w:ind w:firstLine="540"/>
        <w:spacing w:after="0" w:line="345" w:lineRule="auto"/>
        <w:rPr>
          <w:sz w:val="20"/>
          <w:szCs w:val="20"/>
          <w:color w:val="auto"/>
        </w:rPr>
      </w:pPr>
      <w:r>
        <w:rPr>
          <w:rFonts w:ascii="Arial" w:cs="Arial" w:eastAsia="Arial" w:hAnsi="Arial"/>
          <w:sz w:val="18"/>
          <w:szCs w:val="18"/>
          <w:b w:val="1"/>
          <w:bCs w:val="1"/>
          <w:color w:val="auto"/>
        </w:rPr>
        <w:t>In July 2023, the Company invested approximately $15.0 million in a secured convertible promissory note issued by the stockholders of a privately-held company. The investment qualified as an investment in a debt security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331470</wp:posOffset>
                </wp:positionV>
                <wp:extent cx="6334125"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6.1pt" to="505.35pt,26.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331470</wp:posOffset>
                </wp:positionV>
                <wp:extent cx="633412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6.1pt" to="505.35pt,26.1pt" o:allowincell="f" strokecolor="#828282" strokeweight="0.25pt"/>
            </w:pict>
          </mc:Fallback>
        </mc:AlternateContent>
      </w:r>
    </w:p>
    <w:p>
      <w:pPr>
        <w:sectPr>
          <w:pgSz w:w="12240" w:h="15840" w:orient="portrait"/>
          <w:cols w:equalWidth="0" w:num="1">
            <w:col w:w="10240"/>
          </w:cols>
          <w:pgMar w:left="1000" w:top="21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828282"/>
        </w:rPr>
        <w:t>Enphase Energy, Inc. | 2025 Form 10-K | 92</w:t>
      </w:r>
    </w:p>
    <w:p>
      <w:pPr>
        <w:sectPr>
          <w:pgSz w:w="12240" w:h="15840" w:orient="portrait"/>
          <w:cols w:equalWidth="0" w:num="1">
            <w:col w:w="10240"/>
          </w:cols>
          <w:pgMar w:left="1000" w:top="216" w:right="1000" w:bottom="0" w:gutter="0" w:footer="0" w:header="0"/>
          <w:type w:val="continuous"/>
        </w:sectPr>
      </w:pPr>
    </w:p>
    <w:bookmarkStart w:id="92" w:name="page93"/>
    <w:bookmarkEnd w:id="92"/>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and will accrete interest. The principal plus accrued interest is payable upon maturity unless it is converted to equity at a pre-determined price. As the investment includes a conversion option, the Company has elected to account for this investment under the fair value option and any changes in fair value of the investment is recognized in “Other income (expense), net” in the Company’s consolidated statements of operations for that period. Further, the Company has concluded that the Company’s investment in a debt security is considered to be a Level 3 measurement due to the use of significant unobservable inputs in the valuation model. The fair value of $14.5 million and $16.6 million as of December 31, 2025 and 2024, respectively, was determined using discounted cash flow methodology and assumptions include implied yield and change in estimated term of investment being held-to-maturity.</w:t>
      </w:r>
    </w:p>
    <w:p>
      <w:pPr>
        <w:spacing w:after="0" w:line="81"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In September 2025, the Company invested $6.3 million in cash to purchase convertible notes with an aggregate principal amount of $7.0 million issued by SunPower Inc. (“SunPower”) (formerly named “Complete Solaria, Inc.”). The Company elected the fair value option for this investment. Accordingly, the convertible notes are measured at fair value on a recurring basis, with changes in fair value recognized in “Other expense, net” in the Company’s consolidated statements of operations. The fair value of the notes approximated the purchase price. Subsequent changes in fair value, including those attributable to changes in credit risk and the embedded conversion feature, will be reflected in the Company’s consolidated statements of operations. Interest income is accrued and recognized based on the stated coupon rate.</w:t>
      </w:r>
    </w:p>
    <w:p>
      <w:pPr>
        <w:spacing w:after="0" w:line="74"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Investments in debt securities is recorded in “Other assets” on the accompanying consolidated balance sheets as of December 31, 2025 and December 31, 2024. The changes in the balance in investments in debt securities during the period were as follows: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Years Ended December 31,</w:t>
            </w:r>
          </w:p>
        </w:tc>
      </w:tr>
      <w:tr>
        <w:trPr>
          <w:trHeight w:val="220"/>
        </w:trPr>
        <w:tc>
          <w:tcPr>
            <w:tcW w:w="7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95"/>
              </w:rPr>
              <w:t>2024</w:t>
            </w:r>
          </w:p>
        </w:tc>
      </w:tr>
      <w:tr>
        <w:trPr>
          <w:trHeight w:val="269"/>
        </w:trPr>
        <w:tc>
          <w:tcPr>
            <w:tcW w:w="7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i w:val="1"/>
                <w:iCs w:val="1"/>
                <w:color w:val="auto"/>
              </w:rPr>
              <w:t>(In thousands)</w:t>
            </w:r>
          </w:p>
        </w:tc>
        <w:tc>
          <w:tcPr>
            <w:tcW w:w="840" w:type="dxa"/>
            <w:vAlign w:val="bottom"/>
          </w:tcPr>
          <w:p>
            <w:pPr>
              <w:spacing w:after="0"/>
              <w:rPr>
                <w:sz w:val="23"/>
                <w:szCs w:val="23"/>
                <w:color w:val="auto"/>
              </w:rPr>
            </w:pPr>
          </w:p>
        </w:tc>
      </w:tr>
      <w:tr>
        <w:trPr>
          <w:trHeight w:val="281"/>
        </w:trPr>
        <w:tc>
          <w:tcPr>
            <w:tcW w:w="7540" w:type="dxa"/>
            <w:vAlign w:val="bottom"/>
          </w:tcPr>
          <w:p>
            <w:pPr>
              <w:spacing w:after="0"/>
              <w:rPr>
                <w:sz w:val="20"/>
                <w:szCs w:val="20"/>
                <w:color w:val="auto"/>
              </w:rPr>
            </w:pPr>
            <w:r>
              <w:rPr>
                <w:rFonts w:ascii="Arial" w:cs="Arial" w:eastAsia="Arial" w:hAnsi="Arial"/>
                <w:sz w:val="18"/>
                <w:szCs w:val="18"/>
                <w:b w:val="1"/>
                <w:bCs w:val="1"/>
                <w:color w:val="auto"/>
              </w:rPr>
              <w:t>Balance at beginning of period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64,834</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79,855</w:t>
            </w:r>
          </w:p>
        </w:tc>
      </w:tr>
      <w:tr>
        <w:trPr>
          <w:trHeight w:val="255"/>
        </w:trPr>
        <w:tc>
          <w:tcPr>
            <w:tcW w:w="7540" w:type="dxa"/>
            <w:vAlign w:val="bottom"/>
          </w:tcPr>
          <w:p>
            <w:pPr>
              <w:ind w:left="140"/>
              <w:spacing w:after="0"/>
              <w:rPr>
                <w:sz w:val="20"/>
                <w:szCs w:val="20"/>
                <w:color w:val="auto"/>
              </w:rPr>
            </w:pPr>
            <w:r>
              <w:rPr>
                <w:rFonts w:ascii="Arial" w:cs="Arial" w:eastAsia="Arial" w:hAnsi="Arial"/>
                <w:sz w:val="18"/>
                <w:szCs w:val="18"/>
                <w:b w:val="1"/>
                <w:bCs w:val="1"/>
                <w:color w:val="auto"/>
              </w:rPr>
              <w:t>Investments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6,300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5"/>
        </w:trPr>
        <w:tc>
          <w:tcPr>
            <w:tcW w:w="7540" w:type="dxa"/>
            <w:vAlign w:val="bottom"/>
          </w:tcPr>
          <w:p>
            <w:pPr>
              <w:ind w:left="140"/>
              <w:spacing w:after="0"/>
              <w:rPr>
                <w:sz w:val="20"/>
                <w:szCs w:val="20"/>
                <w:color w:val="auto"/>
              </w:rPr>
            </w:pPr>
            <w:r>
              <w:rPr>
                <w:rFonts w:ascii="Arial" w:cs="Arial" w:eastAsia="Arial" w:hAnsi="Arial"/>
                <w:sz w:val="18"/>
                <w:szCs w:val="18"/>
                <w:b w:val="1"/>
                <w:bCs w:val="1"/>
                <w:color w:val="auto"/>
              </w:rPr>
              <w:t>Fair value adjustments included in other income (expense),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(9,788)</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1,967</w:t>
            </w:r>
          </w:p>
        </w:tc>
      </w:tr>
      <w:tr>
        <w:trPr>
          <w:trHeight w:val="255"/>
        </w:trPr>
        <w:tc>
          <w:tcPr>
            <w:tcW w:w="7540" w:type="dxa"/>
            <w:vAlign w:val="bottom"/>
          </w:tcPr>
          <w:p>
            <w:pPr>
              <w:ind w:left="140"/>
              <w:spacing w:after="0"/>
              <w:rPr>
                <w:sz w:val="20"/>
                <w:szCs w:val="20"/>
                <w:color w:val="auto"/>
              </w:rPr>
            </w:pPr>
            <w:r>
              <w:rPr>
                <w:rFonts w:ascii="Arial" w:cs="Arial" w:eastAsia="Arial" w:hAnsi="Arial"/>
                <w:sz w:val="18"/>
                <w:szCs w:val="18"/>
                <w:b w:val="1"/>
                <w:bCs w:val="1"/>
                <w:color w:val="auto"/>
              </w:rPr>
              <w:t>Impairment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(16,988)</w:t>
            </w:r>
          </w:p>
        </w:tc>
      </w:tr>
      <w:tr>
        <w:trPr>
          <w:trHeight w:val="215"/>
        </w:trPr>
        <w:tc>
          <w:tcPr>
            <w:tcW w:w="754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61,346</w:t>
            </w:r>
          </w:p>
        </w:tc>
        <w:tc>
          <w:tcPr>
            <w:tcW w:w="60" w:type="dxa"/>
            <w:vAlign w:val="bottom"/>
          </w:tcPr>
          <w:p>
            <w:pPr>
              <w:spacing w:after="0"/>
              <w:rPr>
                <w:sz w:val="18"/>
                <w:szCs w:val="18"/>
                <w:color w:val="auto"/>
              </w:rPr>
            </w:pP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64,834</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-840740</wp:posOffset>
            </wp:positionV>
            <wp:extent cx="6553200" cy="8604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54">
                      <a:extLst>
                        <a:ext uri="{28A0092B-C50C-407E-A947-70E740481C1C}"/>
                      </a:extLst>
                    </a:blip>
                    <a:srcRect/>
                    <a:stretch>
                      <a:fillRect/>
                    </a:stretch>
                  </pic:blipFill>
                  <pic:spPr bwMode="auto">
                    <a:xfrm>
                      <a:off x="0" y="0"/>
                      <a:ext cx="6553200" cy="86042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in tax equity fund</w:t>
      </w:r>
    </w:p>
    <w:p>
      <w:pPr>
        <w:spacing w:after="0" w:line="130" w:lineRule="exact"/>
        <w:rPr>
          <w:sz w:val="20"/>
          <w:szCs w:val="20"/>
          <w:color w:val="auto"/>
        </w:rPr>
      </w:pPr>
    </w:p>
    <w:p>
      <w:pPr>
        <w:jc w:val="both"/>
        <w:ind w:firstLine="540"/>
        <w:spacing w:after="0" w:line="280" w:lineRule="auto"/>
        <w:rPr>
          <w:sz w:val="20"/>
          <w:szCs w:val="20"/>
          <w:color w:val="auto"/>
        </w:rPr>
      </w:pPr>
      <w:r>
        <w:rPr>
          <w:rFonts w:ascii="Arial" w:cs="Arial" w:eastAsia="Arial" w:hAnsi="Arial"/>
          <w:sz w:val="19"/>
          <w:szCs w:val="19"/>
          <w:b w:val="1"/>
          <w:bCs w:val="1"/>
          <w:color w:val="auto"/>
        </w:rPr>
        <w:t>In the year ended December 31, 2025, the Company made an investment in a tax equity fund contributing $9.8 million. The Company has elected to report its investment at fair value, which is equal to the present value of the remaining future cash flows expected to be received from the investment. The investment is included in “Other assets” on the accompanying consolidated balance sheet as of December 31, 2025.</w:t>
      </w:r>
    </w:p>
    <w:p>
      <w:pPr>
        <w:spacing w:after="0" w:line="60" w:lineRule="exact"/>
        <w:rPr>
          <w:sz w:val="20"/>
          <w:szCs w:val="20"/>
          <w:color w:val="auto"/>
        </w:rPr>
      </w:pPr>
    </w:p>
    <w:p>
      <w:pPr>
        <w:jc w:val="both"/>
        <w:ind w:right="20" w:firstLine="540"/>
        <w:spacing w:after="0" w:line="276" w:lineRule="auto"/>
        <w:rPr>
          <w:sz w:val="20"/>
          <w:szCs w:val="20"/>
          <w:color w:val="auto"/>
        </w:rPr>
      </w:pPr>
      <w:r>
        <w:rPr>
          <w:rFonts w:ascii="Arial" w:cs="Arial" w:eastAsia="Arial" w:hAnsi="Arial"/>
          <w:sz w:val="19"/>
          <w:szCs w:val="19"/>
          <w:b w:val="1"/>
          <w:bCs w:val="1"/>
          <w:color w:val="auto"/>
        </w:rPr>
        <w:t>As of December 31, 2025, the fair value of the Company’s investment in tax equity fund was $0.8 million, representing its proportionate share of the tax equity fund’s net assets. As of December 31, 2025, the Company recognized a deferred tax asset of $8.8 million related to the difference between the initial investment amounts and its fair value. Additionally, the Company recognized an expense of $0.2 million for year ended December 31, 2025 included in “Other income (expense), net” in the consolidated statements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2267585</wp:posOffset>
                </wp:positionV>
                <wp:extent cx="6334125"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78.55pt" to="505.35pt,178.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2267585</wp:posOffset>
                </wp:positionV>
                <wp:extent cx="633412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78.55pt" to="505.35pt,178.5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93</w:t>
      </w:r>
    </w:p>
    <w:p>
      <w:pPr>
        <w:sectPr>
          <w:pgSz w:w="12240" w:h="15840" w:orient="portrait"/>
          <w:cols w:equalWidth="0" w:num="1">
            <w:col w:w="10260"/>
          </w:cols>
          <w:pgMar w:left="1000" w:top="216" w:right="980" w:bottom="0" w:gutter="0" w:footer="0" w:header="0"/>
          <w:type w:val="continuous"/>
        </w:sectPr>
      </w:pPr>
    </w:p>
    <w:bookmarkStart w:id="93" w:name="page94"/>
    <w:bookmarkEnd w:id="93"/>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Issuance of Loan Receivables</w:t>
      </w:r>
    </w:p>
    <w:p>
      <w:pPr>
        <w:spacing w:after="0" w:line="13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The loan receivables represent financing arrangements provided to certain direct and indirect customers. These loan receivables have contractual maturities ranging from one to three years and are recorded on amortized cost basis. Interest income is accrued and recognized based on the stated coupon rate, included in “Other income (expense), net” in the consolidated statements of operations. The principal outstanding under the Company’s loan receivables were as follows:</w: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-166370</wp:posOffset>
            </wp:positionV>
            <wp:extent cx="6553200" cy="593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55">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Non-current</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Loan receivables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58"/>
        <w:spacing w:after="0"/>
        <w:rPr>
          <w:sz w:val="20"/>
          <w:szCs w:val="20"/>
          <w:color w:val="auto"/>
        </w:rPr>
      </w:pPr>
      <w:r>
        <w:rPr>
          <w:rFonts w:ascii="Arial" w:cs="Arial" w:eastAsia="Arial" w:hAnsi="Arial"/>
          <w:sz w:val="16"/>
          <w:szCs w:val="16"/>
          <w:b w:val="1"/>
          <w:bCs w:val="1"/>
          <w:color w:val="auto"/>
        </w:rPr>
        <w:t>December 31,</w:t>
      </w:r>
    </w:p>
    <w:p>
      <w:pPr>
        <w:jc w:val="center"/>
        <w:ind w:right="58"/>
        <w:spacing w:after="0"/>
        <w:rPr>
          <w:sz w:val="20"/>
          <w:szCs w:val="20"/>
          <w:color w:val="auto"/>
        </w:rPr>
      </w:pP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15240</wp:posOffset>
                </wp:positionV>
                <wp:extent cx="82804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1.2pt" to="62.6pt,1.2pt" o:allowincell="f" strokecolor="#000000" strokeweight="1pt"/>
            </w:pict>
          </mc:Fallback>
        </mc:AlternateContent>
      </w:r>
    </w:p>
    <w:p>
      <w:pPr>
        <w:spacing w:after="0" w:line="15" w:lineRule="exact"/>
        <w:rPr>
          <w:sz w:val="20"/>
          <w:szCs w:val="20"/>
          <w:color w:val="auto"/>
        </w:rPr>
      </w:pPr>
    </w:p>
    <w:p>
      <w:pPr>
        <w:ind w:left="102"/>
        <w:spacing w:after="0"/>
        <w:rPr>
          <w:sz w:val="20"/>
          <w:szCs w:val="20"/>
          <w:color w:val="auto"/>
        </w:rPr>
      </w:pPr>
      <w:r>
        <w:rPr>
          <w:rFonts w:ascii="Arial" w:cs="Arial" w:eastAsia="Arial" w:hAnsi="Arial"/>
          <w:sz w:val="15"/>
          <w:szCs w:val="15"/>
          <w:b w:val="1"/>
          <w:bCs w:val="1"/>
          <w:i w:val="1"/>
          <w:iCs w:val="1"/>
          <w:color w:val="auto"/>
        </w:rPr>
        <w:t>(In thousands)</w:t>
      </w:r>
    </w:p>
    <w:p>
      <w:pPr>
        <w:spacing w:after="0" w:line="109" w:lineRule="exact"/>
        <w:rPr>
          <w:sz w:val="20"/>
          <w:szCs w:val="20"/>
          <w:color w:val="auto"/>
        </w:rPr>
      </w:pPr>
    </w:p>
    <w:p>
      <w:pPr>
        <w:ind w:left="622" w:hanging="622"/>
        <w:spacing w:after="0"/>
        <w:tabs>
          <w:tab w:leader="none" w:pos="62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47,000</w:t>
      </w:r>
    </w:p>
    <w:p>
      <w:pPr>
        <w:spacing w:after="0" w:line="78" w:lineRule="exact"/>
        <w:rPr>
          <w:rFonts w:ascii="Arial" w:cs="Arial" w:eastAsia="Arial" w:hAnsi="Arial"/>
          <w:sz w:val="18"/>
          <w:szCs w:val="18"/>
          <w:b w:val="1"/>
          <w:bCs w:val="1"/>
          <w:color w:val="auto"/>
        </w:rPr>
      </w:pPr>
    </w:p>
    <w:p>
      <w:pPr>
        <w:ind w:left="72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1,500</w:t>
      </w:r>
    </w:p>
    <w:p>
      <w:pPr>
        <w:spacing w:after="0" w:line="78" w:lineRule="exact"/>
        <w:rPr>
          <w:sz w:val="20"/>
          <w:szCs w:val="20"/>
          <w:color w:val="auto"/>
        </w:rPr>
      </w:pPr>
    </w:p>
    <w:p>
      <w:pPr>
        <w:ind w:left="622" w:hanging="622"/>
        <w:spacing w:after="0"/>
        <w:tabs>
          <w:tab w:leader="none" w:pos="62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48,500</w:t>
      </w:r>
    </w:p>
    <w:p>
      <w:pPr>
        <w:spacing w:after="0" w:line="200" w:lineRule="exact"/>
        <w:rPr>
          <w:sz w:val="20"/>
          <w:szCs w:val="20"/>
          <w:color w:val="auto"/>
        </w:rPr>
      </w:pPr>
    </w:p>
    <w:p>
      <w:pPr>
        <w:sectPr>
          <w:pgSz w:w="12240" w:h="15840" w:orient="portrait"/>
          <w:cols w:equalWidth="0" w:num="2">
            <w:col w:w="8278" w:space="720"/>
            <w:col w:w="1262"/>
          </w:cols>
          <w:pgMar w:left="1000" w:top="216" w:right="980" w:bottom="0" w:gutter="0" w:footer="0" w:header="0"/>
          <w:type w:val="continuous"/>
        </w:sectPr>
      </w:pPr>
    </w:p>
    <w:p>
      <w:pPr>
        <w:spacing w:after="0" w:line="6"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There was no activity in allowance for credit losses during the year ended December 31, 2025.</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Warranty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Option for Warranty Obligations Related to Products Sold Since January 1, 2014</w:t>
      </w:r>
    </w:p>
    <w:p>
      <w:pPr>
        <w:spacing w:after="0" w:line="128"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Level 3 inputs, which are unobservable and significant to the overall fair value measurement. Such additional assumptions are based on the Company’s credit-adjusted risk-free rate (“discount rate”) and compensation comprised of a profit element and risk premium required of a market participant to assume the obligation.</w:t>
      </w:r>
    </w:p>
    <w:p>
      <w:pPr>
        <w:spacing w:after="0" w:line="85"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 following table provides information regarding changes in nonfinancial liabilities related to the Company’s warranty obligations measured at fair value on a recurring basis using significant unobservable inputs designated as Level 3 for the periods indicated: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Years Ended December 31,</w:t>
            </w:r>
          </w:p>
        </w:tc>
      </w:tr>
      <w:tr>
        <w:trPr>
          <w:trHeight w:val="235"/>
        </w:trPr>
        <w:tc>
          <w:tcPr>
            <w:tcW w:w="7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r>
      <w:tr>
        <w:trPr>
          <w:trHeight w:val="269"/>
        </w:trPr>
        <w:tc>
          <w:tcPr>
            <w:tcW w:w="7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60" w:type="dxa"/>
            <w:vAlign w:val="bottom"/>
            <w:gridSpan w:val="4"/>
          </w:tcPr>
          <w:p>
            <w:pPr>
              <w:jc w:val="right"/>
              <w:ind w:right="731"/>
              <w:spacing w:after="0"/>
              <w:rPr>
                <w:sz w:val="20"/>
                <w:szCs w:val="20"/>
                <w:color w:val="auto"/>
              </w:rPr>
            </w:pPr>
            <w:r>
              <w:rPr>
                <w:rFonts w:ascii="Arial" w:cs="Arial" w:eastAsia="Arial" w:hAnsi="Arial"/>
                <w:sz w:val="16"/>
                <w:szCs w:val="16"/>
                <w:b w:val="1"/>
                <w:bCs w:val="1"/>
                <w:i w:val="1"/>
                <w:iCs w:val="1"/>
                <w:color w:val="auto"/>
              </w:rPr>
              <w:t>(In thousands)</w:t>
            </w:r>
          </w:p>
        </w:tc>
      </w:tr>
      <w:tr>
        <w:trPr>
          <w:trHeight w:val="311"/>
        </w:trPr>
        <w:tc>
          <w:tcPr>
            <w:tcW w:w="7520" w:type="dxa"/>
            <w:vAlign w:val="bottom"/>
          </w:tcPr>
          <w:p>
            <w:pPr>
              <w:spacing w:after="0"/>
              <w:rPr>
                <w:sz w:val="20"/>
                <w:szCs w:val="20"/>
                <w:color w:val="auto"/>
              </w:rPr>
            </w:pPr>
            <w:r>
              <w:rPr>
                <w:rFonts w:ascii="Arial" w:cs="Arial" w:eastAsia="Arial" w:hAnsi="Arial"/>
                <w:sz w:val="18"/>
                <w:szCs w:val="18"/>
                <w:b w:val="1"/>
                <w:bCs w:val="1"/>
                <w:color w:val="auto"/>
              </w:rPr>
              <w:t>Balance at beginning of period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170,916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161,793</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Accruals for warranties issued during period</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29,069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27,500</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Changes in estimates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6,997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625</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Settlements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(20,392)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(21,789)</w:t>
            </w:r>
          </w:p>
        </w:tc>
      </w:tr>
      <w:tr>
        <w:trPr>
          <w:trHeight w:val="25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Increase due to accretion expense</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13,399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11,010</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Change in discount rate</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(459)</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Other</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(7,764)</w:t>
            </w:r>
          </w:p>
        </w:tc>
      </w:tr>
      <w:tr>
        <w:trPr>
          <w:trHeight w:val="245"/>
        </w:trPr>
        <w:tc>
          <w:tcPr>
            <w:tcW w:w="752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193,222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170,916</w:t>
            </w:r>
          </w:p>
        </w:tc>
      </w:tr>
      <w:tr>
        <w:trPr>
          <w:trHeight w:val="20"/>
        </w:trPr>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-1459865</wp:posOffset>
            </wp:positionV>
            <wp:extent cx="6553200" cy="14795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56">
                      <a:extLst>
                        <a:ext uri="{28A0092B-C50C-407E-A947-70E740481C1C}"/>
                      </a:extLst>
                    </a:blip>
                    <a:srcRect/>
                    <a:stretch>
                      <a:fillRect/>
                    </a:stretch>
                  </pic:blipFill>
                  <pic:spPr bwMode="auto">
                    <a:xfrm>
                      <a:off x="0" y="0"/>
                      <a:ext cx="6553200" cy="14795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83820</wp:posOffset>
                </wp:positionH>
                <wp:positionV relativeFrom="paragraph">
                  <wp:posOffset>2020570</wp:posOffset>
                </wp:positionV>
                <wp:extent cx="633412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59.1pt" to="505.35pt,159.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2020570</wp:posOffset>
                </wp:positionV>
                <wp:extent cx="633412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59.1pt" to="505.35pt,159.1pt" o:allowincell="f" strokecolor="#828282" strokeweight="0.25pt"/>
            </w:pict>
          </mc:Fallback>
        </mc:AlternateContent>
      </w:r>
    </w:p>
    <w:p>
      <w:pPr>
        <w:sectPr>
          <w:pgSz w:w="12240" w:h="15840" w:orient="portrait"/>
          <w:cols w:equalWidth="0" w:num="1">
            <w:col w:w="10260"/>
          </w:cols>
          <w:pgMar w:left="1000" w:top="216"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94</w:t>
      </w:r>
    </w:p>
    <w:p>
      <w:pPr>
        <w:sectPr>
          <w:pgSz w:w="12240" w:h="15840" w:orient="portrait"/>
          <w:cols w:equalWidth="0" w:num="1">
            <w:col w:w="10260"/>
          </w:cols>
          <w:pgMar w:left="1000" w:top="216" w:right="980" w:bottom="0" w:gutter="0" w:footer="0" w:header="0"/>
          <w:type w:val="continuous"/>
        </w:sectPr>
      </w:pPr>
    </w:p>
    <w:bookmarkStart w:id="94" w:name="page95"/>
    <w:bookmarkEnd w:id="94"/>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2"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Quantitative and Qualitative Information about Level 3 Fair Value Measurements</w:t>
      </w:r>
    </w:p>
    <w:p>
      <w:pPr>
        <w:spacing w:after="0" w:line="128"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As of December 31, 2025 and December 31, 2024, the significant unobservable inputs used in the fair value measurement of the Company’s liabilities designated as Level 3 were as follows:</w:t>
      </w:r>
    </w:p>
    <w:p>
      <w:pPr>
        <w:spacing w:after="0" w:line="103"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Percent Used</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(Weighted Average)</w:t>
            </w:r>
          </w:p>
        </w:tc>
        <w:tc>
          <w:tcPr>
            <w:tcW w:w="0" w:type="dxa"/>
            <w:vAlign w:val="bottom"/>
          </w:tcPr>
          <w:p>
            <w:pPr>
              <w:spacing w:after="0"/>
              <w:rPr>
                <w:sz w:val="1"/>
                <w:szCs w:val="1"/>
                <w:color w:val="auto"/>
              </w:rPr>
            </w:pPr>
          </w:p>
        </w:tc>
      </w:tr>
      <w:tr>
        <w:trPr>
          <w:trHeight w:val="186"/>
        </w:trPr>
        <w:tc>
          <w:tcPr>
            <w:tcW w:w="2900" w:type="dxa"/>
            <w:vAlign w:val="bottom"/>
            <w:vMerge w:val="restart"/>
          </w:tcPr>
          <w:p>
            <w:pPr>
              <w:spacing w:after="0"/>
              <w:rPr>
                <w:sz w:val="20"/>
                <w:szCs w:val="20"/>
                <w:color w:val="auto"/>
              </w:rPr>
            </w:pPr>
            <w:r>
              <w:rPr>
                <w:rFonts w:ascii="Arial" w:cs="Arial" w:eastAsia="Arial" w:hAnsi="Arial"/>
                <w:sz w:val="16"/>
                <w:szCs w:val="16"/>
                <w:b w:val="1"/>
                <w:bCs w:val="1"/>
                <w:color w:val="auto"/>
              </w:rPr>
              <w:t>Item Measured at Fair Value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9"/>
              </w:rPr>
              <w:t>Valuation</w:t>
            </w:r>
          </w:p>
        </w:tc>
        <w:tc>
          <w:tcPr>
            <w:tcW w:w="80" w:type="dxa"/>
            <w:vAlign w:val="bottom"/>
          </w:tcPr>
          <w:p>
            <w:pPr>
              <w:spacing w:after="0"/>
              <w:rPr>
                <w:sz w:val="16"/>
                <w:szCs w:val="16"/>
                <w:color w:val="auto"/>
              </w:rPr>
            </w:pPr>
          </w:p>
        </w:tc>
        <w:tc>
          <w:tcPr>
            <w:tcW w:w="2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Description of Significant</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4"/>
        </w:trPr>
        <w:tc>
          <w:tcPr>
            <w:tcW w:w="2900" w:type="dxa"/>
            <w:vAlign w:val="bottom"/>
            <w:vMerge w:val="continue"/>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Technique</w:t>
            </w:r>
          </w:p>
        </w:tc>
        <w:tc>
          <w:tcPr>
            <w:tcW w:w="80" w:type="dxa"/>
            <w:vAlign w:val="bottom"/>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Unobservable Input</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73"/>
        </w:trPr>
        <w:tc>
          <w:tcPr>
            <w:tcW w:w="2900" w:type="dxa"/>
            <w:vAlign w:val="bottom"/>
          </w:tcPr>
          <w:p>
            <w:pPr>
              <w:spacing w:after="0"/>
              <w:rPr>
                <w:sz w:val="20"/>
                <w:szCs w:val="20"/>
                <w:color w:val="auto"/>
              </w:rPr>
            </w:pPr>
            <w:r>
              <w:rPr>
                <w:rFonts w:ascii="Arial" w:cs="Arial" w:eastAsia="Arial" w:hAnsi="Arial"/>
                <w:sz w:val="18"/>
                <w:szCs w:val="18"/>
                <w:b w:val="1"/>
                <w:bCs w:val="1"/>
                <w:color w:val="auto"/>
                <w:w w:val="99"/>
              </w:rPr>
              <w:t>Warranty obligations for products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Discounted cash</w:t>
            </w:r>
          </w:p>
        </w:tc>
        <w:tc>
          <w:tcPr>
            <w:tcW w:w="80" w:type="dxa"/>
            <w:vAlign w:val="bottom"/>
          </w:tcPr>
          <w:p>
            <w:pPr>
              <w:spacing w:after="0"/>
              <w:rPr>
                <w:sz w:val="23"/>
                <w:szCs w:val="23"/>
                <w:color w:val="auto"/>
              </w:rPr>
            </w:pPr>
          </w:p>
        </w:tc>
        <w:tc>
          <w:tcPr>
            <w:tcW w:w="2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Profit element and risk premium</w:t>
            </w:r>
          </w:p>
        </w:tc>
        <w:tc>
          <w:tcPr>
            <w:tcW w:w="1320" w:type="dxa"/>
            <w:vAlign w:val="bottom"/>
          </w:tcPr>
          <w:p>
            <w:pPr>
              <w:jc w:val="right"/>
              <w:ind w:right="297"/>
              <w:spacing w:after="0"/>
              <w:rPr>
                <w:sz w:val="20"/>
                <w:szCs w:val="20"/>
                <w:color w:val="auto"/>
              </w:rPr>
            </w:pPr>
            <w:r>
              <w:rPr>
                <w:rFonts w:ascii="Arial" w:cs="Arial" w:eastAsia="Arial" w:hAnsi="Arial"/>
                <w:sz w:val="18"/>
                <w:szCs w:val="18"/>
                <w:b w:val="1"/>
                <w:bCs w:val="1"/>
                <w:color w:val="auto"/>
              </w:rPr>
              <w:t>17.5%</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30"/>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auto"/>
              </w:rPr>
              <w:t>sold since January 1, 2014</w:t>
            </w: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flows</w:t>
            </w:r>
          </w:p>
        </w:tc>
        <w:tc>
          <w:tcPr>
            <w:tcW w:w="80" w:type="dxa"/>
            <w:vAlign w:val="bottom"/>
          </w:tcPr>
          <w:p>
            <w:pPr>
              <w:spacing w:after="0"/>
              <w:rPr>
                <w:sz w:val="2"/>
                <w:szCs w:val="2"/>
                <w:color w:val="auto"/>
              </w:rPr>
            </w:pPr>
          </w:p>
        </w:tc>
        <w:tc>
          <w:tcPr>
            <w:tcW w:w="292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0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2"/>
              </w:rPr>
              <w:t>Credit-adjusted risk-free rate</w:t>
            </w:r>
          </w:p>
        </w:tc>
        <w:tc>
          <w:tcPr>
            <w:tcW w:w="1320" w:type="dxa"/>
            <w:vAlign w:val="bottom"/>
            <w:vMerge w:val="restart"/>
          </w:tcPr>
          <w:p>
            <w:pPr>
              <w:jc w:val="right"/>
              <w:ind w:right="357"/>
              <w:spacing w:after="0"/>
              <w:rPr>
                <w:sz w:val="20"/>
                <w:szCs w:val="20"/>
                <w:color w:val="auto"/>
              </w:rPr>
            </w:pPr>
            <w:r>
              <w:rPr>
                <w:rFonts w:ascii="Arial" w:cs="Arial" w:eastAsia="Arial" w:hAnsi="Arial"/>
                <w:sz w:val="18"/>
                <w:szCs w:val="18"/>
                <w:b w:val="1"/>
                <w:bCs w:val="1"/>
                <w:color w:val="auto"/>
              </w:rPr>
              <w:t>7.3%</w:t>
            </w:r>
          </w:p>
        </w:tc>
        <w:tc>
          <w:tcPr>
            <w:tcW w:w="138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67"/>
        </w:trPr>
        <w:tc>
          <w:tcPr>
            <w:tcW w:w="2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-385445</wp:posOffset>
            </wp:positionV>
            <wp:extent cx="3625850" cy="425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57">
                      <a:extLst>
                        <a:ext uri="{28A0092B-C50C-407E-A947-70E740481C1C}"/>
                      </a:extLst>
                    </a:blip>
                    <a:srcRect/>
                    <a:stretch>
                      <a:fillRect/>
                    </a:stretch>
                  </pic:blipFill>
                  <pic:spPr bwMode="auto">
                    <a:xfrm>
                      <a:off x="0" y="0"/>
                      <a:ext cx="3625850" cy="4254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2914650</wp:posOffset>
                </wp:positionH>
                <wp:positionV relativeFrom="paragraph">
                  <wp:posOffset>-173355</wp:posOffset>
                </wp:positionV>
                <wp:extent cx="360045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04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5pt,-13.6499pt" to="513pt,-13.6499pt" o:allowincell="f" strokecolor="#000000" strokeweight="0pt"/>
            </w:pict>
          </mc:Fallback>
        </mc:AlternateContent>
      </w:r>
    </w:p>
    <w:p>
      <w:pPr>
        <w:spacing w:after="0" w:line="18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Sensitivity of Level 3 Inputs - Warranty Obligations</w:t>
      </w:r>
    </w:p>
    <w:p>
      <w:pPr>
        <w:spacing w:after="0" w:line="128" w:lineRule="exact"/>
        <w:rPr>
          <w:sz w:val="20"/>
          <w:szCs w:val="20"/>
          <w:color w:val="auto"/>
        </w:rPr>
      </w:pPr>
    </w:p>
    <w:p>
      <w:pPr>
        <w:jc w:val="both"/>
        <w:ind w:left="10" w:firstLine="540"/>
        <w:spacing w:after="0" w:line="269" w:lineRule="auto"/>
        <w:rPr>
          <w:sz w:val="20"/>
          <w:szCs w:val="20"/>
          <w:color w:val="auto"/>
        </w:rPr>
      </w:pPr>
      <w:r>
        <w:rPr>
          <w:rFonts w:ascii="Arial" w:cs="Arial" w:eastAsia="Arial" w:hAnsi="Arial"/>
          <w:sz w:val="19"/>
          <w:szCs w:val="19"/>
          <w:b w:val="1"/>
          <w:bCs w:val="1"/>
          <w:color w:val="auto"/>
        </w:rPr>
        <w:t>Each of the significant unobservable inputs is independent of the other. The profit element and risk premium are estimated based on the requirements of a third-party participant willing to assume the Company’s warranty obligations. The discount rate is determined by reference to the Company’s own credit standing at the fair value measurement date, which increased 0.1% in the year ended December 31, 2025 due to the increase in the risk free rate and market spreads, contributing to the $0.2 million change in warranty benefit captured in “Change in discount rate” in the table above. Under the expected present value technique, increasing the profit element and risk premium input by 100 basis points would result in a $1.4 million increase to the liability. Decreasing the profit element and risk premium by 100 basis points would result in a $1.4 million reduction to the liability. Increasing the discount rate by 100 basis points would result in a $13.3 million decrease to the liability. Decreasing the discount rate by 100 basis points would result in a $14.9 million increase to the liability.</w:t>
      </w:r>
    </w:p>
    <w:p>
      <w:pPr>
        <w:spacing w:after="0" w:line="71" w:lineRule="exact"/>
        <w:rPr>
          <w:sz w:val="20"/>
          <w:szCs w:val="20"/>
          <w:color w:val="auto"/>
        </w:rPr>
      </w:pPr>
    </w:p>
    <w:p>
      <w:pPr>
        <w:ind w:left="550" w:right="3680" w:hanging="550"/>
        <w:spacing w:after="0" w:line="456" w:lineRule="auto"/>
        <w:tabs>
          <w:tab w:leader="none" w:pos="55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ASSET IMPAIRMENT CHARGES Restructuring and asset impairment charges consist of the following:</w:t>
      </w:r>
    </w:p>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18"/>
        </w:trPr>
        <w:tc>
          <w:tcPr>
            <w:tcW w:w="6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35"/>
        </w:trPr>
        <w:tc>
          <w:tcPr>
            <w:tcW w:w="6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r>
      <w:tr>
        <w:trPr>
          <w:trHeight w:val="269"/>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11"/>
        </w:trPr>
        <w:tc>
          <w:tcPr>
            <w:tcW w:w="6180" w:type="dxa"/>
            <w:vAlign w:val="bottom"/>
          </w:tcPr>
          <w:p>
            <w:pPr>
              <w:spacing w:after="0"/>
              <w:rPr>
                <w:sz w:val="20"/>
                <w:szCs w:val="20"/>
                <w:color w:val="auto"/>
              </w:rPr>
            </w:pPr>
            <w:r>
              <w:rPr>
                <w:rFonts w:ascii="Arial" w:cs="Arial" w:eastAsia="Arial" w:hAnsi="Arial"/>
                <w:sz w:val="18"/>
                <w:szCs w:val="18"/>
                <w:b w:val="1"/>
                <w:bCs w:val="1"/>
                <w:color w:val="auto"/>
              </w:rPr>
              <w:t>Employee severance and benefits</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5,223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6,380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2,155</w:t>
            </w:r>
          </w:p>
        </w:tc>
      </w:tr>
      <w:tr>
        <w:trPr>
          <w:trHeight w:val="285"/>
        </w:trPr>
        <w:tc>
          <w:tcPr>
            <w:tcW w:w="6180" w:type="dxa"/>
            <w:vAlign w:val="bottom"/>
          </w:tcPr>
          <w:p>
            <w:pPr>
              <w:spacing w:after="0"/>
              <w:rPr>
                <w:sz w:val="20"/>
                <w:szCs w:val="20"/>
                <w:color w:val="auto"/>
              </w:rPr>
            </w:pPr>
            <w:r>
              <w:rPr>
                <w:rFonts w:ascii="Arial" w:cs="Arial" w:eastAsia="Arial" w:hAnsi="Arial"/>
                <w:sz w:val="18"/>
                <w:szCs w:val="18"/>
                <w:b w:val="1"/>
                <w:bCs w:val="1"/>
                <w:color w:val="auto"/>
              </w:rPr>
              <w:t>Contract termination charges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1,991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3,700</w:t>
            </w:r>
          </w:p>
        </w:tc>
      </w:tr>
      <w:tr>
        <w:trPr>
          <w:trHeight w:val="285"/>
        </w:trPr>
        <w:tc>
          <w:tcPr>
            <w:tcW w:w="6180" w:type="dxa"/>
            <w:vAlign w:val="bottom"/>
          </w:tcPr>
          <w:p>
            <w:pPr>
              <w:spacing w:after="0"/>
              <w:rPr>
                <w:sz w:val="20"/>
                <w:szCs w:val="20"/>
                <w:color w:val="auto"/>
              </w:rPr>
            </w:pPr>
            <w:r>
              <w:rPr>
                <w:rFonts w:ascii="Arial" w:cs="Arial" w:eastAsia="Arial" w:hAnsi="Arial"/>
                <w:sz w:val="18"/>
                <w:szCs w:val="18"/>
                <w:b w:val="1"/>
                <w:bCs w:val="1"/>
                <w:color w:val="auto"/>
              </w:rPr>
              <w:t>Asset impairment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4,783</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9,829</w:t>
            </w:r>
          </w:p>
        </w:tc>
      </w:tr>
      <w:tr>
        <w:trPr>
          <w:trHeight w:val="245"/>
        </w:trPr>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Total restructuring and asset impairment charges</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7,131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13,154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15,684</w:t>
            </w:r>
          </w:p>
        </w:tc>
      </w:tr>
      <w:tr>
        <w:trPr>
          <w:trHeight w:val="20"/>
        </w:trPr>
        <w:tc>
          <w:tcPr>
            <w:tcW w:w="6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40500" cy="2063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58">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-393065</wp:posOffset>
            </wp:positionV>
            <wp:extent cx="6540500" cy="2063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59">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-56515</wp:posOffset>
            </wp:positionV>
            <wp:extent cx="2613025" cy="762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0">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11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2023 Restructuring Plan</w:t>
      </w:r>
    </w:p>
    <w:p>
      <w:pPr>
        <w:spacing w:after="0" w:line="130" w:lineRule="exact"/>
        <w:rPr>
          <w:sz w:val="20"/>
          <w:szCs w:val="20"/>
          <w:color w:val="auto"/>
        </w:rPr>
      </w:pPr>
    </w:p>
    <w:p>
      <w:pPr>
        <w:jc w:val="both"/>
        <w:ind w:left="10" w:right="20" w:firstLine="540"/>
        <w:spacing w:after="0" w:line="257" w:lineRule="auto"/>
        <w:rPr>
          <w:sz w:val="20"/>
          <w:szCs w:val="20"/>
          <w:color w:val="auto"/>
        </w:rPr>
      </w:pPr>
      <w:r>
        <w:rPr>
          <w:rFonts w:ascii="Arial" w:cs="Arial" w:eastAsia="Arial" w:hAnsi="Arial"/>
          <w:sz w:val="20"/>
          <w:szCs w:val="20"/>
          <w:b w:val="1"/>
          <w:bCs w:val="1"/>
          <w:color w:val="auto"/>
        </w:rPr>
        <w:t>In the fourth quarter of 2023, the Company implemented a restructuring plan (the “2023 Restructuring Plan”) designed to increase operational efficiencies and execution, reduce operating costs, and better align the Company’s workforce and cost structure with current market conditions, and the Company’s business needs, strategic priorities and ongoing commitment to profitable growth. The Company completed its restructuring activities under the 2023 Restructuring Plan in the fourth quarter of 2024 and substantially all of the remaining liabilities as of December 31, 2024, were settled by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2206625</wp:posOffset>
                </wp:positionV>
                <wp:extent cx="633412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73.75pt" to="505.85pt,173.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2206625</wp:posOffset>
                </wp:positionV>
                <wp:extent cx="6334125"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73.75pt" to="505.85pt,173.7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95</w:t>
      </w:r>
    </w:p>
    <w:p>
      <w:pPr>
        <w:sectPr>
          <w:pgSz w:w="12240" w:h="15840" w:orient="portrait"/>
          <w:cols w:equalWidth="0" w:num="1">
            <w:col w:w="10270"/>
          </w:cols>
          <w:pgMar w:left="990" w:top="216" w:right="98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80" w:firstLine="540"/>
        <w:spacing w:after="0" w:line="314" w:lineRule="auto"/>
        <w:rPr>
          <w:sz w:val="20"/>
          <w:szCs w:val="20"/>
          <w:color w:val="auto"/>
        </w:rPr>
      </w:pPr>
      <w:r>
        <w:rPr>
          <w:rFonts w:ascii="Arial" w:cs="Arial" w:eastAsia="Arial" w:hAnsi="Arial"/>
          <w:sz w:val="19"/>
          <w:szCs w:val="19"/>
          <w:b w:val="1"/>
          <w:bCs w:val="1"/>
          <w:color w:val="auto"/>
        </w:rPr>
        <w:t>The following table presents the details of the Company’s restructuring and asset impairment charges under the 2023 Restructuring Plan for the years ended years ended December 31, 2025, 2024 and 2023:</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6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35"/>
        </w:trPr>
        <w:tc>
          <w:tcPr>
            <w:tcW w:w="61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r>
      <w:tr>
        <w:trPr>
          <w:trHeight w:val="269"/>
        </w:trPr>
        <w:tc>
          <w:tcPr>
            <w:tcW w:w="6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11"/>
        </w:trPr>
        <w:tc>
          <w:tcPr>
            <w:tcW w:w="6180" w:type="dxa"/>
            <w:vAlign w:val="bottom"/>
          </w:tcPr>
          <w:p>
            <w:pPr>
              <w:spacing w:after="0"/>
              <w:rPr>
                <w:sz w:val="20"/>
                <w:szCs w:val="20"/>
                <w:color w:val="auto"/>
              </w:rPr>
            </w:pPr>
            <w:r>
              <w:rPr>
                <w:rFonts w:ascii="Arial" w:cs="Arial" w:eastAsia="Arial" w:hAnsi="Arial"/>
                <w:sz w:val="18"/>
                <w:szCs w:val="18"/>
                <w:b w:val="1"/>
                <w:bCs w:val="1"/>
                <w:color w:val="auto"/>
              </w:rPr>
              <w:t>Employee severance and benefits</w:t>
            </w:r>
          </w:p>
        </w:tc>
        <w:tc>
          <w:tcPr>
            <w:tcW w:w="900" w:type="dxa"/>
            <w:vAlign w:val="bottom"/>
          </w:tcPr>
          <w:p>
            <w:pPr>
              <w:jc w:val="right"/>
              <w:ind w:right="67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1,374</w:t>
            </w:r>
          </w:p>
        </w:tc>
      </w:tr>
      <w:tr>
        <w:trPr>
          <w:trHeight w:val="285"/>
        </w:trPr>
        <w:tc>
          <w:tcPr>
            <w:tcW w:w="6180" w:type="dxa"/>
            <w:vAlign w:val="bottom"/>
          </w:tcPr>
          <w:p>
            <w:pPr>
              <w:spacing w:after="0"/>
              <w:rPr>
                <w:sz w:val="20"/>
                <w:szCs w:val="20"/>
                <w:color w:val="auto"/>
              </w:rPr>
            </w:pPr>
            <w:r>
              <w:rPr>
                <w:rFonts w:ascii="Arial" w:cs="Arial" w:eastAsia="Arial" w:hAnsi="Arial"/>
                <w:sz w:val="18"/>
                <w:szCs w:val="18"/>
                <w:b w:val="1"/>
                <w:bCs w:val="1"/>
                <w:color w:val="auto"/>
              </w:rPr>
              <w:t>Contract termination charges</w:t>
            </w:r>
          </w:p>
        </w:tc>
        <w:tc>
          <w:tcPr>
            <w:tcW w:w="90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1,225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3,700</w:t>
            </w:r>
          </w:p>
        </w:tc>
      </w:tr>
      <w:tr>
        <w:trPr>
          <w:trHeight w:val="285"/>
        </w:trPr>
        <w:tc>
          <w:tcPr>
            <w:tcW w:w="6180" w:type="dxa"/>
            <w:vAlign w:val="bottom"/>
          </w:tcPr>
          <w:p>
            <w:pPr>
              <w:spacing w:after="0"/>
              <w:rPr>
                <w:sz w:val="20"/>
                <w:szCs w:val="20"/>
                <w:color w:val="auto"/>
              </w:rPr>
            </w:pPr>
            <w:r>
              <w:rPr>
                <w:rFonts w:ascii="Arial" w:cs="Arial" w:eastAsia="Arial" w:hAnsi="Arial"/>
                <w:sz w:val="18"/>
                <w:szCs w:val="18"/>
                <w:b w:val="1"/>
                <w:bCs w:val="1"/>
                <w:color w:val="auto"/>
              </w:rPr>
              <w:t>Asset impairment</w:t>
            </w: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9,829</w:t>
            </w:r>
          </w:p>
        </w:tc>
      </w:tr>
      <w:tr>
        <w:trPr>
          <w:trHeight w:val="245"/>
        </w:trPr>
        <w:tc>
          <w:tcPr>
            <w:tcW w:w="6180" w:type="dxa"/>
            <w:vAlign w:val="bottom"/>
          </w:tcPr>
          <w:p>
            <w:pPr>
              <w:ind w:left="240"/>
              <w:spacing w:after="0"/>
              <w:rPr>
                <w:sz w:val="20"/>
                <w:szCs w:val="20"/>
                <w:color w:val="auto"/>
              </w:rPr>
            </w:pPr>
            <w:r>
              <w:rPr>
                <w:rFonts w:ascii="Arial" w:cs="Arial" w:eastAsia="Arial" w:hAnsi="Arial"/>
                <w:sz w:val="18"/>
                <w:szCs w:val="18"/>
                <w:b w:val="1"/>
                <w:bCs w:val="1"/>
                <w:color w:val="auto"/>
              </w:rPr>
              <w:t>Total restructuring and asset impairment charges</w:t>
            </w:r>
          </w:p>
        </w:tc>
        <w:tc>
          <w:tcPr>
            <w:tcW w:w="900" w:type="dxa"/>
            <w:vAlign w:val="bottom"/>
          </w:tcPr>
          <w:p>
            <w:pPr>
              <w:jc w:val="right"/>
              <w:ind w:right="67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3,325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14,903</w:t>
            </w:r>
          </w:p>
        </w:tc>
      </w:tr>
      <w:tr>
        <w:trPr>
          <w:trHeight w:val="20"/>
        </w:trPr>
        <w:tc>
          <w:tcPr>
            <w:tcW w:w="6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40500" cy="2063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1">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540500" cy="2063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-56515</wp:posOffset>
            </wp:positionV>
            <wp:extent cx="2613025" cy="762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63">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115" w:lineRule="exact"/>
        <w:rPr>
          <w:sz w:val="20"/>
          <w:szCs w:val="20"/>
          <w:color w:val="auto"/>
        </w:rPr>
      </w:pPr>
    </w:p>
    <w:p>
      <w:pPr>
        <w:jc w:val="both"/>
        <w:ind w:right="80" w:firstLine="540"/>
        <w:spacing w:after="0" w:line="287" w:lineRule="auto"/>
        <w:rPr>
          <w:sz w:val="20"/>
          <w:szCs w:val="20"/>
          <w:color w:val="auto"/>
        </w:rPr>
      </w:pPr>
      <w:r>
        <w:rPr>
          <w:rFonts w:ascii="Arial" w:cs="Arial" w:eastAsia="Arial" w:hAnsi="Arial"/>
          <w:sz w:val="20"/>
          <w:szCs w:val="20"/>
          <w:b w:val="1"/>
          <w:bCs w:val="1"/>
          <w:color w:val="auto"/>
        </w:rPr>
        <w:t>The following table provides information regarding changes in the Company’s accrued restructuring balances under the 2023 Restructuring Plan for the periods indicated:</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7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Employee Severance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3"/>
              <w:spacing w:after="0"/>
              <w:rPr>
                <w:sz w:val="20"/>
                <w:szCs w:val="20"/>
                <w:color w:val="auto"/>
              </w:rPr>
            </w:pPr>
            <w:r>
              <w:rPr>
                <w:rFonts w:ascii="Arial" w:cs="Arial" w:eastAsia="Arial" w:hAnsi="Arial"/>
                <w:sz w:val="16"/>
                <w:szCs w:val="16"/>
                <w:b w:val="1"/>
                <w:bCs w:val="1"/>
                <w:color w:val="auto"/>
              </w:rPr>
              <w:t>Contract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Asset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6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restart"/>
          </w:tcPr>
          <w:p>
            <w:pPr>
              <w:jc w:val="center"/>
              <w:ind w:right="73"/>
              <w:spacing w:after="0" w:line="160" w:lineRule="exact"/>
              <w:rPr>
                <w:sz w:val="20"/>
                <w:szCs w:val="20"/>
                <w:color w:val="auto"/>
              </w:rPr>
            </w:pPr>
            <w:r>
              <w:rPr>
                <w:rFonts w:ascii="Arial" w:cs="Arial" w:eastAsia="Arial" w:hAnsi="Arial"/>
                <w:sz w:val="16"/>
                <w:szCs w:val="16"/>
                <w:b w:val="1"/>
                <w:bCs w:val="1"/>
                <w:color w:val="auto"/>
                <w:w w:val="98"/>
              </w:rPr>
              <w:t>Termination</w:t>
            </w: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vMerge w:val="restart"/>
          </w:tcPr>
          <w:p>
            <w:pPr>
              <w:jc w:val="right"/>
              <w:ind w:right="391"/>
              <w:spacing w:after="0" w:line="160"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0"/>
        </w:trPr>
        <w:tc>
          <w:tcPr>
            <w:tcW w:w="4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and Benefits</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Impairment</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9"/>
              </w:rPr>
              <w:t>Charges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00" w:type="dxa"/>
            <w:vAlign w:val="bottom"/>
            <w:gridSpan w:val="4"/>
          </w:tcPr>
          <w:p>
            <w:pPr>
              <w:jc w:val="right"/>
              <w:ind w:right="932"/>
              <w:spacing w:after="0"/>
              <w:rPr>
                <w:sz w:val="20"/>
                <w:szCs w:val="20"/>
                <w:color w:val="auto"/>
              </w:rPr>
            </w:pPr>
            <w:r>
              <w:rPr>
                <w:rFonts w:ascii="Arial" w:cs="Arial" w:eastAsia="Arial" w:hAnsi="Arial"/>
                <w:sz w:val="16"/>
                <w:szCs w:val="16"/>
                <w:b w:val="1"/>
                <w:bCs w:val="1"/>
                <w:i w:val="1"/>
                <w:iCs w:val="1"/>
                <w:color w:val="auto"/>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4460" w:type="dxa"/>
            <w:vAlign w:val="bottom"/>
          </w:tcPr>
          <w:p>
            <w:pPr>
              <w:spacing w:after="0"/>
              <w:rPr>
                <w:sz w:val="20"/>
                <w:szCs w:val="20"/>
                <w:color w:val="auto"/>
              </w:rPr>
            </w:pPr>
            <w:r>
              <w:rPr>
                <w:rFonts w:ascii="Arial" w:cs="Arial" w:eastAsia="Arial" w:hAnsi="Arial"/>
                <w:sz w:val="18"/>
                <w:szCs w:val="18"/>
                <w:b w:val="1"/>
                <w:bCs w:val="1"/>
                <w:color w:val="auto"/>
              </w:rPr>
              <w:t>Balance as of December 31, 2023</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1,304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3,104</w:t>
            </w:r>
          </w:p>
        </w:tc>
        <w:tc>
          <w:tcPr>
            <w:tcW w:w="0" w:type="dxa"/>
            <w:vAlign w:val="bottom"/>
          </w:tcPr>
          <w:p>
            <w:pPr>
              <w:spacing w:after="0"/>
              <w:rPr>
                <w:sz w:val="1"/>
                <w:szCs w:val="1"/>
                <w:color w:val="auto"/>
              </w:rPr>
            </w:pPr>
          </w:p>
        </w:tc>
      </w:tr>
      <w:tr>
        <w:trPr>
          <w:trHeight w:val="285"/>
        </w:trPr>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Charges</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1,219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881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3,325</w:t>
            </w:r>
          </w:p>
        </w:tc>
        <w:tc>
          <w:tcPr>
            <w:tcW w:w="0" w:type="dxa"/>
            <w:vAlign w:val="bottom"/>
          </w:tcPr>
          <w:p>
            <w:pPr>
              <w:spacing w:after="0"/>
              <w:rPr>
                <w:sz w:val="1"/>
                <w:szCs w:val="1"/>
                <w:color w:val="auto"/>
              </w:rPr>
            </w:pPr>
          </w:p>
        </w:tc>
      </w:tr>
      <w:tr>
        <w:trPr>
          <w:trHeight w:val="285"/>
        </w:trPr>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Cash payments</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(1,955)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(4,087)</w:t>
            </w:r>
          </w:p>
        </w:tc>
        <w:tc>
          <w:tcPr>
            <w:tcW w:w="0" w:type="dxa"/>
            <w:vAlign w:val="bottom"/>
          </w:tcPr>
          <w:p>
            <w:pPr>
              <w:spacing w:after="0"/>
              <w:rPr>
                <w:sz w:val="1"/>
                <w:szCs w:val="1"/>
                <w:color w:val="auto"/>
              </w:rPr>
            </w:pPr>
          </w:p>
        </w:tc>
      </w:tr>
      <w:tr>
        <w:trPr>
          <w:trHeight w:val="285"/>
        </w:trPr>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Non-cash settlement and other</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(2,066)</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Arial" w:cs="Arial" w:eastAsia="Arial" w:hAnsi="Arial"/>
                <w:sz w:val="18"/>
                <w:szCs w:val="18"/>
                <w:b w:val="1"/>
                <w:bCs w:val="1"/>
                <w:color w:val="auto"/>
              </w:rPr>
              <w:t>Balance as of December 31, 2024</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85"/>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Charges</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85"/>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Cash payments</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85"/>
        </w:trPr>
        <w:tc>
          <w:tcPr>
            <w:tcW w:w="4460" w:type="dxa"/>
            <w:vAlign w:val="bottom"/>
          </w:tcPr>
          <w:p>
            <w:pPr>
              <w:ind w:left="140"/>
              <w:spacing w:after="0"/>
              <w:rPr>
                <w:sz w:val="20"/>
                <w:szCs w:val="20"/>
                <w:color w:val="auto"/>
              </w:rPr>
            </w:pPr>
            <w:r>
              <w:rPr>
                <w:rFonts w:ascii="Arial" w:cs="Arial" w:eastAsia="Arial" w:hAnsi="Arial"/>
                <w:sz w:val="18"/>
                <w:szCs w:val="18"/>
                <w:b w:val="1"/>
                <w:bCs w:val="1"/>
                <w:color w:val="auto"/>
              </w:rPr>
              <w:t>Non-cash settlement and other</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8"/>
                <w:szCs w:val="18"/>
                <w:b w:val="1"/>
                <w:bCs w:val="1"/>
                <w:color w:val="auto"/>
              </w:rPr>
              <w:t>Balance as of December 31, 2025</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91300" cy="16795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64">
                      <a:extLst>
                        <a:ext uri="{28A0092B-C50C-407E-A947-70E740481C1C}"/>
                      </a:extLst>
                    </a:blip>
                    <a:srcRect/>
                    <a:stretch>
                      <a:fillRect/>
                    </a:stretch>
                  </pic:blipFill>
                  <pic:spPr bwMode="auto">
                    <a:xfrm>
                      <a:off x="0" y="0"/>
                      <a:ext cx="6591300" cy="167957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Restructuring Plan</w:t>
      </w:r>
    </w:p>
    <w:p>
      <w:pPr>
        <w:spacing w:after="0" w:line="130" w:lineRule="exact"/>
        <w:rPr>
          <w:sz w:val="20"/>
          <w:szCs w:val="20"/>
          <w:color w:val="auto"/>
        </w:rPr>
      </w:pPr>
    </w:p>
    <w:p>
      <w:pPr>
        <w:jc w:val="both"/>
        <w:ind w:right="80" w:firstLine="540"/>
        <w:spacing w:after="0" w:line="300" w:lineRule="auto"/>
        <w:rPr>
          <w:sz w:val="20"/>
          <w:szCs w:val="20"/>
          <w:color w:val="auto"/>
        </w:rPr>
      </w:pPr>
      <w:r>
        <w:rPr>
          <w:rFonts w:ascii="Arial" w:cs="Arial" w:eastAsia="Arial" w:hAnsi="Arial"/>
          <w:sz w:val="18"/>
          <w:szCs w:val="18"/>
          <w:b w:val="1"/>
          <w:bCs w:val="1"/>
          <w:color w:val="auto"/>
        </w:rPr>
        <w:t>In the fourth quarter of 2024, the Company implemented a restructuring plan (the “2024 Restructuring Plan”) designed to better align its workforce and cost structure with the Company’s business needs, strategic priorities and ongoing commitment to profitable growth, while increasing operational efficiencies and reducing operating cost. The Company completed its restructuring activities under the 2024 Restructuring Plan in the fourth quarter of 2025.</w:t>
      </w:r>
    </w:p>
    <w:p>
      <w:pPr>
        <w:spacing w:after="0" w:line="45" w:lineRule="exact"/>
        <w:rPr>
          <w:sz w:val="20"/>
          <w:szCs w:val="20"/>
          <w:color w:val="auto"/>
        </w:rPr>
      </w:pPr>
    </w:p>
    <w:p>
      <w:pPr>
        <w:jc w:val="both"/>
        <w:ind w:right="80" w:firstLine="540"/>
        <w:spacing w:after="0" w:line="287" w:lineRule="auto"/>
        <w:rPr>
          <w:sz w:val="20"/>
          <w:szCs w:val="20"/>
          <w:color w:val="auto"/>
        </w:rPr>
      </w:pPr>
      <w:r>
        <w:rPr>
          <w:rFonts w:ascii="Arial" w:cs="Arial" w:eastAsia="Arial" w:hAnsi="Arial"/>
          <w:sz w:val="20"/>
          <w:szCs w:val="20"/>
          <w:b w:val="1"/>
          <w:bCs w:val="1"/>
          <w:color w:val="auto"/>
        </w:rPr>
        <w:t>The following table presents the details of the Company’s restructuring and asset impairment charges under the 2024 Restructuring Plan for the years ended December 31, 2025 and 2024:</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Years Ended December 31,</w:t>
            </w:r>
          </w:p>
        </w:tc>
      </w:tr>
      <w:tr>
        <w:trPr>
          <w:trHeight w:val="220"/>
        </w:trPr>
        <w:tc>
          <w:tcPr>
            <w:tcW w:w="7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2024</w:t>
            </w:r>
          </w:p>
        </w:tc>
      </w:tr>
      <w:tr>
        <w:trPr>
          <w:trHeight w:val="269"/>
        </w:trPr>
        <w:tc>
          <w:tcPr>
            <w:tcW w:w="7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40" w:type="dxa"/>
            <w:vAlign w:val="bottom"/>
            <w:gridSpan w:val="4"/>
          </w:tcPr>
          <w:p>
            <w:pPr>
              <w:jc w:val="right"/>
              <w:ind w:right="732"/>
              <w:spacing w:after="0"/>
              <w:rPr>
                <w:sz w:val="20"/>
                <w:szCs w:val="20"/>
                <w:color w:val="auto"/>
              </w:rPr>
            </w:pPr>
            <w:r>
              <w:rPr>
                <w:rFonts w:ascii="Arial" w:cs="Arial" w:eastAsia="Arial" w:hAnsi="Arial"/>
                <w:sz w:val="16"/>
                <w:szCs w:val="16"/>
                <w:b w:val="1"/>
                <w:bCs w:val="1"/>
                <w:i w:val="1"/>
                <w:iCs w:val="1"/>
                <w:color w:val="auto"/>
              </w:rPr>
              <w:t>(In thousands)</w:t>
            </w:r>
          </w:p>
        </w:tc>
      </w:tr>
      <w:tr>
        <w:trPr>
          <w:trHeight w:val="296"/>
        </w:trPr>
        <w:tc>
          <w:tcPr>
            <w:tcW w:w="7540" w:type="dxa"/>
            <w:vAlign w:val="bottom"/>
          </w:tcPr>
          <w:p>
            <w:pPr>
              <w:spacing w:after="0"/>
              <w:rPr>
                <w:sz w:val="20"/>
                <w:szCs w:val="20"/>
                <w:color w:val="auto"/>
              </w:rPr>
            </w:pPr>
            <w:r>
              <w:rPr>
                <w:rFonts w:ascii="Arial" w:cs="Arial" w:eastAsia="Arial" w:hAnsi="Arial"/>
                <w:sz w:val="18"/>
                <w:szCs w:val="18"/>
                <w:b w:val="1"/>
                <w:bCs w:val="1"/>
                <w:color w:val="auto"/>
              </w:rPr>
              <w:t>Employee severance and benefits</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5,161</w:t>
            </w:r>
          </w:p>
        </w:tc>
      </w:tr>
      <w:tr>
        <w:trPr>
          <w:trHeight w:val="285"/>
        </w:trPr>
        <w:tc>
          <w:tcPr>
            <w:tcW w:w="7540" w:type="dxa"/>
            <w:vAlign w:val="bottom"/>
          </w:tcPr>
          <w:p>
            <w:pPr>
              <w:spacing w:after="0"/>
              <w:rPr>
                <w:sz w:val="20"/>
                <w:szCs w:val="20"/>
                <w:color w:val="auto"/>
              </w:rPr>
            </w:pPr>
            <w:r>
              <w:rPr>
                <w:rFonts w:ascii="Arial" w:cs="Arial" w:eastAsia="Arial" w:hAnsi="Arial"/>
                <w:sz w:val="18"/>
                <w:szCs w:val="18"/>
                <w:b w:val="1"/>
                <w:bCs w:val="1"/>
                <w:color w:val="auto"/>
              </w:rPr>
              <w:t>Contract termination charges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766</w:t>
            </w:r>
          </w:p>
        </w:tc>
      </w:tr>
      <w:tr>
        <w:trPr>
          <w:trHeight w:val="285"/>
        </w:trPr>
        <w:tc>
          <w:tcPr>
            <w:tcW w:w="7540" w:type="dxa"/>
            <w:vAlign w:val="bottom"/>
          </w:tcPr>
          <w:p>
            <w:pPr>
              <w:spacing w:after="0"/>
              <w:rPr>
                <w:sz w:val="20"/>
                <w:szCs w:val="20"/>
                <w:color w:val="auto"/>
              </w:rPr>
            </w:pPr>
            <w:r>
              <w:rPr>
                <w:rFonts w:ascii="Arial" w:cs="Arial" w:eastAsia="Arial" w:hAnsi="Arial"/>
                <w:sz w:val="18"/>
                <w:szCs w:val="18"/>
                <w:b w:val="1"/>
                <w:bCs w:val="1"/>
                <w:color w:val="auto"/>
              </w:rPr>
              <w:t>Asset impairment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3,902</w:t>
            </w:r>
          </w:p>
        </w:tc>
      </w:tr>
      <w:tr>
        <w:trPr>
          <w:trHeight w:val="245"/>
        </w:trPr>
        <w:tc>
          <w:tcPr>
            <w:tcW w:w="7540" w:type="dxa"/>
            <w:vAlign w:val="bottom"/>
          </w:tcPr>
          <w:p>
            <w:pPr>
              <w:ind w:left="240"/>
              <w:spacing w:after="0"/>
              <w:rPr>
                <w:sz w:val="20"/>
                <w:szCs w:val="20"/>
                <w:color w:val="auto"/>
              </w:rPr>
            </w:pPr>
            <w:r>
              <w:rPr>
                <w:rFonts w:ascii="Arial" w:cs="Arial" w:eastAsia="Arial" w:hAnsi="Arial"/>
                <w:sz w:val="18"/>
                <w:szCs w:val="18"/>
                <w:b w:val="1"/>
                <w:bCs w:val="1"/>
                <w:color w:val="auto"/>
              </w:rPr>
              <w:t>Total restructuring and asset impairment charges</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7,131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9,829</w:t>
            </w: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40500" cy="2063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5">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540500" cy="2063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6">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-56515</wp:posOffset>
            </wp:positionV>
            <wp:extent cx="1746250" cy="762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67">
                      <a:extLst>
                        <a:ext uri="{28A0092B-C50C-407E-A947-70E740481C1C}"/>
                      </a:extLst>
                    </a:blip>
                    <a:srcRect/>
                    <a:stretch>
                      <a:fillRect/>
                    </a:stretch>
                  </pic:blipFill>
                  <pic:spPr bwMode="auto">
                    <a:xfrm>
                      <a:off x="0" y="0"/>
                      <a:ext cx="1746250" cy="762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83820</wp:posOffset>
                </wp:positionH>
                <wp:positionV relativeFrom="paragraph">
                  <wp:posOffset>1680845</wp:posOffset>
                </wp:positionV>
                <wp:extent cx="633412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2.35pt" to="505.35pt,13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1680845</wp:posOffset>
                </wp:positionV>
                <wp:extent cx="633412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32.35pt" to="505.35pt,132.35pt" o:allowincell="f" strokecolor="#828282" strokeweight="0.25pt"/>
            </w:pict>
          </mc:Fallback>
        </mc:AlternateContent>
      </w:r>
    </w:p>
    <w:p>
      <w:pPr>
        <w:sectPr>
          <w:pgSz w:w="12240" w:h="15840" w:orient="portrait"/>
          <w:cols w:equalWidth="0" w:num="1">
            <w:col w:w="10320"/>
          </w:cols>
          <w:pgMar w:left="1000" w:top="21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828282"/>
        </w:rPr>
        <w:t>Enphase Energy, Inc. | 2025 Form 10-K | 96</w:t>
      </w:r>
    </w:p>
    <w:p>
      <w:pPr>
        <w:sectPr>
          <w:pgSz w:w="12240" w:h="15840" w:orient="portrait"/>
          <w:cols w:equalWidth="0" w:num="1">
            <w:col w:w="10320"/>
          </w:cols>
          <w:pgMar w:left="1000" w:top="216" w:right="920" w:bottom="0" w:gutter="0" w:footer="0" w:header="0"/>
          <w:type w:val="continuous"/>
        </w:sectPr>
      </w:pPr>
    </w:p>
    <w:bookmarkStart w:id="96" w:name="page97"/>
    <w:bookmarkEnd w:id="96"/>
    <w:p>
      <w:pPr>
        <w:ind w:left="1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 w:right="20" w:firstLine="540"/>
        <w:spacing w:after="0" w:line="287" w:lineRule="auto"/>
        <w:rPr>
          <w:sz w:val="20"/>
          <w:szCs w:val="20"/>
          <w:color w:val="auto"/>
        </w:rPr>
      </w:pPr>
      <w:r>
        <w:rPr>
          <w:rFonts w:ascii="Arial" w:cs="Arial" w:eastAsia="Arial" w:hAnsi="Arial"/>
          <w:sz w:val="20"/>
          <w:szCs w:val="20"/>
          <w:b w:val="1"/>
          <w:bCs w:val="1"/>
          <w:color w:val="auto"/>
        </w:rPr>
        <w:t>The following table provides information regarding changes in the Company’s accrued restructuring balances under the 2024 Restructuring Plan for the periods indicated:</w:t>
      </w:r>
    </w:p>
    <w:p>
      <w:pPr>
        <w:spacing w:after="0" w:line="92"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7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Employee Severance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3"/>
              <w:spacing w:after="0"/>
              <w:rPr>
                <w:sz w:val="20"/>
                <w:szCs w:val="20"/>
                <w:color w:val="auto"/>
              </w:rPr>
            </w:pPr>
            <w:r>
              <w:rPr>
                <w:rFonts w:ascii="Arial" w:cs="Arial" w:eastAsia="Arial" w:hAnsi="Arial"/>
                <w:sz w:val="16"/>
                <w:szCs w:val="16"/>
                <w:b w:val="1"/>
                <w:bCs w:val="1"/>
                <w:color w:val="auto"/>
              </w:rPr>
              <w:t>Contract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Asset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0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restart"/>
          </w:tcPr>
          <w:p>
            <w:pPr>
              <w:jc w:val="center"/>
              <w:ind w:right="73"/>
              <w:spacing w:after="0" w:line="160" w:lineRule="exact"/>
              <w:rPr>
                <w:sz w:val="20"/>
                <w:szCs w:val="20"/>
                <w:color w:val="auto"/>
              </w:rPr>
            </w:pPr>
            <w:r>
              <w:rPr>
                <w:rFonts w:ascii="Arial" w:cs="Arial" w:eastAsia="Arial" w:hAnsi="Arial"/>
                <w:sz w:val="16"/>
                <w:szCs w:val="16"/>
                <w:b w:val="1"/>
                <w:bCs w:val="1"/>
                <w:color w:val="auto"/>
                <w:w w:val="98"/>
              </w:rPr>
              <w:t>Termination</w:t>
            </w: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vMerge w:val="restart"/>
          </w:tcPr>
          <w:p>
            <w:pPr>
              <w:jc w:val="right"/>
              <w:ind w:right="391"/>
              <w:spacing w:after="0" w:line="160"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0"/>
        </w:trPr>
        <w:tc>
          <w:tcPr>
            <w:tcW w:w="4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and Benefits</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Impairment</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9"/>
              </w:rPr>
              <w:t>Charges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44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4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00" w:type="dxa"/>
            <w:vAlign w:val="bottom"/>
            <w:gridSpan w:val="4"/>
          </w:tcPr>
          <w:p>
            <w:pPr>
              <w:jc w:val="right"/>
              <w:ind w:right="932"/>
              <w:spacing w:after="0"/>
              <w:rPr>
                <w:sz w:val="20"/>
                <w:szCs w:val="20"/>
                <w:color w:val="auto"/>
              </w:rPr>
            </w:pPr>
            <w:r>
              <w:rPr>
                <w:rFonts w:ascii="Arial" w:cs="Arial" w:eastAsia="Arial" w:hAnsi="Arial"/>
                <w:sz w:val="16"/>
                <w:szCs w:val="16"/>
                <w:b w:val="1"/>
                <w:bCs w:val="1"/>
                <w:i w:val="1"/>
                <w:iCs w:val="1"/>
                <w:color w:val="auto"/>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4400" w:type="dxa"/>
            <w:vAlign w:val="bottom"/>
          </w:tcPr>
          <w:p>
            <w:pPr>
              <w:spacing w:after="0"/>
              <w:rPr>
                <w:sz w:val="20"/>
                <w:szCs w:val="20"/>
                <w:color w:val="auto"/>
              </w:rPr>
            </w:pPr>
            <w:r>
              <w:rPr>
                <w:rFonts w:ascii="Arial" w:cs="Arial" w:eastAsia="Arial" w:hAnsi="Arial"/>
                <w:sz w:val="18"/>
                <w:szCs w:val="18"/>
                <w:b w:val="1"/>
                <w:bCs w:val="1"/>
                <w:color w:val="auto"/>
              </w:rPr>
              <w:t>Balance as of December 31, 2023</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5"/>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Charges</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5,161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9,829</w:t>
            </w:r>
          </w:p>
        </w:tc>
        <w:tc>
          <w:tcPr>
            <w:tcW w:w="0" w:type="dxa"/>
            <w:vAlign w:val="bottom"/>
          </w:tcPr>
          <w:p>
            <w:pPr>
              <w:spacing w:after="0"/>
              <w:rPr>
                <w:sz w:val="1"/>
                <w:szCs w:val="1"/>
                <w:color w:val="auto"/>
              </w:rPr>
            </w:pPr>
          </w:p>
        </w:tc>
      </w:tr>
      <w:tr>
        <w:trPr>
          <w:trHeight w:val="285"/>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Cash payments</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(2,941)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(2,941)</w:t>
            </w:r>
          </w:p>
        </w:tc>
        <w:tc>
          <w:tcPr>
            <w:tcW w:w="0" w:type="dxa"/>
            <w:vAlign w:val="bottom"/>
          </w:tcPr>
          <w:p>
            <w:pPr>
              <w:spacing w:after="0"/>
              <w:rPr>
                <w:sz w:val="1"/>
                <w:szCs w:val="1"/>
                <w:color w:val="auto"/>
              </w:rPr>
            </w:pPr>
          </w:p>
        </w:tc>
      </w:tr>
      <w:tr>
        <w:trPr>
          <w:trHeight w:val="285"/>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Non-cash settlement and other</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(3,902)</w:t>
            </w:r>
          </w:p>
        </w:tc>
        <w:tc>
          <w:tcPr>
            <w:tcW w:w="0" w:type="dxa"/>
            <w:vAlign w:val="bottom"/>
          </w:tcPr>
          <w:p>
            <w:pPr>
              <w:spacing w:after="0"/>
              <w:rPr>
                <w:sz w:val="1"/>
                <w:szCs w:val="1"/>
                <w:color w:val="auto"/>
              </w:rPr>
            </w:pPr>
          </w:p>
        </w:tc>
      </w:tr>
      <w:tr>
        <w:trPr>
          <w:trHeight w:val="265"/>
        </w:trPr>
        <w:tc>
          <w:tcPr>
            <w:tcW w:w="4400" w:type="dxa"/>
            <w:vAlign w:val="bottom"/>
          </w:tcPr>
          <w:p>
            <w:pPr>
              <w:spacing w:after="0"/>
              <w:rPr>
                <w:sz w:val="20"/>
                <w:szCs w:val="20"/>
                <w:color w:val="auto"/>
              </w:rPr>
            </w:pPr>
            <w:r>
              <w:rPr>
                <w:rFonts w:ascii="Arial" w:cs="Arial" w:eastAsia="Arial" w:hAnsi="Arial"/>
                <w:sz w:val="18"/>
                <w:szCs w:val="18"/>
                <w:b w:val="1"/>
                <w:bCs w:val="1"/>
                <w:color w:val="auto"/>
              </w:rPr>
              <w:t>Balance as of December 31, 2024</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2,220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2,986</w:t>
            </w:r>
          </w:p>
        </w:tc>
        <w:tc>
          <w:tcPr>
            <w:tcW w:w="0" w:type="dxa"/>
            <w:vAlign w:val="bottom"/>
          </w:tcPr>
          <w:p>
            <w:pPr>
              <w:spacing w:after="0"/>
              <w:rPr>
                <w:sz w:val="1"/>
                <w:szCs w:val="1"/>
                <w:color w:val="auto"/>
              </w:rPr>
            </w:pPr>
          </w:p>
        </w:tc>
      </w:tr>
      <w:tr>
        <w:trPr>
          <w:trHeight w:val="255"/>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Charges</w:t>
            </w: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5,223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1,527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7,131</w:t>
            </w:r>
          </w:p>
        </w:tc>
        <w:tc>
          <w:tcPr>
            <w:tcW w:w="0" w:type="dxa"/>
            <w:vAlign w:val="bottom"/>
          </w:tcPr>
          <w:p>
            <w:pPr>
              <w:spacing w:after="0"/>
              <w:rPr>
                <w:sz w:val="1"/>
                <w:szCs w:val="1"/>
                <w:color w:val="auto"/>
              </w:rPr>
            </w:pPr>
          </w:p>
        </w:tc>
      </w:tr>
      <w:tr>
        <w:trPr>
          <w:trHeight w:val="255"/>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Cash payments and receipts, net</w:t>
            </w: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(6,789)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(2,307)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(9,096)</w:t>
            </w:r>
          </w:p>
        </w:tc>
        <w:tc>
          <w:tcPr>
            <w:tcW w:w="0" w:type="dxa"/>
            <w:vAlign w:val="bottom"/>
          </w:tcPr>
          <w:p>
            <w:pPr>
              <w:spacing w:after="0"/>
              <w:rPr>
                <w:sz w:val="1"/>
                <w:szCs w:val="1"/>
                <w:color w:val="auto"/>
              </w:rPr>
            </w:pPr>
          </w:p>
        </w:tc>
      </w:tr>
      <w:tr>
        <w:trPr>
          <w:trHeight w:val="255"/>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Non-cash settlement and other</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20"/>
                <w:szCs w:val="20"/>
                <w:color w:val="auto"/>
              </w:rPr>
            </w:pPr>
            <w:r>
              <w:rPr>
                <w:rFonts w:ascii="Arial" w:cs="Arial" w:eastAsia="Arial" w:hAnsi="Arial"/>
                <w:sz w:val="18"/>
                <w:szCs w:val="18"/>
                <w:b w:val="1"/>
                <w:bCs w:val="1"/>
                <w:color w:val="auto"/>
              </w:rPr>
              <w:t>Balance as of December 31, 2025</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-1583690</wp:posOffset>
            </wp:positionV>
            <wp:extent cx="6553200" cy="16033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68">
                      <a:extLst>
                        <a:ext uri="{28A0092B-C50C-407E-A947-70E740481C1C}"/>
                      </a:extLst>
                    </a:blip>
                    <a:srcRect/>
                    <a:stretch>
                      <a:fillRect/>
                    </a:stretch>
                  </pic:blipFill>
                  <pic:spPr bwMode="auto">
                    <a:xfrm>
                      <a:off x="0" y="0"/>
                      <a:ext cx="6553200" cy="1603375"/>
                    </a:xfrm>
                    <a:prstGeom prst="rect">
                      <a:avLst/>
                    </a:prstGeom>
                    <a:noFill/>
                  </pic:spPr>
                </pic:pic>
              </a:graphicData>
            </a:graphic>
          </wp:anchor>
        </w:drawing>
      </w:r>
    </w:p>
    <w:p>
      <w:pPr>
        <w:spacing w:after="0" w:line="115" w:lineRule="exact"/>
        <w:rPr>
          <w:sz w:val="20"/>
          <w:szCs w:val="20"/>
          <w:color w:val="auto"/>
        </w:rPr>
      </w:pPr>
    </w:p>
    <w:p>
      <w:pPr>
        <w:ind w:left="550" w:hanging="550"/>
        <w:spacing w:after="0"/>
        <w:tabs>
          <w:tab w:leader="none" w:pos="55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130" w:lineRule="exact"/>
        <w:rPr>
          <w:rFonts w:ascii="Arial" w:cs="Arial" w:eastAsia="Arial" w:hAnsi="Arial"/>
          <w:sz w:val="20"/>
          <w:szCs w:val="20"/>
          <w:b w:val="1"/>
          <w:bCs w:val="1"/>
          <w:color w:val="auto"/>
        </w:rPr>
      </w:pPr>
    </w:p>
    <w:p>
      <w:pPr>
        <w:ind w:left="55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The following table provides information regarding the Company’s debt:</w:t>
      </w:r>
    </w:p>
    <w:p>
      <w:pPr>
        <w:spacing w:after="0" w:line="183"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320" w:type="dxa"/>
            <w:vAlign w:val="bottom"/>
            <w:gridSpan w:val="2"/>
          </w:tcPr>
          <w:p>
            <w:pPr>
              <w:jc w:val="right"/>
              <w:ind w:right="51"/>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right"/>
              <w:ind w:right="51"/>
              <w:spacing w:after="0"/>
              <w:rPr>
                <w:sz w:val="20"/>
                <w:szCs w:val="20"/>
                <w:color w:val="auto"/>
              </w:rPr>
            </w:pPr>
            <w:r>
              <w:rPr>
                <w:rFonts w:ascii="Arial" w:cs="Arial" w:eastAsia="Arial" w:hAnsi="Arial"/>
                <w:sz w:val="16"/>
                <w:szCs w:val="16"/>
                <w:b w:val="1"/>
                <w:bCs w:val="1"/>
                <w:color w:val="auto"/>
              </w:rPr>
              <w:t>December 31,</w:t>
            </w:r>
          </w:p>
        </w:tc>
      </w:tr>
      <w:tr>
        <w:trPr>
          <w:trHeight w:val="214"/>
        </w:trPr>
        <w:tc>
          <w:tcPr>
            <w:tcW w:w="7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r>
      <w:tr>
        <w:trPr>
          <w:trHeight w:val="269"/>
        </w:trPr>
        <w:tc>
          <w:tcPr>
            <w:tcW w:w="7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4"/>
          </w:tcPr>
          <w:p>
            <w:pPr>
              <w:jc w:val="right"/>
              <w:ind w:right="731"/>
              <w:spacing w:after="0"/>
              <w:rPr>
                <w:sz w:val="20"/>
                <w:szCs w:val="20"/>
                <w:color w:val="auto"/>
              </w:rPr>
            </w:pPr>
            <w:r>
              <w:rPr>
                <w:rFonts w:ascii="Arial" w:cs="Arial" w:eastAsia="Arial" w:hAnsi="Arial"/>
                <w:sz w:val="16"/>
                <w:szCs w:val="16"/>
                <w:b w:val="1"/>
                <w:bCs w:val="1"/>
                <w:i w:val="1"/>
                <w:iCs w:val="1"/>
                <w:color w:val="auto"/>
              </w:rPr>
              <w:t>(In thousands)</w:t>
            </w:r>
          </w:p>
        </w:tc>
      </w:tr>
      <w:tr>
        <w:trPr>
          <w:trHeight w:val="311"/>
        </w:trPr>
        <w:tc>
          <w:tcPr>
            <w:tcW w:w="7520" w:type="dxa"/>
            <w:vAlign w:val="bottom"/>
          </w:tcPr>
          <w:p>
            <w:pPr>
              <w:spacing w:after="0"/>
              <w:rPr>
                <w:sz w:val="20"/>
                <w:szCs w:val="20"/>
                <w:color w:val="auto"/>
              </w:rPr>
            </w:pPr>
            <w:r>
              <w:rPr>
                <w:rFonts w:ascii="Arial" w:cs="Arial" w:eastAsia="Arial" w:hAnsi="Arial"/>
                <w:sz w:val="18"/>
                <w:szCs w:val="18"/>
                <w:b w:val="1"/>
                <w:bCs w:val="1"/>
                <w:color w:val="auto"/>
              </w:rPr>
              <w:t>Convertible notes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Notes due 2028</w:t>
            </w:r>
          </w:p>
        </w:tc>
        <w:tc>
          <w:tcPr>
            <w:tcW w:w="30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575,000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575,000</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Less: unamortized debt issuance costs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(4,102)</w:t>
            </w:r>
          </w:p>
        </w:tc>
      </w:tr>
      <w:tr>
        <w:trPr>
          <w:trHeight w:val="265"/>
        </w:trPr>
        <w:tc>
          <w:tcPr>
            <w:tcW w:w="7520" w:type="dxa"/>
            <w:vAlign w:val="bottom"/>
          </w:tcPr>
          <w:p>
            <w:pPr>
              <w:ind w:left="360"/>
              <w:spacing w:after="0"/>
              <w:rPr>
                <w:sz w:val="20"/>
                <w:szCs w:val="20"/>
                <w:color w:val="auto"/>
              </w:rPr>
            </w:pPr>
            <w:r>
              <w:rPr>
                <w:rFonts w:ascii="Arial" w:cs="Arial" w:eastAsia="Arial" w:hAnsi="Arial"/>
                <w:sz w:val="18"/>
                <w:szCs w:val="18"/>
                <w:b w:val="1"/>
                <w:bCs w:val="1"/>
                <w:color w:val="auto"/>
              </w:rPr>
              <w:t>Carrying amount of Notes due 2028</w:t>
            </w: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572,194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570,898</w:t>
            </w:r>
          </w:p>
        </w:tc>
      </w:tr>
      <w:tr>
        <w:trPr>
          <w:trHeight w:val="570"/>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Notes due 2026</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632,500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632,500</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Less: unamortized debt issuance costs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(2,309)</w:t>
            </w:r>
          </w:p>
        </w:tc>
      </w:tr>
      <w:tr>
        <w:trPr>
          <w:trHeight w:val="265"/>
        </w:trPr>
        <w:tc>
          <w:tcPr>
            <w:tcW w:w="7520" w:type="dxa"/>
            <w:vAlign w:val="bottom"/>
          </w:tcPr>
          <w:p>
            <w:pPr>
              <w:ind w:left="360"/>
              <w:spacing w:after="0"/>
              <w:rPr>
                <w:sz w:val="20"/>
                <w:szCs w:val="20"/>
                <w:color w:val="auto"/>
              </w:rPr>
            </w:pPr>
            <w:r>
              <w:rPr>
                <w:rFonts w:ascii="Arial" w:cs="Arial" w:eastAsia="Arial" w:hAnsi="Arial"/>
                <w:sz w:val="18"/>
                <w:szCs w:val="18"/>
                <w:b w:val="1"/>
                <w:bCs w:val="1"/>
                <w:color w:val="auto"/>
              </w:rPr>
              <w:t>Carrying amount of Notes due 2026</w:t>
            </w: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632,183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630,191</w:t>
            </w:r>
          </w:p>
        </w:tc>
      </w:tr>
      <w:tr>
        <w:trPr>
          <w:trHeight w:val="570"/>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Notes due 2025</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102,168</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Less: unamortized debt discount</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(803)</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Less: unamortized debt issuance costs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r>
      <w:tr>
        <w:trPr>
          <w:trHeight w:val="265"/>
        </w:trPr>
        <w:tc>
          <w:tcPr>
            <w:tcW w:w="7520" w:type="dxa"/>
            <w:vAlign w:val="bottom"/>
          </w:tcPr>
          <w:p>
            <w:pPr>
              <w:ind w:left="360"/>
              <w:spacing w:after="0"/>
              <w:rPr>
                <w:sz w:val="20"/>
                <w:szCs w:val="20"/>
                <w:color w:val="auto"/>
              </w:rPr>
            </w:pPr>
            <w:r>
              <w:rPr>
                <w:rFonts w:ascii="Arial" w:cs="Arial" w:eastAsia="Arial" w:hAnsi="Arial"/>
                <w:sz w:val="18"/>
                <w:szCs w:val="18"/>
                <w:b w:val="1"/>
                <w:bCs w:val="1"/>
                <w:color w:val="auto"/>
              </w:rPr>
              <w:t>Carrying amount of Notes due 2025</w:t>
            </w: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101,291</w:t>
            </w:r>
          </w:p>
        </w:tc>
      </w:tr>
      <w:tr>
        <w:trPr>
          <w:trHeight w:val="570"/>
        </w:trPr>
        <w:tc>
          <w:tcPr>
            <w:tcW w:w="7520" w:type="dxa"/>
            <w:vAlign w:val="bottom"/>
          </w:tcPr>
          <w:p>
            <w:pPr>
              <w:ind w:left="360"/>
              <w:spacing w:after="0"/>
              <w:rPr>
                <w:sz w:val="20"/>
                <w:szCs w:val="20"/>
                <w:color w:val="auto"/>
              </w:rPr>
            </w:pPr>
            <w:r>
              <w:rPr>
                <w:rFonts w:ascii="Arial" w:cs="Arial" w:eastAsia="Arial" w:hAnsi="Arial"/>
                <w:sz w:val="18"/>
                <w:szCs w:val="18"/>
                <w:b w:val="1"/>
                <w:bCs w:val="1"/>
                <w:color w:val="auto"/>
              </w:rPr>
              <w:t>Total carrying amount of debt</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1,204,377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1,302,380</w:t>
            </w: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Less: debt, current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(632,183)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(101,291)</w:t>
            </w:r>
          </w:p>
        </w:tc>
      </w:tr>
      <w:tr>
        <w:trPr>
          <w:trHeight w:val="24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Debt, non-current</w:t>
            </w:r>
          </w:p>
        </w:tc>
        <w:tc>
          <w:tcPr>
            <w:tcW w:w="30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572,194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1,201,089</w:t>
            </w:r>
          </w:p>
        </w:tc>
      </w:tr>
      <w:tr>
        <w:trPr>
          <w:trHeight w:val="20"/>
        </w:trPr>
        <w:tc>
          <w:tcPr>
            <w:tcW w:w="7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-3088640</wp:posOffset>
            </wp:positionV>
            <wp:extent cx="6553200" cy="31083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69">
                      <a:extLst>
                        <a:ext uri="{28A0092B-C50C-407E-A947-70E740481C1C}"/>
                      </a:extLst>
                    </a:blip>
                    <a:srcRect/>
                    <a:stretch>
                      <a:fillRect/>
                    </a:stretch>
                  </pic:blipFill>
                  <pic:spPr bwMode="auto">
                    <a:xfrm>
                      <a:off x="0" y="0"/>
                      <a:ext cx="6553200" cy="3108325"/>
                    </a:xfrm>
                    <a:prstGeom prst="rect">
                      <a:avLst/>
                    </a:prstGeom>
                    <a:noFill/>
                  </pic:spPr>
                </pic:pic>
              </a:graphicData>
            </a:graphic>
          </wp:anchor>
        </w:drawing>
      </w:r>
    </w:p>
    <w:p>
      <w:pPr>
        <w:spacing w:after="0" w:line="115"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The following tables present the total amount of interest cost recognized in the consolidated statements of operations relating to the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1623695</wp:posOffset>
                </wp:positionV>
                <wp:extent cx="633412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27.85pt" to="505.85pt,127.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1623695</wp:posOffset>
                </wp:positionV>
                <wp:extent cx="633412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27.85pt" to="505.85pt,127.8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97</w:t>
      </w:r>
    </w:p>
    <w:p>
      <w:pPr>
        <w:sectPr>
          <w:pgSz w:w="12240" w:h="15840" w:orient="portrait"/>
          <w:cols w:equalWidth="0" w:num="1">
            <w:col w:w="10270"/>
          </w:cols>
          <w:pgMar w:left="990" w:top="216" w:right="980" w:bottom="0" w:gutter="0" w:footer="0" w:header="0"/>
          <w:type w:val="continuous"/>
        </w:sectPr>
      </w:pPr>
    </w:p>
    <w:bookmarkStart w:id="97" w:name="page98"/>
    <w:bookmarkEnd w:id="97"/>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9"/>
              </w:rPr>
              <w:t>Years Ended December 31,</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20"/>
        </w:trPr>
        <w:tc>
          <w:tcPr>
            <w:tcW w:w="3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40"/>
        </w:trPr>
        <w:tc>
          <w:tcPr>
            <w:tcW w:w="3980" w:type="dxa"/>
            <w:vAlign w:val="bottom"/>
          </w:tcPr>
          <w:p>
            <w:pPr>
              <w:spacing w:after="0"/>
              <w:rPr>
                <w:sz w:val="20"/>
                <w:szCs w:val="20"/>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Notes due</w:t>
            </w:r>
          </w:p>
        </w:tc>
        <w:tc>
          <w:tcPr>
            <w:tcW w:w="80" w:type="dxa"/>
            <w:vAlign w:val="bottom"/>
          </w:tcPr>
          <w:p>
            <w:pPr>
              <w:spacing w:after="0"/>
              <w:rPr>
                <w:sz w:val="20"/>
                <w:szCs w:val="20"/>
                <w:color w:val="auto"/>
              </w:rPr>
            </w:pPr>
          </w:p>
        </w:tc>
        <w:tc>
          <w:tcPr>
            <w:tcW w:w="98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rPr>
              <w:t>Notes due</w:t>
            </w:r>
          </w:p>
        </w:tc>
        <w:tc>
          <w:tcPr>
            <w:tcW w:w="60" w:type="dxa"/>
            <w:vAlign w:val="bottom"/>
          </w:tcPr>
          <w:p>
            <w:pPr>
              <w:spacing w:after="0"/>
              <w:rPr>
                <w:sz w:val="20"/>
                <w:szCs w:val="20"/>
                <w:color w:val="auto"/>
              </w:rPr>
            </w:pPr>
          </w:p>
        </w:tc>
        <w:tc>
          <w:tcPr>
            <w:tcW w:w="9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rPr>
              <w:t>Notes due</w:t>
            </w:r>
          </w:p>
        </w:tc>
        <w:tc>
          <w:tcPr>
            <w:tcW w:w="8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Arial" w:cs="Arial" w:eastAsia="Arial" w:hAnsi="Arial"/>
                <w:sz w:val="16"/>
                <w:szCs w:val="16"/>
                <w:b w:val="1"/>
                <w:bCs w:val="1"/>
                <w:color w:val="auto"/>
              </w:rPr>
              <w:t>Notes due</w:t>
            </w:r>
          </w:p>
        </w:tc>
        <w:tc>
          <w:tcPr>
            <w:tcW w:w="9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rPr>
              <w:t>Notes due</w:t>
            </w:r>
          </w:p>
        </w:tc>
        <w:tc>
          <w:tcPr>
            <w:tcW w:w="80" w:type="dxa"/>
            <w:vAlign w:val="bottom"/>
          </w:tcPr>
          <w:p>
            <w:pPr>
              <w:spacing w:after="0"/>
              <w:rPr>
                <w:sz w:val="20"/>
                <w:szCs w:val="20"/>
                <w:color w:val="auto"/>
              </w:rPr>
            </w:pPr>
          </w:p>
        </w:tc>
        <w:tc>
          <w:tcPr>
            <w:tcW w:w="98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rPr>
              <w:t>Notes due</w:t>
            </w:r>
          </w:p>
        </w:tc>
      </w:tr>
      <w:tr>
        <w:trPr>
          <w:trHeight w:val="220"/>
        </w:trPr>
        <w:tc>
          <w:tcPr>
            <w:tcW w:w="3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2028</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2025</w:t>
            </w:r>
          </w:p>
        </w:tc>
      </w:tr>
      <w:tr>
        <w:trPr>
          <w:trHeight w:val="277"/>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6"/>
                <w:szCs w:val="16"/>
                <w:b w:val="1"/>
                <w:bCs w:val="1"/>
                <w:i w:val="1"/>
                <w:iCs w:val="1"/>
                <w:color w:val="auto"/>
                <w:w w:val="92"/>
              </w:rPr>
              <w:t>(In thousands)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8"/>
        </w:trPr>
        <w:tc>
          <w:tcPr>
            <w:tcW w:w="3980" w:type="dxa"/>
            <w:vAlign w:val="bottom"/>
          </w:tcPr>
          <w:p>
            <w:pPr>
              <w:spacing w:after="0"/>
              <w:rPr>
                <w:sz w:val="20"/>
                <w:szCs w:val="20"/>
                <w:color w:val="auto"/>
              </w:rPr>
            </w:pPr>
            <w:r>
              <w:rPr>
                <w:rFonts w:ascii="Arial" w:cs="Arial" w:eastAsia="Arial" w:hAnsi="Arial"/>
                <w:sz w:val="18"/>
                <w:szCs w:val="18"/>
                <w:b w:val="1"/>
                <w:bCs w:val="1"/>
                <w:color w:val="auto"/>
              </w:rPr>
              <w:t>Contractual interest expense</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r>
      <w:tr>
        <w:trPr>
          <w:trHeight w:val="255"/>
        </w:trPr>
        <w:tc>
          <w:tcPr>
            <w:tcW w:w="3980" w:type="dxa"/>
            <w:vAlign w:val="bottom"/>
          </w:tcPr>
          <w:p>
            <w:pPr>
              <w:spacing w:after="0"/>
              <w:rPr>
                <w:sz w:val="20"/>
                <w:szCs w:val="20"/>
                <w:color w:val="auto"/>
              </w:rPr>
            </w:pPr>
            <w:r>
              <w:rPr>
                <w:rFonts w:ascii="Arial" w:cs="Arial" w:eastAsia="Arial" w:hAnsi="Arial"/>
                <w:sz w:val="18"/>
                <w:szCs w:val="18"/>
                <w:b w:val="1"/>
                <w:bCs w:val="1"/>
                <w:color w:val="auto"/>
              </w:rPr>
              <w:t>Amortization of debt discount</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803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4,841</w:t>
            </w:r>
          </w:p>
        </w:tc>
      </w:tr>
      <w:tr>
        <w:trPr>
          <w:trHeight w:val="255"/>
        </w:trPr>
        <w:tc>
          <w:tcPr>
            <w:tcW w:w="3980" w:type="dxa"/>
            <w:vAlign w:val="bottom"/>
          </w:tcPr>
          <w:p>
            <w:pPr>
              <w:spacing w:after="0"/>
              <w:rPr>
                <w:sz w:val="20"/>
                <w:szCs w:val="20"/>
                <w:color w:val="auto"/>
              </w:rPr>
            </w:pPr>
            <w:r>
              <w:rPr>
                <w:rFonts w:ascii="Arial" w:cs="Arial" w:eastAsia="Arial" w:hAnsi="Arial"/>
                <w:sz w:val="18"/>
                <w:szCs w:val="18"/>
                <w:b w:val="1"/>
                <w:bCs w:val="1"/>
                <w:color w:val="auto"/>
              </w:rPr>
              <w:t>Amortization of debt issuance costs</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r>
      <w:tr>
        <w:trPr>
          <w:trHeight w:val="245"/>
        </w:trPr>
        <w:tc>
          <w:tcPr>
            <w:tcW w:w="3980" w:type="dxa"/>
            <w:vAlign w:val="bottom"/>
          </w:tcPr>
          <w:p>
            <w:pPr>
              <w:ind w:left="140"/>
              <w:spacing w:after="0"/>
              <w:rPr>
                <w:sz w:val="20"/>
                <w:szCs w:val="20"/>
                <w:color w:val="auto"/>
              </w:rPr>
            </w:pPr>
            <w:r>
              <w:rPr>
                <w:rFonts w:ascii="Arial" w:cs="Arial" w:eastAsia="Arial" w:hAnsi="Arial"/>
                <w:sz w:val="18"/>
                <w:szCs w:val="18"/>
                <w:b w:val="1"/>
                <w:bCs w:val="1"/>
                <w:color w:val="auto"/>
              </w:rPr>
              <w:t>Total interest cost recognized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1,296</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1,991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1,308</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5,587</w:t>
            </w:r>
          </w:p>
        </w:tc>
      </w:tr>
      <w:tr>
        <w:trPr>
          <w:trHeight w:val="20"/>
        </w:trPr>
        <w:tc>
          <w:tcPr>
            <w:tcW w:w="3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-697865</wp:posOffset>
            </wp:positionV>
            <wp:extent cx="6540500" cy="1873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70">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-374015</wp:posOffset>
            </wp:positionV>
            <wp:extent cx="6540500" cy="1873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71">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-56515</wp:posOffset>
            </wp:positionV>
            <wp:extent cx="4003675" cy="762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72">
                      <a:extLst>
                        <a:ext uri="{28A0092B-C50C-407E-A947-70E740481C1C}"/>
                      </a:extLst>
                    </a:blip>
                    <a:srcRect/>
                    <a:stretch>
                      <a:fillRect/>
                    </a:stretch>
                  </pic:blipFill>
                  <pic:spPr bwMode="auto">
                    <a:xfrm>
                      <a:off x="0" y="0"/>
                      <a:ext cx="4003675" cy="7620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Senior Notes due 2028</w:t>
      </w:r>
    </w:p>
    <w:p>
      <w:pPr>
        <w:spacing w:after="0" w:line="13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20"/>
          <w:szCs w:val="20"/>
          <w:b w:val="1"/>
          <w:bCs w:val="1"/>
          <w:color w:val="auto"/>
        </w:rPr>
        <w:t>On March 1, 2021, the Company issued $575.0 million aggregate principal amount of its 0.0% convertible senior notes due 2028 (the “Notes due 2028”). The Notes due 2028 will not bear regular interest, and the principal amount of the Notes due 2028 will not accrete. The Notes due 2028 are general unsecured obligations and are governed by an indenture between the Company and U.S. Bank National Association, as trustee. The Notes due 2028 will mature on March 1, 2028, unless earlier repurchased by the Company or converted at the option of the holders. The Company received approximately $566.4 million in net proceeds, after deducting the initial purchasers’ discount, from the issuance of the Notes due 2028.</w:t>
      </w:r>
    </w:p>
    <w:p>
      <w:pPr>
        <w:spacing w:after="0" w:line="83"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The initial conversion rate for the Notes due 2028 is 3.5104 shares of common stock per $1,000 principal amount of the Notes due 2028 (which represents an initial conversion price of approximately $284.87 per share). Upon conversion, the Company will settle conversions of the Notes due 2028 through payment or delivery, as the case may be, of cash, shares of its common stock or a combination of cash and shares of its common stock, at the Company’s election.</w:t>
      </w:r>
    </w:p>
    <w:p>
      <w:pPr>
        <w:spacing w:after="0" w:line="79"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The Company may redeem for cash all or any portion of the Notes due 2028, at the Company’s election, on or after September 6, 2024, if the last reported sale price of the Company’s common stock has been greater than or equal to 130% of the conversion price then in effect for the Notes due 2028 (</w:t>
      </w:r>
      <w:r>
        <w:rPr>
          <w:rFonts w:ascii="Arial" w:cs="Arial" w:eastAsia="Arial" w:hAnsi="Arial"/>
          <w:sz w:val="19"/>
          <w:szCs w:val="19"/>
          <w:b w:val="1"/>
          <w:bCs w:val="1"/>
          <w:i w:val="1"/>
          <w:iCs w:val="1"/>
          <w:color w:val="auto"/>
        </w:rPr>
        <w:t>i.e.,</w:t>
      </w:r>
      <w:r>
        <w:rPr>
          <w:rFonts w:ascii="Arial" w:cs="Arial" w:eastAsia="Arial" w:hAnsi="Arial"/>
          <w:sz w:val="19"/>
          <w:szCs w:val="19"/>
          <w:b w:val="1"/>
          <w:bCs w:val="1"/>
          <w:color w:val="auto"/>
        </w:rPr>
        <w:t xml:space="preserve"> $370.33, which is 130% of the current conversion price for the Notes due 2028) for at least 20 trading days (whether or not consecutive) during any 30 consecutive trading day period ending on, and including, the trading day immediately preceding the date on which the Company provides notice of redemption. The redemption price will equal 100% of the principal amount of the Notes due 2028 to be redeemed, plus accrued and unpaid special interest, if any to, but excluding, the relevant redemption date. No sinking fund is provided for the Notes due 2028.</w:t>
      </w:r>
    </w:p>
    <w:p>
      <w:pPr>
        <w:spacing w:after="0" w:line="74" w:lineRule="exact"/>
        <w:rPr>
          <w:sz w:val="20"/>
          <w:szCs w:val="20"/>
          <w:color w:val="auto"/>
        </w:rPr>
      </w:pPr>
    </w:p>
    <w:p>
      <w:pPr>
        <w:jc w:val="both"/>
        <w:ind w:firstLine="540"/>
        <w:spacing w:after="0" w:line="282" w:lineRule="auto"/>
        <w:rPr>
          <w:sz w:val="20"/>
          <w:szCs w:val="20"/>
          <w:color w:val="auto"/>
        </w:rPr>
      </w:pPr>
      <w:r>
        <w:rPr>
          <w:rFonts w:ascii="Arial" w:cs="Arial" w:eastAsia="Arial" w:hAnsi="Arial"/>
          <w:sz w:val="18"/>
          <w:szCs w:val="18"/>
          <w:b w:val="1"/>
          <w:bCs w:val="1"/>
          <w:color w:val="auto"/>
        </w:rPr>
        <w:t>The Notes due 2028 may be converted on any day prior to the close of business on the business day immediately preceding September 1, 2027,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due 2028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the Notes due 2028 on each such trading day; (3) if the Company calls any or all of the Notes due 2028 for redemption, at any time prior to the close of business on the scheduled trading day immediately preceding the redemption date; or (4) upon the occurrence of specified corporate events. On and after September 1, 2027 until the close of business on the second scheduled trading day immediately preceding the maturity date of March 1, 2028, holders of the Notes due 2028 may convert their notes at any time, regardless of the foregoing circumstances. Upon the occurrence of a fundamental change (as defined in the relevant indenture), holders may require the Company to repurchase all or a portion of their Notes due 2028 for cash at a price equal to 100% of the principal amount of the notes to be repurchased plus any accrued and unpaid special interest, if any, to, but excluding, the fundamental change repurchase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819150</wp:posOffset>
                </wp:positionV>
                <wp:extent cx="633412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4.5pt" to="505.35pt,6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819150</wp:posOffset>
                </wp:positionV>
                <wp:extent cx="633412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4.5pt" to="505.35pt,64.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98</w:t>
      </w:r>
    </w:p>
    <w:p>
      <w:pPr>
        <w:sectPr>
          <w:pgSz w:w="12240" w:h="15840" w:orient="portrait"/>
          <w:cols w:equalWidth="0" w:num="1">
            <w:col w:w="10260"/>
          </w:cols>
          <w:pgMar w:left="1000" w:top="216" w:right="980" w:bottom="0"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firstLine="540"/>
        <w:spacing w:after="0" w:line="256" w:lineRule="auto"/>
        <w:rPr>
          <w:sz w:val="20"/>
          <w:szCs w:val="20"/>
          <w:color w:val="auto"/>
        </w:rPr>
      </w:pPr>
      <w:r>
        <w:rPr>
          <w:rFonts w:ascii="Arial" w:cs="Arial" w:eastAsia="Arial" w:hAnsi="Arial"/>
          <w:sz w:val="20"/>
          <w:szCs w:val="20"/>
          <w:b w:val="1"/>
          <w:bCs w:val="1"/>
          <w:color w:val="auto"/>
        </w:rPr>
        <w:t>As of December 31, 2025, the sales price of the Company’s common stock was not greater than or equal to $370.33 (130% of the notes conversion price) for at least 20 trading days (whether consecutive or not) during a period of 30 consecutive trading days preceding the quarter-ended December 31, 2025. As a result, the Notes due 2028 are not convertible at the holders’ option. Accordingly, the Company classified the net carrying amount of the Notes due 2028 of $572.2 million as Debt, non-current on the consolidated balance sheet as of December 31, 2025. As of December 31, 2025, the unamortized deferred issuance cost for the Notes due 2028 was $2.8 million on the consolidated balance sheet.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due 2028 Hedge and Warrant Transactions</w:t>
      </w:r>
    </w:p>
    <w:p>
      <w:pPr>
        <w:spacing w:after="0" w:line="130"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9"/>
          <w:szCs w:val="19"/>
          <w:b w:val="1"/>
          <w:bCs w:val="1"/>
          <w:color w:val="auto"/>
        </w:rPr>
        <w:t>In connection with the offering of the Notes due 2028, the Company entered into privately-negotiated convertible note hedge transactions (“Notes due 2028 Hedge”) pursuant to which the Company has the option to purchase a total of approximately 2.0 million shares of its common stock (subject to anti-dilution adjustments), which is the same number of shares initially issuable upon conversion of the Notes due 2028, at a price of $284.87 per share. The total cost of the convertible note hedge transactions was approximately $161.6 million. The convertible note hedge transactions are expected generally to reduce potential dilution to the Company’s common stock upon any conversion of the Notes due 2028 and/or offset any cash payments the Company is required to make in excess of the principal amount of converted notes, as the case may be.</w:t>
      </w:r>
    </w:p>
    <w:p>
      <w:pPr>
        <w:spacing w:after="0" w:line="74" w:lineRule="exact"/>
        <w:rPr>
          <w:sz w:val="20"/>
          <w:szCs w:val="20"/>
          <w:color w:val="auto"/>
        </w:rPr>
      </w:pPr>
    </w:p>
    <w:p>
      <w:pPr>
        <w:jc w:val="both"/>
        <w:ind w:right="20" w:firstLine="540"/>
        <w:spacing w:after="0" w:line="253" w:lineRule="auto"/>
        <w:rPr>
          <w:sz w:val="20"/>
          <w:szCs w:val="20"/>
          <w:color w:val="auto"/>
        </w:rPr>
      </w:pPr>
      <w:r>
        <w:rPr>
          <w:rFonts w:ascii="Arial" w:cs="Arial" w:eastAsia="Arial" w:hAnsi="Arial"/>
          <w:sz w:val="20"/>
          <w:szCs w:val="20"/>
          <w:b w:val="1"/>
          <w:bCs w:val="1"/>
          <w:color w:val="auto"/>
        </w:rPr>
        <w:t>Additionally, the Company separately entered into privately-negotiated warrant transactions (the “2028 Warrants”) whereby the Company sold warrants to acquire approximately 2.0 million shares of the Company’s common stock (subject to anti-dilution adjustments) at an initial strike price of $397.91 per share. The Company received aggregate proceeds of approximately $123.4 million from the sale of the 2028 Warrants. If the market value per share of the Company’s common stock, as measured under the 2028 Warrants, exceeds the strike price of the 2028 Warrants, the 2028 Warrants will have a dilutive effect on the Company’s earnings per share, unless the Company elects, subject to certain conditions, to settle the 2028 Warrants in cash. Taken together, the purchase of the Notes due 2028 Hedge and the sale of the 2028 Warrants are intended to reduce potential dilution from the conversion of the Notes due 2028 and to effectively increase the overall conversion price from $284.87 to $397.91 per share. The 2028 Warrants are only exercisable on the applicable expiration dates in accordance with the Notes due 2028 Hedge. Subject to the other terms of the 2028 Warrants, the first expiration date applicable to the Notes due 2028 Hedge is June 1, 2028, and the final expiration date applicable to the Notes due 2028 Hedge is July 27, 2028.</w:t>
      </w:r>
    </w:p>
    <w:p>
      <w:pPr>
        <w:spacing w:after="0" w:line="88"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Given that the transactions meet certain accounting criteria, the Notes due 2028 Hedge and the 2028 Warrants transactions were recorded in stockholders’ equity, and they were not accounted for as derivatives and are not remeasured each reporting period.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Senior Notes due 2026</w:t>
      </w:r>
    </w:p>
    <w:p>
      <w:pPr>
        <w:spacing w:after="0" w:line="130"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On March 1, 2021, the Company issued $575.0 million aggregate principal amount of 0.0% convertible senior notes due 2026 (the “Notes due 2026”). In addition, on March 12, 2021, the Company issued an additional $57.5 million aggregate principal amount of the Notes due 2026 pursuant to the initial purchasers’ full exercise of the over-allotment option for additional Notes due 2026. The Notes due 2026 will not bear regular interest, and the principal amount of the Notes due 2026 will not accrete. The Notes due 2026 are general unsecured obligations and are governed by an indenture between the Company and U.S. Bank National Association, as trustee. The Notes due 2026 will mature on March 1, 2026, unless repurchased earlier by the Company or converted at the option of the holders. The Company received approximately $623.0 million in net proceeds, after deducting the initial purchasers’ discount, from the issuance of the Notes due 2026.</w:t>
      </w:r>
    </w:p>
    <w:p>
      <w:pPr>
        <w:spacing w:after="0" w:line="68"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The initial conversion rate for the Notes due 2026 is 3.2523 shares of common stock per $1,000 principal amount of the Notes due 2026 (which represents an initial conversion price of approximately $307.47 per share). Upon conversion, the Company will settle conversions of Notes due 2026 through payment or delivery, as the case may be, of cash, shares of its common stock or a combination of cash and shares of its common stock, at the Company’s election.</w:t>
      </w:r>
    </w:p>
    <w:p>
      <w:pPr>
        <w:spacing w:after="0" w:line="79" w:lineRule="exact"/>
        <w:rPr>
          <w:sz w:val="20"/>
          <w:szCs w:val="20"/>
          <w:color w:val="auto"/>
        </w:rPr>
      </w:pPr>
    </w:p>
    <w:p>
      <w:pPr>
        <w:jc w:val="both"/>
        <w:ind w:right="20" w:firstLine="540"/>
        <w:spacing w:after="0" w:line="289" w:lineRule="auto"/>
        <w:rPr>
          <w:sz w:val="20"/>
          <w:szCs w:val="20"/>
          <w:color w:val="auto"/>
        </w:rPr>
      </w:pPr>
      <w:r>
        <w:rPr>
          <w:rFonts w:ascii="Arial" w:cs="Arial" w:eastAsia="Arial" w:hAnsi="Arial"/>
          <w:sz w:val="19"/>
          <w:szCs w:val="19"/>
          <w:b w:val="1"/>
          <w:bCs w:val="1"/>
          <w:color w:val="auto"/>
        </w:rPr>
        <w:t>The Company may redeem for cash all or any portion of the Notes due 2026, at the Company’s election, on or after September 6, 2023, if the last reported sale price of the Company’s common stock has been greater than or equal to 130% of the conversion price then in effect for the Notes due 2026 (</w:t>
      </w:r>
      <w:r>
        <w:rPr>
          <w:rFonts w:ascii="Arial" w:cs="Arial" w:eastAsia="Arial" w:hAnsi="Arial"/>
          <w:sz w:val="19"/>
          <w:szCs w:val="19"/>
          <w:b w:val="1"/>
          <w:bCs w:val="1"/>
          <w:i w:val="1"/>
          <w:iCs w:val="1"/>
          <w:color w:val="auto"/>
        </w:rPr>
        <w:t>i.e</w:t>
      </w:r>
      <w:r>
        <w:rPr>
          <w:rFonts w:ascii="Arial" w:cs="Arial" w:eastAsia="Arial" w:hAnsi="Arial"/>
          <w:sz w:val="19"/>
          <w:szCs w:val="19"/>
          <w:b w:val="1"/>
          <w:bCs w:val="1"/>
          <w:color w:val="auto"/>
        </w:rPr>
        <w:t>., $399.71, which is 130% of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436880</wp:posOffset>
                </wp:positionV>
                <wp:extent cx="633412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4.4pt" to="505.35pt,34.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436880</wp:posOffset>
                </wp:positionV>
                <wp:extent cx="633412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4.4pt" to="505.35pt,34.4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99</w:t>
      </w:r>
    </w:p>
    <w:p>
      <w:pPr>
        <w:sectPr>
          <w:pgSz w:w="12240" w:h="15840" w:orient="portrait"/>
          <w:cols w:equalWidth="0" w:num="1">
            <w:col w:w="10260"/>
          </w:cols>
          <w:pgMar w:left="1000" w:top="216" w:right="98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current conversion price for the Notes due 2026) for at least 20 trading days (whether or not consecutive) during a period of 30 consecutive trading day period ending on, and including, the trading day immediately preceding the date on which the Company provides notice of redemption. The redemption price will equal 100% of the principal amount of the Notes due 2026 to be redeemed, plus accrued and unpaid special interest, if any, to, but excluding, the relevant redemption date for the Notes due 2026. The redemption price will be increased as described in the relevant indentures by a number of additional shares of the Company in connection with such optional redemption by the Company. No sinking fund is provided for the Notes due 2026.</w:t>
      </w:r>
    </w:p>
    <w:p>
      <w:pPr>
        <w:spacing w:after="0" w:line="67" w:lineRule="exact"/>
        <w:rPr>
          <w:sz w:val="20"/>
          <w:szCs w:val="20"/>
          <w:color w:val="auto"/>
        </w:rPr>
      </w:pPr>
    </w:p>
    <w:p>
      <w:pPr>
        <w:jc w:val="both"/>
        <w:ind w:firstLine="540"/>
        <w:spacing w:after="0" w:line="266" w:lineRule="auto"/>
        <w:rPr>
          <w:sz w:val="20"/>
          <w:szCs w:val="20"/>
          <w:color w:val="auto"/>
        </w:rPr>
      </w:pPr>
      <w:r>
        <w:rPr>
          <w:rFonts w:ascii="Arial" w:cs="Arial" w:eastAsia="Arial" w:hAnsi="Arial"/>
          <w:sz w:val="19"/>
          <w:szCs w:val="19"/>
          <w:b w:val="1"/>
          <w:bCs w:val="1"/>
          <w:color w:val="auto"/>
        </w:rPr>
        <w:t>The Notes due 2026 may be converted on any day prior to the close of business on the business day immediately preceding September 1, 2025,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of the Notes due 2026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Notes due 2026 on each such trading day; (3) if the Company calls any or all of the Notes due 2026 for redemption, at any time prior to the close of business on the scheduled trading day immediately preceding the redemption date; or (4) upon the occurrence of specified corporate events. On and after September 1, 2025 until the close of business on the second scheduled trading day immediately preceding the maturity date of March 1, 2026, holders of the Notes due 2026 may convert their notes at any time, regardless of the foregoing circumstances. Upon the occurrence of a fundamental change (as defined in the relevant indenture), holders may require the Company to repurchase all or a portion of their Notes due 2026 for cash at a price equal to 100% of the principal amount of the notes to be repurchased plus any accrued and unpaid special interest, if any, to, but excluding, the fundamental change repurchase date.</w:t>
      </w:r>
    </w:p>
    <w:p>
      <w:pPr>
        <w:spacing w:after="0" w:line="79"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The Notes due 2026 are convertible at the option of the holder any time from September 1, 2025, until the close of business on the second scheduled trading day immediately preceding the maturity date of March 1, 2026. Further, as the Notes due 2026 mature in less than a year, accordingly, the Company has classified the net carrying amount of the Notes due 2026 of $632.2 million as Debt, current on the consolidated balance sheet as of December 31, 2025. As of December 31, 2025, the unamortized deferred issuance cost for the Notes due 2026 was $0.3 million on the consolidated balance sheet.</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due 2026 Hedge and Warrant Transactions</w:t>
      </w:r>
    </w:p>
    <w:p>
      <w:pPr>
        <w:spacing w:after="0" w:line="130"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20"/>
          <w:szCs w:val="20"/>
          <w:b w:val="1"/>
          <w:bCs w:val="1"/>
          <w:color w:val="auto"/>
        </w:rPr>
        <w:t>In connection with the offering of the Notes due 2026 (including in connection with the issuance of additional Notes due 2026 upon the initial purchasers’ exercise of their over-allotment option), the Company entered into privately-negotiated convertible note hedge transactions (the “Notes due 2026 Hedge”) pursuant to which the Company has the option to purchase a total of approximately 2.1 million shares of its common stock (subject to anti-dilution adjustments), which is the same number of shares initially issuable upon conversion of the Notes due 2026, at a price of $307.47 per share, which is the initial conversion price of the Notes due 2026. The total cost of the Notes due 2026 Hedge was approximately $124.6 million. The Notes due 2026 Hedge are expected generally to reduce potential dilution to the Company’s common stock upon any conversion of the Notes due 2026 and/or offset any cash payments the Company is required to make in excess of the principal amount of converted notes, as the case may be.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1831340</wp:posOffset>
                </wp:positionV>
                <wp:extent cx="633412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44.2pt" to="505.35pt,144.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1831340</wp:posOffset>
                </wp:positionV>
                <wp:extent cx="633412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44.2pt" to="505.35pt,144.2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100</w:t>
      </w:r>
    </w:p>
    <w:p>
      <w:pPr>
        <w:sectPr>
          <w:pgSz w:w="12240" w:h="15840" w:orient="portrait"/>
          <w:cols w:equalWidth="0" w:num="1">
            <w:col w:w="10260"/>
          </w:cols>
          <w:pgMar w:left="1000" w:top="216" w:right="980" w:bottom="0" w:gutter="0" w:footer="0" w:header="0"/>
          <w:type w:val="continuous"/>
        </w:sectPr>
      </w:pPr>
    </w:p>
    <w:bookmarkStart w:id="100" w:name="page101"/>
    <w:bookmarkEnd w:id="100"/>
    <w:p>
      <w:pPr>
        <w:ind w:left="1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0" w:right="20" w:firstLine="540"/>
        <w:spacing w:after="0" w:line="267" w:lineRule="auto"/>
        <w:rPr>
          <w:sz w:val="20"/>
          <w:szCs w:val="20"/>
          <w:color w:val="auto"/>
        </w:rPr>
      </w:pPr>
      <w:r>
        <w:rPr>
          <w:rFonts w:ascii="Arial" w:cs="Arial" w:eastAsia="Arial" w:hAnsi="Arial"/>
          <w:sz w:val="19"/>
          <w:szCs w:val="19"/>
          <w:b w:val="1"/>
          <w:bCs w:val="1"/>
          <w:color w:val="auto"/>
        </w:rPr>
        <w:t>Additionally, the Company separately entered into privately-negotiated warrant transactions, including in connection with the issuance of additional Notes due 2026 upon the initial purchasers’ exercise of their over-allotment option (the “2026 Warrants”), whereby the Company sold warrants to acquire approximately 2.1 million shares of the Company’s common stock (subject to anti-dilution adjustments) at an initial strike price of $397.91 per share. The Company received aggregate proceeds of approximately $97.4 million from the sale of the 2026 Warrants. If the market value per share of the Company’s common stock, as measured under the 2026 Warrants, exceeds the strike price of the 2026 Warrants, the 2026 Warrants will have a dilutive effect on the Company’s earnings per share, unless the Company elects, subject to certain conditions, to settle the 2026 Warrants in cash. Taken together, the purchase of the Notes due 2026 Hedge and the sale of the 2026 Warrants are intended to reduce potential dilution from the conversion of the Notes due 2026 and to effectively increase the overall conversion price from $307.47 to $397.91 per share. The 2026 Warrants are only exercisable on the applicable expiration dates in accordance with the 2026 Warrants. Subject to the other terms of the 2026 Warrants, the first expiration date applicable to the Warrants is June 1, 2026, and the final expiration date applicable to the 2026 Warrants is July 27, 2026.</w:t>
      </w:r>
    </w:p>
    <w:p>
      <w:pPr>
        <w:spacing w:after="0" w:line="77" w:lineRule="exact"/>
        <w:rPr>
          <w:sz w:val="20"/>
          <w:szCs w:val="20"/>
          <w:color w:val="auto"/>
        </w:rPr>
      </w:pPr>
    </w:p>
    <w:p>
      <w:pPr>
        <w:jc w:val="both"/>
        <w:ind w:left="10" w:right="20" w:firstLine="540"/>
        <w:spacing w:after="0" w:line="268" w:lineRule="auto"/>
        <w:rPr>
          <w:sz w:val="20"/>
          <w:szCs w:val="20"/>
          <w:color w:val="auto"/>
        </w:rPr>
      </w:pPr>
      <w:r>
        <w:rPr>
          <w:rFonts w:ascii="Arial" w:cs="Arial" w:eastAsia="Arial" w:hAnsi="Arial"/>
          <w:sz w:val="20"/>
          <w:szCs w:val="20"/>
          <w:b w:val="1"/>
          <w:bCs w:val="1"/>
          <w:color w:val="auto"/>
        </w:rPr>
        <w:t>Given that the transactions meet certain accounting criteria, the Notes due 2026 Hedge and the 2026 Warrants transactions were recorded in stockholders’ equity, and they were not accounted for as derivatives and are not remeasured each reporting period.</w:t>
      </w:r>
    </w:p>
    <w:p>
      <w:pPr>
        <w:spacing w:after="0" w:line="7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Convertible Senior Notes due 2025</w:t>
      </w:r>
    </w:p>
    <w:p>
      <w:pPr>
        <w:spacing w:after="0" w:line="130" w:lineRule="exact"/>
        <w:rPr>
          <w:sz w:val="20"/>
          <w:szCs w:val="20"/>
          <w:color w:val="auto"/>
        </w:rPr>
      </w:pPr>
    </w:p>
    <w:p>
      <w:pPr>
        <w:jc w:val="both"/>
        <w:ind w:left="10" w:right="20" w:firstLine="540"/>
        <w:spacing w:after="0" w:line="259" w:lineRule="auto"/>
        <w:rPr>
          <w:sz w:val="20"/>
          <w:szCs w:val="20"/>
          <w:color w:val="auto"/>
        </w:rPr>
      </w:pPr>
      <w:r>
        <w:rPr>
          <w:rFonts w:ascii="Arial" w:cs="Arial" w:eastAsia="Arial" w:hAnsi="Arial"/>
          <w:sz w:val="20"/>
          <w:szCs w:val="20"/>
          <w:b w:val="1"/>
          <w:bCs w:val="1"/>
          <w:color w:val="auto"/>
        </w:rPr>
        <w:t>The Company settled all of its outstanding 0.25% convertible senior notes due 2025 (the “Notes due 2025”) on March 1, 2025. As part of the settlement, the Company paid $102.2 million in cash towards principal amount of the Notes due 2025 and no shares were issued in connection with the settlement as the conversion value was less than the principal amount of the Notes due 2025. Following the settlement, there were no Notes due 2025 outstanding as of December 31, 2025.</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Notes due 2025 Hedge and Warrant Transactions</w:t>
      </w:r>
    </w:p>
    <w:p>
      <w:pPr>
        <w:spacing w:after="0" w:line="130" w:lineRule="exact"/>
        <w:rPr>
          <w:sz w:val="20"/>
          <w:szCs w:val="20"/>
          <w:color w:val="auto"/>
        </w:rPr>
      </w:pPr>
    </w:p>
    <w:p>
      <w:pPr>
        <w:jc w:val="both"/>
        <w:ind w:left="10" w:right="20" w:firstLine="540"/>
        <w:spacing w:after="0" w:line="257" w:lineRule="auto"/>
        <w:rPr>
          <w:sz w:val="20"/>
          <w:szCs w:val="20"/>
          <w:color w:val="auto"/>
        </w:rPr>
      </w:pPr>
      <w:r>
        <w:rPr>
          <w:rFonts w:ascii="Arial" w:cs="Arial" w:eastAsia="Arial" w:hAnsi="Arial"/>
          <w:sz w:val="20"/>
          <w:szCs w:val="20"/>
          <w:b w:val="1"/>
          <w:bCs w:val="1"/>
          <w:color w:val="auto"/>
        </w:rPr>
        <w:t>In connection with the offering of the Notes due 2025, the Company entered into privately-negotiated convertible note hedge transactions (the “Notes due 2025 Hedge”) to reduce potential dilution to the Company’s common stock upon any conversion of the Notes due 2025 and/or offset any cash payments the Company is required to make in excess of the principal amount of converted notes, as the case may be. The Notes due 2025 Hedge expired on March 1, 2025, upon maturity of Notes due 2025 as the strike price was higher than the market price.</w:t>
      </w:r>
    </w:p>
    <w:p>
      <w:pPr>
        <w:spacing w:after="0" w:line="82" w:lineRule="exact"/>
        <w:rPr>
          <w:sz w:val="20"/>
          <w:szCs w:val="20"/>
          <w:color w:val="auto"/>
        </w:rPr>
      </w:pPr>
    </w:p>
    <w:p>
      <w:pPr>
        <w:jc w:val="both"/>
        <w:ind w:left="10" w:right="20" w:firstLine="540"/>
        <w:spacing w:after="0" w:line="259" w:lineRule="auto"/>
        <w:rPr>
          <w:sz w:val="20"/>
          <w:szCs w:val="20"/>
          <w:color w:val="auto"/>
        </w:rPr>
      </w:pPr>
      <w:r>
        <w:rPr>
          <w:rFonts w:ascii="Arial" w:cs="Arial" w:eastAsia="Arial" w:hAnsi="Arial"/>
          <w:sz w:val="20"/>
          <w:szCs w:val="20"/>
          <w:b w:val="1"/>
          <w:bCs w:val="1"/>
          <w:color w:val="auto"/>
        </w:rPr>
        <w:t>Additionally, the Company separately entered into privately-negotiated warrant transactions in connection with the offering of the Notes due 2025 whereby the Company sold the 2025 Warrants to acquire approximately 3.9 million shares of the Company’s common stock (subject to anti-dilution adjustments) at an initial strike price of $106.94 per share. None of the 2025 Warrants were exercised and all expired during the year ended December 31, 2025.</w:t>
      </w:r>
    </w:p>
    <w:p>
      <w:pPr>
        <w:spacing w:after="0" w:line="79" w:lineRule="exact"/>
        <w:rPr>
          <w:sz w:val="20"/>
          <w:szCs w:val="20"/>
          <w:color w:val="auto"/>
        </w:rPr>
      </w:pPr>
    </w:p>
    <w:p>
      <w:pPr>
        <w:ind w:left="10" w:right="6020" w:hanging="10"/>
        <w:spacing w:after="0" w:line="375" w:lineRule="auto"/>
        <w:tabs>
          <w:tab w:leader="none" w:pos="55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Operating Leases</w:t>
      </w:r>
    </w:p>
    <w:p>
      <w:pPr>
        <w:spacing w:after="0" w:line="1" w:lineRule="exact"/>
        <w:rPr>
          <w:sz w:val="20"/>
          <w:szCs w:val="20"/>
          <w:color w:val="auto"/>
        </w:rPr>
      </w:pPr>
    </w:p>
    <w:p>
      <w:pPr>
        <w:ind w:left="10" w:firstLine="540"/>
        <w:spacing w:after="0" w:line="287" w:lineRule="auto"/>
        <w:rPr>
          <w:sz w:val="20"/>
          <w:szCs w:val="20"/>
          <w:color w:val="auto"/>
        </w:rPr>
      </w:pPr>
      <w:r>
        <w:rPr>
          <w:rFonts w:ascii="Arial" w:cs="Arial" w:eastAsia="Arial" w:hAnsi="Arial"/>
          <w:sz w:val="20"/>
          <w:szCs w:val="20"/>
          <w:b w:val="1"/>
          <w:bCs w:val="1"/>
          <w:color w:val="auto"/>
        </w:rPr>
        <w:t>The Company leases office facilities under noncancellable operating leases that expire on various dates through 2034, some of which may include options to extend the leases for up to 12 years.</w:t>
      </w:r>
    </w:p>
    <w:p>
      <w:pPr>
        <w:spacing w:after="0" w:line="50" w:lineRule="exact"/>
        <w:rPr>
          <w:sz w:val="20"/>
          <w:szCs w:val="20"/>
          <w:color w:val="auto"/>
        </w:rPr>
      </w:pPr>
    </w:p>
    <w:p>
      <w:pPr>
        <w:ind w:left="550"/>
        <w:spacing w:after="0"/>
        <w:rPr>
          <w:sz w:val="20"/>
          <w:szCs w:val="20"/>
          <w:color w:val="auto"/>
        </w:rPr>
      </w:pPr>
      <w:r>
        <w:rPr>
          <w:rFonts w:ascii="Arial" w:cs="Arial" w:eastAsia="Arial" w:hAnsi="Arial"/>
          <w:sz w:val="20"/>
          <w:szCs w:val="20"/>
          <w:b w:val="1"/>
          <w:bCs w:val="1"/>
          <w:color w:val="auto"/>
        </w:rPr>
        <w:t>The components of lease expense are presented as follows:</w:t>
      </w:r>
    </w:p>
    <w:p>
      <w:pPr>
        <w:spacing w:after="0" w:line="201"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6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357"/>
              <w:spacing w:after="0"/>
              <w:rPr>
                <w:sz w:val="20"/>
                <w:szCs w:val="20"/>
                <w:color w:val="auto"/>
              </w:rPr>
            </w:pPr>
            <w:r>
              <w:rPr>
                <w:rFonts w:ascii="Arial" w:cs="Arial" w:eastAsia="Arial" w:hAnsi="Arial"/>
                <w:sz w:val="16"/>
                <w:szCs w:val="16"/>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r>
      <w:tr>
        <w:trPr>
          <w:trHeight w:val="235"/>
        </w:trPr>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2023</w:t>
            </w:r>
          </w:p>
        </w:tc>
      </w:tr>
      <w:tr>
        <w:trPr>
          <w:trHeight w:val="269"/>
        </w:trPr>
        <w:tc>
          <w:tcPr>
            <w:tcW w:w="6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80" w:type="dxa"/>
            <w:vAlign w:val="bottom"/>
            <w:gridSpan w:val="3"/>
          </w:tcPr>
          <w:p>
            <w:pPr>
              <w:jc w:val="center"/>
              <w:ind w:right="195"/>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311"/>
        </w:trPr>
        <w:tc>
          <w:tcPr>
            <w:tcW w:w="6500" w:type="dxa"/>
            <w:vAlign w:val="bottom"/>
          </w:tcPr>
          <w:p>
            <w:pPr>
              <w:spacing w:after="0"/>
              <w:rPr>
                <w:sz w:val="20"/>
                <w:szCs w:val="20"/>
                <w:color w:val="auto"/>
              </w:rPr>
            </w:pPr>
            <w:r>
              <w:rPr>
                <w:rFonts w:ascii="Arial" w:cs="Arial" w:eastAsia="Arial" w:hAnsi="Arial"/>
                <w:sz w:val="18"/>
                <w:szCs w:val="18"/>
                <w:b w:val="1"/>
                <w:bCs w:val="1"/>
                <w:color w:val="auto"/>
              </w:rPr>
              <w:t>Operating lease costs</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11,946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11,047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-186690</wp:posOffset>
            </wp:positionV>
            <wp:extent cx="6540500" cy="2063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73">
                      <a:extLst>
                        <a:ext uri="{28A0092B-C50C-407E-A947-70E740481C1C}"/>
                      </a:extLst>
                    </a:blip>
                    <a:srcRect/>
                    <a:stretch>
                      <a:fillRect/>
                    </a:stretch>
                  </pic:blipFill>
                  <pic:spPr bwMode="auto">
                    <a:xfrm>
                      <a:off x="0" y="0"/>
                      <a:ext cx="65405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90170</wp:posOffset>
                </wp:positionH>
                <wp:positionV relativeFrom="paragraph">
                  <wp:posOffset>1052195</wp:posOffset>
                </wp:positionV>
                <wp:extent cx="633412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82.85pt" to="505.85pt,82.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1052195</wp:posOffset>
                </wp:positionV>
                <wp:extent cx="633412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82.85pt" to="505.85pt,82.8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101</w:t>
      </w:r>
    </w:p>
    <w:p>
      <w:pPr>
        <w:sectPr>
          <w:pgSz w:w="12240" w:h="15840" w:orient="portrait"/>
          <w:cols w:equalWidth="0" w:num="1">
            <w:col w:w="10270"/>
          </w:cols>
          <w:pgMar w:left="990" w:top="216" w:right="980"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The components of right of use assets and lease liabilities are presented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4"/>
        </w:trPr>
        <w:tc>
          <w:tcPr>
            <w:tcW w:w="7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4"/>
          </w:tcPr>
          <w:p>
            <w:pPr>
              <w:jc w:val="right"/>
              <w:ind w:right="131"/>
              <w:spacing w:after="0"/>
              <w:rPr>
                <w:sz w:val="20"/>
                <w:szCs w:val="20"/>
                <w:color w:val="auto"/>
              </w:rPr>
            </w:pPr>
            <w:r>
              <w:rPr>
                <w:rFonts w:ascii="Arial" w:cs="Arial" w:eastAsia="Arial" w:hAnsi="Arial"/>
                <w:sz w:val="16"/>
                <w:szCs w:val="16"/>
                <w:b w:val="1"/>
                <w:bCs w:val="1"/>
                <w:i w:val="1"/>
                <w:iCs w:val="1"/>
                <w:color w:val="auto"/>
                <w:w w:val="93"/>
              </w:rPr>
              <w:t>(In thousands, except years and</w:t>
            </w: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651"/>
              <w:spacing w:after="0"/>
              <w:rPr>
                <w:sz w:val="20"/>
                <w:szCs w:val="20"/>
                <w:color w:val="auto"/>
              </w:rPr>
            </w:pPr>
            <w:r>
              <w:rPr>
                <w:rFonts w:ascii="Arial" w:cs="Arial" w:eastAsia="Arial" w:hAnsi="Arial"/>
                <w:sz w:val="16"/>
                <w:szCs w:val="16"/>
                <w:b w:val="1"/>
                <w:bCs w:val="1"/>
                <w:i w:val="1"/>
                <w:iCs w:val="1"/>
                <w:color w:val="auto"/>
              </w:rPr>
              <w:t>percentage data)</w:t>
            </w:r>
          </w:p>
        </w:tc>
        <w:tc>
          <w:tcPr>
            <w:tcW w:w="0" w:type="dxa"/>
            <w:vAlign w:val="bottom"/>
          </w:tcPr>
          <w:p>
            <w:pPr>
              <w:spacing w:after="0"/>
              <w:rPr>
                <w:sz w:val="1"/>
                <w:szCs w:val="1"/>
                <w:color w:val="auto"/>
              </w:rPr>
            </w:pPr>
          </w:p>
        </w:tc>
      </w:tr>
      <w:tr>
        <w:trPr>
          <w:trHeight w:val="271"/>
        </w:trPr>
        <w:tc>
          <w:tcPr>
            <w:tcW w:w="752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Operating lease, right of use asset, net (Other assets)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34,573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24,617</w:t>
            </w:r>
          </w:p>
        </w:tc>
        <w:tc>
          <w:tcPr>
            <w:tcW w:w="0" w:type="dxa"/>
            <w:vAlign w:val="bottom"/>
          </w:tcPr>
          <w:p>
            <w:pPr>
              <w:spacing w:after="0"/>
              <w:rPr>
                <w:sz w:val="1"/>
                <w:szCs w:val="1"/>
                <w:color w:val="auto"/>
              </w:rPr>
            </w:pPr>
          </w:p>
        </w:tc>
      </w:tr>
      <w:tr>
        <w:trPr>
          <w:trHeight w:val="510"/>
        </w:trPr>
        <w:tc>
          <w:tcPr>
            <w:tcW w:w="7520" w:type="dxa"/>
            <w:vAlign w:val="bottom"/>
          </w:tcPr>
          <w:p>
            <w:pPr>
              <w:spacing w:after="0"/>
              <w:rPr>
                <w:sz w:val="20"/>
                <w:szCs w:val="20"/>
                <w:color w:val="auto"/>
              </w:rPr>
            </w:pPr>
            <w:r>
              <w:rPr>
                <w:rFonts w:ascii="Arial" w:cs="Arial" w:eastAsia="Arial" w:hAnsi="Arial"/>
                <w:sz w:val="18"/>
                <w:szCs w:val="18"/>
                <w:b w:val="1"/>
                <w:bCs w:val="1"/>
                <w:color w:val="auto"/>
              </w:rPr>
              <w:t>Operating lease liabilities, current (Accrued liabilities)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8,211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5,815</w:t>
            </w:r>
          </w:p>
        </w:tc>
        <w:tc>
          <w:tcPr>
            <w:tcW w:w="0" w:type="dxa"/>
            <w:vAlign w:val="bottom"/>
          </w:tcPr>
          <w:p>
            <w:pPr>
              <w:spacing w:after="0"/>
              <w:rPr>
                <w:sz w:val="1"/>
                <w:szCs w:val="1"/>
                <w:color w:val="auto"/>
              </w:rPr>
            </w:pP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Operating lease liabilities, non-current (Other liabilities)</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31,195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23,044</w:t>
            </w:r>
          </w:p>
        </w:tc>
        <w:tc>
          <w:tcPr>
            <w:tcW w:w="0" w:type="dxa"/>
            <w:vAlign w:val="bottom"/>
          </w:tcPr>
          <w:p>
            <w:pPr>
              <w:spacing w:after="0"/>
              <w:rPr>
                <w:sz w:val="1"/>
                <w:szCs w:val="1"/>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39,406</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28,859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lease information:</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80" w:type="dxa"/>
            <w:vAlign w:val="bottom"/>
          </w:tcPr>
          <w:p>
            <w:pPr>
              <w:spacing w:after="0"/>
              <w:rPr>
                <w:sz w:val="22"/>
                <w:szCs w:val="22"/>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b w:val="1"/>
                <w:bCs w:val="1"/>
                <w:color w:val="auto"/>
                <w:w w:val="95"/>
              </w:rPr>
              <w:t>5.6 years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center"/>
              <w:ind w:right="151"/>
              <w:spacing w:after="0"/>
              <w:rPr>
                <w:sz w:val="20"/>
                <w:szCs w:val="20"/>
                <w:color w:val="auto"/>
              </w:rPr>
            </w:pPr>
            <w:r>
              <w:rPr>
                <w:rFonts w:ascii="Arial" w:cs="Arial" w:eastAsia="Arial" w:hAnsi="Arial"/>
                <w:sz w:val="18"/>
                <w:szCs w:val="18"/>
                <w:b w:val="1"/>
                <w:bCs w:val="1"/>
                <w:color w:val="auto"/>
                <w:w w:val="95"/>
              </w:rPr>
              <w:t>5.9 years</w:t>
            </w:r>
          </w:p>
        </w:tc>
        <w:tc>
          <w:tcPr>
            <w:tcW w:w="0" w:type="dxa"/>
            <w:vAlign w:val="bottom"/>
          </w:tcPr>
          <w:p>
            <w:pPr>
              <w:spacing w:after="0"/>
              <w:rPr>
                <w:sz w:val="1"/>
                <w:szCs w:val="1"/>
                <w:color w:val="auto"/>
              </w:rPr>
            </w:pPr>
          </w:p>
        </w:tc>
      </w:tr>
      <w:tr>
        <w:trPr>
          <w:trHeight w:val="255"/>
        </w:trPr>
        <w:tc>
          <w:tcPr>
            <w:tcW w:w="752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180" w:type="dxa"/>
            <w:vAlign w:val="bottom"/>
          </w:tcPr>
          <w:p>
            <w:pPr>
              <w:spacing w:after="0"/>
              <w:rPr>
                <w:sz w:val="22"/>
                <w:szCs w:val="22"/>
                <w:color w:val="auto"/>
              </w:rPr>
            </w:pPr>
          </w:p>
        </w:tc>
        <w:tc>
          <w:tcPr>
            <w:tcW w:w="1140" w:type="dxa"/>
            <w:vAlign w:val="bottom"/>
          </w:tcPr>
          <w:p>
            <w:pPr>
              <w:jc w:val="center"/>
              <w:ind w:right="53"/>
              <w:spacing w:after="0"/>
              <w:rPr>
                <w:sz w:val="20"/>
                <w:szCs w:val="20"/>
                <w:color w:val="auto"/>
              </w:rPr>
            </w:pPr>
            <w:r>
              <w:rPr>
                <w:rFonts w:ascii="Arial" w:cs="Arial" w:eastAsia="Arial" w:hAnsi="Arial"/>
                <w:sz w:val="18"/>
                <w:szCs w:val="18"/>
                <w:b w:val="1"/>
                <w:bCs w:val="1"/>
                <w:color w:val="auto"/>
                <w:w w:val="97"/>
              </w:rPr>
              <w:t>6.3%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center"/>
              <w:ind w:right="91"/>
              <w:spacing w:after="0"/>
              <w:rPr>
                <w:sz w:val="20"/>
                <w:szCs w:val="20"/>
                <w:color w:val="auto"/>
              </w:rPr>
            </w:pPr>
            <w:r>
              <w:rPr>
                <w:rFonts w:ascii="Arial" w:cs="Arial" w:eastAsia="Arial" w:hAnsi="Arial"/>
                <w:sz w:val="18"/>
                <w:szCs w:val="18"/>
                <w:b w:val="1"/>
                <w:bCs w:val="1"/>
                <w:color w:val="auto"/>
                <w:w w:val="97"/>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-1624965</wp:posOffset>
            </wp:positionV>
            <wp:extent cx="6553200" cy="16446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74">
                      <a:extLst>
                        <a:ext uri="{28A0092B-C50C-407E-A947-70E740481C1C}"/>
                      </a:extLst>
                    </a:blip>
                    <a:srcRect/>
                    <a:stretch>
                      <a:fillRect/>
                    </a:stretch>
                  </pic:blipFill>
                  <pic:spPr bwMode="auto">
                    <a:xfrm>
                      <a:off x="0" y="0"/>
                      <a:ext cx="6553200" cy="1644650"/>
                    </a:xfrm>
                    <a:prstGeom prst="rect">
                      <a:avLst/>
                    </a:prstGeom>
                    <a:noFill/>
                  </pic:spPr>
                </pic:pic>
              </a:graphicData>
            </a:graphic>
          </wp:anchor>
        </w:drawing>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Supplemental cash flow and other information related to operating leases were as 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6"/>
                <w:szCs w:val="16"/>
                <w:b w:val="1"/>
                <w:bCs w:val="1"/>
                <w:color w:val="auto"/>
              </w:rPr>
              <w:t>Years Ended December 31,</w:t>
            </w:r>
          </w:p>
        </w:tc>
      </w:tr>
      <w:tr>
        <w:trPr>
          <w:trHeight w:val="220"/>
        </w:trPr>
        <w:tc>
          <w:tcPr>
            <w:tcW w:w="7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2024</w:t>
            </w:r>
          </w:p>
        </w:tc>
      </w:tr>
      <w:tr>
        <w:trPr>
          <w:trHeight w:val="269"/>
        </w:trPr>
        <w:tc>
          <w:tcPr>
            <w:tcW w:w="7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80" w:type="dxa"/>
            <w:vAlign w:val="bottom"/>
            <w:gridSpan w:val="5"/>
          </w:tcPr>
          <w:p>
            <w:pPr>
              <w:jc w:val="right"/>
              <w:ind w:right="691"/>
              <w:spacing w:after="0"/>
              <w:rPr>
                <w:sz w:val="20"/>
                <w:szCs w:val="20"/>
                <w:color w:val="auto"/>
              </w:rPr>
            </w:pPr>
            <w:r>
              <w:rPr>
                <w:rFonts w:ascii="Arial" w:cs="Arial" w:eastAsia="Arial" w:hAnsi="Arial"/>
                <w:sz w:val="16"/>
                <w:szCs w:val="16"/>
                <w:b w:val="1"/>
                <w:bCs w:val="1"/>
                <w:i w:val="1"/>
                <w:iCs w:val="1"/>
                <w:color w:val="auto"/>
              </w:rPr>
              <w:t>(In thousands)</w:t>
            </w:r>
          </w:p>
        </w:tc>
      </w:tr>
      <w:tr>
        <w:trPr>
          <w:trHeight w:val="278"/>
        </w:trPr>
        <w:tc>
          <w:tcPr>
            <w:tcW w:w="7640" w:type="dxa"/>
            <w:vAlign w:val="bottom"/>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5"/>
        </w:trPr>
        <w:tc>
          <w:tcPr>
            <w:tcW w:w="7640" w:type="dxa"/>
            <w:vAlign w:val="bottom"/>
          </w:tcPr>
          <w:p>
            <w:pPr>
              <w:ind w:left="120"/>
              <w:spacing w:after="0"/>
              <w:rPr>
                <w:sz w:val="20"/>
                <w:szCs w:val="20"/>
                <w:color w:val="auto"/>
              </w:rPr>
            </w:pPr>
            <w:r>
              <w:rPr>
                <w:rFonts w:ascii="Arial" w:cs="Arial" w:eastAsia="Arial" w:hAnsi="Arial"/>
                <w:sz w:val="18"/>
                <w:szCs w:val="18"/>
                <w:b w:val="1"/>
                <w:bCs w:val="1"/>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8,975</w:t>
            </w:r>
          </w:p>
        </w:tc>
        <w:tc>
          <w:tcPr>
            <w:tcW w:w="4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7,641</w:t>
            </w:r>
          </w:p>
        </w:tc>
      </w:tr>
      <w:tr>
        <w:trPr>
          <w:trHeight w:val="510"/>
        </w:trPr>
        <w:tc>
          <w:tcPr>
            <w:tcW w:w="764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9"/>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19,706</w:t>
            </w:r>
          </w:p>
        </w:tc>
        <w:tc>
          <w:tcPr>
            <w:tcW w:w="4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12,687</w:t>
            </w:r>
          </w:p>
        </w:tc>
      </w:tr>
      <w:tr>
        <w:trPr>
          <w:trHeight w:val="439"/>
        </w:trPr>
        <w:tc>
          <w:tcPr>
            <w:tcW w:w="8940" w:type="dxa"/>
            <w:vAlign w:val="bottom"/>
            <w:gridSpan w:val="4"/>
          </w:tcPr>
          <w:p>
            <w:pPr>
              <w:ind w:left="500"/>
              <w:spacing w:after="0"/>
              <w:rPr>
                <w:sz w:val="20"/>
                <w:szCs w:val="20"/>
                <w:color w:val="auto"/>
              </w:rPr>
            </w:pPr>
            <w:r>
              <w:rPr>
                <w:rFonts w:ascii="Arial" w:cs="Arial" w:eastAsia="Arial" w:hAnsi="Arial"/>
                <w:sz w:val="20"/>
                <w:szCs w:val="20"/>
                <w:b w:val="1"/>
                <w:bCs w:val="1"/>
                <w:color w:val="auto"/>
                <w:w w:val="92"/>
              </w:rPr>
              <w:t>Undiscounted cash flows of operating lease liabilities as of December 31, 2025 were as follows: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0"/>
        </w:trPr>
        <w:tc>
          <w:tcPr>
            <w:tcW w:w="7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Lease Amounts</w:t>
            </w:r>
          </w:p>
        </w:tc>
      </w:tr>
      <w:tr>
        <w:trPr>
          <w:trHeight w:val="209"/>
        </w:trPr>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51"/>
              <w:spacing w:after="0"/>
              <w:rPr>
                <w:sz w:val="20"/>
                <w:szCs w:val="20"/>
                <w:color w:val="auto"/>
              </w:rPr>
            </w:pPr>
            <w:r>
              <w:rPr>
                <w:rFonts w:ascii="Arial" w:cs="Arial" w:eastAsia="Arial" w:hAnsi="Arial"/>
                <w:sz w:val="16"/>
                <w:szCs w:val="16"/>
                <w:b w:val="1"/>
                <w:bCs w:val="1"/>
                <w:i w:val="1"/>
                <w:iCs w:val="1"/>
                <w:color w:val="auto"/>
                <w:w w:val="99"/>
              </w:rPr>
              <w:t>(In thousands)</w:t>
            </w:r>
          </w:p>
        </w:tc>
      </w:tr>
      <w:tr>
        <w:trPr>
          <w:trHeight w:val="311"/>
        </w:trPr>
        <w:tc>
          <w:tcPr>
            <w:tcW w:w="76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2026</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10,535</w:t>
            </w:r>
          </w:p>
        </w:tc>
      </w:tr>
      <w:tr>
        <w:trPr>
          <w:trHeight w:val="285"/>
        </w:trPr>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2027</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8,306</w:t>
            </w:r>
          </w:p>
        </w:tc>
      </w:tr>
      <w:tr>
        <w:trPr>
          <w:trHeight w:val="285"/>
        </w:trPr>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2028</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7,470</w:t>
            </w:r>
          </w:p>
        </w:tc>
      </w:tr>
      <w:tr>
        <w:trPr>
          <w:trHeight w:val="285"/>
        </w:trPr>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2029</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6,388</w:t>
            </w:r>
          </w:p>
        </w:tc>
      </w:tr>
      <w:tr>
        <w:trPr>
          <w:trHeight w:val="285"/>
        </w:trPr>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2030</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6,116</w:t>
            </w:r>
          </w:p>
        </w:tc>
      </w:tr>
      <w:tr>
        <w:trPr>
          <w:trHeight w:val="285"/>
        </w:trPr>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Thereafter</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8,835</w:t>
            </w:r>
          </w:p>
        </w:tc>
      </w:tr>
      <w:tr>
        <w:trPr>
          <w:trHeight w:val="265"/>
        </w:trPr>
        <w:tc>
          <w:tcPr>
            <w:tcW w:w="7640" w:type="dxa"/>
            <w:vAlign w:val="bottom"/>
          </w:tcPr>
          <w:p>
            <w:pPr>
              <w:ind w:left="220"/>
              <w:spacing w:after="0"/>
              <w:rPr>
                <w:sz w:val="20"/>
                <w:szCs w:val="20"/>
                <w:color w:val="auto"/>
              </w:rPr>
            </w:pPr>
            <w:r>
              <w:rPr>
                <w:rFonts w:ascii="Arial" w:cs="Arial" w:eastAsia="Arial" w:hAnsi="Arial"/>
                <w:sz w:val="18"/>
                <w:szCs w:val="18"/>
                <w:b w:val="1"/>
                <w:bCs w:val="1"/>
                <w:color w:val="auto"/>
              </w:rPr>
              <w:t>Total lease payments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47,650</w:t>
            </w:r>
          </w:p>
        </w:tc>
      </w:tr>
      <w:tr>
        <w:trPr>
          <w:trHeight w:val="285"/>
        </w:trPr>
        <w:tc>
          <w:tcPr>
            <w:tcW w:w="7640" w:type="dxa"/>
            <w:vAlign w:val="bottom"/>
          </w:tcPr>
          <w:p>
            <w:pPr>
              <w:spacing w:after="0"/>
              <w:rPr>
                <w:sz w:val="20"/>
                <w:szCs w:val="20"/>
                <w:color w:val="auto"/>
              </w:rPr>
            </w:pPr>
            <w:r>
              <w:rPr>
                <w:rFonts w:ascii="Arial" w:cs="Arial" w:eastAsia="Arial" w:hAnsi="Arial"/>
                <w:sz w:val="18"/>
                <w:szCs w:val="18"/>
                <w:b w:val="1"/>
                <w:bCs w:val="1"/>
                <w:color w:val="auto"/>
              </w:rPr>
              <w:t>Less: imputed lease interest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(8,244)</w:t>
            </w:r>
          </w:p>
        </w:tc>
      </w:tr>
      <w:tr>
        <w:trPr>
          <w:trHeight w:val="245"/>
        </w:trPr>
        <w:tc>
          <w:tcPr>
            <w:tcW w:w="7640" w:type="dxa"/>
            <w:vAlign w:val="bottom"/>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39,406</w:t>
            </w:r>
          </w:p>
        </w:tc>
      </w:tr>
      <w:tr>
        <w:trPr>
          <w:trHeight w:val="20"/>
        </w:trPr>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-3333115</wp:posOffset>
            </wp:positionV>
            <wp:extent cx="6540500" cy="8350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75">
                      <a:extLst>
                        <a:ext uri="{28A0092B-C50C-407E-A947-70E740481C1C}"/>
                      </a:extLst>
                    </a:blip>
                    <a:srcRect/>
                    <a:stretch>
                      <a:fillRect/>
                    </a:stretch>
                  </pic:blipFill>
                  <pic:spPr bwMode="auto">
                    <a:xfrm>
                      <a:off x="0" y="0"/>
                      <a:ext cx="6540500" cy="8350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-1840865</wp:posOffset>
            </wp:positionV>
            <wp:extent cx="6553200" cy="18605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76">
                      <a:extLst>
                        <a:ext uri="{28A0092B-C50C-407E-A947-70E740481C1C}"/>
                      </a:extLst>
                    </a:blip>
                    <a:srcRect/>
                    <a:stretch>
                      <a:fillRect/>
                    </a:stretch>
                  </pic:blipFill>
                  <pic:spPr bwMode="auto">
                    <a:xfrm>
                      <a:off x="0" y="0"/>
                      <a:ext cx="6553200" cy="186055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 Obligations</w:t>
      </w:r>
    </w:p>
    <w:p>
      <w:pPr>
        <w:spacing w:after="0" w:line="130" w:lineRule="exact"/>
        <w:rPr>
          <w:sz w:val="20"/>
          <w:szCs w:val="20"/>
          <w:color w:val="auto"/>
        </w:rPr>
      </w:pPr>
    </w:p>
    <w:p>
      <w:pPr>
        <w:jc w:val="both"/>
        <w:ind w:firstLine="540"/>
        <w:spacing w:after="0" w:line="311" w:lineRule="auto"/>
        <w:rPr>
          <w:sz w:val="20"/>
          <w:szCs w:val="20"/>
          <w:color w:val="auto"/>
        </w:rPr>
      </w:pPr>
      <w:r>
        <w:rPr>
          <w:rFonts w:ascii="Arial" w:cs="Arial" w:eastAsia="Arial" w:hAnsi="Arial"/>
          <w:sz w:val="18"/>
          <w:szCs w:val="18"/>
          <w:b w:val="1"/>
          <w:bCs w:val="1"/>
          <w:color w:val="auto"/>
        </w:rPr>
        <w:t>The Company has contractual obligations related to component inventory that it, and its contract manufacturers procure on its behalf in accordance with its production forecast as well as other inventory related purchase commitments. As of December 31, 2025, these purchase obligations totaled approximately $252.3 million.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1246505</wp:posOffset>
                </wp:positionV>
                <wp:extent cx="633412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8.15pt" to="505.35pt,98.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1246505</wp:posOffset>
                </wp:positionV>
                <wp:extent cx="633412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98.15pt" to="505.35pt,98.1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102</w:t>
      </w:r>
    </w:p>
    <w:p>
      <w:pPr>
        <w:sectPr>
          <w:pgSz w:w="12240" w:h="15840" w:orient="portrait"/>
          <w:cols w:equalWidth="0" w:num="1">
            <w:col w:w="10260"/>
          </w:cols>
          <w:pgMar w:left="1000" w:top="216" w:right="980" w:bottom="0" w:gutter="0" w:footer="0" w:header="0"/>
          <w:type w:val="continuous"/>
        </w:sectPr>
      </w:pPr>
    </w:p>
    <w:bookmarkStart w:id="102" w:name="page103"/>
    <w:bookmarkEnd w:id="102"/>
    <w:p>
      <w:pPr>
        <w:ind w:left="1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Litigation</w:t>
      </w:r>
    </w:p>
    <w:p>
      <w:pPr>
        <w:spacing w:after="0" w:line="130" w:lineRule="exact"/>
        <w:rPr>
          <w:sz w:val="20"/>
          <w:szCs w:val="20"/>
          <w:color w:val="auto"/>
        </w:rPr>
      </w:pPr>
    </w:p>
    <w:p>
      <w:pPr>
        <w:jc w:val="both"/>
        <w:ind w:left="10" w:firstLine="540"/>
        <w:spacing w:after="0" w:line="270" w:lineRule="auto"/>
        <w:rPr>
          <w:sz w:val="20"/>
          <w:szCs w:val="20"/>
          <w:color w:val="auto"/>
        </w:rPr>
      </w:pPr>
      <w:r>
        <w:rPr>
          <w:rFonts w:ascii="Arial" w:cs="Arial" w:eastAsia="Arial" w:hAnsi="Arial"/>
          <w:sz w:val="19"/>
          <w:szCs w:val="19"/>
          <w:b w:val="1"/>
          <w:bCs w:val="1"/>
          <w:color w:val="auto"/>
        </w:rPr>
        <w:t>The Company is subject to various legal proceedings and claims that have arisen in the ordinary course of business and that have not been fully resolved. An accrual for a loss contingency is recognized when it is probable and the amount of loss or recovery can be reasonably estimated. The outcome of litigation is inherently uncertain. If one or more legal matters were resolved against the Company in a reporting period for amounts above management’s expectations, the Company’s business, results of operations, financial position and cash flows for that reporting period could be materially adversely affected. As of December 31, 2025, in the opinion of management, there was not at least a reasonable possibility the Company may have incurred a material loss, or a material loss greater than a recorded accrual, concerning loss contingencies for asserted legal and other claims.</w:t>
      </w:r>
    </w:p>
    <w:p>
      <w:pPr>
        <w:spacing w:after="0" w:line="74" w:lineRule="exact"/>
        <w:rPr>
          <w:sz w:val="20"/>
          <w:szCs w:val="20"/>
          <w:color w:val="auto"/>
        </w:rPr>
      </w:pPr>
    </w:p>
    <w:p>
      <w:pPr>
        <w:ind w:left="550" w:hanging="550"/>
        <w:spacing w:after="0"/>
        <w:tabs>
          <w:tab w:leader="none" w:pos="55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STOCKHOLDERS' EQUITY</w:t>
      </w:r>
    </w:p>
    <w:p>
      <w:pPr>
        <w:spacing w:after="0" w:line="130" w:lineRule="exact"/>
        <w:rPr>
          <w:sz w:val="20"/>
          <w:szCs w:val="20"/>
          <w:color w:val="auto"/>
        </w:rPr>
      </w:pPr>
    </w:p>
    <w:p>
      <w:pPr>
        <w:jc w:val="both"/>
        <w:ind w:left="10" w:right="20" w:firstLine="540"/>
        <w:spacing w:after="0" w:line="300" w:lineRule="auto"/>
        <w:rPr>
          <w:sz w:val="20"/>
          <w:szCs w:val="20"/>
          <w:color w:val="auto"/>
        </w:rPr>
      </w:pPr>
      <w:r>
        <w:rPr>
          <w:rFonts w:ascii="Arial" w:cs="Arial" w:eastAsia="Arial" w:hAnsi="Arial"/>
          <w:sz w:val="18"/>
          <w:szCs w:val="18"/>
          <w:b w:val="1"/>
          <w:bCs w:val="1"/>
          <w:color w:val="auto"/>
        </w:rPr>
        <w:t>In July 2023, the board of directors authorized a share repurchase program (the “2023 Repurchase Program”) pursuant to which the Company was authorized to repurchase up to $1.0 billion of the Company’s common stock. The Company may repurchase shares of common stock from time to time through solicited or unsolicited transactions in the open market, in privately negotiated transactions or pursuant to a Rule 10b5-1 plan.</w:t>
      </w:r>
    </w:p>
    <w:p>
      <w:pPr>
        <w:spacing w:after="0" w:line="45" w:lineRule="exact"/>
        <w:rPr>
          <w:sz w:val="20"/>
          <w:szCs w:val="20"/>
          <w:color w:val="auto"/>
        </w:rPr>
      </w:pPr>
    </w:p>
    <w:p>
      <w:pPr>
        <w:jc w:val="both"/>
        <w:ind w:left="10" w:right="20" w:firstLine="540"/>
        <w:spacing w:after="0" w:line="262" w:lineRule="auto"/>
        <w:rPr>
          <w:sz w:val="20"/>
          <w:szCs w:val="20"/>
          <w:color w:val="auto"/>
        </w:rPr>
      </w:pPr>
      <w:r>
        <w:rPr>
          <w:rFonts w:ascii="Arial" w:cs="Arial" w:eastAsia="Arial" w:hAnsi="Arial"/>
          <w:sz w:val="20"/>
          <w:szCs w:val="20"/>
          <w:b w:val="1"/>
          <w:bCs w:val="1"/>
          <w:color w:val="auto"/>
        </w:rPr>
        <w:t>During the year ended December 31, 2025, 2024 and 2023, the Company repurchased and subsequently retired 2,297,053, 4,543,016 and 2,029,894 shares, respectively, of common stock from the open market at an average cost of $56.58, $86.15 and $103.45 per share, respectively, for a total of $130.0 million, $391.4 million and $210.0 million, respectively.</w:t>
      </w:r>
    </w:p>
    <w:p>
      <w:pPr>
        <w:spacing w:after="0" w:line="76" w:lineRule="exact"/>
        <w:rPr>
          <w:sz w:val="20"/>
          <w:szCs w:val="20"/>
          <w:color w:val="auto"/>
        </w:rPr>
      </w:pPr>
    </w:p>
    <w:p>
      <w:pPr>
        <w:jc w:val="both"/>
        <w:ind w:left="10" w:firstLine="540"/>
        <w:spacing w:after="0" w:line="287" w:lineRule="auto"/>
        <w:rPr>
          <w:sz w:val="20"/>
          <w:szCs w:val="20"/>
          <w:color w:val="auto"/>
        </w:rPr>
      </w:pPr>
      <w:r>
        <w:rPr>
          <w:rFonts w:ascii="Arial" w:cs="Arial" w:eastAsia="Arial" w:hAnsi="Arial"/>
          <w:sz w:val="20"/>
          <w:szCs w:val="20"/>
          <w:b w:val="1"/>
          <w:bCs w:val="1"/>
          <w:color w:val="auto"/>
        </w:rPr>
        <w:t>As of December 31, 2025, $268.7 million remains available for repurchase of shares under the 2023 Repurchase Program.</w:t>
      </w:r>
    </w:p>
    <w:p>
      <w:pPr>
        <w:spacing w:after="0" w:line="50" w:lineRule="exact"/>
        <w:rPr>
          <w:sz w:val="20"/>
          <w:szCs w:val="20"/>
          <w:color w:val="auto"/>
        </w:rPr>
      </w:pPr>
    </w:p>
    <w:p>
      <w:pPr>
        <w:ind w:left="550" w:hanging="550"/>
        <w:spacing w:after="0"/>
        <w:tabs>
          <w:tab w:leader="none" w:pos="55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STOCK-BASED COMPENSATION</w:t>
      </w:r>
    </w:p>
    <w:p>
      <w:pPr>
        <w:spacing w:after="0" w:line="130" w:lineRule="exact"/>
        <w:rPr>
          <w:rFonts w:ascii="Arial" w:cs="Arial" w:eastAsia="Arial" w:hAnsi="Arial"/>
          <w:sz w:val="20"/>
          <w:szCs w:val="20"/>
          <w:b w:val="1"/>
          <w:bCs w:val="1"/>
          <w:color w:val="auto"/>
        </w:rPr>
      </w:pPr>
    </w:p>
    <w:p>
      <w:pPr>
        <w:ind w:left="1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2011 Plan</w:t>
      </w:r>
    </w:p>
    <w:p>
      <w:pPr>
        <w:spacing w:after="0" w:line="130" w:lineRule="exact"/>
        <w:rPr>
          <w:sz w:val="20"/>
          <w:szCs w:val="20"/>
          <w:color w:val="auto"/>
        </w:rPr>
      </w:pPr>
    </w:p>
    <w:p>
      <w:pPr>
        <w:jc w:val="both"/>
        <w:ind w:left="10" w:firstLine="540"/>
        <w:spacing w:after="0" w:line="270" w:lineRule="auto"/>
        <w:rPr>
          <w:sz w:val="20"/>
          <w:szCs w:val="20"/>
          <w:color w:val="auto"/>
        </w:rPr>
      </w:pPr>
      <w:r>
        <w:rPr>
          <w:rFonts w:ascii="Arial" w:cs="Arial" w:eastAsia="Arial" w:hAnsi="Arial"/>
          <w:sz w:val="19"/>
          <w:szCs w:val="19"/>
          <w:b w:val="1"/>
          <w:bCs w:val="1"/>
          <w:color w:val="auto"/>
        </w:rPr>
        <w:t>Under the 2011 Equity Incentive Plan (the “2011 Plan”), the Company could initially issue up to 2,643,171 shares of its common stock pursuant to stock options, stock appreciation rights (“SARS”), restricted stock awards (“RSA”), RSUs, PSUs,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seven years after the grant date. Equity awards granted under the 2011 Plan generally vested over a four-year period from the date of grant based on continued service to the Company. As of May 19, 2021, no further stock options or other stock awards may be granted under the 2011 Plan.</w:t>
      </w:r>
    </w:p>
    <w:p>
      <w:pPr>
        <w:spacing w:after="0" w:line="7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2021 Plan</w:t>
      </w:r>
    </w:p>
    <w:p>
      <w:pPr>
        <w:spacing w:after="0" w:line="130" w:lineRule="exact"/>
        <w:rPr>
          <w:sz w:val="20"/>
          <w:szCs w:val="20"/>
          <w:color w:val="auto"/>
        </w:rPr>
      </w:pPr>
    </w:p>
    <w:p>
      <w:pPr>
        <w:jc w:val="both"/>
        <w:ind w:left="10" w:firstLine="540"/>
        <w:spacing w:after="0" w:line="266" w:lineRule="auto"/>
        <w:rPr>
          <w:sz w:val="20"/>
          <w:szCs w:val="20"/>
          <w:color w:val="auto"/>
        </w:rPr>
      </w:pPr>
      <w:r>
        <w:rPr>
          <w:rFonts w:ascii="Arial" w:cs="Arial" w:eastAsia="Arial" w:hAnsi="Arial"/>
          <w:sz w:val="19"/>
          <w:szCs w:val="19"/>
          <w:b w:val="1"/>
          <w:bCs w:val="1"/>
          <w:color w:val="auto"/>
        </w:rPr>
        <w:t>On May 19, 2021, at the 2021 annual meeting of stockholders of the Company, the stockholders approved the 2021 Equity Incentive Plan (the “2021 Plan”), as the successor to the 2011 Plan. The 2021 Plan was amended and restated at the 2025 annual meeting of stockholders of the Company to increase the number of shares of common stock authorized for issuance thereunder by an additional 4,000,000 shares. The 2021 Plan provides for the grant of incentive stock options, SARS, RSAs, RSUs, PSUs and other forms of equity compensation. Eligible participants under the 2021 Plan include Company’s employees, directors and consultants. The 2021 Plan provides, among other things, that the number of shares of the Company’s common stock, $0.00001 par value per share, reserved for issuance under the 2021 Plan (subject to adjustment for certain changes in the Company’s capitalization) is equal to: (A) the sum of (i) 13,100,456 newly reserved shares of the Company’s common stock and (ii) 5,256,517 Returning Shares (as defined below) as such shares become available from time to time as set forth in the 2021 Plan. “Returning Shares” means shares subject to any outstanding award granted under the 2011 Plan (“Prior Plan Award”) that are (i) not issued because such Prior Plan Award or any portion thereof expires or otherwise terminates without all of the shares covered by such Prior Plan Award having been issued, or is settled in cash; (ii) forfeited back to or repurchased by the Company because of a failure to vest; or (iii) reacquired or withheld (or not issued) by the Company to satisfy the purchase price of, or a tax withholding obligation in connection with, a Prior Plan Award that is a Full Value Award (as defined in the 2021 Plan). As of December 31, 2025, 5,978,943 shares remained available for issuance under the 2021 Plan.</w:t>
      </w:r>
    </w:p>
    <w:p>
      <w:pPr>
        <w:spacing w:after="0" w:line="8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2011 Employee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411480</wp:posOffset>
                </wp:positionV>
                <wp:extent cx="633412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32.4pt" to="505.85pt,32.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411480</wp:posOffset>
                </wp:positionV>
                <wp:extent cx="633412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32.4pt" to="505.85pt,32.4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103</w:t>
      </w:r>
    </w:p>
    <w:p>
      <w:pPr>
        <w:sectPr>
          <w:pgSz w:w="12240" w:h="15840" w:orient="portrait"/>
          <w:cols w:equalWidth="0" w:num="1">
            <w:col w:w="10270"/>
          </w:cols>
          <w:pgMar w:left="990" w:top="216" w:right="980" w:bottom="0" w:gutter="0" w:footer="0" w:header="0"/>
          <w:type w:val="continuous"/>
        </w:sectPr>
      </w:pPr>
    </w:p>
    <w:bookmarkStart w:id="103" w:name="page104"/>
    <w:bookmarkEnd w:id="103"/>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9"/>
          <w:szCs w:val="19"/>
          <w:b w:val="1"/>
          <w:bCs w:val="1"/>
          <w:color w:val="auto"/>
        </w:rPr>
        <w:t>The 2011 Employee Stock Purchase Plan (“ESPP”) became effective immediately upon the execution and delivery of the underwriting agreement for the Company’s initial public offering on March 29, 2012. The ESPP authorized the issuance of 669,603 shares of the Company’s common stock pursuant to purchase rights granted to employees. The number of shares of common stock reserved for issuance will automatically increase, on each January 1, by a lesser of (i) 700,000 shares of the Company’s common stock or (ii) 1.0% of the total number of shares of the Company’s common stock outstanding on December 31 of the preceding calendar year, as determined by the Company’s board of directors. In 2022, the Company’s board of directors waived the automatic increase of 700,000 shares that were to be added on January 1, 2023 for issuance under the ESPP and no additional shares were added to the plan on January 1, 2023. As of December 31, 2025, 2,797,029 shares remained available for future issuance under the ESPP. On January 1, 2026, the shares available for issuance under the ESPP automatically increased by 700,000 shares.</w:t>
      </w:r>
    </w:p>
    <w:p>
      <w:pPr>
        <w:spacing w:after="0" w:line="76"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 ESPP is implemented by concurrent offering periods and each offering period may contain up to four interim purchase periods. In general, offering periods consist of the 24-month periods commencing on each May 15 and November 15 of a calendar year.</w:t>
      </w:r>
    </w:p>
    <w:p>
      <w:pPr>
        <w:spacing w:after="0" w:line="70" w:lineRule="exact"/>
        <w:rPr>
          <w:sz w:val="20"/>
          <w:szCs w:val="20"/>
          <w:color w:val="auto"/>
        </w:rPr>
      </w:pPr>
    </w:p>
    <w:p>
      <w:pPr>
        <w:jc w:val="both"/>
        <w:ind w:firstLine="540"/>
        <w:spacing w:after="0" w:line="285" w:lineRule="auto"/>
        <w:rPr>
          <w:sz w:val="20"/>
          <w:szCs w:val="20"/>
          <w:color w:val="auto"/>
        </w:rPr>
      </w:pPr>
      <w:r>
        <w:rPr>
          <w:rFonts w:ascii="Arial" w:cs="Arial" w:eastAsia="Arial" w:hAnsi="Arial"/>
          <w:sz w:val="18"/>
          <w:szCs w:val="18"/>
          <w:b w:val="1"/>
          <w:bCs w:val="1"/>
          <w:color w:val="auto"/>
        </w:rPr>
        <w:t>Generally, all full-time employees in the United States and certain other countries in which the Company operates,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common stock on either the date of purchase or the first day of an offering period, whichever is lower. A two-year look-back feature in the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the Company’s common stock having a value greater than $25,000, based on the fair market value per share of the Company’s common stock at the beginning of an offering period.</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Valuation of Equity Awards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No stock options were granted during the years ended December 31, 2025, 2024 and 2023.</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128"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fair value of the Company’s RSU awards granted is based upon the closing price of the Company’s stock price on the date of grant.</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Performance Stock Units</w:t>
      </w:r>
    </w:p>
    <w:p>
      <w:pPr>
        <w:spacing w:after="0" w:line="128"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20"/>
          <w:szCs w:val="20"/>
          <w:b w:val="1"/>
          <w:bCs w:val="1"/>
          <w:color w:val="auto"/>
        </w:rPr>
        <w:t>The fair value of the Company’s non-market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Stock-based compensation expense for all stock-based awards, which includes shares purchased under the Company’s ESPP, RSUs and PSUs, expected to vest is measured at fair value on the date of grant and recognized ratably over the requisite service period.</w:t>
      </w:r>
    </w:p>
    <w:p>
      <w:pPr>
        <w:spacing w:after="0" w:line="7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following table summarizes the components of total stock-based compensation expense included in the consolidated statements of operations for the periods presented: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1350645</wp:posOffset>
                </wp:positionV>
                <wp:extent cx="633412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6.35pt" to="505.35pt,106.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1350645</wp:posOffset>
                </wp:positionV>
                <wp:extent cx="633412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06.35pt" to="505.35pt,106.3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104</w:t>
      </w:r>
    </w:p>
    <w:p>
      <w:pPr>
        <w:sectPr>
          <w:pgSz w:w="12240" w:h="15840" w:orient="portrait"/>
          <w:cols w:equalWidth="0" w:num="1">
            <w:col w:w="10260"/>
          </w:cols>
          <w:pgMar w:left="1000" w:top="216" w:right="980" w:bottom="0"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69"/>
        </w:trPr>
        <w:tc>
          <w:tcPr>
            <w:tcW w:w="6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center"/>
              <w:ind w:right="12"/>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16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17,178</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14,538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13,357</w:t>
            </w:r>
          </w:p>
        </w:tc>
        <w:tc>
          <w:tcPr>
            <w:tcW w:w="0" w:type="dxa"/>
            <w:vAlign w:val="bottom"/>
          </w:tcPr>
          <w:p>
            <w:pPr>
              <w:spacing w:after="0"/>
              <w:rPr>
                <w:sz w:val="1"/>
                <w:szCs w:val="1"/>
                <w:color w:val="auto"/>
              </w:rPr>
            </w:pPr>
          </w:p>
        </w:tc>
      </w:tr>
      <w:tr>
        <w:trPr>
          <w:trHeight w:val="255"/>
        </w:trPr>
        <w:tc>
          <w:tcPr>
            <w:tcW w:w="616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82,837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85,501</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88,367</w:t>
            </w:r>
          </w:p>
        </w:tc>
        <w:tc>
          <w:tcPr>
            <w:tcW w:w="0" w:type="dxa"/>
            <w:vAlign w:val="bottom"/>
          </w:tcPr>
          <w:p>
            <w:pPr>
              <w:spacing w:after="0"/>
              <w:rPr>
                <w:sz w:val="1"/>
                <w:szCs w:val="1"/>
                <w:color w:val="auto"/>
              </w:rPr>
            </w:pPr>
          </w:p>
        </w:tc>
      </w:tr>
      <w:tr>
        <w:trPr>
          <w:trHeight w:val="255"/>
        </w:trPr>
        <w:tc>
          <w:tcPr>
            <w:tcW w:w="6160" w:type="dxa"/>
            <w:vAlign w:val="bottom"/>
          </w:tcPr>
          <w:p>
            <w:pPr>
              <w:spacing w:after="0"/>
              <w:rPr>
                <w:sz w:val="20"/>
                <w:szCs w:val="20"/>
                <w:color w:val="auto"/>
              </w:rPr>
            </w:pPr>
            <w:r>
              <w:rPr>
                <w:rFonts w:ascii="Arial" w:cs="Arial" w:eastAsia="Arial" w:hAnsi="Arial"/>
                <w:sz w:val="18"/>
                <w:szCs w:val="18"/>
                <w:b w:val="1"/>
                <w:bCs w:val="1"/>
                <w:color w:val="auto"/>
              </w:rPr>
              <w:t>Sales and marketing</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63,236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65,092</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65,703</w:t>
            </w:r>
          </w:p>
        </w:tc>
        <w:tc>
          <w:tcPr>
            <w:tcW w:w="0" w:type="dxa"/>
            <w:vAlign w:val="bottom"/>
          </w:tcPr>
          <w:p>
            <w:pPr>
              <w:spacing w:after="0"/>
              <w:rPr>
                <w:sz w:val="1"/>
                <w:szCs w:val="1"/>
                <w:color w:val="auto"/>
              </w:rPr>
            </w:pPr>
          </w:p>
        </w:tc>
      </w:tr>
      <w:tr>
        <w:trPr>
          <w:trHeight w:val="255"/>
        </w:trPr>
        <w:tc>
          <w:tcPr>
            <w:tcW w:w="61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50,251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45,962</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45,430</w:t>
            </w:r>
          </w:p>
        </w:tc>
        <w:tc>
          <w:tcPr>
            <w:tcW w:w="0" w:type="dxa"/>
            <w:vAlign w:val="bottom"/>
          </w:tcPr>
          <w:p>
            <w:pPr>
              <w:spacing w:after="0"/>
              <w:rPr>
                <w:sz w:val="1"/>
                <w:szCs w:val="1"/>
                <w:color w:val="auto"/>
              </w:rPr>
            </w:pPr>
          </w:p>
        </w:tc>
      </w:tr>
      <w:tr>
        <w:trPr>
          <w:trHeight w:val="255"/>
        </w:trPr>
        <w:tc>
          <w:tcPr>
            <w:tcW w:w="6160" w:type="dxa"/>
            <w:vAlign w:val="bottom"/>
          </w:tcPr>
          <w:p>
            <w:pPr>
              <w:spacing w:after="0"/>
              <w:rPr>
                <w:sz w:val="20"/>
                <w:szCs w:val="20"/>
                <w:color w:val="auto"/>
              </w:rPr>
            </w:pPr>
            <w:r>
              <w:rPr>
                <w:rFonts w:ascii="Arial" w:cs="Arial" w:eastAsia="Arial" w:hAnsi="Arial"/>
                <w:sz w:val="18"/>
                <w:szCs w:val="18"/>
                <w:b w:val="1"/>
                <w:bCs w:val="1"/>
                <w:color w:val="auto"/>
              </w:rPr>
              <w:t>Restructuring</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616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214,090</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211,360</w:t>
            </w:r>
          </w:p>
        </w:tc>
        <w:tc>
          <w:tcPr>
            <w:tcW w:w="60" w:type="dxa"/>
            <w:vAlign w:val="bottom"/>
          </w:tcPr>
          <w:p>
            <w:pPr>
              <w:spacing w:after="0"/>
              <w:rPr>
                <w:sz w:val="18"/>
                <w:szCs w:val="18"/>
                <w:color w:val="auto"/>
              </w:rPr>
            </w:pP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212,857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Income tax benefit (expense) included in the provision for income tax</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160" w:type="dxa"/>
            <w:vAlign w:val="bottom"/>
            <w:vMerge w:val="continue"/>
          </w:tcPr>
          <w:p>
            <w:pPr>
              <w:spacing w:after="0"/>
              <w:rPr>
                <w:sz w:val="20"/>
                <w:szCs w:val="20"/>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(35,890)</w:t>
            </w:r>
          </w:p>
        </w:tc>
        <w:tc>
          <w:tcPr>
            <w:tcW w:w="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(17,958)</w:t>
            </w:r>
          </w:p>
        </w:tc>
        <w:tc>
          <w:tcPr>
            <w:tcW w:w="60" w:type="dxa"/>
            <w:vAlign w:val="bottom"/>
            <w:vMerge w:val="continue"/>
          </w:tcPr>
          <w:p>
            <w:pPr>
              <w:spacing w:after="0"/>
              <w:rPr>
                <w:sz w:val="20"/>
                <w:szCs w:val="20"/>
                <w:color w:val="auto"/>
              </w:rPr>
            </w:pPr>
          </w:p>
        </w:tc>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-1154430</wp:posOffset>
            </wp:positionV>
            <wp:extent cx="6553200" cy="1158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77">
                      <a:extLst>
                        <a:ext uri="{28A0092B-C50C-407E-A947-70E740481C1C}"/>
                      </a:extLst>
                    </a:blip>
                    <a:srcRect/>
                    <a:stretch>
                      <a:fillRect/>
                    </a:stretch>
                  </pic:blipFill>
                  <pic:spPr bwMode="auto">
                    <a:xfrm>
                      <a:off x="0" y="0"/>
                      <a:ext cx="6553200" cy="1158875"/>
                    </a:xfrm>
                    <a:prstGeom prst="rect">
                      <a:avLst/>
                    </a:prstGeom>
                    <a:noFill/>
                  </pic:spPr>
                </pic:pic>
              </a:graphicData>
            </a:graphic>
          </wp:anchor>
        </w:drawing>
      </w:r>
    </w:p>
    <w:p>
      <w:pPr>
        <w:spacing w:after="0" w:line="131"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following table summarizes the various types of stock-based compensation expense for the periods presented: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20"/>
        </w:trPr>
        <w:tc>
          <w:tcPr>
            <w:tcW w:w="6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r>
      <w:tr>
        <w:trPr>
          <w:trHeight w:val="273"/>
        </w:trPr>
        <w:tc>
          <w:tcPr>
            <w:tcW w:w="6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center"/>
              <w:ind w:right="13"/>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2"/>
        </w:trPr>
        <w:tc>
          <w:tcPr>
            <w:tcW w:w="6160" w:type="dxa"/>
            <w:vAlign w:val="bottom"/>
          </w:tcPr>
          <w:p>
            <w:pPr>
              <w:spacing w:after="0"/>
              <w:rPr>
                <w:sz w:val="20"/>
                <w:szCs w:val="20"/>
                <w:color w:val="auto"/>
              </w:rPr>
            </w:pPr>
            <w:r>
              <w:rPr>
                <w:rFonts w:ascii="Arial" w:cs="Arial" w:eastAsia="Arial" w:hAnsi="Arial"/>
                <w:sz w:val="18"/>
                <w:szCs w:val="18"/>
                <w:b w:val="1"/>
                <w:bCs w:val="1"/>
                <w:color w:val="auto"/>
              </w:rPr>
              <w:t>RSUs and PSUs</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208,891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205,453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204,238</w:t>
            </w:r>
          </w:p>
        </w:tc>
      </w:tr>
      <w:tr>
        <w:trPr>
          <w:trHeight w:val="255"/>
        </w:trPr>
        <w:tc>
          <w:tcPr>
            <w:tcW w:w="6160" w:type="dxa"/>
            <w:vAlign w:val="bottom"/>
          </w:tcPr>
          <w:p>
            <w:pPr>
              <w:spacing w:after="0"/>
              <w:rPr>
                <w:sz w:val="20"/>
                <w:szCs w:val="20"/>
                <w:color w:val="auto"/>
              </w:rPr>
            </w:pPr>
            <w:r>
              <w:rPr>
                <w:rFonts w:ascii="Arial" w:cs="Arial" w:eastAsia="Arial" w:hAnsi="Arial"/>
                <w:sz w:val="18"/>
                <w:szCs w:val="18"/>
                <w:b w:val="1"/>
                <w:bCs w:val="1"/>
                <w:color w:val="auto"/>
              </w:rPr>
              <w:t>ESPP</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5,199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5,907</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7,450</w:t>
            </w:r>
          </w:p>
        </w:tc>
      </w:tr>
      <w:tr>
        <w:trPr>
          <w:trHeight w:val="255"/>
        </w:trPr>
        <w:tc>
          <w:tcPr>
            <w:tcW w:w="6160" w:type="dxa"/>
            <w:vAlign w:val="bottom"/>
          </w:tcPr>
          <w:p>
            <w:pPr>
              <w:spacing w:after="0"/>
              <w:rPr>
                <w:sz w:val="20"/>
                <w:szCs w:val="20"/>
                <w:color w:val="auto"/>
              </w:rPr>
            </w:pPr>
            <w:r>
              <w:rPr>
                <w:rFonts w:ascii="Arial" w:cs="Arial" w:eastAsia="Arial" w:hAnsi="Arial"/>
                <w:sz w:val="18"/>
                <w:szCs w:val="18"/>
                <w:b w:val="1"/>
                <w:bCs w:val="1"/>
                <w:color w:val="auto"/>
              </w:rPr>
              <w:t>Post combination expense</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1,169</w:t>
            </w:r>
          </w:p>
        </w:tc>
      </w:tr>
      <w:tr>
        <w:trPr>
          <w:trHeight w:val="215"/>
        </w:trPr>
        <w:tc>
          <w:tcPr>
            <w:tcW w:w="616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214,090</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211,360</w:t>
            </w:r>
          </w:p>
        </w:tc>
        <w:tc>
          <w:tcPr>
            <w:tcW w:w="60" w:type="dxa"/>
            <w:vAlign w:val="bottom"/>
          </w:tcPr>
          <w:p>
            <w:pPr>
              <w:spacing w:after="0"/>
              <w:rPr>
                <w:sz w:val="18"/>
                <w:szCs w:val="18"/>
                <w:color w:val="auto"/>
              </w:rPr>
            </w:pP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212,857</w:t>
            </w:r>
          </w:p>
        </w:tc>
      </w:tr>
      <w:tr>
        <w:trPr>
          <w:trHeight w:val="20"/>
        </w:trPr>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-678815</wp:posOffset>
            </wp:positionV>
            <wp:extent cx="6553200" cy="6985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78">
                      <a:extLst>
                        <a:ext uri="{28A0092B-C50C-407E-A947-70E740481C1C}"/>
                      </a:extLst>
                    </a:blip>
                    <a:srcRect/>
                    <a:stretch>
                      <a:fillRect/>
                    </a:stretch>
                  </pic:blipFill>
                  <pic:spPr bwMode="auto">
                    <a:xfrm>
                      <a:off x="0" y="0"/>
                      <a:ext cx="6553200" cy="698500"/>
                    </a:xfrm>
                    <a:prstGeom prst="rect">
                      <a:avLst/>
                    </a:prstGeom>
                    <a:noFill/>
                  </pic:spPr>
                </pic:pic>
              </a:graphicData>
            </a:graphic>
          </wp:anchor>
        </w:drawing>
      </w:r>
    </w:p>
    <w:p>
      <w:pPr>
        <w:spacing w:after="0" w:line="115"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As of December 31, 2025, there was approximately $277.1 million of total unrecognized stock-based compensation expense related to unvested equity awards, which are expected to be recognized over a weighted-average period of 2.4 years.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Awards Activity</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128" w:lineRule="exact"/>
        <w:rPr>
          <w:sz w:val="20"/>
          <w:szCs w:val="20"/>
          <w:color w:val="auto"/>
        </w:rPr>
      </w:pPr>
    </w:p>
    <w:p>
      <w:pPr>
        <w:jc w:val="both"/>
        <w:ind w:right="20" w:firstLine="540"/>
        <w:spacing w:after="0" w:line="314" w:lineRule="auto"/>
        <w:rPr>
          <w:sz w:val="20"/>
          <w:szCs w:val="20"/>
          <w:color w:val="auto"/>
        </w:rPr>
      </w:pPr>
      <w:r>
        <w:rPr>
          <w:rFonts w:ascii="Arial" w:cs="Arial" w:eastAsia="Arial" w:hAnsi="Arial"/>
          <w:sz w:val="19"/>
          <w:szCs w:val="19"/>
          <w:b w:val="1"/>
          <w:bCs w:val="1"/>
          <w:color w:val="auto"/>
        </w:rPr>
        <w:t>No stock options were granted during the year ended December 31, 2025, 2024 and 2023. Stock option activity during the period, as well as stock options outstanding as of December 31, 2025, were immaterial.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3750310</wp:posOffset>
                </wp:positionV>
                <wp:extent cx="6334125"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95.3pt" to="505.35pt,29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3750310</wp:posOffset>
                </wp:positionV>
                <wp:extent cx="633412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295.3pt" to="505.35pt,295.3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105</w:t>
      </w:r>
    </w:p>
    <w:p>
      <w:pPr>
        <w:sectPr>
          <w:pgSz w:w="12240" w:h="15840" w:orient="portrait"/>
          <w:cols w:equalWidth="0" w:num="1">
            <w:col w:w="10260"/>
          </w:cols>
          <w:pgMar w:left="1000" w:top="216" w:right="980" w:bottom="0" w:gutter="0" w:footer="0" w:header="0"/>
          <w:type w:val="continuous"/>
        </w:sectPr>
      </w:pPr>
    </w:p>
    <w:bookmarkStart w:id="105" w:name="page106"/>
    <w:bookmarkEnd w:id="105"/>
    <w:p>
      <w:pPr>
        <w:ind w:left="1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0"/>
        <w:spacing w:after="0"/>
        <w:rPr>
          <w:sz w:val="20"/>
          <w:szCs w:val="20"/>
          <w:color w:val="auto"/>
        </w:rPr>
      </w:pPr>
      <w:r>
        <w:rPr>
          <w:rFonts w:ascii="Arial" w:cs="Arial" w:eastAsia="Arial" w:hAnsi="Arial"/>
          <w:sz w:val="20"/>
          <w:szCs w:val="20"/>
          <w:b w:val="1"/>
          <w:bCs w:val="1"/>
          <w:color w:val="auto"/>
        </w:rPr>
        <w:t>The following table summarizes RSU activity:</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Arial" w:cs="Arial" w:eastAsia="Arial" w:hAnsi="Arial"/>
                <w:sz w:val="16"/>
                <w:szCs w:val="16"/>
                <w:b w:val="1"/>
                <w:bCs w:val="1"/>
                <w:color w:val="auto"/>
                <w:w w:val="98"/>
              </w:rPr>
              <w:t>Weighted-</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Weighted-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3"/>
              <w:spacing w:after="0" w:line="160" w:lineRule="exact"/>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3"/>
              <w:spacing w:after="0" w:line="160" w:lineRule="exact"/>
              <w:rPr>
                <w:sz w:val="20"/>
                <w:szCs w:val="20"/>
                <w:color w:val="auto"/>
              </w:rPr>
            </w:pPr>
            <w:r>
              <w:rPr>
                <w:rFonts w:ascii="Arial" w:cs="Arial" w:eastAsia="Arial" w:hAnsi="Arial"/>
                <w:sz w:val="16"/>
                <w:szCs w:val="16"/>
                <w:b w:val="1"/>
                <w:bCs w:val="1"/>
                <w:color w:val="auto"/>
                <w:w w:val="99"/>
              </w:rPr>
              <w:t>Fair Value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7"/>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3"/>
              <w:spacing w:after="0" w:line="160" w:lineRule="exact"/>
              <w:rPr>
                <w:sz w:val="20"/>
                <w:szCs w:val="20"/>
                <w:color w:val="auto"/>
              </w:rPr>
            </w:pPr>
            <w:r>
              <w:rPr>
                <w:rFonts w:ascii="Arial" w:cs="Arial" w:eastAsia="Arial" w:hAnsi="Arial"/>
                <w:sz w:val="16"/>
                <w:szCs w:val="16"/>
                <w:b w:val="1"/>
                <w:bCs w:val="1"/>
                <w:color w:val="auto"/>
                <w:w w:val="99"/>
              </w:rPr>
              <w:t>per Share at</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Contractual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94"/>
              <w:spacing w:after="0" w:line="160"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Outstanding</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rPr>
              <w:t>Grant Date</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4"/>
              <w:spacing w:after="0" w:line="213" w:lineRule="exact"/>
              <w:rPr>
                <w:sz w:val="20"/>
                <w:szCs w:val="20"/>
                <w:color w:val="auto"/>
              </w:rPr>
            </w:pPr>
            <w:r>
              <w:rPr>
                <w:rFonts w:ascii="Arial" w:cs="Arial" w:eastAsia="Arial" w:hAnsi="Arial"/>
                <w:sz w:val="16"/>
                <w:szCs w:val="16"/>
                <w:b w:val="1"/>
                <w:bCs w:val="1"/>
                <w:color w:val="auto"/>
                <w:w w:val="94"/>
              </w:rPr>
              <w:t xml:space="preserve">Value </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(Years)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i w:val="1"/>
                <w:iCs w:val="1"/>
                <w:color w:val="auto"/>
                <w:w w:val="92"/>
              </w:rPr>
              <w:t>(In thousands)</w:t>
            </w:r>
          </w:p>
        </w:tc>
        <w:tc>
          <w:tcPr>
            <w:tcW w:w="0" w:type="dxa"/>
            <w:vAlign w:val="bottom"/>
          </w:tcPr>
          <w:p>
            <w:pPr>
              <w:spacing w:after="0"/>
              <w:rPr>
                <w:sz w:val="1"/>
                <w:szCs w:val="1"/>
                <w:color w:val="auto"/>
              </w:rPr>
            </w:pPr>
          </w:p>
        </w:tc>
      </w:tr>
      <w:tr>
        <w:trPr>
          <w:trHeight w:val="311"/>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 at December 31, 2022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2,253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181.01</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154.63</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152.47</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185,078</w:t>
            </w:r>
          </w:p>
        </w:tc>
        <w:tc>
          <w:tcPr>
            <w:tcW w:w="0" w:type="dxa"/>
            <w:vAlign w:val="bottom"/>
          </w:tcPr>
          <w:p>
            <w:pPr>
              <w:spacing w:after="0"/>
              <w:rPr>
                <w:sz w:val="1"/>
                <w:szCs w:val="1"/>
                <w:color w:val="auto"/>
              </w:rPr>
            </w:pPr>
          </w:p>
        </w:tc>
      </w:tr>
      <w:tr>
        <w:trPr>
          <w:trHeight w:val="28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184.66</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 at December 31, 2023</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2,332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177.64</w:t>
            </w: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1,309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101.53</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(977)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171.88</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107,116</w:t>
            </w:r>
          </w:p>
        </w:tc>
        <w:tc>
          <w:tcPr>
            <w:tcW w:w="0" w:type="dxa"/>
            <w:vAlign w:val="bottom"/>
          </w:tcPr>
          <w:p>
            <w:pPr>
              <w:spacing w:after="0"/>
              <w:rPr>
                <w:sz w:val="1"/>
                <w:szCs w:val="1"/>
                <w:color w:val="auto"/>
              </w:rPr>
            </w:pPr>
          </w:p>
        </w:tc>
      </w:tr>
      <w:tr>
        <w:trPr>
          <w:trHeight w:val="28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160.77</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 at December 31, 2024</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2,283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139.27</w:t>
            </w: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43.63</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153.09</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41,317</w:t>
            </w:r>
          </w:p>
        </w:tc>
        <w:tc>
          <w:tcPr>
            <w:tcW w:w="0" w:type="dxa"/>
            <w:vAlign w:val="bottom"/>
          </w:tcPr>
          <w:p>
            <w:pPr>
              <w:spacing w:after="0"/>
              <w:rPr>
                <w:sz w:val="1"/>
                <w:szCs w:val="1"/>
                <w:color w:val="auto"/>
              </w:rPr>
            </w:pPr>
          </w:p>
        </w:tc>
      </w:tr>
      <w:tr>
        <w:trPr>
          <w:trHeight w:val="28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119.96</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 at December 31, 2025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69.01</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1.5</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121,780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Expected to vest at December 31, 2025</w:t>
            </w: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68.63</w:t>
            </w:r>
          </w:p>
        </w:tc>
        <w:tc>
          <w:tcPr>
            <w:tcW w:w="13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5"/>
              </w:rPr>
              <w:t>1.5</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120,025</w:t>
            </w:r>
          </w:p>
        </w:tc>
        <w:tc>
          <w:tcPr>
            <w:tcW w:w="0" w:type="dxa"/>
            <w:vAlign w:val="bottom"/>
          </w:tcPr>
          <w:p>
            <w:pPr>
              <w:spacing w:after="0" w:line="20" w:lineRule="exact"/>
              <w:rPr>
                <w:sz w:val="1"/>
                <w:szCs w:val="1"/>
                <w:color w:val="auto"/>
              </w:rPr>
            </w:pPr>
          </w:p>
        </w:tc>
      </w:tr>
      <w:tr>
        <w:trPr>
          <w:trHeight w:val="225"/>
        </w:trPr>
        <w:tc>
          <w:tcPr>
            <w:tcW w:w="4800" w:type="dxa"/>
            <w:vAlign w:val="bottom"/>
            <w:gridSpan w:val="2"/>
            <w:vMerge w:val="continue"/>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3,745</w:t>
            </w:r>
          </w:p>
        </w:tc>
        <w:tc>
          <w:tcPr>
            <w:tcW w:w="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6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-2691765</wp:posOffset>
            </wp:positionV>
            <wp:extent cx="6540500" cy="2584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79">
                      <a:extLst>
                        <a:ext uri="{28A0092B-C50C-407E-A947-70E740481C1C}"/>
                      </a:extLst>
                    </a:blip>
                    <a:srcRect/>
                    <a:stretch>
                      <a:fillRect/>
                    </a:stretch>
                  </pic:blipFill>
                  <pic:spPr bwMode="auto">
                    <a:xfrm>
                      <a:off x="0" y="0"/>
                      <a:ext cx="6540500" cy="2584450"/>
                    </a:xfrm>
                    <a:prstGeom prst="rect">
                      <a:avLst/>
                    </a:prstGeom>
                    <a:noFill/>
                  </pic:spPr>
                </pic:pic>
              </a:graphicData>
            </a:graphic>
          </wp:anchor>
        </w:drawing>
      </w:r>
    </w:p>
    <w:p>
      <w:pPr>
        <w:spacing w:after="0" w:line="210" w:lineRule="exact"/>
        <w:rPr>
          <w:sz w:val="20"/>
          <w:szCs w:val="20"/>
          <w:color w:val="auto"/>
        </w:rPr>
      </w:pPr>
    </w:p>
    <w:p>
      <w:pPr>
        <w:jc w:val="both"/>
        <w:ind w:left="10" w:hanging="10"/>
        <w:spacing w:after="0" w:line="262" w:lineRule="auto"/>
        <w:tabs>
          <w:tab w:leader="none" w:pos="319"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The intrinsic value of RSUs vested is based upon the value of the Company’s stock when vested. The intrinsic value of RSUs outstanding and expected to vest as of December 31, 2025 is based on the closing price of the last trading day during the period ended December 31, 2025. The Company’s stock fair value used in this computation was $32.05 per share.</w:t>
      </w:r>
    </w:p>
    <w:p>
      <w:pPr>
        <w:spacing w:after="0" w:line="7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Performance Stock Units</w:t>
      </w:r>
    </w:p>
    <w:p>
      <w:pPr>
        <w:spacing w:after="0" w:line="128" w:lineRule="exact"/>
        <w:rPr>
          <w:sz w:val="20"/>
          <w:szCs w:val="20"/>
          <w:color w:val="auto"/>
        </w:rPr>
      </w:pPr>
    </w:p>
    <w:p>
      <w:pPr>
        <w:ind w:left="550"/>
        <w:spacing w:after="0"/>
        <w:rPr>
          <w:sz w:val="20"/>
          <w:szCs w:val="20"/>
          <w:color w:val="auto"/>
        </w:rPr>
      </w:pPr>
      <w:r>
        <w:rPr>
          <w:rFonts w:ascii="Arial" w:cs="Arial" w:eastAsia="Arial" w:hAnsi="Arial"/>
          <w:sz w:val="20"/>
          <w:szCs w:val="20"/>
          <w:b w:val="1"/>
          <w:bCs w:val="1"/>
          <w:color w:val="auto"/>
        </w:rPr>
        <w:t>The following summarizes PSU activity:</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Arial" w:cs="Arial" w:eastAsia="Arial" w:hAnsi="Arial"/>
                <w:sz w:val="16"/>
                <w:szCs w:val="16"/>
                <w:b w:val="1"/>
                <w:bCs w:val="1"/>
                <w:color w:val="auto"/>
                <w:w w:val="98"/>
              </w:rPr>
              <w:t>Weighted-</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Weighted-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3"/>
              <w:spacing w:after="0" w:line="160" w:lineRule="exact"/>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3"/>
              <w:spacing w:after="0" w:line="160" w:lineRule="exact"/>
              <w:rPr>
                <w:sz w:val="20"/>
                <w:szCs w:val="20"/>
                <w:color w:val="auto"/>
              </w:rPr>
            </w:pPr>
            <w:r>
              <w:rPr>
                <w:rFonts w:ascii="Arial" w:cs="Arial" w:eastAsia="Arial" w:hAnsi="Arial"/>
                <w:sz w:val="16"/>
                <w:szCs w:val="16"/>
                <w:b w:val="1"/>
                <w:bCs w:val="1"/>
                <w:color w:val="auto"/>
                <w:w w:val="99"/>
              </w:rPr>
              <w:t>Fair Value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7"/>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3"/>
              <w:spacing w:after="0" w:line="160" w:lineRule="exact"/>
              <w:rPr>
                <w:sz w:val="20"/>
                <w:szCs w:val="20"/>
                <w:color w:val="auto"/>
              </w:rPr>
            </w:pPr>
            <w:r>
              <w:rPr>
                <w:rFonts w:ascii="Arial" w:cs="Arial" w:eastAsia="Arial" w:hAnsi="Arial"/>
                <w:sz w:val="16"/>
                <w:szCs w:val="16"/>
                <w:b w:val="1"/>
                <w:bCs w:val="1"/>
                <w:color w:val="auto"/>
                <w:w w:val="99"/>
              </w:rPr>
              <w:t>per Share at</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Contractual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94"/>
              <w:spacing w:after="0" w:line="160"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Outstanding</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rPr>
              <w:t>Grant Date</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4"/>
              <w:spacing w:after="0" w:line="213" w:lineRule="exact"/>
              <w:rPr>
                <w:sz w:val="20"/>
                <w:szCs w:val="20"/>
                <w:color w:val="auto"/>
              </w:rPr>
            </w:pPr>
            <w:r>
              <w:rPr>
                <w:rFonts w:ascii="Arial" w:cs="Arial" w:eastAsia="Arial" w:hAnsi="Arial"/>
                <w:sz w:val="16"/>
                <w:szCs w:val="16"/>
                <w:b w:val="1"/>
                <w:bCs w:val="1"/>
                <w:color w:val="auto"/>
                <w:w w:val="94"/>
              </w:rPr>
              <w:t xml:space="preserve">Value </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(Years)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i w:val="1"/>
                <w:iCs w:val="1"/>
                <w:color w:val="auto"/>
                <w:w w:val="92"/>
              </w:rPr>
              <w:t>(In thousands)</w:t>
            </w:r>
          </w:p>
        </w:tc>
        <w:tc>
          <w:tcPr>
            <w:tcW w:w="0" w:type="dxa"/>
            <w:vAlign w:val="bottom"/>
          </w:tcPr>
          <w:p>
            <w:pPr>
              <w:spacing w:after="0"/>
              <w:rPr>
                <w:sz w:val="1"/>
                <w:szCs w:val="1"/>
                <w:color w:val="auto"/>
              </w:rPr>
            </w:pPr>
          </w:p>
        </w:tc>
      </w:tr>
      <w:tr>
        <w:trPr>
          <w:trHeight w:val="281"/>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 at December 31, 2022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197.82</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233.90</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196.24</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80,113</w:t>
            </w:r>
          </w:p>
        </w:tc>
        <w:tc>
          <w:tcPr>
            <w:tcW w:w="0" w:type="dxa"/>
            <w:vAlign w:val="bottom"/>
          </w:tcPr>
          <w:p>
            <w:pPr>
              <w:spacing w:after="0"/>
              <w:rPr>
                <w:sz w:val="1"/>
                <w:szCs w:val="1"/>
                <w:color w:val="auto"/>
              </w:rPr>
            </w:pPr>
          </w:p>
        </w:tc>
      </w:tr>
      <w:tr>
        <w:trPr>
          <w:trHeight w:val="25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229.11</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 at December 31, 2023</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235.99</w:t>
            </w: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127.06</w:t>
            </w: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214.91</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12,958</w:t>
            </w:r>
          </w:p>
        </w:tc>
        <w:tc>
          <w:tcPr>
            <w:tcW w:w="0" w:type="dxa"/>
            <w:vAlign w:val="bottom"/>
          </w:tcPr>
          <w:p>
            <w:pPr>
              <w:spacing w:after="0"/>
              <w:rPr>
                <w:sz w:val="1"/>
                <w:szCs w:val="1"/>
                <w:color w:val="auto"/>
              </w:rPr>
            </w:pPr>
          </w:p>
        </w:tc>
      </w:tr>
      <w:tr>
        <w:trPr>
          <w:trHeight w:val="25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205.51</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 at December 31, 2024</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154.67</w:t>
            </w: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1,143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77.27</w:t>
            </w: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110.20</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10,017</w:t>
            </w:r>
          </w:p>
        </w:tc>
        <w:tc>
          <w:tcPr>
            <w:tcW w:w="0" w:type="dxa"/>
            <w:vAlign w:val="bottom"/>
          </w:tcPr>
          <w:p>
            <w:pPr>
              <w:spacing w:after="0"/>
              <w:rPr>
                <w:sz w:val="1"/>
                <w:szCs w:val="1"/>
                <w:color w:val="auto"/>
              </w:rPr>
            </w:pPr>
          </w:p>
        </w:tc>
      </w:tr>
      <w:tr>
        <w:trPr>
          <w:trHeight w:val="255"/>
        </w:trPr>
        <w:tc>
          <w:tcPr>
            <w:tcW w:w="4800" w:type="dxa"/>
            <w:vAlign w:val="bottom"/>
            <w:gridSpan w:val="2"/>
          </w:tcPr>
          <w:p>
            <w:pPr>
              <w:ind w:left="260"/>
              <w:spacing w:after="0"/>
              <w:rPr>
                <w:sz w:val="20"/>
                <w:szCs w:val="20"/>
                <w:color w:val="auto"/>
              </w:rPr>
            </w:pPr>
            <w:r>
              <w:rPr>
                <w:rFonts w:ascii="Arial" w:cs="Arial" w:eastAsia="Arial" w:hAnsi="Arial"/>
                <w:sz w:val="18"/>
                <w:szCs w:val="18"/>
                <w:b w:val="1"/>
                <w:bCs w:val="1"/>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119.48</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 at December 31, 2025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110.34</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1.1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52,541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Expected to vest at December 31, 2025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110.34</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1.1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52,541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6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-2463165</wp:posOffset>
            </wp:positionV>
            <wp:extent cx="6540500" cy="23558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80">
                      <a:extLst>
                        <a:ext uri="{28A0092B-C50C-407E-A947-70E740481C1C}"/>
                      </a:extLst>
                    </a:blip>
                    <a:srcRect/>
                    <a:stretch>
                      <a:fillRect/>
                    </a:stretch>
                  </pic:blipFill>
                  <pic:spPr bwMode="auto">
                    <a:xfrm>
                      <a:off x="0" y="0"/>
                      <a:ext cx="6540500" cy="23558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90170</wp:posOffset>
                </wp:positionH>
                <wp:positionV relativeFrom="paragraph">
                  <wp:posOffset>534670</wp:posOffset>
                </wp:positionV>
                <wp:extent cx="6334125"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42.1pt" to="505.85pt,42.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534670</wp:posOffset>
                </wp:positionV>
                <wp:extent cx="633412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42.1pt" to="505.85pt,42.1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106</w:t>
      </w:r>
    </w:p>
    <w:p>
      <w:pPr>
        <w:sectPr>
          <w:pgSz w:w="12240" w:h="15840" w:orient="portrait"/>
          <w:cols w:equalWidth="0" w:num="1">
            <w:col w:w="10270"/>
          </w:cols>
          <w:pgMar w:left="990" w:top="216" w:right="980" w:bottom="0" w:gutter="0" w:footer="0" w:header="0"/>
          <w:type w:val="continuous"/>
        </w:sectPr>
      </w:pPr>
    </w:p>
    <w:bookmarkStart w:id="106" w:name="page107"/>
    <w:bookmarkEnd w:id="106"/>
    <w:p>
      <w:pPr>
        <w:ind w:left="1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0" w:hanging="10"/>
        <w:spacing w:after="0" w:line="262" w:lineRule="auto"/>
        <w:tabs>
          <w:tab w:leader="none" w:pos="32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The intrinsic value of PSUs vested is based upon the value of the Company’s stock when vested. The intrinsic value of PSUs outstanding and expected to vest as of December 31, 2025 is based on the closing price of the last trading day during the period ended December 31, 2025. The Company’s stock fair value used in this computation was $32.05 per share.</w:t>
      </w:r>
    </w:p>
    <w:p>
      <w:pPr>
        <w:spacing w:after="0" w:line="7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128" w:lineRule="exact"/>
        <w:rPr>
          <w:sz w:val="20"/>
          <w:szCs w:val="20"/>
          <w:color w:val="auto"/>
        </w:rPr>
      </w:pPr>
    </w:p>
    <w:p>
      <w:pPr>
        <w:ind w:left="550"/>
        <w:spacing w:after="0"/>
        <w:rPr>
          <w:sz w:val="20"/>
          <w:szCs w:val="20"/>
          <w:color w:val="auto"/>
        </w:rPr>
      </w:pPr>
      <w:r>
        <w:rPr>
          <w:rFonts w:ascii="Arial" w:cs="Arial" w:eastAsia="Arial" w:hAnsi="Arial"/>
          <w:sz w:val="19"/>
          <w:szCs w:val="19"/>
          <w:b w:val="1"/>
          <w:bCs w:val="1"/>
          <w:color w:val="auto"/>
        </w:rPr>
        <w:t>A summary of ESPP activity for the years presented is as follows (in thousands, except per share data):</w:t>
      </w:r>
    </w:p>
    <w:p>
      <w:pPr>
        <w:spacing w:after="0" w:line="213"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r>
      <w:tr>
        <w:trPr>
          <w:trHeight w:val="265"/>
        </w:trPr>
        <w:tc>
          <w:tcPr>
            <w:tcW w:w="6140" w:type="dxa"/>
            <w:vAlign w:val="bottom"/>
          </w:tcPr>
          <w:p>
            <w:pPr>
              <w:spacing w:after="0"/>
              <w:rPr>
                <w:sz w:val="20"/>
                <w:szCs w:val="20"/>
                <w:color w:val="auto"/>
              </w:rPr>
            </w:pPr>
            <w:r>
              <w:rPr>
                <w:rFonts w:ascii="Arial" w:cs="Arial" w:eastAsia="Arial" w:hAnsi="Arial"/>
                <w:sz w:val="18"/>
                <w:szCs w:val="18"/>
                <w:b w:val="1"/>
                <w:bCs w:val="1"/>
                <w:color w:val="auto"/>
              </w:rPr>
              <w:t>Proceeds from common stock issued under ESPP</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8,599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11,773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12,897</w:t>
            </w:r>
          </w:p>
        </w:tc>
      </w:tr>
      <w:tr>
        <w:trPr>
          <w:trHeight w:val="285"/>
        </w:trPr>
        <w:tc>
          <w:tcPr>
            <w:tcW w:w="6140" w:type="dxa"/>
            <w:vAlign w:val="bottom"/>
          </w:tcPr>
          <w:p>
            <w:pPr>
              <w:spacing w:after="0"/>
              <w:rPr>
                <w:sz w:val="20"/>
                <w:szCs w:val="20"/>
                <w:color w:val="auto"/>
              </w:rPr>
            </w:pPr>
            <w:r>
              <w:rPr>
                <w:rFonts w:ascii="Arial" w:cs="Arial" w:eastAsia="Arial" w:hAnsi="Arial"/>
                <w:sz w:val="18"/>
                <w:szCs w:val="18"/>
                <w:b w:val="1"/>
                <w:bCs w:val="1"/>
                <w:color w:val="auto"/>
              </w:rPr>
              <w:t>Shares of common stock issued</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285"/>
        </w:trPr>
        <w:tc>
          <w:tcPr>
            <w:tcW w:w="6140" w:type="dxa"/>
            <w:vAlign w:val="bottom"/>
          </w:tcPr>
          <w:p>
            <w:pPr>
              <w:spacing w:after="0"/>
              <w:rPr>
                <w:sz w:val="20"/>
                <w:szCs w:val="20"/>
                <w:color w:val="auto"/>
              </w:rPr>
            </w:pPr>
            <w:r>
              <w:rPr>
                <w:rFonts w:ascii="Arial" w:cs="Arial" w:eastAsia="Arial" w:hAnsi="Arial"/>
                <w:sz w:val="18"/>
                <w:szCs w:val="18"/>
                <w:b w:val="1"/>
                <w:bCs w:val="1"/>
                <w:color w:val="auto"/>
              </w:rPr>
              <w:t>Weighted-average price per share</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33.14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63.54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-548640</wp:posOffset>
            </wp:positionV>
            <wp:extent cx="6540500" cy="5683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81">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154" w:lineRule="exact"/>
        <w:rPr>
          <w:sz w:val="20"/>
          <w:szCs w:val="20"/>
          <w:color w:val="auto"/>
        </w:rPr>
      </w:pPr>
    </w:p>
    <w:p>
      <w:pPr>
        <w:ind w:left="550" w:hanging="550"/>
        <w:spacing w:after="0"/>
        <w:tabs>
          <w:tab w:leader="none" w:pos="55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30" w:lineRule="exact"/>
        <w:rPr>
          <w:rFonts w:ascii="Arial" w:cs="Arial" w:eastAsia="Arial" w:hAnsi="Arial"/>
          <w:sz w:val="20"/>
          <w:szCs w:val="20"/>
          <w:b w:val="1"/>
          <w:bCs w:val="1"/>
          <w:color w:val="auto"/>
        </w:rPr>
      </w:pPr>
    </w:p>
    <w:p>
      <w:pPr>
        <w:ind w:left="55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The domestic and foreign components of income before income taxes consisted of the following:</w:t>
      </w:r>
    </w:p>
    <w:p>
      <w:pPr>
        <w:spacing w:after="0" w:line="201"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514"/>
              <w:spacing w:after="0"/>
              <w:rPr>
                <w:sz w:val="20"/>
                <w:szCs w:val="20"/>
                <w:color w:val="auto"/>
              </w:rPr>
            </w:pPr>
            <w:r>
              <w:rPr>
                <w:rFonts w:ascii="Arial" w:cs="Arial" w:eastAsia="Arial" w:hAnsi="Arial"/>
                <w:sz w:val="16"/>
                <w:szCs w:val="16"/>
                <w:b w:val="1"/>
                <w:bCs w:val="1"/>
                <w:color w:val="auto"/>
                <w:w w:val="99"/>
              </w:rPr>
              <w:t>Years Ended December 31,</w:t>
            </w:r>
          </w:p>
        </w:tc>
        <w:tc>
          <w:tcPr>
            <w:tcW w:w="920" w:type="dxa"/>
            <w:vAlign w:val="bottom"/>
            <w:tcBorders>
              <w:bottom w:val="single" w:sz="8" w:color="auto"/>
            </w:tcBorders>
          </w:tcPr>
          <w:p>
            <w:pPr>
              <w:spacing w:after="0"/>
              <w:rPr>
                <w:sz w:val="18"/>
                <w:szCs w:val="18"/>
                <w:color w:val="auto"/>
              </w:rPr>
            </w:pPr>
          </w:p>
        </w:tc>
      </w:tr>
      <w:tr>
        <w:trPr>
          <w:trHeight w:val="205"/>
        </w:trPr>
        <w:tc>
          <w:tcPr>
            <w:tcW w:w="6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r>
      <w:tr>
        <w:trPr>
          <w:trHeight w:val="269"/>
        </w:trPr>
        <w:tc>
          <w:tcPr>
            <w:tcW w:w="6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i w:val="1"/>
                <w:iCs w:val="1"/>
                <w:color w:val="auto"/>
                <w:w w:val="92"/>
              </w:rPr>
              <w:t>(In thousands)</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11"/>
        </w:trPr>
        <w:tc>
          <w:tcPr>
            <w:tcW w:w="614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145,956</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80,903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465,463</w:t>
            </w:r>
          </w:p>
        </w:tc>
      </w:tr>
      <w:tr>
        <w:trPr>
          <w:trHeight w:val="285"/>
        </w:trPr>
        <w:tc>
          <w:tcPr>
            <w:tcW w:w="6140" w:type="dxa"/>
            <w:vAlign w:val="bottom"/>
          </w:tcPr>
          <w:p>
            <w:pPr>
              <w:spacing w:after="0"/>
              <w:rPr>
                <w:sz w:val="20"/>
                <w:szCs w:val="20"/>
                <w:color w:val="auto"/>
              </w:rPr>
            </w:pPr>
            <w:r>
              <w:rPr>
                <w:rFonts w:ascii="Arial" w:cs="Arial" w:eastAsia="Arial" w:hAnsi="Arial"/>
                <w:sz w:val="18"/>
                <w:szCs w:val="18"/>
                <w:b w:val="1"/>
                <w:bCs w:val="1"/>
                <w:color w:val="auto"/>
              </w:rPr>
              <w:t>Foreign</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58,858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39,256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47,676</w:t>
            </w:r>
          </w:p>
        </w:tc>
      </w:tr>
      <w:tr>
        <w:trPr>
          <w:trHeight w:val="24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204,814</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120,159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513,139</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553200" cy="593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82">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115" w:lineRule="exact"/>
        <w:rPr>
          <w:sz w:val="20"/>
          <w:szCs w:val="20"/>
          <w:color w:val="auto"/>
        </w:rPr>
      </w:pPr>
    </w:p>
    <w:p>
      <w:pPr>
        <w:ind w:left="550"/>
        <w:spacing w:after="0"/>
        <w:rPr>
          <w:sz w:val="20"/>
          <w:szCs w:val="20"/>
          <w:color w:val="auto"/>
        </w:rPr>
      </w:pPr>
      <w:r>
        <w:rPr>
          <w:rFonts w:ascii="Arial" w:cs="Arial" w:eastAsia="Arial" w:hAnsi="Arial"/>
          <w:sz w:val="20"/>
          <w:szCs w:val="20"/>
          <w:b w:val="1"/>
          <w:bCs w:val="1"/>
          <w:color w:val="auto"/>
        </w:rPr>
        <w:t>The income tax provision for the years presented was as follows:</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6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6"/>
                <w:szCs w:val="16"/>
                <w:b w:val="1"/>
                <w:bCs w:val="1"/>
                <w:color w:val="auto"/>
                <w:w w:val="99"/>
              </w:rPr>
              <w:t>Years Ended December 31,</w:t>
            </w:r>
          </w:p>
        </w:tc>
        <w:tc>
          <w:tcPr>
            <w:tcW w:w="92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r>
      <w:tr>
        <w:trPr>
          <w:trHeight w:val="269"/>
        </w:trPr>
        <w:tc>
          <w:tcPr>
            <w:tcW w:w="6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center"/>
              <w:ind w:right="12"/>
              <w:spacing w:after="0"/>
              <w:rPr>
                <w:sz w:val="20"/>
                <w:szCs w:val="20"/>
                <w:color w:val="auto"/>
              </w:rPr>
            </w:pPr>
            <w:r>
              <w:rPr>
                <w:rFonts w:ascii="Arial" w:cs="Arial" w:eastAsia="Arial" w:hAnsi="Arial"/>
                <w:sz w:val="16"/>
                <w:szCs w:val="16"/>
                <w:b w:val="1"/>
                <w:bCs w:val="1"/>
                <w:i w:val="1"/>
                <w:iCs w:val="1"/>
                <w:color w:val="auto"/>
                <w:w w:val="92"/>
              </w:rPr>
              <w:t>(In thousands)</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11"/>
        </w:trPr>
        <w:tc>
          <w:tcPr>
            <w:tcW w:w="614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Federal</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7,233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61,256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96,151</w:t>
            </w:r>
          </w:p>
        </w:tc>
      </w:tr>
      <w:tr>
        <w:trPr>
          <w:trHeight w:val="28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State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6,319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13,937</w:t>
            </w:r>
          </w:p>
        </w:tc>
      </w:tr>
      <w:tr>
        <w:trPr>
          <w:trHeight w:val="28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10,957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11,137</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11,303</w:t>
            </w:r>
          </w:p>
        </w:tc>
      </w:tr>
      <w:tr>
        <w:trPr>
          <w:trHeight w:val="265"/>
        </w:trPr>
        <w:tc>
          <w:tcPr>
            <w:tcW w:w="6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19,176</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78,712</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121,391</w:t>
            </w:r>
          </w:p>
        </w:tc>
      </w:tr>
      <w:tr>
        <w:trPr>
          <w:trHeight w:val="265"/>
        </w:trPr>
        <w:tc>
          <w:tcPr>
            <w:tcW w:w="614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8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Federal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4,575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(58,588)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(50,211)</w:t>
            </w:r>
          </w:p>
        </w:tc>
      </w:tr>
      <w:tr>
        <w:trPr>
          <w:trHeight w:val="28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State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6,628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(4,535)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r>
      <w:tr>
        <w:trPr>
          <w:trHeight w:val="28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1,912</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1,736</w:t>
            </w:r>
          </w:p>
        </w:tc>
      </w:tr>
      <w:tr>
        <w:trPr>
          <w:trHeight w:val="265"/>
        </w:trPr>
        <w:tc>
          <w:tcPr>
            <w:tcW w:w="6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13,505</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(61,211)</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(47,188)</w:t>
            </w:r>
          </w:p>
        </w:tc>
      </w:tr>
      <w:tr>
        <w:trPr>
          <w:trHeight w:val="245"/>
        </w:trPr>
        <w:tc>
          <w:tcPr>
            <w:tcW w:w="6140" w:type="dxa"/>
            <w:vAlign w:val="bottom"/>
          </w:tcPr>
          <w:p>
            <w:pPr>
              <w:ind w:left="220"/>
              <w:spacing w:after="0"/>
              <w:rPr>
                <w:sz w:val="20"/>
                <w:szCs w:val="20"/>
                <w:color w:val="auto"/>
              </w:rPr>
            </w:pPr>
            <w:r>
              <w:rPr>
                <w:rFonts w:ascii="Arial" w:cs="Arial" w:eastAsia="Arial" w:hAnsi="Arial"/>
                <w:sz w:val="18"/>
                <w:szCs w:val="18"/>
                <w:b w:val="1"/>
                <w:bCs w:val="1"/>
                <w:color w:val="auto"/>
              </w:rPr>
              <w:t>Income tax provision</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32,681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17,501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74,203</w:t>
            </w: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-2021840</wp:posOffset>
            </wp:positionV>
            <wp:extent cx="6543675" cy="20415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83">
                      <a:extLst>
                        <a:ext uri="{28A0092B-C50C-407E-A947-70E740481C1C}"/>
                      </a:extLst>
                    </a:blip>
                    <a:srcRect/>
                    <a:stretch>
                      <a:fillRect/>
                    </a:stretch>
                  </pic:blipFill>
                  <pic:spPr bwMode="auto">
                    <a:xfrm>
                      <a:off x="0" y="0"/>
                      <a:ext cx="6543675" cy="2041525"/>
                    </a:xfrm>
                    <a:prstGeom prst="rect">
                      <a:avLst/>
                    </a:prstGeom>
                    <a:noFill/>
                  </pic:spPr>
                </pic:pic>
              </a:graphicData>
            </a:graphic>
          </wp:anchor>
        </w:drawing>
      </w:r>
    </w:p>
    <w:p>
      <w:pPr>
        <w:spacing w:after="0" w:line="100" w:lineRule="exact"/>
        <w:rPr>
          <w:sz w:val="20"/>
          <w:szCs w:val="20"/>
          <w:color w:val="auto"/>
        </w:rPr>
      </w:pPr>
    </w:p>
    <w:p>
      <w:pPr>
        <w:jc w:val="both"/>
        <w:ind w:left="10" w:right="20" w:firstLine="540"/>
        <w:spacing w:after="0" w:line="276" w:lineRule="auto"/>
        <w:rPr>
          <w:sz w:val="20"/>
          <w:szCs w:val="20"/>
          <w:color w:val="auto"/>
        </w:rPr>
      </w:pPr>
      <w:r>
        <w:rPr>
          <w:rFonts w:ascii="Arial" w:cs="Arial" w:eastAsia="Arial" w:hAnsi="Arial"/>
          <w:sz w:val="20"/>
          <w:szCs w:val="20"/>
          <w:b w:val="1"/>
          <w:bCs w:val="1"/>
          <w:color w:val="auto"/>
        </w:rPr>
        <w:t>The Company adopted ASU 2023-09 prospectively for the year ended December 31, 2025, and a reconciliation of the income tax provision and the amount computed by applying the statutory federal income tax rate of 21% to income before income taxes was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1557655</wp:posOffset>
                </wp:positionV>
                <wp:extent cx="6334125"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22.65pt" to="505.85pt,122.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1557655</wp:posOffset>
                </wp:positionV>
                <wp:extent cx="633412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122.65pt" to="505.85pt,122.6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107</w:t>
      </w:r>
    </w:p>
    <w:p>
      <w:pPr>
        <w:sectPr>
          <w:pgSz w:w="12240" w:h="15840" w:orient="portrait"/>
          <w:cols w:equalWidth="0" w:num="1">
            <w:col w:w="10270"/>
          </w:cols>
          <w:pgMar w:left="990" w:top="216" w:right="980" w:bottom="0" w:gutter="0" w:footer="0" w:header="0"/>
          <w:type w:val="continuous"/>
        </w:sectPr>
      </w:pPr>
    </w:p>
    <w:bookmarkStart w:id="107" w:name="page108"/>
    <w:bookmarkEnd w:id="107"/>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0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6"/>
                <w:szCs w:val="16"/>
                <w:b w:val="1"/>
                <w:bCs w:val="1"/>
                <w:color w:val="auto"/>
                <w:w w:val="99"/>
              </w:rPr>
              <w:t>Year Ended December 31,</w:t>
            </w:r>
          </w:p>
        </w:tc>
      </w:tr>
      <w:tr>
        <w:trPr>
          <w:trHeight w:val="235"/>
        </w:trPr>
        <w:tc>
          <w:tcPr>
            <w:tcW w:w="10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1200" w:type="dxa"/>
            <w:vAlign w:val="bottom"/>
            <w:tcBorders>
              <w:bottom w:val="single" w:sz="8" w:color="auto"/>
            </w:tcBorders>
          </w:tcPr>
          <w:p>
            <w:pPr>
              <w:spacing w:after="0"/>
              <w:rPr>
                <w:sz w:val="20"/>
                <w:szCs w:val="20"/>
                <w:color w:val="auto"/>
              </w:rPr>
            </w:pPr>
          </w:p>
        </w:tc>
      </w:tr>
      <w:tr>
        <w:trPr>
          <w:trHeight w:val="295"/>
        </w:trPr>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Percent</w:t>
            </w:r>
          </w:p>
        </w:tc>
      </w:tr>
      <w:tr>
        <w:trPr>
          <w:trHeight w:val="209"/>
        </w:trPr>
        <w:tc>
          <w:tcPr>
            <w:tcW w:w="10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i w:val="1"/>
                <w:iCs w:val="1"/>
                <w:color w:val="auto"/>
                <w:w w:val="92"/>
              </w:rPr>
              <w:t>(In thousands)</w:t>
            </w:r>
          </w:p>
        </w:tc>
        <w:tc>
          <w:tcPr>
            <w:tcW w:w="1200" w:type="dxa"/>
            <w:vAlign w:val="bottom"/>
          </w:tcPr>
          <w:p>
            <w:pPr>
              <w:spacing w:after="0"/>
              <w:rPr>
                <w:sz w:val="18"/>
                <w:szCs w:val="18"/>
                <w:color w:val="auto"/>
              </w:rPr>
            </w:pPr>
          </w:p>
        </w:tc>
      </w:tr>
      <w:tr>
        <w:trPr>
          <w:trHeight w:val="289"/>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U.S. Federal Statutory Tax Rate</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43,011</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21.0 %</w:t>
            </w:r>
          </w:p>
        </w:tc>
      </w:tr>
      <w:tr>
        <w:trPr>
          <w:trHeight w:val="263"/>
        </w:trPr>
        <w:tc>
          <w:tcPr>
            <w:tcW w:w="7380" w:type="dxa"/>
            <w:vAlign w:val="bottom"/>
            <w:gridSpan w:val="2"/>
          </w:tcPr>
          <w:p>
            <w:pPr>
              <w:ind w:left="40"/>
              <w:spacing w:after="0" w:line="263" w:lineRule="exact"/>
              <w:rPr>
                <w:sz w:val="20"/>
                <w:szCs w:val="20"/>
                <w:color w:val="auto"/>
              </w:rPr>
            </w:pPr>
            <w:r>
              <w:rPr>
                <w:rFonts w:ascii="Arial" w:cs="Arial" w:eastAsia="Arial" w:hAnsi="Arial"/>
                <w:sz w:val="18"/>
                <w:szCs w:val="18"/>
                <w:b w:val="1"/>
                <w:bCs w:val="1"/>
                <w:color w:val="auto"/>
              </w:rPr>
              <w:t xml:space="preserve">State and Local Income Taxes, Net of Federal Income Tax Effect </w:t>
            </w:r>
            <w:r>
              <w:rPr>
                <w:rFonts w:ascii="Arial" w:cs="Arial" w:eastAsia="Arial" w:hAnsi="Arial"/>
                <w:sz w:val="23"/>
                <w:szCs w:val="23"/>
                <w:b w:val="1"/>
                <w:bCs w:val="1"/>
                <w:color w:val="auto"/>
                <w:vertAlign w:val="superscript"/>
              </w:rPr>
              <w:t>(1)</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6,775</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3.3 %</w:t>
            </w:r>
          </w:p>
        </w:tc>
      </w:tr>
      <w:tr>
        <w:trPr>
          <w:trHeight w:val="247"/>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Foreign Tax Effect</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5"/>
        </w:trPr>
        <w:tc>
          <w:tcPr>
            <w:tcW w:w="73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India</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7"/>
        </w:trPr>
        <w:tc>
          <w:tcPr>
            <w:tcW w:w="7380" w:type="dxa"/>
            <w:vAlign w:val="bottom"/>
            <w:gridSpan w:val="2"/>
          </w:tcPr>
          <w:p>
            <w:pPr>
              <w:ind w:left="500"/>
              <w:spacing w:after="0"/>
              <w:rPr>
                <w:sz w:val="20"/>
                <w:szCs w:val="20"/>
                <w:color w:val="auto"/>
              </w:rPr>
            </w:pPr>
            <w:r>
              <w:rPr>
                <w:rFonts w:ascii="Arial" w:cs="Arial" w:eastAsia="Arial" w:hAnsi="Arial"/>
                <w:sz w:val="18"/>
                <w:szCs w:val="18"/>
                <w:b w:val="1"/>
                <w:bCs w:val="1"/>
                <w:color w:val="auto"/>
              </w:rPr>
              <w:t>Statutory tax rate difference between India and U.S.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1,932</w:t>
            </w:r>
          </w:p>
        </w:tc>
        <w:tc>
          <w:tcPr>
            <w:tcW w:w="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0.9 %</w:t>
            </w:r>
          </w:p>
        </w:tc>
      </w:tr>
      <w:tr>
        <w:trPr>
          <w:trHeight w:val="255"/>
        </w:trPr>
        <w:tc>
          <w:tcPr>
            <w:tcW w:w="7380" w:type="dxa"/>
            <w:vAlign w:val="bottom"/>
            <w:gridSpan w:val="2"/>
          </w:tcPr>
          <w:p>
            <w:pPr>
              <w:ind w:left="500"/>
              <w:spacing w:after="0"/>
              <w:rPr>
                <w:sz w:val="20"/>
                <w:szCs w:val="20"/>
                <w:color w:val="auto"/>
              </w:rPr>
            </w:pPr>
            <w:r>
              <w:rPr>
                <w:rFonts w:ascii="Arial" w:cs="Arial" w:eastAsia="Arial" w:hAnsi="Arial"/>
                <w:sz w:val="18"/>
                <w:szCs w:val="18"/>
                <w:b w:val="1"/>
                <w:bCs w:val="1"/>
                <w:color w:val="auto"/>
              </w:rPr>
              <w:t>Unremitted foreign earnings</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1,570</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0.8 %</w:t>
            </w:r>
          </w:p>
        </w:tc>
      </w:tr>
      <w:tr>
        <w:trPr>
          <w:trHeight w:val="255"/>
        </w:trPr>
        <w:tc>
          <w:tcPr>
            <w:tcW w:w="7380" w:type="dxa"/>
            <w:vAlign w:val="bottom"/>
            <w:gridSpan w:val="2"/>
          </w:tcPr>
          <w:p>
            <w:pPr>
              <w:ind w:left="50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1,114</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0.5 %</w:t>
            </w:r>
          </w:p>
        </w:tc>
      </w:tr>
      <w:tr>
        <w:trPr>
          <w:trHeight w:val="263"/>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 Countries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7"/>
        </w:trPr>
        <w:tc>
          <w:tcPr>
            <w:tcW w:w="7380" w:type="dxa"/>
            <w:vAlign w:val="bottom"/>
            <w:gridSpan w:val="2"/>
          </w:tcPr>
          <w:p>
            <w:pPr>
              <w:ind w:left="540"/>
              <w:spacing w:after="0"/>
              <w:rPr>
                <w:sz w:val="20"/>
                <w:szCs w:val="20"/>
                <w:color w:val="auto"/>
              </w:rPr>
            </w:pPr>
            <w:r>
              <w:rPr>
                <w:rFonts w:ascii="Arial" w:cs="Arial" w:eastAsia="Arial" w:hAnsi="Arial"/>
                <w:sz w:val="18"/>
                <w:szCs w:val="18"/>
                <w:b w:val="1"/>
                <w:bCs w:val="1"/>
                <w:color w:val="auto"/>
              </w:rPr>
              <w:t>Statutory tax rate difference between Other Countries and U.S.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827</w:t>
            </w:r>
          </w:p>
        </w:tc>
        <w:tc>
          <w:tcPr>
            <w:tcW w:w="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0.4 %</w:t>
            </w:r>
          </w:p>
        </w:tc>
      </w:tr>
      <w:tr>
        <w:trPr>
          <w:trHeight w:val="255"/>
        </w:trPr>
        <w:tc>
          <w:tcPr>
            <w:tcW w:w="7380" w:type="dxa"/>
            <w:vAlign w:val="bottom"/>
            <w:gridSpan w:val="2"/>
          </w:tcPr>
          <w:p>
            <w:pPr>
              <w:ind w:left="54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(902)</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(0.4)%</w:t>
            </w:r>
          </w:p>
        </w:tc>
      </w:tr>
      <w:tr>
        <w:trPr>
          <w:trHeight w:val="263"/>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Effect of Cross-Border Tax Laws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7"/>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GILTI and other foreign inclusion</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535</w:t>
            </w:r>
          </w:p>
        </w:tc>
        <w:tc>
          <w:tcPr>
            <w:tcW w:w="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0.3 %</w:t>
            </w:r>
          </w:p>
        </w:tc>
      </w:tr>
      <w:tr>
        <w:trPr>
          <w:trHeight w:val="255"/>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Foreign-derived intangible income deduction</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1,103</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0.5 %</w:t>
            </w:r>
          </w:p>
        </w:tc>
      </w:tr>
      <w:tr>
        <w:trPr>
          <w:trHeight w:val="255"/>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Foreign Branch Tax</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5,400</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2.6 %</w:t>
            </w:r>
          </w:p>
        </w:tc>
      </w:tr>
      <w:tr>
        <w:trPr>
          <w:trHeight w:val="255"/>
        </w:trPr>
        <w:tc>
          <w:tcPr>
            <w:tcW w:w="738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1,033</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0.5 %</w:t>
            </w:r>
          </w:p>
        </w:tc>
      </w:tr>
      <w:tr>
        <w:trPr>
          <w:trHeight w:val="263"/>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Tax Credits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7"/>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Foreign Tax Credits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(9,804)</w:t>
            </w:r>
          </w:p>
        </w:tc>
        <w:tc>
          <w:tcPr>
            <w:tcW w:w="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55"/>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 Tax Credits</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 %</w:t>
            </w:r>
          </w:p>
        </w:tc>
      </w:tr>
      <w:tr>
        <w:trPr>
          <w:trHeight w:val="263"/>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Nontaxable or Nondeductible items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7"/>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Non-taxable income related to Section 45X tax credits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(50,132)</w:t>
            </w:r>
          </w:p>
        </w:tc>
        <w:tc>
          <w:tcPr>
            <w:tcW w:w="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(24.5)%</w:t>
            </w:r>
          </w:p>
        </w:tc>
      </w:tr>
      <w:tr>
        <w:trPr>
          <w:trHeight w:val="255"/>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Stock-based compensation</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18,509</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9.0 %</w:t>
            </w:r>
          </w:p>
        </w:tc>
      </w:tr>
      <w:tr>
        <w:trPr>
          <w:trHeight w:val="255"/>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Section 162(m)</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4,849</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2.4 %</w:t>
            </w:r>
          </w:p>
        </w:tc>
      </w:tr>
      <w:tr>
        <w:trPr>
          <w:trHeight w:val="255"/>
        </w:trPr>
        <w:tc>
          <w:tcPr>
            <w:tcW w:w="738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2,247</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1.1 %</w:t>
            </w:r>
          </w:p>
        </w:tc>
      </w:tr>
      <w:tr>
        <w:trPr>
          <w:trHeight w:val="263"/>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Changes in Unrecognized Tax Benefits</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4,679</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2.3 %</w:t>
            </w:r>
          </w:p>
        </w:tc>
      </w:tr>
      <w:tr>
        <w:trPr>
          <w:trHeight w:val="247"/>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Adjustments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r>
      <w:tr>
        <w:trPr>
          <w:trHeight w:val="275"/>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Provision for (benefit from) income taxes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32,681</w:t>
            </w:r>
          </w:p>
        </w:tc>
        <w:tc>
          <w:tcPr>
            <w:tcW w:w="60" w:type="dxa"/>
            <w:vAlign w:val="bottom"/>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15.9 %</w:t>
            </w:r>
          </w:p>
        </w:tc>
      </w:tr>
      <w:tr>
        <w:trPr>
          <w:trHeight w:val="20"/>
        </w:trPr>
        <w:tc>
          <w:tcPr>
            <w:tcW w:w="10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0"/>
        </w:trPr>
        <w:tc>
          <w:tcPr>
            <w:tcW w:w="1000" w:type="dxa"/>
            <w:vAlign w:val="bottom"/>
            <w:tcBorders>
              <w:bottom w:val="single" w:sz="8" w:color="auto"/>
            </w:tcBorders>
          </w:tcPr>
          <w:p>
            <w:pPr>
              <w:spacing w:after="0"/>
              <w:rPr>
                <w:sz w:val="15"/>
                <w:szCs w:val="15"/>
                <w:color w:val="auto"/>
              </w:rPr>
            </w:pPr>
          </w:p>
        </w:tc>
        <w:tc>
          <w:tcPr>
            <w:tcW w:w="6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-4406265</wp:posOffset>
            </wp:positionV>
            <wp:extent cx="6553200" cy="42989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84">
                      <a:extLst>
                        <a:ext uri="{28A0092B-C50C-407E-A947-70E740481C1C}"/>
                      </a:extLst>
                    </a:blip>
                    <a:srcRect/>
                    <a:stretch>
                      <a:fillRect/>
                    </a:stretch>
                  </pic:blipFill>
                  <pic:spPr bwMode="auto">
                    <a:xfrm>
                      <a:off x="0" y="0"/>
                      <a:ext cx="6553200" cy="4298950"/>
                    </a:xfrm>
                    <a:prstGeom prst="rect">
                      <a:avLst/>
                    </a:prstGeom>
                    <a:noFill/>
                  </pic:spPr>
                </pic:pic>
              </a:graphicData>
            </a:graphic>
          </wp:anchor>
        </w:drawing>
      </w:r>
    </w:p>
    <w:p>
      <w:pPr>
        <w:spacing w:after="0" w:line="210" w:lineRule="exact"/>
        <w:rPr>
          <w:sz w:val="20"/>
          <w:szCs w:val="20"/>
          <w:color w:val="auto"/>
        </w:rPr>
      </w:pPr>
    </w:p>
    <w:p>
      <w:pPr>
        <w:ind w:left="10" w:right="20" w:hanging="10"/>
        <w:spacing w:after="0" w:line="287" w:lineRule="auto"/>
        <w:tabs>
          <w:tab w:leader="none" w:pos="34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During the year ended December 31, 2025, state taxes in California comprised greater than 90% of the tax effect in this category.</w:t>
      </w:r>
    </w:p>
    <w:p>
      <w:pPr>
        <w:spacing w:after="0" w:line="50" w:lineRule="exact"/>
        <w:rPr>
          <w:sz w:val="20"/>
          <w:szCs w:val="20"/>
          <w:color w:val="auto"/>
        </w:rPr>
      </w:pPr>
    </w:p>
    <w:p>
      <w:pPr>
        <w:jc w:val="both"/>
        <w:ind w:left="10" w:right="20" w:firstLine="540"/>
        <w:spacing w:after="0" w:line="268" w:lineRule="auto"/>
        <w:rPr>
          <w:sz w:val="20"/>
          <w:szCs w:val="20"/>
          <w:color w:val="auto"/>
        </w:rPr>
      </w:pPr>
      <w:r>
        <w:rPr>
          <w:rFonts w:ascii="Arial" w:cs="Arial" w:eastAsia="Arial" w:hAnsi="Arial"/>
          <w:sz w:val="20"/>
          <w:szCs w:val="20"/>
          <w:b w:val="1"/>
          <w:bCs w:val="1"/>
          <w:color w:val="auto"/>
        </w:rPr>
        <w:t>A reconciliation of the income tax provision, prior to the adoption of ASU 2023-09, to the amount computed by applying the statutory federal income tax rate of 21% to income before income taxes for the years presented was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2588895</wp:posOffset>
                </wp:positionV>
                <wp:extent cx="633412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203.85pt" to="505.85pt,203.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2588895</wp:posOffset>
                </wp:positionV>
                <wp:extent cx="6334125"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203.85pt" to="505.85pt,203.8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108</w:t>
      </w:r>
    </w:p>
    <w:p>
      <w:pPr>
        <w:sectPr>
          <w:pgSz w:w="12240" w:h="15840" w:orient="portrait"/>
          <w:cols w:equalWidth="0" w:num="1">
            <w:col w:w="10270"/>
          </w:cols>
          <w:pgMar w:left="990" w:top="216" w:right="980" w:bottom="0" w:gutter="0" w:footer="0" w:header="0"/>
          <w:type w:val="continuous"/>
        </w:sectPr>
      </w:pPr>
    </w:p>
    <w:bookmarkStart w:id="108" w:name="page109"/>
    <w:bookmarkEnd w:id="108"/>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Years Ended December 31,</w:t>
            </w:r>
          </w:p>
        </w:tc>
      </w:tr>
      <w:tr>
        <w:trPr>
          <w:trHeight w:val="235"/>
        </w:trPr>
        <w:tc>
          <w:tcPr>
            <w:tcW w:w="7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r>
      <w:tr>
        <w:trPr>
          <w:trHeight w:val="269"/>
        </w:trPr>
        <w:tc>
          <w:tcPr>
            <w:tcW w:w="7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60" w:type="dxa"/>
            <w:vAlign w:val="bottom"/>
            <w:gridSpan w:val="4"/>
          </w:tcPr>
          <w:p>
            <w:pPr>
              <w:jc w:val="right"/>
              <w:ind w:right="731"/>
              <w:spacing w:after="0"/>
              <w:rPr>
                <w:sz w:val="20"/>
                <w:szCs w:val="20"/>
                <w:color w:val="auto"/>
              </w:rPr>
            </w:pPr>
            <w:r>
              <w:rPr>
                <w:rFonts w:ascii="Arial" w:cs="Arial" w:eastAsia="Arial" w:hAnsi="Arial"/>
                <w:sz w:val="16"/>
                <w:szCs w:val="16"/>
                <w:b w:val="1"/>
                <w:bCs w:val="1"/>
                <w:i w:val="1"/>
                <w:iCs w:val="1"/>
                <w:color w:val="auto"/>
              </w:rPr>
              <w:t>(In thousands)</w:t>
            </w:r>
          </w:p>
        </w:tc>
      </w:tr>
      <w:tr>
        <w:trPr>
          <w:trHeight w:val="311"/>
        </w:trPr>
        <w:tc>
          <w:tcPr>
            <w:tcW w:w="7520" w:type="dxa"/>
            <w:vAlign w:val="bottom"/>
          </w:tcPr>
          <w:p>
            <w:pPr>
              <w:spacing w:after="0"/>
              <w:rPr>
                <w:sz w:val="20"/>
                <w:szCs w:val="20"/>
                <w:color w:val="auto"/>
              </w:rPr>
            </w:pPr>
            <w:r>
              <w:rPr>
                <w:rFonts w:ascii="Arial" w:cs="Arial" w:eastAsia="Arial" w:hAnsi="Arial"/>
                <w:sz w:val="18"/>
                <w:szCs w:val="18"/>
                <w:b w:val="1"/>
                <w:bCs w:val="1"/>
                <w:color w:val="auto"/>
              </w:rPr>
              <w:t>Income tax provision at statutory federal rate</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25,233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107,760</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State taxes, net of federal benefit</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7,406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18,107</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Change in valuation allowance</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Foreign tax rate and tax law differential</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6,502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5,965</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Tax credits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(7,598)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(29,229)</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Non-taxable income related to Section 45X tax credits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(33,083)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(11,229)</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Stock-based compensation</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13,408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(13,969)</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Other permanent items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(964)</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Other nondeductible/nontaxable items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Uncertain tax positions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8,432</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Foreign-derived intangible income deduction</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(5,188)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(15,391)</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GILTI and other foreign inclusions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9,101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Section 162(m)</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5,445</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Unremitted foreign earnings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1,829</w:t>
            </w:r>
          </w:p>
        </w:tc>
      </w:tr>
      <w:tr>
        <w:trPr>
          <w:trHeight w:val="285"/>
        </w:trPr>
        <w:tc>
          <w:tcPr>
            <w:tcW w:w="7520" w:type="dxa"/>
            <w:vAlign w:val="bottom"/>
          </w:tcPr>
          <w:p>
            <w:pPr>
              <w:spacing w:after="0"/>
              <w:rPr>
                <w:sz w:val="20"/>
                <w:szCs w:val="20"/>
                <w:color w:val="auto"/>
              </w:rPr>
            </w:pPr>
            <w:r>
              <w:rPr>
                <w:rFonts w:ascii="Arial" w:cs="Arial" w:eastAsia="Arial" w:hAnsi="Arial"/>
                <w:sz w:val="18"/>
                <w:szCs w:val="18"/>
                <w:b w:val="1"/>
                <w:bCs w:val="1"/>
                <w:color w:val="auto"/>
              </w:rPr>
              <w:t>Prior year changes in estimates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(2,480)</w:t>
            </w:r>
          </w:p>
        </w:tc>
      </w:tr>
      <w:tr>
        <w:trPr>
          <w:trHeight w:val="24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Income tax provision</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17,501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74,203</w:t>
            </w:r>
          </w:p>
        </w:tc>
      </w:tr>
      <w:tr>
        <w:trPr>
          <w:trHeight w:val="20"/>
        </w:trPr>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-2926715</wp:posOffset>
            </wp:positionV>
            <wp:extent cx="6553200" cy="2946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85">
                      <a:extLst>
                        <a:ext uri="{28A0092B-C50C-407E-A947-70E740481C1C}"/>
                      </a:extLst>
                    </a:blip>
                    <a:srcRect/>
                    <a:stretch>
                      <a:fillRect/>
                    </a:stretch>
                  </pic:blipFill>
                  <pic:spPr bwMode="auto">
                    <a:xfrm>
                      <a:off x="0" y="0"/>
                      <a:ext cx="6553200" cy="2946400"/>
                    </a:xfrm>
                    <a:prstGeom prst="rect">
                      <a:avLst/>
                    </a:prstGeom>
                    <a:noFill/>
                  </pic:spPr>
                </pic:pic>
              </a:graphicData>
            </a:graphic>
          </wp:anchor>
        </w:drawing>
      </w:r>
    </w:p>
    <w:p>
      <w:pPr>
        <w:spacing w:after="0" w:line="115" w:lineRule="exact"/>
        <w:rPr>
          <w:sz w:val="20"/>
          <w:szCs w:val="20"/>
          <w:color w:val="auto"/>
        </w:rPr>
      </w:pPr>
    </w:p>
    <w:p>
      <w:pPr>
        <w:ind w:right="20" w:firstLine="540"/>
        <w:spacing w:after="0" w:line="287" w:lineRule="auto"/>
        <w:rPr>
          <w:sz w:val="20"/>
          <w:szCs w:val="20"/>
          <w:color w:val="auto"/>
        </w:rPr>
      </w:pPr>
      <w:r>
        <w:rPr>
          <w:rFonts w:ascii="Arial" w:cs="Arial" w:eastAsia="Arial" w:hAnsi="Arial"/>
          <w:sz w:val="20"/>
          <w:szCs w:val="20"/>
          <w:b w:val="1"/>
          <w:bCs w:val="1"/>
          <w:color w:val="auto"/>
        </w:rPr>
        <w:t>A summary of significant components of the Company’s deferred tax assets and liabilities as of December 31, 2025 and 2024 was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December 31,</w:t>
            </w:r>
          </w:p>
        </w:tc>
      </w:tr>
      <w:tr>
        <w:trPr>
          <w:trHeight w:val="235"/>
        </w:trPr>
        <w:tc>
          <w:tcPr>
            <w:tcW w:w="7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w w:val="95"/>
              </w:rPr>
              <w:t>2024</w:t>
            </w:r>
          </w:p>
        </w:tc>
      </w:tr>
      <w:tr>
        <w:trPr>
          <w:trHeight w:val="292"/>
        </w:trPr>
        <w:tc>
          <w:tcPr>
            <w:tcW w:w="7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i w:val="1"/>
                <w:iCs w:val="1"/>
                <w:color w:val="auto"/>
              </w:rPr>
              <w:t>(In thousands)</w:t>
            </w:r>
          </w:p>
        </w:tc>
        <w:tc>
          <w:tcPr>
            <w:tcW w:w="840" w:type="dxa"/>
            <w:vAlign w:val="bottom"/>
          </w:tcPr>
          <w:p>
            <w:pPr>
              <w:spacing w:after="0"/>
              <w:rPr>
                <w:sz w:val="24"/>
                <w:szCs w:val="24"/>
                <w:color w:val="auto"/>
              </w:rPr>
            </w:pPr>
          </w:p>
        </w:tc>
      </w:tr>
      <w:tr>
        <w:trPr>
          <w:trHeight w:val="288"/>
        </w:trPr>
        <w:tc>
          <w:tcPr>
            <w:tcW w:w="752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Allowances and reserves</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61,810</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56,819</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Accrued liabilities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15,306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30,230</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Net operating loss and tax credit carryforwards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16,423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17,945</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Stock-based compensation</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31,853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17,504</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Deferred revenue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62,898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66,353</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Fixed assets and intangibles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2,032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1,670</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Convertible notes and related hedges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14,717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27,053</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Capitalized research and development expense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105,020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104,002</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Capitalized inventory</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23,178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13,865</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6,714</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10,121</w:t>
            </w:r>
          </w:p>
        </w:tc>
      </w:tr>
      <w:tr>
        <w:trPr>
          <w:trHeight w:val="265"/>
        </w:trPr>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Gross deferred tax assets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339,951</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345,562</w:t>
            </w:r>
          </w:p>
        </w:tc>
      </w:tr>
      <w:tr>
        <w:trPr>
          <w:trHeight w:val="285"/>
        </w:trPr>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Less valuation allowance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(1,772)</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(1,973)</w:t>
            </w:r>
          </w:p>
        </w:tc>
      </w:tr>
      <w:tr>
        <w:trPr>
          <w:trHeight w:val="265"/>
        </w:trPr>
        <w:tc>
          <w:tcPr>
            <w:tcW w:w="7520" w:type="dxa"/>
            <w:vAlign w:val="bottom"/>
          </w:tcPr>
          <w:p>
            <w:pPr>
              <w:ind w:left="360"/>
              <w:spacing w:after="0"/>
              <w:rPr>
                <w:sz w:val="20"/>
                <w:szCs w:val="20"/>
                <w:color w:val="auto"/>
              </w:rPr>
            </w:pPr>
            <w:r>
              <w:rPr>
                <w:rFonts w:ascii="Arial" w:cs="Arial" w:eastAsia="Arial" w:hAnsi="Arial"/>
                <w:sz w:val="18"/>
                <w:szCs w:val="18"/>
                <w:b w:val="1"/>
                <w:bCs w:val="1"/>
                <w:color w:val="auto"/>
              </w:rPr>
              <w:t>Total deferred tax assets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338,179</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343,589</w:t>
            </w:r>
          </w:p>
        </w:tc>
      </w:tr>
      <w:tr>
        <w:trPr>
          <w:trHeight w:val="265"/>
        </w:trPr>
        <w:tc>
          <w:tcPr>
            <w:tcW w:w="752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Unremitted foreign earnings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(8,390)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(6,800)</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State impact of Section 45X tax credits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(5,914)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(1,625)</w:t>
            </w:r>
          </w:p>
        </w:tc>
      </w:tr>
      <w:tr>
        <w:trPr>
          <w:trHeight w:val="285"/>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Deferred cost of goods sold</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(24,828)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(26,397)</w:t>
            </w:r>
          </w:p>
        </w:tc>
      </w:tr>
      <w:tr>
        <w:trPr>
          <w:trHeight w:val="285"/>
        </w:trPr>
        <w:tc>
          <w:tcPr>
            <w:tcW w:w="7520" w:type="dxa"/>
            <w:vAlign w:val="bottom"/>
          </w:tcPr>
          <w:p>
            <w:pPr>
              <w:ind w:left="36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(1,203)</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r>
      <w:tr>
        <w:trPr>
          <w:trHeight w:val="265"/>
        </w:trPr>
        <w:tc>
          <w:tcPr>
            <w:tcW w:w="7520" w:type="dxa"/>
            <w:vAlign w:val="bottom"/>
          </w:tcPr>
          <w:p>
            <w:pPr>
              <w:ind w:left="360"/>
              <w:spacing w:after="0"/>
              <w:rPr>
                <w:sz w:val="20"/>
                <w:szCs w:val="20"/>
                <w:color w:val="auto"/>
              </w:rPr>
            </w:pPr>
            <w:r>
              <w:rPr>
                <w:rFonts w:ascii="Arial" w:cs="Arial" w:eastAsia="Arial" w:hAnsi="Arial"/>
                <w:sz w:val="18"/>
                <w:szCs w:val="18"/>
                <w:b w:val="1"/>
                <w:bCs w:val="1"/>
                <w:color w:val="auto"/>
              </w:rPr>
              <w:t>Total deferred tax liabilities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(40,335)</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(35,030)</w:t>
            </w:r>
          </w:p>
        </w:tc>
      </w:tr>
      <w:tr>
        <w:trPr>
          <w:trHeight w:val="245"/>
        </w:trPr>
        <w:tc>
          <w:tcPr>
            <w:tcW w:w="7520" w:type="dxa"/>
            <w:vAlign w:val="bottom"/>
          </w:tcPr>
          <w:p>
            <w:pPr>
              <w:ind w:left="580"/>
              <w:spacing w:after="0"/>
              <w:rPr>
                <w:sz w:val="20"/>
                <w:szCs w:val="20"/>
                <w:color w:val="auto"/>
              </w:rPr>
            </w:pPr>
            <w:r>
              <w:rPr>
                <w:rFonts w:ascii="Arial" w:cs="Arial" w:eastAsia="Arial" w:hAnsi="Arial"/>
                <w:sz w:val="18"/>
                <w:szCs w:val="18"/>
                <w:b w:val="1"/>
                <w:bCs w:val="1"/>
                <w:color w:val="auto"/>
              </w:rPr>
              <w:t>Net deferred tax asset</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297,844</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308,559</w:t>
            </w:r>
          </w:p>
        </w:tc>
      </w:tr>
      <w:tr>
        <w:trPr>
          <w:trHeight w:val="20"/>
        </w:trPr>
        <w:tc>
          <w:tcPr>
            <w:tcW w:w="7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-3831590</wp:posOffset>
            </wp:positionV>
            <wp:extent cx="6553200" cy="4225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86">
                      <a:extLst>
                        <a:ext uri="{28A0092B-C50C-407E-A947-70E740481C1C}"/>
                      </a:extLst>
                    </a:blip>
                    <a:srcRect/>
                    <a:stretch>
                      <a:fillRect/>
                    </a:stretch>
                  </pic:blipFill>
                  <pic:spPr bwMode="auto">
                    <a:xfrm>
                      <a:off x="0" y="0"/>
                      <a:ext cx="6553200" cy="4225925"/>
                    </a:xfrm>
                    <a:prstGeom prst="rect">
                      <a:avLst/>
                    </a:prstGeom>
                    <a:noFill/>
                  </pic:spPr>
                </pic:pic>
              </a:graphicData>
            </a:graphic>
          </wp:anchor>
        </w:drawing>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109</w:t>
      </w:r>
    </w:p>
    <w:p>
      <w:pPr>
        <w:sectPr>
          <w:pgSz w:w="12240" w:h="15840" w:orient="portrait"/>
          <w:cols w:equalWidth="0" w:num="1">
            <w:col w:w="10260"/>
          </w:cols>
          <w:pgMar w:left="1000" w:top="216" w:right="980" w:bottom="0" w:gutter="0" w:footer="0" w:header="0"/>
          <w:type w:val="continuous"/>
        </w:sectPr>
      </w:pPr>
    </w:p>
    <w:bookmarkStart w:id="109" w:name="page110"/>
    <w:bookmarkEnd w:id="109"/>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As of December 31, 2025 and 2024, the Company recorded a valuation allowance of $1.8 million and $2.0 million, respectively, against certain of its net operating losses on one of its foreign operations, as it is more likely than not that such amounts will not be fully realized.</w:t>
      </w:r>
    </w:p>
    <w:p>
      <w:pPr>
        <w:spacing w:after="0" w:line="7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18"/>
          <w:szCs w:val="18"/>
          <w:b w:val="1"/>
          <w:bCs w:val="1"/>
          <w:color w:val="auto"/>
        </w:rPr>
        <w:t>The Company's accounting for deferred taxes involves the evaluation of a number of factors concerning the realizability of the Company's deferred tax assets. Assessing the realizability of deferred tax assets is dependent upon several factors, including the likelihood and amount, if any, of future taxable income in relevant jurisdictions during the periods in which those temporary differences become deductible. The Company's management forecasts taxable income by considering all available positive and negative evidence including its history of operating income or losses and its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Years Ended December 31,</w:t>
            </w:r>
          </w:p>
        </w:tc>
      </w:tr>
      <w:tr>
        <w:trPr>
          <w:trHeight w:val="220"/>
        </w:trPr>
        <w:tc>
          <w:tcPr>
            <w:tcW w:w="7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2024</w:t>
            </w:r>
          </w:p>
        </w:tc>
      </w:tr>
      <w:tr>
        <w:trPr>
          <w:trHeight w:val="292"/>
        </w:trPr>
        <w:tc>
          <w:tcPr>
            <w:tcW w:w="7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4"/>
          </w:tcPr>
          <w:p>
            <w:pPr>
              <w:jc w:val="right"/>
              <w:ind w:right="732"/>
              <w:spacing w:after="0"/>
              <w:rPr>
                <w:sz w:val="20"/>
                <w:szCs w:val="20"/>
                <w:color w:val="auto"/>
              </w:rPr>
            </w:pPr>
            <w:r>
              <w:rPr>
                <w:rFonts w:ascii="Arial" w:cs="Arial" w:eastAsia="Arial" w:hAnsi="Arial"/>
                <w:sz w:val="16"/>
                <w:szCs w:val="16"/>
                <w:b w:val="1"/>
                <w:bCs w:val="1"/>
                <w:i w:val="1"/>
                <w:iCs w:val="1"/>
                <w:color w:val="auto"/>
              </w:rPr>
              <w:t>(In thousands)</w:t>
            </w:r>
          </w:p>
        </w:tc>
      </w:tr>
      <w:tr>
        <w:trPr>
          <w:trHeight w:val="318"/>
        </w:trPr>
        <w:tc>
          <w:tcPr>
            <w:tcW w:w="7520" w:type="dxa"/>
            <w:vAlign w:val="bottom"/>
          </w:tcPr>
          <w:p>
            <w:pPr>
              <w:spacing w:after="0"/>
              <w:rPr>
                <w:sz w:val="20"/>
                <w:szCs w:val="20"/>
                <w:color w:val="auto"/>
              </w:rPr>
            </w:pPr>
            <w:r>
              <w:rPr>
                <w:rFonts w:ascii="Arial" w:cs="Arial" w:eastAsia="Arial" w:hAnsi="Arial"/>
                <w:sz w:val="18"/>
                <w:szCs w:val="18"/>
                <w:b w:val="1"/>
                <w:bCs w:val="1"/>
                <w:color w:val="auto"/>
              </w:rPr>
              <w:t>Valuation allowance, beginning of period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1,973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15"/>
        </w:trPr>
        <w:tc>
          <w:tcPr>
            <w:tcW w:w="7520" w:type="dxa"/>
            <w:vAlign w:val="bottom"/>
          </w:tcPr>
          <w:p>
            <w:pPr>
              <w:ind w:left="120"/>
              <w:spacing w:after="0"/>
              <w:rPr>
                <w:sz w:val="20"/>
                <w:szCs w:val="20"/>
                <w:color w:val="auto"/>
              </w:rPr>
            </w:pPr>
            <w:r>
              <w:rPr>
                <w:rFonts w:ascii="Arial" w:cs="Arial" w:eastAsia="Arial" w:hAnsi="Arial"/>
                <w:sz w:val="18"/>
                <w:szCs w:val="18"/>
                <w:b w:val="1"/>
                <w:bCs w:val="1"/>
                <w:color w:val="auto"/>
              </w:rPr>
              <w:t>Additions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1,973</w:t>
            </w:r>
          </w:p>
        </w:tc>
      </w:tr>
      <w:tr>
        <w:trPr>
          <w:trHeight w:val="315"/>
        </w:trPr>
        <w:tc>
          <w:tcPr>
            <w:tcW w:w="7520" w:type="dxa"/>
            <w:vAlign w:val="bottom"/>
          </w:tcPr>
          <w:p>
            <w:pPr>
              <w:ind w:left="120"/>
              <w:spacing w:after="0"/>
              <w:rPr>
                <w:sz w:val="20"/>
                <w:szCs w:val="20"/>
                <w:color w:val="auto"/>
              </w:rPr>
            </w:pPr>
            <w:r>
              <w:rPr>
                <w:rFonts w:ascii="Arial" w:cs="Arial" w:eastAsia="Arial" w:hAnsi="Arial"/>
                <w:sz w:val="18"/>
                <w:szCs w:val="18"/>
                <w:b w:val="1"/>
                <w:bCs w:val="1"/>
                <w:color w:val="auto"/>
              </w:rPr>
              <w:t>Reversals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75"/>
        </w:trPr>
        <w:tc>
          <w:tcPr>
            <w:tcW w:w="7520" w:type="dxa"/>
            <w:vAlign w:val="bottom"/>
          </w:tcPr>
          <w:p>
            <w:pPr>
              <w:spacing w:after="0"/>
              <w:rPr>
                <w:sz w:val="20"/>
                <w:szCs w:val="20"/>
                <w:color w:val="auto"/>
              </w:rPr>
            </w:pPr>
            <w:r>
              <w:rPr>
                <w:rFonts w:ascii="Arial" w:cs="Arial" w:eastAsia="Arial" w:hAnsi="Arial"/>
                <w:sz w:val="18"/>
                <w:szCs w:val="18"/>
                <w:b w:val="1"/>
                <w:bCs w:val="1"/>
                <w:color w:val="auto"/>
              </w:rPr>
              <w:t>Valuation allowance, end of period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1,772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1,973</w:t>
            </w:r>
          </w:p>
        </w:tc>
      </w:tr>
      <w:tr>
        <w:trPr>
          <w:trHeight w:val="20"/>
        </w:trPr>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-831215</wp:posOffset>
            </wp:positionV>
            <wp:extent cx="6553200" cy="8509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87">
                      <a:extLst>
                        <a:ext uri="{28A0092B-C50C-407E-A947-70E740481C1C}"/>
                      </a:extLst>
                    </a:blip>
                    <a:srcRect/>
                    <a:stretch>
                      <a:fillRect/>
                    </a:stretch>
                  </pic:blipFill>
                  <pic:spPr bwMode="auto">
                    <a:xfrm>
                      <a:off x="0" y="0"/>
                      <a:ext cx="6553200" cy="850900"/>
                    </a:xfrm>
                    <a:prstGeom prst="rect">
                      <a:avLst/>
                    </a:prstGeom>
                    <a:noFill/>
                  </pic:spPr>
                </pic:pic>
              </a:graphicData>
            </a:graphic>
          </wp:anchor>
        </w:drawing>
      </w:r>
    </w:p>
    <w:p>
      <w:pPr>
        <w:spacing w:after="0" w:line="115"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The Company has approximately $8.8 million of federal tax credit and $8.3 million of state tax credit carryforwards. The federal credits begin to expire in 2031 and the state credits can be carried forward indefinitely. As of December 31, 2025, the Company has foreign net operating losses of $5.5 million from the acquisition of GreenCom, which can be carried over indefinitely.</w:t>
      </w:r>
    </w:p>
    <w:p>
      <w:pPr>
        <w:spacing w:after="0" w:line="76"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Utilization of some of the federal credit carryforwards and state net operating loss and credit carryforwards are subject to annual limitations due to the “change in ownership” provisions of the Internal Revenue Code of 1986, as amended (the “Code”), and similar state provisions. The Company believes that no such change has occurred through December 31, 2025.</w:t>
      </w:r>
    </w:p>
    <w:p>
      <w:pPr>
        <w:spacing w:after="0" w:line="76"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 than-not of being sustained on audit, based on the technical merits of the position. The Company recorded a net benefit for unrecognized tax benefits in 2025 of $4.2 million.</w:t>
      </w:r>
    </w:p>
    <w:p>
      <w:pPr>
        <w:spacing w:after="0" w:line="79"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 Company has a tax position for which it is reasonably possible that the total amount of gross unrecognized tax benefits will decrease within the next year. The unrecognized tax benefits may increase or change during the next year for items that arise in the ordinary course of business.</w:t>
      </w:r>
    </w:p>
    <w:p>
      <w:pPr>
        <w:spacing w:after="0" w:line="70"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20"/>
          <w:szCs w:val="20"/>
          <w:b w:val="1"/>
          <w:bCs w:val="1"/>
          <w:color w:val="auto"/>
        </w:rPr>
        <w:t>As of December 31, 2025, the total amount of gross unrecognized tax benefits was $23.5 million, of which $21.8 million, if recognized, would impact the Company’s effective tax rate.</w:t>
      </w:r>
    </w:p>
    <w:p>
      <w:pPr>
        <w:spacing w:after="0" w:line="50"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A tabular reconciliation of the total amounts of unrecognized tax benefits for the years presented was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9"/>
        </w:trPr>
        <w:tc>
          <w:tcPr>
            <w:tcW w:w="6140" w:type="dxa"/>
            <w:vAlign w:val="bottom"/>
          </w:tcPr>
          <w:p>
            <w:pPr>
              <w:spacing w:after="0"/>
              <w:rPr>
                <w:sz w:val="20"/>
                <w:szCs w:val="20"/>
                <w:color w:val="auto"/>
              </w:rPr>
            </w:pPr>
            <w:r>
              <w:rPr>
                <w:rFonts w:ascii="Arial" w:cs="Arial" w:eastAsia="Arial" w:hAnsi="Arial"/>
                <w:sz w:val="18"/>
                <w:szCs w:val="18"/>
                <w:b w:val="1"/>
                <w:bCs w:val="1"/>
                <w:color w:val="auto"/>
              </w:rPr>
              <w:t>Unrecognized tax benefits—at beginning of year</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27,660</w:t>
            </w:r>
          </w:p>
        </w:tc>
        <w:tc>
          <w:tcPr>
            <w:tcW w:w="60" w:type="dxa"/>
            <w:vAlign w:val="bottom"/>
          </w:tcPr>
          <w:p>
            <w:pPr>
              <w:spacing w:after="0"/>
              <w:rPr>
                <w:sz w:val="20"/>
                <w:szCs w:val="20"/>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27,218</w:t>
            </w:r>
          </w:p>
        </w:tc>
        <w:tc>
          <w:tcPr>
            <w:tcW w:w="60" w:type="dxa"/>
            <w:vAlign w:val="bottom"/>
          </w:tcPr>
          <w:p>
            <w:pPr>
              <w:spacing w:after="0"/>
              <w:rPr>
                <w:sz w:val="20"/>
                <w:szCs w:val="20"/>
                <w:color w:val="auto"/>
              </w:rPr>
            </w:pPr>
          </w:p>
        </w:tc>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21,768</w:t>
            </w:r>
          </w:p>
        </w:tc>
        <w:tc>
          <w:tcPr>
            <w:tcW w:w="0" w:type="dxa"/>
            <w:vAlign w:val="bottom"/>
          </w:tcPr>
          <w:p>
            <w:pPr>
              <w:spacing w:after="0"/>
              <w:rPr>
                <w:sz w:val="1"/>
                <w:szCs w:val="1"/>
                <w:color w:val="auto"/>
              </w:rPr>
            </w:pPr>
          </w:p>
        </w:tc>
      </w:tr>
      <w:tr>
        <w:trPr>
          <w:trHeight w:val="193"/>
        </w:trPr>
        <w:tc>
          <w:tcPr>
            <w:tcW w:w="6140" w:type="dxa"/>
            <w:vAlign w:val="bottom"/>
          </w:tcPr>
          <w:p>
            <w:pPr>
              <w:ind w:left="140"/>
              <w:spacing w:after="0" w:line="194" w:lineRule="exact"/>
              <w:rPr>
                <w:sz w:val="20"/>
                <w:szCs w:val="20"/>
                <w:color w:val="auto"/>
              </w:rPr>
            </w:pPr>
            <w:r>
              <w:rPr>
                <w:rFonts w:ascii="Arial" w:cs="Arial" w:eastAsia="Arial" w:hAnsi="Arial"/>
                <w:sz w:val="18"/>
                <w:szCs w:val="18"/>
                <w:b w:val="1"/>
                <w:bCs w:val="1"/>
                <w:color w:val="auto"/>
                <w:w w:val="97"/>
              </w:rPr>
              <w:t>Increases (decreases) in balances related to tax positions taken in prior</w:t>
            </w:r>
          </w:p>
        </w:tc>
        <w:tc>
          <w:tcPr>
            <w:tcW w:w="3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2,195</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(702)</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(417)</w:t>
            </w:r>
          </w:p>
        </w:tc>
        <w:tc>
          <w:tcPr>
            <w:tcW w:w="0" w:type="dxa"/>
            <w:vAlign w:val="bottom"/>
          </w:tcPr>
          <w:p>
            <w:pPr>
              <w:spacing w:after="0"/>
              <w:rPr>
                <w:sz w:val="1"/>
                <w:szCs w:val="1"/>
                <w:color w:val="auto"/>
              </w:rPr>
            </w:pPr>
          </w:p>
        </w:tc>
      </w:tr>
      <w:tr>
        <w:trPr>
          <w:trHeight w:val="239"/>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Increases in balances related to tax positions taken in current year</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1,490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5,985</w:t>
            </w:r>
          </w:p>
        </w:tc>
        <w:tc>
          <w:tcPr>
            <w:tcW w:w="0" w:type="dxa"/>
            <w:vAlign w:val="bottom"/>
          </w:tcPr>
          <w:p>
            <w:pPr>
              <w:spacing w:after="0"/>
              <w:rPr>
                <w:sz w:val="1"/>
                <w:szCs w:val="1"/>
                <w:color w:val="auto"/>
              </w:rPr>
            </w:pPr>
          </w:p>
        </w:tc>
      </w:tr>
      <w:tr>
        <w:trPr>
          <w:trHeight w:val="25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Decreases related to settlements with taxing authorities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(6,820)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5"/>
        </w:trPr>
        <w:tc>
          <w:tcPr>
            <w:tcW w:w="6140" w:type="dxa"/>
            <w:vAlign w:val="bottom"/>
          </w:tcPr>
          <w:p>
            <w:pPr>
              <w:ind w:left="140"/>
              <w:spacing w:after="0"/>
              <w:rPr>
                <w:sz w:val="20"/>
                <w:szCs w:val="20"/>
                <w:color w:val="auto"/>
              </w:rPr>
            </w:pPr>
            <w:r>
              <w:rPr>
                <w:rFonts w:ascii="Arial" w:cs="Arial" w:eastAsia="Arial" w:hAnsi="Arial"/>
                <w:sz w:val="18"/>
                <w:szCs w:val="18"/>
                <w:b w:val="1"/>
                <w:bCs w:val="1"/>
                <w:color w:val="auto"/>
              </w:rPr>
              <w:t>Lapses in statutes of limitations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0"/>
                <w:szCs w:val="20"/>
                <w:color w:val="auto"/>
              </w:rPr>
            </w:pPr>
            <w:r>
              <w:rPr>
                <w:rFonts w:ascii="Arial" w:cs="Arial" w:eastAsia="Arial" w:hAnsi="Arial"/>
                <w:sz w:val="18"/>
                <w:szCs w:val="18"/>
                <w:b w:val="1"/>
                <w:bCs w:val="1"/>
                <w:color w:val="auto"/>
              </w:rPr>
              <w:t>Unrecognized tax benefits—at end of year</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23,505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27,660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27,218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553200" cy="11938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88">
                      <a:extLst>
                        <a:ext uri="{28A0092B-C50C-407E-A947-70E740481C1C}"/>
                      </a:extLst>
                    </a:blip>
                    <a:srcRect/>
                    <a:stretch>
                      <a:fillRect/>
                    </a:stretch>
                  </pic:blipFill>
                  <pic:spPr bwMode="auto">
                    <a:xfrm>
                      <a:off x="0" y="0"/>
                      <a:ext cx="6553200" cy="1193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83820</wp:posOffset>
                </wp:positionH>
                <wp:positionV relativeFrom="paragraph">
                  <wp:posOffset>410845</wp:posOffset>
                </wp:positionV>
                <wp:extent cx="633412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2.35pt" to="505.35pt,3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410845</wp:posOffset>
                </wp:positionV>
                <wp:extent cx="633412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2.35pt" to="505.35pt,32.3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110</w:t>
      </w:r>
    </w:p>
    <w:p>
      <w:pPr>
        <w:sectPr>
          <w:pgSz w:w="12240" w:h="15840" w:orient="portrait"/>
          <w:cols w:equalWidth="0" w:num="1">
            <w:col w:w="10260"/>
          </w:cols>
          <w:pgMar w:left="1000" w:top="216" w:right="980" w:bottom="0" w:gutter="0" w:footer="0" w:header="0"/>
          <w:type w:val="continuous"/>
        </w:sectPr>
      </w:pPr>
    </w:p>
    <w:bookmarkStart w:id="110" w:name="page111"/>
    <w:bookmarkEnd w:id="110"/>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jc w:val="both"/>
        <w:ind w:left="10" w:right="20" w:firstLine="540"/>
        <w:spacing w:after="0" w:line="272" w:lineRule="auto"/>
        <w:rPr>
          <w:sz w:val="20"/>
          <w:szCs w:val="20"/>
          <w:color w:val="auto"/>
        </w:rPr>
      </w:pPr>
      <w:r>
        <w:rPr>
          <w:rFonts w:ascii="Arial" w:cs="Arial" w:eastAsia="Arial" w:hAnsi="Arial"/>
          <w:sz w:val="19"/>
          <w:szCs w:val="19"/>
          <w:b w:val="1"/>
          <w:bCs w:val="1"/>
          <w:color w:val="auto"/>
        </w:rPr>
        <w:t>The Company includes interest and penalties related to unrecognized tax benefits within the income tax provision. In the years ended December 31, 2025, 2024 and 2023, the total amount of gross interest and penalties accrued was $6.6 million, $6.1 million and $2.9 million, respectively. Both the unrecognized tax benefits and the associated interest and penalties that are not expected to result in payment or receipt of cash within one year are classified as other non-current liabilities in the consolidated balance sheets. In connection with tax matters, the Company’s interest and penalty expense recognized in 2025, 2024 and 2023 in the consolidated statements of operations was $0.4 million, $2.3 million and $3.8 million, respectively.</w:t>
      </w:r>
    </w:p>
    <w:p>
      <w:pPr>
        <w:spacing w:after="0" w:line="67" w:lineRule="exact"/>
        <w:rPr>
          <w:sz w:val="20"/>
          <w:szCs w:val="20"/>
          <w:color w:val="auto"/>
        </w:rPr>
      </w:pPr>
    </w:p>
    <w:p>
      <w:pPr>
        <w:jc w:val="both"/>
        <w:ind w:left="10" w:right="20" w:firstLine="540"/>
        <w:spacing w:after="0" w:line="268" w:lineRule="auto"/>
        <w:rPr>
          <w:sz w:val="20"/>
          <w:szCs w:val="20"/>
          <w:color w:val="auto"/>
        </w:rPr>
      </w:pPr>
      <w:r>
        <w:rPr>
          <w:rFonts w:ascii="Arial" w:cs="Arial" w:eastAsia="Arial" w:hAnsi="Arial"/>
          <w:sz w:val="20"/>
          <w:szCs w:val="20"/>
          <w:b w:val="1"/>
          <w:bCs w:val="1"/>
          <w:color w:val="auto"/>
        </w:rPr>
        <w:t>The Company’s tax returns continue to remain effectively subject to examination by U.S. federal authorities for the years 2006 and onwards and by California state authorities for the years 2006 and onwards due to use and carryovers of net operating losses and tax credits.</w:t>
      </w:r>
    </w:p>
    <w:p>
      <w:pPr>
        <w:spacing w:after="0" w:line="70" w:lineRule="exact"/>
        <w:rPr>
          <w:sz w:val="20"/>
          <w:szCs w:val="20"/>
          <w:color w:val="auto"/>
        </w:rPr>
      </w:pPr>
    </w:p>
    <w:p>
      <w:pPr>
        <w:jc w:val="both"/>
        <w:ind w:left="10" w:firstLine="540"/>
        <w:spacing w:after="0" w:line="272" w:lineRule="auto"/>
        <w:rPr>
          <w:sz w:val="20"/>
          <w:szCs w:val="20"/>
          <w:color w:val="auto"/>
        </w:rPr>
      </w:pPr>
      <w:r>
        <w:rPr>
          <w:rFonts w:ascii="Arial" w:cs="Arial" w:eastAsia="Arial" w:hAnsi="Arial"/>
          <w:sz w:val="19"/>
          <w:szCs w:val="19"/>
          <w:b w:val="1"/>
          <w:bCs w:val="1"/>
          <w:color w:val="auto"/>
        </w:rPr>
        <w:t>For the years ended December 31, 2025,and 2024, benefits recognized from the AMPTC of $238.7 million, and $157.5 million, respectively, were recorded as a prepaid income tax of $227.5 million and $94.9 million (included in Prepaid Expenses and Other Assets), reduction of income tax payable of $11.2 million and $62.7 million on the consolidated balance sheet for the year ended December 31, 2025 and 2024, respectively, and as a reduction to cost of revenues of $238.7 million and $157.5 million on the consolidated statements of operations for the year ended December 31, 2025 and 2024, respectively. Amounts recognized in the consolidated financial statements are based on management’s judgement and interpretation of the most current guidance.</w:t>
      </w:r>
    </w:p>
    <w:p>
      <w:pPr>
        <w:spacing w:after="0" w:line="67" w:lineRule="exact"/>
        <w:rPr>
          <w:sz w:val="20"/>
          <w:szCs w:val="20"/>
          <w:color w:val="auto"/>
        </w:rPr>
      </w:pPr>
    </w:p>
    <w:p>
      <w:pPr>
        <w:jc w:val="both"/>
        <w:ind w:left="10" w:firstLine="540"/>
        <w:spacing w:after="0" w:line="257" w:lineRule="auto"/>
        <w:rPr>
          <w:sz w:val="20"/>
          <w:szCs w:val="20"/>
          <w:color w:val="auto"/>
        </w:rPr>
      </w:pPr>
      <w:r>
        <w:rPr>
          <w:rFonts w:ascii="Arial" w:cs="Arial" w:eastAsia="Arial" w:hAnsi="Arial"/>
          <w:sz w:val="20"/>
          <w:szCs w:val="20"/>
          <w:b w:val="1"/>
          <w:bCs w:val="1"/>
          <w:color w:val="auto"/>
        </w:rPr>
        <w:t>In July 2025, the One Big Beautiful Bill Act (the “OBBBA”) was enacted into law, extending key provisions of 2017 Tax Act while scaling back clean energy tax incentives of the IRA. The OBBBA brought back accelerated depreciation for property acquired and placed in service after January 19, 2025, and restored expensing of domestic research expenditures for years beginning after December 31, 2024. Additionally, the bill also amended international tax provisions on global intangible low-tax income, foreign derived intangible income, and base erosion and anti-abuse tax.</w:t>
      </w:r>
    </w:p>
    <w:p>
      <w:pPr>
        <w:spacing w:after="0" w:line="82" w:lineRule="exact"/>
        <w:rPr>
          <w:sz w:val="20"/>
          <w:szCs w:val="20"/>
          <w:color w:val="auto"/>
        </w:rPr>
      </w:pPr>
    </w:p>
    <w:p>
      <w:pPr>
        <w:jc w:val="both"/>
        <w:ind w:left="10" w:right="20" w:firstLine="540"/>
        <w:spacing w:after="0" w:line="257" w:lineRule="auto"/>
        <w:rPr>
          <w:sz w:val="20"/>
          <w:szCs w:val="20"/>
          <w:color w:val="auto"/>
        </w:rPr>
      </w:pPr>
      <w:r>
        <w:rPr>
          <w:rFonts w:ascii="Arial" w:cs="Arial" w:eastAsia="Arial" w:hAnsi="Arial"/>
          <w:sz w:val="20"/>
          <w:szCs w:val="20"/>
          <w:b w:val="1"/>
          <w:bCs w:val="1"/>
          <w:color w:val="auto"/>
        </w:rPr>
        <w:t>Among the significant changes to the clean energy provisions are those related to the repeal of the Section 25D residential solar incentive tax credit starting after December 31, 2025, and the Section 48E tax credit after December 31, 2027, if construction is not started within 12 months of the enactment. The OBBBA expanded the new non-Foreign Entity of Concern requirements to the Section 45X tax credit, denying tax credits for projects owned or controlled by certain foreign entities or that use components from or make payments to these foreign entities.</w:t>
      </w:r>
    </w:p>
    <w:p>
      <w:pPr>
        <w:spacing w:after="0" w:line="82" w:lineRule="exact"/>
        <w:rPr>
          <w:sz w:val="20"/>
          <w:szCs w:val="20"/>
          <w:color w:val="auto"/>
        </w:rPr>
      </w:pPr>
    </w:p>
    <w:p>
      <w:pPr>
        <w:jc w:val="both"/>
        <w:ind w:left="10" w:right="20" w:firstLine="540"/>
        <w:spacing w:after="0" w:line="259" w:lineRule="auto"/>
        <w:rPr>
          <w:sz w:val="20"/>
          <w:szCs w:val="20"/>
          <w:color w:val="auto"/>
        </w:rPr>
      </w:pPr>
      <w:r>
        <w:rPr>
          <w:rFonts w:ascii="Arial" w:cs="Arial" w:eastAsia="Arial" w:hAnsi="Arial"/>
          <w:sz w:val="20"/>
          <w:szCs w:val="20"/>
          <w:b w:val="1"/>
          <w:bCs w:val="1"/>
          <w:color w:val="auto"/>
        </w:rPr>
        <w:t>On October 1, 2025, the Governor of California signed Senate Bill 302 (“SB 302”) into law. SB 302 provides a gross income exclusion for taxpayers that either elect to receive direct payments from the Internal Revenue Service or receive payment from transfer of certain federal clean energy tax credits beginning tax years on or after January 1, 2026, and before January 1, 2031. The Company is currently evaluating the impacts of SB 302 on its condensed consolidated financial statements.</w:t>
      </w:r>
    </w:p>
    <w:p>
      <w:pPr>
        <w:spacing w:after="0" w:line="79" w:lineRule="exact"/>
        <w:rPr>
          <w:sz w:val="20"/>
          <w:szCs w:val="20"/>
          <w:color w:val="auto"/>
        </w:rPr>
      </w:pPr>
    </w:p>
    <w:p>
      <w:pPr>
        <w:ind w:left="550"/>
        <w:spacing w:after="0"/>
        <w:rPr>
          <w:sz w:val="20"/>
          <w:szCs w:val="20"/>
          <w:color w:val="auto"/>
        </w:rPr>
      </w:pPr>
      <w:r>
        <w:rPr>
          <w:rFonts w:ascii="Arial" w:cs="Arial" w:eastAsia="Arial" w:hAnsi="Arial"/>
          <w:sz w:val="20"/>
          <w:szCs w:val="20"/>
          <w:b w:val="1"/>
          <w:bCs w:val="1"/>
          <w:color w:val="auto"/>
        </w:rPr>
        <w:t>The Company made net tax payments during the year ended December 31, 2025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104775</wp:posOffset>
            </wp:positionV>
            <wp:extent cx="6553200" cy="12033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89">
                      <a:extLst>
                        <a:ext uri="{28A0092B-C50C-407E-A947-70E740481C1C}"/>
                      </a:extLst>
                    </a:blip>
                    <a:srcRect/>
                    <a:stretch>
                      <a:fillRect/>
                    </a:stretch>
                  </pic:blipFill>
                  <pic:spPr bwMode="auto">
                    <a:xfrm>
                      <a:off x="0" y="0"/>
                      <a:ext cx="6553200" cy="1203325"/>
                    </a:xfrm>
                    <a:prstGeom prst="rect">
                      <a:avLst/>
                    </a:prstGeom>
                    <a:noFill/>
                  </pic:spPr>
                </pic:pic>
              </a:graphicData>
            </a:graphic>
          </wp:anchor>
        </w:drawing>
      </w:r>
    </w:p>
    <w:p>
      <w:pPr>
        <w:spacing w:after="0" w:line="172" w:lineRule="exact"/>
        <w:rPr>
          <w:sz w:val="20"/>
          <w:szCs w:val="20"/>
          <w:color w:val="auto"/>
        </w:rPr>
      </w:pPr>
    </w:p>
    <w:tbl>
      <w:tblPr>
        <w:tblLayout w:type="fixed"/>
        <w:tblInd w:w="50" w:type="dxa"/>
        <w:tblCellMar>
          <w:top w:w="0" w:type="dxa"/>
          <w:left w:w="0" w:type="dxa"/>
          <w:bottom w:w="0" w:type="dxa"/>
          <w:right w:w="0" w:type="dxa"/>
        </w:tblCellMar>
      </w:tblPr>
      <w:tr>
        <w:trPr>
          <w:trHeight w:val="239"/>
        </w:trPr>
        <w:tc>
          <w:tcPr>
            <w:tcW w:w="890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5"/>
        </w:trPr>
        <w:tc>
          <w:tcPr>
            <w:tcW w:w="8900" w:type="dxa"/>
            <w:vAlign w:val="bottom"/>
          </w:tcPr>
          <w:p>
            <w:pPr>
              <w:spacing w:after="0"/>
              <w:rPr>
                <w:sz w:val="20"/>
                <w:szCs w:val="20"/>
                <w:color w:val="auto"/>
              </w:rPr>
            </w:pPr>
            <w:r>
              <w:rPr>
                <w:rFonts w:ascii="Arial" w:cs="Arial" w:eastAsia="Arial" w:hAnsi="Arial"/>
                <w:sz w:val="18"/>
                <w:szCs w:val="18"/>
                <w:b w:val="1"/>
                <w:bCs w:val="1"/>
                <w:color w:val="auto"/>
              </w:rPr>
              <w:t>India</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12,942</w:t>
            </w:r>
          </w:p>
        </w:tc>
      </w:tr>
      <w:tr>
        <w:trPr>
          <w:trHeight w:val="255"/>
        </w:trPr>
        <w:tc>
          <w:tcPr>
            <w:tcW w:w="8900" w:type="dxa"/>
            <w:vAlign w:val="bottom"/>
          </w:tcPr>
          <w:p>
            <w:pPr>
              <w:spacing w:after="0"/>
              <w:rPr>
                <w:sz w:val="20"/>
                <w:szCs w:val="20"/>
                <w:color w:val="auto"/>
              </w:rPr>
            </w:pPr>
            <w:r>
              <w:rPr>
                <w:rFonts w:ascii="Arial" w:cs="Arial" w:eastAsia="Arial" w:hAnsi="Arial"/>
                <w:sz w:val="18"/>
                <w:szCs w:val="18"/>
                <w:b w:val="1"/>
                <w:bCs w:val="1"/>
                <w:color w:val="auto"/>
              </w:rPr>
              <w:t>Netherlands</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2,690</w:t>
            </w:r>
          </w:p>
        </w:tc>
      </w:tr>
      <w:tr>
        <w:trPr>
          <w:trHeight w:val="255"/>
        </w:trPr>
        <w:tc>
          <w:tcPr>
            <w:tcW w:w="8900" w:type="dxa"/>
            <w:vAlign w:val="bottom"/>
          </w:tcPr>
          <w:p>
            <w:pPr>
              <w:spacing w:after="0"/>
              <w:rPr>
                <w:sz w:val="20"/>
                <w:szCs w:val="20"/>
                <w:color w:val="auto"/>
              </w:rPr>
            </w:pPr>
            <w:r>
              <w:rPr>
                <w:rFonts w:ascii="Arial" w:cs="Arial" w:eastAsia="Arial" w:hAnsi="Arial"/>
                <w:sz w:val="18"/>
                <w:szCs w:val="18"/>
                <w:b w:val="1"/>
                <w:bCs w:val="1"/>
                <w:color w:val="auto"/>
              </w:rPr>
              <w:t>New Jersey</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1,090</w:t>
            </w:r>
          </w:p>
        </w:tc>
      </w:tr>
      <w:tr>
        <w:trPr>
          <w:trHeight w:val="255"/>
        </w:trPr>
        <w:tc>
          <w:tcPr>
            <w:tcW w:w="8900" w:type="dxa"/>
            <w:vAlign w:val="bottom"/>
          </w:tcPr>
          <w:p>
            <w:pPr>
              <w:spacing w:after="0"/>
              <w:rPr>
                <w:sz w:val="20"/>
                <w:szCs w:val="20"/>
                <w:color w:val="auto"/>
              </w:rPr>
            </w:pPr>
            <w:r>
              <w:rPr>
                <w:rFonts w:ascii="Arial" w:cs="Arial" w:eastAsia="Arial" w:hAnsi="Arial"/>
                <w:sz w:val="18"/>
                <w:szCs w:val="18"/>
                <w:b w:val="1"/>
                <w:bCs w:val="1"/>
                <w:color w:val="auto"/>
              </w:rPr>
              <w:t>Other - Foreign</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2,119</w:t>
            </w:r>
          </w:p>
        </w:tc>
      </w:tr>
      <w:tr>
        <w:trPr>
          <w:trHeight w:val="255"/>
        </w:trPr>
        <w:tc>
          <w:tcPr>
            <w:tcW w:w="8900" w:type="dxa"/>
            <w:vAlign w:val="bottom"/>
          </w:tcPr>
          <w:p>
            <w:pPr>
              <w:spacing w:after="0"/>
              <w:rPr>
                <w:sz w:val="20"/>
                <w:szCs w:val="20"/>
                <w:color w:val="auto"/>
              </w:rPr>
            </w:pPr>
            <w:r>
              <w:rPr>
                <w:rFonts w:ascii="Arial" w:cs="Arial" w:eastAsia="Arial" w:hAnsi="Arial"/>
                <w:sz w:val="18"/>
                <w:szCs w:val="18"/>
                <w:b w:val="1"/>
                <w:bCs w:val="1"/>
                <w:color w:val="auto"/>
              </w:rPr>
              <w:t>Other - States</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w:t>
            </w:r>
          </w:p>
        </w:tc>
      </w:tr>
      <w:tr>
        <w:trPr>
          <w:trHeight w:val="245"/>
        </w:trPr>
        <w:tc>
          <w:tcPr>
            <w:tcW w:w="890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20,450</w:t>
            </w:r>
          </w:p>
        </w:tc>
      </w:tr>
      <w:tr>
        <w:trPr>
          <w:trHeight w:val="20"/>
        </w:trPr>
        <w:tc>
          <w:tcPr>
            <w:tcW w:w="8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550" w:hanging="550"/>
        <w:spacing w:after="0"/>
        <w:tabs>
          <w:tab w:leader="none" w:pos="55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CONCENTRATION OF CREDIT RISK AND MAJOR CUSTOMERS</w:t>
      </w:r>
    </w:p>
    <w:p>
      <w:pPr>
        <w:spacing w:after="0" w:line="130" w:lineRule="exact"/>
        <w:rPr>
          <w:sz w:val="20"/>
          <w:szCs w:val="20"/>
          <w:color w:val="auto"/>
        </w:rPr>
      </w:pPr>
    </w:p>
    <w:p>
      <w:pPr>
        <w:jc w:val="both"/>
        <w:ind w:left="10" w:right="20" w:firstLine="540"/>
        <w:spacing w:after="0" w:line="262" w:lineRule="auto"/>
        <w:rPr>
          <w:sz w:val="20"/>
          <w:szCs w:val="20"/>
          <w:color w:val="auto"/>
        </w:rPr>
      </w:pPr>
      <w:r>
        <w:rPr>
          <w:rFonts w:ascii="Arial" w:cs="Arial" w:eastAsia="Arial" w:hAnsi="Arial"/>
          <w:sz w:val="20"/>
          <w:szCs w:val="20"/>
          <w:b w:val="1"/>
          <w:bCs w:val="1"/>
          <w:color w:val="auto"/>
        </w:rPr>
        <w:t>The Company is potentially subject to financial instrument concentration of credit risk through its cash, cash equivalents, restricted cash, marketable securities, accounts receivable and loan receivables. The Company places its cash, cash equivalents, restricted cash and marketable securities with high quality institutions and performs periodic evaluations of their relative credit 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684530</wp:posOffset>
                </wp:positionV>
                <wp:extent cx="6334125"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53.9pt" to="505.85pt,53.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684530</wp:posOffset>
                </wp:positionV>
                <wp:extent cx="633412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53.9pt" to="505.85pt,53.9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
        <w:spacing w:after="0"/>
        <w:rPr>
          <w:sz w:val="20"/>
          <w:szCs w:val="20"/>
          <w:color w:val="auto"/>
        </w:rPr>
      </w:pPr>
      <w:r>
        <w:rPr>
          <w:rFonts w:ascii="Arial" w:cs="Arial" w:eastAsia="Arial" w:hAnsi="Arial"/>
          <w:sz w:val="11"/>
          <w:szCs w:val="11"/>
          <w:b w:val="1"/>
          <w:bCs w:val="1"/>
          <w:color w:val="828282"/>
        </w:rPr>
        <w:t>Enphase Energy, Inc. | 2025 Form 10-K | 111</w:t>
      </w:r>
    </w:p>
    <w:p>
      <w:pPr>
        <w:sectPr>
          <w:pgSz w:w="12240" w:h="15840" w:orient="portrait"/>
          <w:cols w:equalWidth="0" w:num="1">
            <w:col w:w="10270"/>
          </w:cols>
          <w:pgMar w:left="990" w:top="216" w:right="980" w:bottom="0" w:gutter="0" w:footer="0" w:header="0"/>
          <w:type w:val="continuous"/>
        </w:sectPr>
      </w:pPr>
    </w:p>
    <w:bookmarkStart w:id="111" w:name="page112"/>
    <w:bookmarkEnd w:id="111"/>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jc w:val="both"/>
        <w:ind w:left="10" w:right="20" w:firstLine="540"/>
        <w:spacing w:after="0" w:line="262" w:lineRule="auto"/>
        <w:rPr>
          <w:sz w:val="20"/>
          <w:szCs w:val="20"/>
          <w:color w:val="auto"/>
        </w:rPr>
      </w:pPr>
      <w:r>
        <w:rPr>
          <w:rFonts w:ascii="Arial" w:cs="Arial" w:eastAsia="Arial" w:hAnsi="Arial"/>
          <w:sz w:val="20"/>
          <w:szCs w:val="20"/>
          <w:b w:val="1"/>
          <w:bCs w:val="1"/>
          <w:color w:val="auto"/>
        </w:rPr>
        <w:t>Accounts receivable can be potentially exposed to a concentration of credit risk with its major customers. As of December 31, 2025, amounts due from three customers represented approximately 31%, 22% and 14% of the total accounts receivable balance, as compared to one customer represented approximately 43% of the total accounts receivable balance as of December 31, 2024.</w:t>
      </w:r>
    </w:p>
    <w:p>
      <w:pPr>
        <w:spacing w:after="0" w:line="76"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In the years ended December 31, 2025, 2024 and 2023, one customer accounted for approximately 39%, 48% and 40%, respectively, of the Company’s net revenues.</w:t>
      </w:r>
    </w:p>
    <w:p>
      <w:pPr>
        <w:spacing w:after="0" w:line="50" w:lineRule="exact"/>
        <w:rPr>
          <w:sz w:val="20"/>
          <w:szCs w:val="20"/>
          <w:color w:val="auto"/>
        </w:rPr>
      </w:pPr>
    </w:p>
    <w:p>
      <w:pPr>
        <w:ind w:left="550" w:hanging="550"/>
        <w:spacing w:after="0"/>
        <w:tabs>
          <w:tab w:leader="none" w:pos="55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NET INCOME PER SHARE</w:t>
      </w:r>
    </w:p>
    <w:p>
      <w:pPr>
        <w:spacing w:after="0" w:line="130" w:lineRule="exact"/>
        <w:rPr>
          <w:sz w:val="20"/>
          <w:szCs w:val="20"/>
          <w:color w:val="auto"/>
        </w:rPr>
      </w:pPr>
    </w:p>
    <w:p>
      <w:pPr>
        <w:jc w:val="both"/>
        <w:ind w:left="10" w:right="20" w:firstLine="540"/>
        <w:spacing w:after="0" w:line="289" w:lineRule="auto"/>
        <w:rPr>
          <w:sz w:val="20"/>
          <w:szCs w:val="20"/>
          <w:color w:val="auto"/>
        </w:rPr>
      </w:pPr>
      <w:r>
        <w:rPr>
          <w:rFonts w:ascii="Arial" w:cs="Arial" w:eastAsia="Arial" w:hAnsi="Arial"/>
          <w:sz w:val="19"/>
          <w:szCs w:val="19"/>
          <w:b w:val="1"/>
          <w:bCs w:val="1"/>
          <w:color w:val="auto"/>
        </w:rPr>
        <w:t>Basic net income per share is computed by dividing net income by the weighted average number of shares of common stock outstanding during the period. Diluted net income per share is computed in a similar manner, but it also includes the effect of potential common shares outstanding during the period, when dilutive.</w:t>
      </w:r>
    </w:p>
    <w:p>
      <w:pPr>
        <w:spacing w:after="0" w:line="51" w:lineRule="exact"/>
        <w:rPr>
          <w:sz w:val="20"/>
          <w:szCs w:val="20"/>
          <w:color w:val="auto"/>
        </w:rPr>
      </w:pPr>
    </w:p>
    <w:p>
      <w:pPr>
        <w:jc w:val="both"/>
        <w:ind w:left="10" w:right="20" w:firstLine="540"/>
        <w:spacing w:after="0" w:line="287" w:lineRule="auto"/>
        <w:rPr>
          <w:sz w:val="20"/>
          <w:szCs w:val="20"/>
          <w:color w:val="auto"/>
        </w:rPr>
      </w:pPr>
      <w:r>
        <w:rPr>
          <w:rFonts w:ascii="Arial" w:cs="Arial" w:eastAsia="Arial" w:hAnsi="Arial"/>
          <w:sz w:val="20"/>
          <w:szCs w:val="20"/>
          <w:b w:val="1"/>
          <w:bCs w:val="1"/>
          <w:color w:val="auto"/>
        </w:rPr>
        <w:t>The following table presents the computation of basic and diluted net income per share for the periods presented:</w:t>
      </w:r>
    </w:p>
    <w:p>
      <w:pPr>
        <w:spacing w:after="0" w:line="121"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6"/>
                <w:szCs w:val="16"/>
                <w:b w:val="1"/>
                <w:bCs w:val="1"/>
                <w:color w:val="auto"/>
                <w:w w:val="99"/>
              </w:rPr>
              <w:t>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3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gridSpan w:val="7"/>
          </w:tcPr>
          <w:p>
            <w:pPr>
              <w:jc w:val="center"/>
              <w:ind w:right="211"/>
              <w:spacing w:after="0"/>
              <w:rPr>
                <w:sz w:val="20"/>
                <w:szCs w:val="20"/>
                <w:color w:val="auto"/>
              </w:rPr>
            </w:pPr>
            <w:r>
              <w:rPr>
                <w:rFonts w:ascii="Arial" w:cs="Arial" w:eastAsia="Arial" w:hAnsi="Arial"/>
                <w:sz w:val="16"/>
                <w:szCs w:val="16"/>
                <w:b w:val="1"/>
                <w:bCs w:val="1"/>
                <w:i w:val="1"/>
                <w:iCs w:val="1"/>
                <w:color w:val="auto"/>
                <w:w w:val="93"/>
              </w:rPr>
              <w:t>(In thousands, except per share data)</w:t>
            </w:r>
          </w:p>
        </w:tc>
        <w:tc>
          <w:tcPr>
            <w:tcW w:w="0" w:type="dxa"/>
            <w:vAlign w:val="bottom"/>
          </w:tcPr>
          <w:p>
            <w:pPr>
              <w:spacing w:after="0"/>
              <w:rPr>
                <w:sz w:val="1"/>
                <w:szCs w:val="1"/>
                <w:color w:val="auto"/>
              </w:rPr>
            </w:pPr>
          </w:p>
        </w:tc>
      </w:tr>
      <w:tr>
        <w:trPr>
          <w:trHeight w:val="274"/>
        </w:trPr>
        <w:tc>
          <w:tcPr>
            <w:tcW w:w="614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1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172,133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102,658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438,936</w:t>
            </w:r>
          </w:p>
        </w:tc>
        <w:tc>
          <w:tcPr>
            <w:tcW w:w="0" w:type="dxa"/>
            <w:vAlign w:val="bottom"/>
          </w:tcPr>
          <w:p>
            <w:pPr>
              <w:spacing w:after="0"/>
              <w:rPr>
                <w:sz w:val="1"/>
                <w:szCs w:val="1"/>
                <w:color w:val="auto"/>
              </w:rPr>
            </w:pPr>
          </w:p>
        </w:tc>
      </w:tr>
      <w:tr>
        <w:trPr>
          <w:trHeight w:val="255"/>
        </w:trPr>
        <w:tc>
          <w:tcPr>
            <w:tcW w:w="6140" w:type="dxa"/>
            <w:vAlign w:val="bottom"/>
          </w:tcPr>
          <w:p>
            <w:pPr>
              <w:ind w:left="120"/>
              <w:spacing w:after="0"/>
              <w:rPr>
                <w:sz w:val="20"/>
                <w:szCs w:val="20"/>
                <w:color w:val="auto"/>
              </w:rPr>
            </w:pPr>
            <w:r>
              <w:rPr>
                <w:rFonts w:ascii="Arial" w:cs="Arial" w:eastAsia="Arial" w:hAnsi="Arial"/>
                <w:sz w:val="18"/>
                <w:szCs w:val="18"/>
                <w:b w:val="1"/>
                <w:bCs w:val="1"/>
                <w:color w:val="auto"/>
              </w:rPr>
              <w:t>Notes due 2028 and Notes due 2026 financing costs, net</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2,486</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2,573</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174,100</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105,144</w:t>
            </w:r>
          </w:p>
        </w:tc>
        <w:tc>
          <w:tcPr>
            <w:tcW w:w="60" w:type="dxa"/>
            <w:vAlign w:val="bottom"/>
          </w:tcPr>
          <w:p>
            <w:pPr>
              <w:spacing w:after="0"/>
              <w:rPr>
                <w:sz w:val="18"/>
                <w:szCs w:val="18"/>
                <w:color w:val="auto"/>
              </w:rPr>
            </w:pP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441,509</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140" w:type="dxa"/>
            <w:vAlign w:val="bottom"/>
          </w:tcPr>
          <w:p>
            <w:pPr>
              <w:spacing w:after="0"/>
              <w:rPr>
                <w:sz w:val="20"/>
                <w:szCs w:val="20"/>
                <w:color w:val="auto"/>
              </w:rPr>
            </w:pPr>
            <w:r>
              <w:rPr>
                <w:rFonts w:ascii="Arial" w:cs="Arial" w:eastAsia="Arial" w:hAnsi="Arial"/>
                <w:sz w:val="18"/>
                <w:szCs w:val="18"/>
                <w:b w:val="1"/>
                <w:bCs w:val="1"/>
                <w:color w:val="auto"/>
              </w:rPr>
              <w:t>Shares used in basic per share amounts: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131,162</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135,167</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136,376</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Shares used in diluted per share amounts: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6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140" w:type="dxa"/>
            <w:vAlign w:val="bottom"/>
          </w:tcPr>
          <w:p>
            <w:pPr>
              <w:ind w:left="120"/>
              <w:spacing w:after="0"/>
              <w:rPr>
                <w:sz w:val="20"/>
                <w:szCs w:val="20"/>
                <w:color w:val="auto"/>
              </w:rPr>
            </w:pPr>
            <w:r>
              <w:rPr>
                <w:rFonts w:ascii="Arial" w:cs="Arial" w:eastAsia="Arial" w:hAnsi="Arial"/>
                <w:sz w:val="18"/>
                <w:szCs w:val="18"/>
                <w:b w:val="1"/>
                <w:bCs w:val="1"/>
                <w:color w:val="auto"/>
                <w:w w:val="95"/>
              </w:rPr>
              <w:t>Weighted average common shares outstanding used for basic calculation</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131,162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135,167</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136,376</w:t>
            </w:r>
          </w:p>
        </w:tc>
        <w:tc>
          <w:tcPr>
            <w:tcW w:w="0" w:type="dxa"/>
            <w:vAlign w:val="bottom"/>
          </w:tcPr>
          <w:p>
            <w:pPr>
              <w:spacing w:after="0"/>
              <w:rPr>
                <w:sz w:val="1"/>
                <w:szCs w:val="1"/>
                <w:color w:val="auto"/>
              </w:rPr>
            </w:pPr>
          </w:p>
        </w:tc>
      </w:tr>
      <w:tr>
        <w:trPr>
          <w:trHeight w:val="255"/>
        </w:trPr>
        <w:tc>
          <w:tcPr>
            <w:tcW w:w="6140" w:type="dxa"/>
            <w:vAlign w:val="bottom"/>
          </w:tcPr>
          <w:p>
            <w:pPr>
              <w:ind w:left="120"/>
              <w:spacing w:after="0"/>
              <w:rPr>
                <w:sz w:val="20"/>
                <w:szCs w:val="20"/>
                <w:color w:val="auto"/>
              </w:rPr>
            </w:pPr>
            <w:r>
              <w:rPr>
                <w:rFonts w:ascii="Arial" w:cs="Arial" w:eastAsia="Arial" w:hAnsi="Arial"/>
                <w:sz w:val="18"/>
                <w:szCs w:val="18"/>
                <w:b w:val="1"/>
                <w:bCs w:val="1"/>
                <w:color w:val="auto"/>
              </w:rPr>
              <w:t>Effect of dilutive securities: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Employee stock-based awards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1,782</w:t>
            </w:r>
          </w:p>
        </w:tc>
        <w:tc>
          <w:tcPr>
            <w:tcW w:w="0" w:type="dxa"/>
            <w:vAlign w:val="bottom"/>
          </w:tcPr>
          <w:p>
            <w:pPr>
              <w:spacing w:after="0"/>
              <w:rPr>
                <w:sz w:val="1"/>
                <w:szCs w:val="1"/>
                <w:color w:val="auto"/>
              </w:rPr>
            </w:pPr>
          </w:p>
        </w:tc>
      </w:tr>
      <w:tr>
        <w:trPr>
          <w:trHeight w:val="255"/>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Notes due 2023</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0" w:type="dxa"/>
            <w:vAlign w:val="bottom"/>
          </w:tcPr>
          <w:p>
            <w:pPr>
              <w:spacing w:after="0"/>
              <w:rPr>
                <w:sz w:val="1"/>
                <w:szCs w:val="1"/>
                <w:color w:val="auto"/>
              </w:rPr>
            </w:pPr>
          </w:p>
        </w:tc>
      </w:tr>
      <w:tr>
        <w:trPr>
          <w:trHeight w:val="255"/>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Notes due 2025</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6140" w:type="dxa"/>
            <w:vAlign w:val="bottom"/>
          </w:tcPr>
          <w:p>
            <w:pPr>
              <w:ind w:left="280"/>
              <w:spacing w:after="0"/>
              <w:rPr>
                <w:sz w:val="20"/>
                <w:szCs w:val="20"/>
                <w:color w:val="auto"/>
              </w:rPr>
            </w:pPr>
            <w:r>
              <w:rPr>
                <w:rFonts w:ascii="Arial" w:cs="Arial" w:eastAsia="Arial" w:hAnsi="Arial"/>
                <w:sz w:val="18"/>
                <w:szCs w:val="18"/>
                <w:b w:val="1"/>
                <w:bCs w:val="1"/>
                <w:color w:val="auto"/>
              </w:rPr>
              <w:t>2025 Warrants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0" w:type="dxa"/>
            <w:vAlign w:val="bottom"/>
          </w:tcPr>
          <w:p>
            <w:pPr>
              <w:spacing w:after="0"/>
              <w:rPr>
                <w:sz w:val="1"/>
                <w:szCs w:val="1"/>
                <w:color w:val="auto"/>
              </w:rPr>
            </w:pPr>
          </w:p>
        </w:tc>
      </w:tr>
      <w:tr>
        <w:trPr>
          <w:trHeight w:val="255"/>
        </w:trPr>
        <w:tc>
          <w:tcPr>
            <w:tcW w:w="6140" w:type="dxa"/>
            <w:vAlign w:val="bottom"/>
          </w:tcPr>
          <w:p>
            <w:pPr>
              <w:ind w:left="300"/>
              <w:spacing w:after="0"/>
              <w:rPr>
                <w:sz w:val="20"/>
                <w:szCs w:val="20"/>
                <w:color w:val="auto"/>
              </w:rPr>
            </w:pPr>
            <w:r>
              <w:rPr>
                <w:rFonts w:ascii="Arial" w:cs="Arial" w:eastAsia="Arial" w:hAnsi="Arial"/>
                <w:sz w:val="18"/>
                <w:szCs w:val="18"/>
                <w:b w:val="1"/>
                <w:bCs w:val="1"/>
                <w:color w:val="auto"/>
              </w:rPr>
              <w:t>Notes due 2026</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1,353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2,057</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2,057</w:t>
            </w:r>
          </w:p>
        </w:tc>
        <w:tc>
          <w:tcPr>
            <w:tcW w:w="0" w:type="dxa"/>
            <w:vAlign w:val="bottom"/>
          </w:tcPr>
          <w:p>
            <w:pPr>
              <w:spacing w:after="0"/>
              <w:rPr>
                <w:sz w:val="1"/>
                <w:szCs w:val="1"/>
                <w:color w:val="auto"/>
              </w:rPr>
            </w:pPr>
          </w:p>
        </w:tc>
      </w:tr>
      <w:tr>
        <w:trPr>
          <w:trHeight w:val="255"/>
        </w:trPr>
        <w:tc>
          <w:tcPr>
            <w:tcW w:w="6140" w:type="dxa"/>
            <w:vAlign w:val="bottom"/>
          </w:tcPr>
          <w:p>
            <w:pPr>
              <w:ind w:left="300"/>
              <w:spacing w:after="0"/>
              <w:rPr>
                <w:sz w:val="20"/>
                <w:szCs w:val="20"/>
                <w:color w:val="auto"/>
              </w:rPr>
            </w:pPr>
            <w:r>
              <w:rPr>
                <w:rFonts w:ascii="Arial" w:cs="Arial" w:eastAsia="Arial" w:hAnsi="Arial"/>
                <w:sz w:val="18"/>
                <w:szCs w:val="18"/>
                <w:b w:val="1"/>
                <w:bCs w:val="1"/>
                <w:color w:val="auto"/>
              </w:rPr>
              <w:t>Notes due 2028</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5"/>
        </w:trPr>
        <w:tc>
          <w:tcPr>
            <w:tcW w:w="6140" w:type="dxa"/>
            <w:vAlign w:val="bottom"/>
          </w:tcPr>
          <w:p>
            <w:pPr>
              <w:ind w:left="120"/>
              <w:spacing w:after="0"/>
              <w:rPr>
                <w:sz w:val="20"/>
                <w:szCs w:val="20"/>
                <w:color w:val="auto"/>
              </w:rPr>
            </w:pPr>
            <w:r>
              <w:rPr>
                <w:rFonts w:ascii="Arial" w:cs="Arial" w:eastAsia="Arial" w:hAnsi="Arial"/>
                <w:sz w:val="18"/>
                <w:szCs w:val="18"/>
                <w:b w:val="1"/>
                <w:bCs w:val="1"/>
                <w:color w:val="auto"/>
              </w:rPr>
              <w:t>Weighted average common shares outstanding for diluted calculation</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134,886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140,004</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143,290</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140" w:type="dxa"/>
            <w:vAlign w:val="bottom"/>
          </w:tcPr>
          <w:p>
            <w:pPr>
              <w:spacing w:after="0"/>
              <w:rPr>
                <w:sz w:val="20"/>
                <w:szCs w:val="20"/>
                <w:color w:val="auto"/>
              </w:rPr>
            </w:pPr>
            <w:r>
              <w:rPr>
                <w:rFonts w:ascii="Arial" w:cs="Arial" w:eastAsia="Arial" w:hAnsi="Arial"/>
                <w:sz w:val="18"/>
                <w:szCs w:val="18"/>
                <w:b w:val="1"/>
                <w:bCs w:val="1"/>
                <w:color w:val="auto"/>
              </w:rPr>
              <w:t>Net income per share, basic</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0.76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4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1.29</w:t>
            </w:r>
          </w:p>
        </w:tc>
        <w:tc>
          <w:tcPr>
            <w:tcW w:w="6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0.75</w:t>
            </w:r>
          </w:p>
        </w:tc>
        <w:tc>
          <w:tcPr>
            <w:tcW w:w="60" w:type="dxa"/>
            <w:vAlign w:val="bottom"/>
            <w:vMerge w:val="continue"/>
          </w:tcPr>
          <w:p>
            <w:pPr>
              <w:spacing w:after="0"/>
              <w:rPr>
                <w:sz w:val="16"/>
                <w:szCs w:val="16"/>
                <w:color w:val="auto"/>
              </w:rPr>
            </w:pPr>
          </w:p>
        </w:tc>
        <w:tc>
          <w:tcPr>
            <w:tcW w:w="400" w:type="dxa"/>
            <w:vAlign w:val="bottom"/>
            <w:tcBorders>
              <w:bottom w:val="single" w:sz="8" w:color="auto"/>
            </w:tcBorders>
          </w:tcPr>
          <w:p>
            <w:pPr>
              <w:jc w:val="right"/>
              <w:ind w:right="150"/>
              <w:spacing w:after="0" w:line="195"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-3869690</wp:posOffset>
            </wp:positionV>
            <wp:extent cx="6553200" cy="38893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90">
                      <a:extLst>
                        <a:ext uri="{28A0092B-C50C-407E-A947-70E740481C1C}"/>
                      </a:extLst>
                    </a:blip>
                    <a:srcRect/>
                    <a:stretch>
                      <a:fillRect/>
                    </a:stretch>
                  </pic:blipFill>
                  <pic:spPr bwMode="auto">
                    <a:xfrm>
                      <a:off x="0" y="0"/>
                      <a:ext cx="6553200" cy="3889375"/>
                    </a:xfrm>
                    <a:prstGeom prst="rect">
                      <a:avLst/>
                    </a:prstGeom>
                    <a:noFill/>
                  </pic:spPr>
                </pic:pic>
              </a:graphicData>
            </a:graphic>
          </wp:anchor>
        </w:drawing>
      </w:r>
    </w:p>
    <w:p>
      <w:pPr>
        <w:spacing w:after="0" w:line="115" w:lineRule="exact"/>
        <w:rPr>
          <w:sz w:val="20"/>
          <w:szCs w:val="20"/>
          <w:color w:val="auto"/>
        </w:rPr>
      </w:pPr>
    </w:p>
    <w:p>
      <w:pPr>
        <w:jc w:val="both"/>
        <w:ind w:left="10" w:right="20" w:firstLine="540"/>
        <w:spacing w:after="0" w:line="254" w:lineRule="auto"/>
        <w:rPr>
          <w:sz w:val="20"/>
          <w:szCs w:val="20"/>
          <w:color w:val="auto"/>
        </w:rPr>
      </w:pPr>
      <w:r>
        <w:rPr>
          <w:rFonts w:ascii="Arial" w:cs="Arial" w:eastAsia="Arial" w:hAnsi="Arial"/>
          <w:sz w:val="20"/>
          <w:szCs w:val="20"/>
          <w:b w:val="1"/>
          <w:bCs w:val="1"/>
          <w:color w:val="auto"/>
        </w:rPr>
        <w:t>Diluted earnings per share for the year ended December 31, 2025 includes the dilutive effect of potentially dilutive common shares by application of the treasury stock method for stock options, RSUs, PSUs, ESPP, and includes potentially dilutive common shares by application of the if-converted method for the Notes due 2026 and the Notes due 2028. Diluted earnings per share for the year ended December 31, 2024 includes the dilutive effect of potentially dilutive common shares by application of the treasury stock method for stock options, RSUs, PSUs, ESPP, Notes due 2025, and includes potentially dilutive common shares by application of the if-converted method for the Notes due 2026 and Notes due 2028. Potentially dilutive common shares for the year ended December 31, 2023 include stock options, RSUs, PSUs, ESPP, Notes due 2023, Notes due 2026, Notes due 2028 and the 2025 Warrants. To the extent these potential common shares are antidilutive, they are excluded from the calculation of diluted net income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520065</wp:posOffset>
                </wp:positionV>
                <wp:extent cx="6334125"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40.95pt" to="505.85pt,40.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520065</wp:posOffset>
                </wp:positionV>
                <wp:extent cx="6334125"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40.95pt" to="505.85pt,40.9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112</w:t>
      </w:r>
    </w:p>
    <w:p>
      <w:pPr>
        <w:sectPr>
          <w:pgSz w:w="12240" w:h="15840" w:orient="portrait"/>
          <w:cols w:equalWidth="0" w:num="1">
            <w:col w:w="10270"/>
          </w:cols>
          <w:pgMar w:left="990" w:top="216" w:right="980" w:bottom="0" w:gutter="0" w:footer="0" w:header="0"/>
          <w:type w:val="continuous"/>
        </w:sectPr>
      </w:pPr>
    </w:p>
    <w:bookmarkStart w:id="112" w:name="page113"/>
    <w:bookmarkEnd w:id="112"/>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jc w:val="both"/>
        <w:ind w:left="10" w:firstLine="540"/>
        <w:spacing w:after="0" w:line="259" w:lineRule="auto"/>
        <w:rPr>
          <w:sz w:val="20"/>
          <w:szCs w:val="20"/>
          <w:color w:val="auto"/>
        </w:rPr>
      </w:pPr>
      <w:r>
        <w:rPr>
          <w:rFonts w:ascii="Arial" w:cs="Arial" w:eastAsia="Arial" w:hAnsi="Arial"/>
          <w:sz w:val="20"/>
          <w:szCs w:val="20"/>
          <w:b w:val="1"/>
          <w:bCs w:val="1"/>
          <w:color w:val="auto"/>
        </w:rPr>
        <w:t>The Company under the relevant sections of the indenture, irrevocably may elect to settle principal in cash and any excess conversion value in cash or shares of the Company’s common stock for the Notes due 2028. If and when the Company makes such election, there would be no adjustment to net income and the Company would use the average share price to determine the potential number of shares issuable upon an assumed conversion to be included in the diluted share count.</w:t>
      </w:r>
    </w:p>
    <w:p>
      <w:pPr>
        <w:spacing w:after="0" w:line="79" w:lineRule="exact"/>
        <w:rPr>
          <w:sz w:val="20"/>
          <w:szCs w:val="20"/>
          <w:color w:val="auto"/>
        </w:rPr>
      </w:pPr>
    </w:p>
    <w:p>
      <w:pPr>
        <w:jc w:val="both"/>
        <w:ind w:left="10" w:right="20" w:firstLine="540"/>
        <w:spacing w:after="0" w:line="272" w:lineRule="auto"/>
        <w:rPr>
          <w:sz w:val="20"/>
          <w:szCs w:val="20"/>
          <w:color w:val="auto"/>
        </w:rPr>
      </w:pPr>
      <w:r>
        <w:rPr>
          <w:rFonts w:ascii="Arial" w:cs="Arial" w:eastAsia="Arial" w:hAnsi="Arial"/>
          <w:sz w:val="19"/>
          <w:szCs w:val="19"/>
          <w:b w:val="1"/>
          <w:bCs w:val="1"/>
          <w:color w:val="auto"/>
        </w:rPr>
        <w:t>The Notes due 2026 are convertible at any time from September 1, 2025 until the close of business on the second scheduled trading day immediately preceding the maturity date of March 1, 2026. Upon conversion, the Company has elected, on August 28, 2025, to settle the Notes due 2026 with a combination of cash and shares of the Company’s common stock, whereby the principal amount would be settled in cash and any excess conversion value would be settled in shares of the Company's common stock. As a result, after the election date, there is no adjustment to net income and the Company uses the average share price to determine the potential number of shares issuable upon an assumed conversion to be included in the diluted share count.</w:t>
      </w:r>
    </w:p>
    <w:p>
      <w:pPr>
        <w:spacing w:after="0" w:line="67" w:lineRule="exact"/>
        <w:rPr>
          <w:sz w:val="20"/>
          <w:szCs w:val="20"/>
          <w:color w:val="auto"/>
        </w:rPr>
      </w:pPr>
    </w:p>
    <w:p>
      <w:pPr>
        <w:jc w:val="both"/>
        <w:ind w:left="10" w:right="20" w:firstLine="540"/>
        <w:spacing w:after="0" w:line="345" w:lineRule="auto"/>
        <w:rPr>
          <w:sz w:val="20"/>
          <w:szCs w:val="20"/>
          <w:color w:val="auto"/>
        </w:rPr>
      </w:pPr>
      <w:r>
        <w:rPr>
          <w:rFonts w:ascii="Arial" w:cs="Arial" w:eastAsia="Arial" w:hAnsi="Arial"/>
          <w:sz w:val="18"/>
          <w:szCs w:val="18"/>
          <w:b w:val="1"/>
          <w:bCs w:val="1"/>
          <w:color w:val="auto"/>
        </w:rPr>
        <w:t>The following outstanding shares of common stock equivalents were excluded from the calculation of the diluted net income per share attributable to common stockholders because their effect would have been antidilutive:</w:t>
      </w:r>
    </w:p>
    <w:p>
      <w:pPr>
        <w:spacing w:after="0" w:line="76"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6140" w:type="dxa"/>
            <w:vAlign w:val="bottom"/>
          </w:tcPr>
          <w:p>
            <w:pPr>
              <w:spacing w:after="0"/>
              <w:rPr>
                <w:sz w:val="18"/>
                <w:szCs w:val="18"/>
                <w:color w:val="auto"/>
              </w:rPr>
            </w:pPr>
          </w:p>
        </w:tc>
        <w:tc>
          <w:tcPr>
            <w:tcW w:w="3160" w:type="dxa"/>
            <w:vAlign w:val="bottom"/>
            <w:tcBorders>
              <w:bottom w:val="single" w:sz="8" w:color="auto"/>
            </w:tcBorders>
            <w:gridSpan w:val="5"/>
          </w:tcPr>
          <w:p>
            <w:pPr>
              <w:jc w:val="center"/>
              <w:ind w:left="832"/>
              <w:spacing w:after="0"/>
              <w:rPr>
                <w:sz w:val="20"/>
                <w:szCs w:val="20"/>
                <w:color w:val="auto"/>
              </w:rPr>
            </w:pPr>
            <w:r>
              <w:rPr>
                <w:rFonts w:ascii="Arial" w:cs="Arial" w:eastAsia="Arial" w:hAnsi="Arial"/>
                <w:sz w:val="16"/>
                <w:szCs w:val="16"/>
                <w:b w:val="1"/>
                <w:bCs w:val="1"/>
                <w:color w:val="auto"/>
                <w:w w:val="99"/>
              </w:rPr>
              <w:t>Years Ended December 31,</w:t>
            </w:r>
          </w:p>
        </w:tc>
        <w:tc>
          <w:tcPr>
            <w:tcW w:w="92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19"/>
                <w:szCs w:val="19"/>
                <w:color w:val="auto"/>
              </w:rPr>
            </w:pPr>
          </w:p>
        </w:tc>
        <w:tc>
          <w:tcPr>
            <w:tcW w:w="13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r>
      <w:tr>
        <w:trPr>
          <w:trHeight w:val="269"/>
        </w:trPr>
        <w:tc>
          <w:tcPr>
            <w:tcW w:w="6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6"/>
                <w:szCs w:val="16"/>
                <w:b w:val="1"/>
                <w:bCs w:val="1"/>
                <w:i w:val="1"/>
                <w:iCs w:val="1"/>
                <w:color w:val="auto"/>
                <w:w w:val="92"/>
              </w:rPr>
              <w:t>(In thousands)</w:t>
            </w:r>
          </w:p>
        </w:tc>
        <w:tc>
          <w:tcPr>
            <w:tcW w:w="920" w:type="dxa"/>
            <w:vAlign w:val="bottom"/>
          </w:tcPr>
          <w:p>
            <w:pPr>
              <w:spacing w:after="0"/>
              <w:rPr>
                <w:sz w:val="23"/>
                <w:szCs w:val="23"/>
                <w:color w:val="auto"/>
              </w:rPr>
            </w:pPr>
          </w:p>
        </w:tc>
      </w:tr>
      <w:tr>
        <w:trPr>
          <w:trHeight w:val="311"/>
        </w:trPr>
        <w:tc>
          <w:tcPr>
            <w:tcW w:w="6140" w:type="dxa"/>
            <w:vAlign w:val="bottom"/>
          </w:tcPr>
          <w:p>
            <w:pPr>
              <w:spacing w:after="0"/>
              <w:rPr>
                <w:sz w:val="20"/>
                <w:szCs w:val="20"/>
                <w:color w:val="auto"/>
              </w:rPr>
            </w:pPr>
            <w:r>
              <w:rPr>
                <w:rFonts w:ascii="Arial" w:cs="Arial" w:eastAsia="Arial" w:hAnsi="Arial"/>
                <w:sz w:val="18"/>
                <w:szCs w:val="18"/>
                <w:b w:val="1"/>
                <w:bCs w:val="1"/>
                <w:color w:val="auto"/>
              </w:rPr>
              <w:t>Employee stock-based awards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3,234</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1,113</w:t>
            </w:r>
          </w:p>
        </w:tc>
      </w:tr>
      <w:tr>
        <w:trPr>
          <w:trHeight w:val="285"/>
        </w:trPr>
        <w:tc>
          <w:tcPr>
            <w:tcW w:w="6140" w:type="dxa"/>
            <w:vAlign w:val="bottom"/>
          </w:tcPr>
          <w:p>
            <w:pPr>
              <w:spacing w:after="0"/>
              <w:rPr>
                <w:sz w:val="20"/>
                <w:szCs w:val="20"/>
                <w:color w:val="auto"/>
              </w:rPr>
            </w:pPr>
            <w:r>
              <w:rPr>
                <w:rFonts w:ascii="Arial" w:cs="Arial" w:eastAsia="Arial" w:hAnsi="Arial"/>
                <w:sz w:val="18"/>
                <w:szCs w:val="18"/>
                <w:b w:val="1"/>
                <w:bCs w:val="1"/>
                <w:color w:val="auto"/>
              </w:rPr>
              <w:t>2025 Warrants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619</w:t>
            </w:r>
          </w:p>
        </w:tc>
        <w:tc>
          <w:tcPr>
            <w:tcW w:w="60" w:type="dxa"/>
            <w:vAlign w:val="bottom"/>
          </w:tcPr>
          <w:p>
            <w:pPr>
              <w:spacing w:after="0"/>
              <w:rPr>
                <w:sz w:val="24"/>
                <w:szCs w:val="24"/>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5"/>
        </w:trPr>
        <w:tc>
          <w:tcPr>
            <w:tcW w:w="6140" w:type="dxa"/>
            <w:vAlign w:val="bottom"/>
          </w:tcPr>
          <w:p>
            <w:pPr>
              <w:spacing w:after="0"/>
              <w:rPr>
                <w:sz w:val="20"/>
                <w:szCs w:val="20"/>
                <w:color w:val="auto"/>
              </w:rPr>
            </w:pPr>
            <w:r>
              <w:rPr>
                <w:rFonts w:ascii="Arial" w:cs="Arial" w:eastAsia="Arial" w:hAnsi="Arial"/>
                <w:sz w:val="18"/>
                <w:szCs w:val="18"/>
                <w:b w:val="1"/>
                <w:bCs w:val="1"/>
                <w:color w:val="auto"/>
              </w:rPr>
              <w:t>Notes due 2025</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60" w:type="dxa"/>
            <w:vAlign w:val="bottom"/>
          </w:tcPr>
          <w:p>
            <w:pPr>
              <w:spacing w:after="0"/>
              <w:rPr>
                <w:sz w:val="24"/>
                <w:szCs w:val="24"/>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1,253</w:t>
            </w:r>
          </w:p>
        </w:tc>
      </w:tr>
      <w:tr>
        <w:trPr>
          <w:trHeight w:val="255"/>
        </w:trPr>
        <w:tc>
          <w:tcPr>
            <w:tcW w:w="6140" w:type="dxa"/>
            <w:vAlign w:val="bottom"/>
          </w:tcPr>
          <w:p>
            <w:pPr>
              <w:spacing w:after="0"/>
              <w:rPr>
                <w:sz w:val="20"/>
                <w:szCs w:val="20"/>
                <w:color w:val="auto"/>
              </w:rPr>
            </w:pPr>
            <w:r>
              <w:rPr>
                <w:rFonts w:ascii="Arial" w:cs="Arial" w:eastAsia="Arial" w:hAnsi="Arial"/>
                <w:sz w:val="18"/>
                <w:szCs w:val="18"/>
                <w:b w:val="1"/>
                <w:bCs w:val="1"/>
                <w:color w:val="auto"/>
              </w:rPr>
              <w:t>Notes due 2026</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60" w:type="dxa"/>
            <w:vAlign w:val="bottom"/>
          </w:tcPr>
          <w:p>
            <w:pPr>
              <w:spacing w:after="0"/>
              <w:rPr>
                <w:sz w:val="22"/>
                <w:szCs w:val="22"/>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5"/>
        </w:trPr>
        <w:tc>
          <w:tcPr>
            <w:tcW w:w="6140" w:type="dxa"/>
            <w:vAlign w:val="bottom"/>
          </w:tcPr>
          <w:p>
            <w:pPr>
              <w:spacing w:after="0"/>
              <w:rPr>
                <w:sz w:val="20"/>
                <w:szCs w:val="20"/>
                <w:color w:val="auto"/>
              </w:rPr>
            </w:pPr>
            <w:r>
              <w:rPr>
                <w:rFonts w:ascii="Arial" w:cs="Arial" w:eastAsia="Arial" w:hAnsi="Arial"/>
                <w:sz w:val="18"/>
                <w:szCs w:val="18"/>
                <w:b w:val="1"/>
                <w:bCs w:val="1"/>
                <w:color w:val="auto"/>
              </w:rPr>
              <w:t>2026 Warrants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2,057</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5,673</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3,038</w:t>
            </w:r>
          </w:p>
        </w:tc>
      </w:tr>
      <w:tr>
        <w:trPr>
          <w:trHeight w:val="255"/>
        </w:trPr>
        <w:tc>
          <w:tcPr>
            <w:tcW w:w="6140" w:type="dxa"/>
            <w:vAlign w:val="bottom"/>
          </w:tcPr>
          <w:p>
            <w:pPr>
              <w:spacing w:after="0"/>
              <w:rPr>
                <w:sz w:val="20"/>
                <w:szCs w:val="20"/>
                <w:color w:val="auto"/>
              </w:rPr>
            </w:pPr>
            <w:r>
              <w:rPr>
                <w:rFonts w:ascii="Arial" w:cs="Arial" w:eastAsia="Arial" w:hAnsi="Arial"/>
                <w:sz w:val="18"/>
                <w:szCs w:val="18"/>
                <w:b w:val="1"/>
                <w:bCs w:val="1"/>
                <w:color w:val="auto"/>
              </w:rPr>
              <w:t>2028 Warrants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5,566</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2,981</w:t>
            </w:r>
          </w:p>
        </w:tc>
      </w:tr>
      <w:tr>
        <w:trPr>
          <w:trHeight w:val="245"/>
        </w:trPr>
        <w:tc>
          <w:tcPr>
            <w:tcW w:w="614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8,832</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12,598</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8,385</w:t>
            </w:r>
          </w:p>
        </w:tc>
      </w:tr>
      <w:tr>
        <w:trPr>
          <w:trHeight w:val="20"/>
        </w:trPr>
        <w:tc>
          <w:tcPr>
            <w:tcW w:w="6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-1240790</wp:posOffset>
            </wp:positionV>
            <wp:extent cx="6553200" cy="12604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91">
                      <a:extLst>
                        <a:ext uri="{28A0092B-C50C-407E-A947-70E740481C1C}"/>
                      </a:extLst>
                    </a:blip>
                    <a:srcRect/>
                    <a:stretch>
                      <a:fillRect/>
                    </a:stretch>
                  </pic:blipFill>
                  <pic:spPr bwMode="auto">
                    <a:xfrm>
                      <a:off x="0" y="0"/>
                      <a:ext cx="6553200" cy="1260475"/>
                    </a:xfrm>
                    <a:prstGeom prst="rect">
                      <a:avLst/>
                    </a:prstGeom>
                    <a:noFill/>
                  </pic:spPr>
                </pic:pic>
              </a:graphicData>
            </a:graphic>
          </wp:anchor>
        </w:drawing>
      </w:r>
    </w:p>
    <w:p>
      <w:pPr>
        <w:spacing w:after="0" w:line="115" w:lineRule="exact"/>
        <w:rPr>
          <w:sz w:val="20"/>
          <w:szCs w:val="20"/>
          <w:color w:val="auto"/>
        </w:rPr>
      </w:pPr>
    </w:p>
    <w:p>
      <w:pPr>
        <w:ind w:left="550" w:hanging="550"/>
        <w:spacing w:after="0"/>
        <w:tabs>
          <w:tab w:leader="none" w:pos="55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SEGMENT AND GEOGRAPHIC INFORMATION</w:t>
      </w:r>
    </w:p>
    <w:p>
      <w:pPr>
        <w:spacing w:after="0" w:line="130" w:lineRule="exact"/>
        <w:rPr>
          <w:sz w:val="20"/>
          <w:szCs w:val="20"/>
          <w:color w:val="auto"/>
        </w:rPr>
      </w:pPr>
    </w:p>
    <w:p>
      <w:pPr>
        <w:jc w:val="both"/>
        <w:ind w:left="10" w:firstLine="540"/>
        <w:spacing w:after="0" w:line="270" w:lineRule="auto"/>
        <w:rPr>
          <w:sz w:val="20"/>
          <w:szCs w:val="20"/>
          <w:color w:val="auto"/>
        </w:rPr>
      </w:pPr>
      <w:r>
        <w:rPr>
          <w:rFonts w:ascii="Arial" w:cs="Arial" w:eastAsia="Arial" w:hAnsi="Arial"/>
          <w:sz w:val="19"/>
          <w:szCs w:val="19"/>
          <w:b w:val="1"/>
          <w:bCs w:val="1"/>
          <w:color w:val="auto"/>
        </w:rPr>
        <w:t xml:space="preserve">The Company’s chief operating decision maker is the Chief Executive Officer (the “CEO”). The Company has one business activity, which entails the design, development, manufacture and sale of solutions for the solar PV industry. There are no segment managers who are held accountable for operations, operating results or plans for levels or components below the consolidated unit level. Accordingly, management has determined that the Company has a single operating and reportable segment. The accounting policies related to operating and reportable segments are the same as those described in </w:t>
      </w:r>
      <w:r>
        <w:rPr>
          <w:rFonts w:ascii="Arial" w:cs="Arial" w:eastAsia="Arial" w:hAnsi="Arial"/>
          <w:sz w:val="19"/>
          <w:szCs w:val="19"/>
          <w:b w:val="1"/>
          <w:bCs w:val="1"/>
          <w:u w:val="single" w:color="auto"/>
          <w:color w:val="0000FF"/>
        </w:rPr>
        <w:t>Note 2</w:t>
      </w:r>
      <w:r>
        <w:rPr>
          <w:rFonts w:ascii="Arial" w:cs="Arial" w:eastAsia="Arial" w:hAnsi="Arial"/>
          <w:sz w:val="19"/>
          <w:szCs w:val="19"/>
          <w:b w:val="1"/>
          <w:bCs w:val="1"/>
          <w:color w:val="auto"/>
        </w:rPr>
        <w:t>, “Summary of Significant Accounting Policies”. The primary measure of segment profit or loss is consolidated net income as presented below and is used by the CEO for the purpose of evaluating segment performance and allocation of budget to support business expansion, new product development and operational efficiencies.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2860675</wp:posOffset>
                </wp:positionV>
                <wp:extent cx="633412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225.25pt" to="505.85pt,225.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2860675</wp:posOffset>
                </wp:positionV>
                <wp:extent cx="6334125"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225.25pt" to="505.85pt,225.2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113</w:t>
      </w:r>
    </w:p>
    <w:p>
      <w:pPr>
        <w:sectPr>
          <w:pgSz w:w="12240" w:h="15840" w:orient="portrait"/>
          <w:cols w:equalWidth="0" w:num="1">
            <w:col w:w="10270"/>
          </w:cols>
          <w:pgMar w:left="990" w:top="216" w:right="980" w:bottom="0" w:gutter="0" w:footer="0" w:header="0"/>
          <w:type w:val="continuous"/>
        </w:sectPr>
      </w:pPr>
    </w:p>
    <w:bookmarkStart w:id="113" w:name="page114"/>
    <w:bookmarkEnd w:id="113"/>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0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gridSpan w:val="7"/>
          </w:tcPr>
          <w:p>
            <w:pPr>
              <w:jc w:val="center"/>
              <w:ind w:right="71"/>
              <w:spacing w:after="0"/>
              <w:rPr>
                <w:sz w:val="20"/>
                <w:szCs w:val="20"/>
                <w:color w:val="auto"/>
              </w:rPr>
            </w:pPr>
            <w:r>
              <w:rPr>
                <w:rFonts w:ascii="Arial" w:cs="Arial" w:eastAsia="Arial" w:hAnsi="Arial"/>
                <w:sz w:val="16"/>
                <w:szCs w:val="16"/>
                <w:b w:val="1"/>
                <w:bCs w:val="1"/>
                <w:color w:val="auto"/>
                <w:w w:val="99"/>
              </w:rPr>
              <w:t>Years Ended December 31,</w:t>
            </w:r>
          </w:p>
        </w:tc>
      </w:tr>
      <w:tr>
        <w:trPr>
          <w:trHeight w:val="220"/>
        </w:trPr>
        <w:tc>
          <w:tcPr>
            <w:tcW w:w="10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r>
      <w:tr>
        <w:trPr>
          <w:trHeight w:val="269"/>
        </w:trPr>
        <w:tc>
          <w:tcPr>
            <w:tcW w:w="100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i w:val="1"/>
                <w:iCs w:val="1"/>
                <w:color w:val="auto"/>
                <w:w w:val="92"/>
              </w:rPr>
              <w:t>(In thousands)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26"/>
        </w:trPr>
        <w:tc>
          <w:tcPr>
            <w:tcW w:w="64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9"/>
              </w:rPr>
              <w:t>1,472,985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1,330,383</w:t>
            </w:r>
          </w:p>
        </w:tc>
        <w:tc>
          <w:tcPr>
            <w:tcW w:w="60" w:type="dxa"/>
            <w:vAlign w:val="bottom"/>
          </w:tcPr>
          <w:p>
            <w:pPr>
              <w:spacing w:after="0"/>
              <w:rPr>
                <w:sz w:val="24"/>
                <w:szCs w:val="24"/>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2,290,786</w:t>
            </w:r>
          </w:p>
        </w:tc>
      </w:tr>
      <w:tr>
        <w:trPr>
          <w:trHeight w:val="315"/>
        </w:trPr>
        <w:tc>
          <w:tcPr>
            <w:tcW w:w="6480" w:type="dxa"/>
            <w:vAlign w:val="bottom"/>
            <w:gridSpan w:val="2"/>
          </w:tcPr>
          <w:p>
            <w:pPr>
              <w:ind w:left="40"/>
              <w:spacing w:after="0"/>
              <w:rPr>
                <w:sz w:val="20"/>
                <w:szCs w:val="20"/>
                <w:color w:val="auto"/>
              </w:rPr>
            </w:pPr>
            <w:r>
              <w:rPr>
                <w:rFonts w:ascii="Arial" w:cs="Arial" w:eastAsia="Arial" w:hAnsi="Arial"/>
                <w:sz w:val="18"/>
                <w:szCs w:val="18"/>
                <w:b w:val="1"/>
                <w:bCs w:val="1"/>
                <w:color w:val="auto"/>
              </w:rPr>
              <w:t>Less: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1"/>
        </w:trPr>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cost of revenues</w:t>
            </w:r>
            <w:r>
              <w:rPr>
                <w:rFonts w:ascii="Arial" w:cs="Arial" w:eastAsia="Arial" w:hAnsi="Arial"/>
                <w:sz w:val="23"/>
                <w:szCs w:val="23"/>
                <w:b w:val="1"/>
                <w:bCs w:val="1"/>
                <w:color w:val="auto"/>
                <w:vertAlign w:val="superscript"/>
              </w:rPr>
              <w:t>(1)</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9"/>
              </w:rPr>
              <w:t>1,001,169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836,776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1,264,931</w:t>
            </w:r>
          </w:p>
        </w:tc>
      </w:tr>
      <w:tr>
        <w:trPr>
          <w:trHeight w:val="239"/>
        </w:trPr>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Income-based government grants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(238,725)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(157,538)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(53,470)</w:t>
            </w:r>
          </w:p>
        </w:tc>
      </w:tr>
      <w:tr>
        <w:trPr>
          <w:trHeight w:val="315"/>
        </w:trPr>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Stock-based compensation expense</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214,090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211,360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212,857</w:t>
            </w:r>
          </w:p>
        </w:tc>
      </w:tr>
      <w:tr>
        <w:trPr>
          <w:trHeight w:val="315"/>
        </w:trPr>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Acquisition related amortization</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17,866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20,380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22,897</w:t>
            </w:r>
          </w:p>
        </w:tc>
      </w:tr>
      <w:tr>
        <w:trPr>
          <w:trHeight w:val="391"/>
        </w:trPr>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restructuring and asset impairment charges</w:t>
            </w:r>
            <w:r>
              <w:rPr>
                <w:rFonts w:ascii="Arial" w:cs="Arial" w:eastAsia="Arial" w:hAnsi="Arial"/>
                <w:sz w:val="23"/>
                <w:szCs w:val="23"/>
                <w:b w:val="1"/>
                <w:bCs w:val="1"/>
                <w:color w:val="auto"/>
                <w:vertAlign w:val="superscript"/>
              </w:rPr>
              <w:t>(2)</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6,543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12,887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15,684</w:t>
            </w:r>
          </w:p>
        </w:tc>
      </w:tr>
      <w:tr>
        <w:trPr>
          <w:trHeight w:val="315"/>
        </w:trPr>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research and development</w:t>
            </w:r>
            <w:r>
              <w:rPr>
                <w:rFonts w:ascii="Arial" w:cs="Arial" w:eastAsia="Arial" w:hAnsi="Arial"/>
                <w:sz w:val="23"/>
                <w:szCs w:val="23"/>
                <w:b w:val="1"/>
                <w:bCs w:val="1"/>
                <w:color w:val="auto"/>
                <w:vertAlign w:val="superscript"/>
              </w:rPr>
              <w:t>(3)</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106,238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115,814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138,969</w:t>
            </w:r>
          </w:p>
        </w:tc>
      </w:tr>
      <w:tr>
        <w:trPr>
          <w:trHeight w:val="315"/>
        </w:trPr>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sales and marketing</w:t>
            </w:r>
            <w:r>
              <w:rPr>
                <w:rFonts w:ascii="Arial" w:cs="Arial" w:eastAsia="Arial" w:hAnsi="Arial"/>
                <w:sz w:val="23"/>
                <w:szCs w:val="23"/>
                <w:b w:val="1"/>
                <w:bCs w:val="1"/>
                <w:color w:val="auto"/>
                <w:vertAlign w:val="superscript"/>
              </w:rPr>
              <w:t>(4)</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122,762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128,549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150,772</w:t>
            </w:r>
          </w:p>
        </w:tc>
      </w:tr>
      <w:tr>
        <w:trPr>
          <w:trHeight w:val="239"/>
        </w:trPr>
        <w:tc>
          <w:tcPr>
            <w:tcW w:w="6480" w:type="dxa"/>
            <w:vAlign w:val="bottom"/>
            <w:gridSpan w:val="2"/>
          </w:tcPr>
          <w:p>
            <w:pPr>
              <w:ind w:left="160"/>
              <w:spacing w:after="0" w:line="239" w:lineRule="exact"/>
              <w:rPr>
                <w:sz w:val="20"/>
                <w:szCs w:val="20"/>
                <w:color w:val="auto"/>
              </w:rPr>
            </w:pPr>
            <w:r>
              <w:rPr>
                <w:rFonts w:ascii="Arial" w:cs="Arial" w:eastAsia="Arial" w:hAnsi="Arial"/>
                <w:sz w:val="18"/>
                <w:szCs w:val="18"/>
                <w:b w:val="1"/>
                <w:bCs w:val="1"/>
                <w:color w:val="auto"/>
              </w:rPr>
              <w:t>Other general and administrative</w:t>
            </w:r>
            <w:r>
              <w:rPr>
                <w:rFonts w:ascii="Arial" w:cs="Arial" w:eastAsia="Arial" w:hAnsi="Arial"/>
                <w:sz w:val="23"/>
                <w:szCs w:val="23"/>
                <w:b w:val="1"/>
                <w:bCs w:val="1"/>
                <w:color w:val="auto"/>
                <w:vertAlign w:val="superscript"/>
              </w:rPr>
              <w:t>(5)</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85,516</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84,863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92,405</w:t>
            </w:r>
          </w:p>
        </w:tc>
      </w:tr>
      <w:tr>
        <w:trPr>
          <w:trHeight w:val="295"/>
        </w:trPr>
        <w:tc>
          <w:tcPr>
            <w:tcW w:w="6480" w:type="dxa"/>
            <w:vAlign w:val="bottom"/>
            <w:gridSpan w:val="2"/>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157,526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77,292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445,741</w:t>
            </w:r>
          </w:p>
        </w:tc>
      </w:tr>
      <w:tr>
        <w:trPr>
          <w:trHeight w:val="315"/>
        </w:trPr>
        <w:tc>
          <w:tcPr>
            <w:tcW w:w="64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other income, net</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47,288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42,867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67,398</w:t>
            </w:r>
          </w:p>
        </w:tc>
      </w:tr>
      <w:tr>
        <w:trPr>
          <w:trHeight w:val="295"/>
        </w:trPr>
        <w:tc>
          <w:tcPr>
            <w:tcW w:w="64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income taxes</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204,814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120,159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513,139</w:t>
            </w:r>
          </w:p>
        </w:tc>
      </w:tr>
      <w:tr>
        <w:trPr>
          <w:trHeight w:val="315"/>
        </w:trPr>
        <w:tc>
          <w:tcPr>
            <w:tcW w:w="64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tax provision</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(32,681)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(74,203)</w:t>
            </w:r>
          </w:p>
        </w:tc>
      </w:tr>
      <w:tr>
        <w:trPr>
          <w:trHeight w:val="275"/>
        </w:trPr>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172,133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102,658</w:t>
            </w:r>
          </w:p>
        </w:tc>
        <w:tc>
          <w:tcPr>
            <w:tcW w:w="60" w:type="dxa"/>
            <w:vAlign w:val="bottom"/>
          </w:tcPr>
          <w:p>
            <w:pPr>
              <w:spacing w:after="0"/>
              <w:rPr>
                <w:sz w:val="23"/>
                <w:szCs w:val="23"/>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438,936</w:t>
            </w:r>
          </w:p>
        </w:tc>
      </w:tr>
      <w:tr>
        <w:trPr>
          <w:trHeight w:val="20"/>
        </w:trPr>
        <w:tc>
          <w:tcPr>
            <w:tcW w:w="10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1000" w:type="dxa"/>
            <w:vAlign w:val="bottom"/>
            <w:tcBorders>
              <w:bottom w:val="single" w:sz="8" w:color="auto"/>
            </w:tcBorders>
          </w:tcPr>
          <w:p>
            <w:pPr>
              <w:spacing w:after="0"/>
              <w:rPr>
                <w:sz w:val="15"/>
                <w:szCs w:val="15"/>
                <w:color w:val="auto"/>
              </w:rPr>
            </w:pPr>
          </w:p>
        </w:tc>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-3158490</wp:posOffset>
            </wp:positionV>
            <wp:extent cx="6553200" cy="30511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92">
                      <a:extLst>
                        <a:ext uri="{28A0092B-C50C-407E-A947-70E740481C1C}"/>
                      </a:extLst>
                    </a:blip>
                    <a:srcRect/>
                    <a:stretch>
                      <a:fillRect/>
                    </a:stretch>
                  </pic:blipFill>
                  <pic:spPr bwMode="auto">
                    <a:xfrm>
                      <a:off x="0" y="0"/>
                      <a:ext cx="6553200" cy="3051175"/>
                    </a:xfrm>
                    <a:prstGeom prst="rect">
                      <a:avLst/>
                    </a:prstGeom>
                    <a:noFill/>
                  </pic:spPr>
                </pic:pic>
              </a:graphicData>
            </a:graphic>
          </wp:anchor>
        </w:drawing>
      </w:r>
    </w:p>
    <w:p>
      <w:pPr>
        <w:spacing w:after="0" w:line="210" w:lineRule="exact"/>
        <w:rPr>
          <w:sz w:val="20"/>
          <w:szCs w:val="20"/>
          <w:color w:val="auto"/>
        </w:rPr>
      </w:pPr>
    </w:p>
    <w:p>
      <w:pPr>
        <w:jc w:val="both"/>
        <w:ind w:left="550" w:hanging="550"/>
        <w:spacing w:after="0" w:line="262" w:lineRule="auto"/>
        <w:tabs>
          <w:tab w:leader="none" w:pos="55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consolidated cost of revenue, excluding stock-based compensation, acquisition related amortization and income-based government grants. Effective the fourth quarter of 2025, the CEO no longer reviews incremental cost for manufacturing in the United States due to tariff impact of products manufactured in India.</w:t>
      </w:r>
    </w:p>
    <w:p>
      <w:pPr>
        <w:spacing w:after="0" w:line="75" w:lineRule="exact"/>
        <w:rPr>
          <w:rFonts w:ascii="Arial" w:cs="Arial" w:eastAsia="Arial" w:hAnsi="Arial"/>
          <w:sz w:val="20"/>
          <w:szCs w:val="20"/>
          <w:b w:val="1"/>
          <w:bCs w:val="1"/>
          <w:color w:val="auto"/>
        </w:rPr>
      </w:pPr>
    </w:p>
    <w:p>
      <w:pPr>
        <w:ind w:left="550" w:hanging="550"/>
        <w:spacing w:after="0"/>
        <w:tabs>
          <w:tab w:leader="none" w:pos="55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consolidated restructuring and asset impairment charges, excluding stock-based compensation.</w:t>
      </w:r>
    </w:p>
    <w:p>
      <w:pPr>
        <w:spacing w:after="0" w:line="153" w:lineRule="exact"/>
        <w:rPr>
          <w:rFonts w:ascii="Arial" w:cs="Arial" w:eastAsia="Arial" w:hAnsi="Arial"/>
          <w:sz w:val="18"/>
          <w:szCs w:val="18"/>
          <w:b w:val="1"/>
          <w:bCs w:val="1"/>
          <w:color w:val="auto"/>
        </w:rPr>
      </w:pPr>
    </w:p>
    <w:p>
      <w:pPr>
        <w:ind w:left="550" w:hanging="550"/>
        <w:spacing w:after="0"/>
        <w:tabs>
          <w:tab w:leader="none" w:pos="55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consolidated research and development, excluding stock-based compensation.</w:t>
      </w:r>
    </w:p>
    <w:p>
      <w:pPr>
        <w:spacing w:after="0" w:line="130" w:lineRule="exact"/>
        <w:rPr>
          <w:rFonts w:ascii="Arial" w:cs="Arial" w:eastAsia="Arial" w:hAnsi="Arial"/>
          <w:sz w:val="20"/>
          <w:szCs w:val="20"/>
          <w:b w:val="1"/>
          <w:bCs w:val="1"/>
          <w:color w:val="auto"/>
        </w:rPr>
      </w:pPr>
    </w:p>
    <w:p>
      <w:pPr>
        <w:ind w:left="550" w:right="20" w:hanging="550"/>
        <w:spacing w:after="0" w:line="287" w:lineRule="auto"/>
        <w:tabs>
          <w:tab w:leader="none" w:pos="55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consolidated sales and marketing, excluding stock-based compensation and acquisition related amortization.</w:t>
      </w:r>
    </w:p>
    <w:p>
      <w:pPr>
        <w:spacing w:after="0" w:line="49" w:lineRule="exact"/>
        <w:rPr>
          <w:rFonts w:ascii="Arial" w:cs="Arial" w:eastAsia="Arial" w:hAnsi="Arial"/>
          <w:sz w:val="20"/>
          <w:szCs w:val="20"/>
          <w:b w:val="1"/>
          <w:bCs w:val="1"/>
          <w:color w:val="auto"/>
        </w:rPr>
      </w:pPr>
    </w:p>
    <w:p>
      <w:pPr>
        <w:ind w:left="550" w:hanging="550"/>
        <w:spacing w:after="0"/>
        <w:tabs>
          <w:tab w:leader="none" w:pos="55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Represents consolidated general and administrative, excluding stock-based compensation.</w:t>
      </w:r>
    </w:p>
    <w:p>
      <w:pPr>
        <w:spacing w:after="0" w:line="130" w:lineRule="exact"/>
        <w:rPr>
          <w:sz w:val="20"/>
          <w:szCs w:val="20"/>
          <w:color w:val="auto"/>
        </w:rPr>
      </w:pPr>
    </w:p>
    <w:p>
      <w:pPr>
        <w:ind w:left="10" w:right="20" w:firstLine="540"/>
        <w:spacing w:after="0" w:line="314" w:lineRule="auto"/>
        <w:rPr>
          <w:sz w:val="20"/>
          <w:szCs w:val="20"/>
          <w:color w:val="auto"/>
        </w:rPr>
      </w:pPr>
      <w:r>
        <w:rPr>
          <w:rFonts w:ascii="Arial" w:cs="Arial" w:eastAsia="Arial" w:hAnsi="Arial"/>
          <w:sz w:val="19"/>
          <w:szCs w:val="19"/>
          <w:b w:val="1"/>
          <w:bCs w:val="1"/>
          <w:color w:val="auto"/>
        </w:rPr>
        <w:t xml:space="preserve">See </w:t>
      </w:r>
      <w:r>
        <w:rPr>
          <w:rFonts w:ascii="Arial" w:cs="Arial" w:eastAsia="Arial" w:hAnsi="Arial"/>
          <w:sz w:val="19"/>
          <w:szCs w:val="19"/>
          <w:b w:val="1"/>
          <w:bCs w:val="1"/>
          <w:u w:val="single" w:color="auto"/>
          <w:color w:val="0000FF"/>
        </w:rPr>
        <w:t>Note 3</w:t>
      </w:r>
      <w:r>
        <w:rPr>
          <w:rFonts w:ascii="Arial" w:cs="Arial" w:eastAsia="Arial" w:hAnsi="Arial"/>
          <w:sz w:val="19"/>
          <w:szCs w:val="19"/>
          <w:b w:val="1"/>
          <w:bCs w:val="1"/>
          <w:color w:val="auto"/>
        </w:rPr>
        <w:t>. “Revenue Recognition,” for the table presenting net revenues (based on the destination of shipments). The following table presents long-lived assets by geographic region as of the periods presented:</w:t>
      </w:r>
    </w:p>
    <w:p>
      <w:pPr>
        <w:spacing w:after="0" w:line="8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Long-Lived Assets</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7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December 31,</w:t>
            </w:r>
          </w:p>
        </w:tc>
      </w:tr>
      <w:tr>
        <w:trPr>
          <w:trHeight w:val="235"/>
        </w:trPr>
        <w:tc>
          <w:tcPr>
            <w:tcW w:w="7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r>
      <w:tr>
        <w:trPr>
          <w:trHeight w:val="269"/>
        </w:trPr>
        <w:tc>
          <w:tcPr>
            <w:tcW w:w="7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gridSpan w:val="4"/>
          </w:tcPr>
          <w:p>
            <w:pPr>
              <w:jc w:val="right"/>
              <w:ind w:right="731"/>
              <w:spacing w:after="0"/>
              <w:rPr>
                <w:sz w:val="20"/>
                <w:szCs w:val="20"/>
                <w:color w:val="auto"/>
              </w:rPr>
            </w:pPr>
            <w:r>
              <w:rPr>
                <w:rFonts w:ascii="Arial" w:cs="Arial" w:eastAsia="Arial" w:hAnsi="Arial"/>
                <w:sz w:val="16"/>
                <w:szCs w:val="16"/>
                <w:b w:val="1"/>
                <w:bCs w:val="1"/>
                <w:i w:val="1"/>
                <w:iCs w:val="1"/>
                <w:color w:val="auto"/>
              </w:rPr>
              <w:t>(In thousands)</w:t>
            </w:r>
          </w:p>
        </w:tc>
      </w:tr>
      <w:tr>
        <w:trPr>
          <w:trHeight w:val="313"/>
        </w:trPr>
        <w:tc>
          <w:tcPr>
            <w:tcW w:w="7520" w:type="dxa"/>
            <w:vAlign w:val="bottom"/>
          </w:tcPr>
          <w:p>
            <w:pPr>
              <w:spacing w:after="0"/>
              <w:rPr>
                <w:sz w:val="20"/>
                <w:szCs w:val="20"/>
                <w:color w:val="auto"/>
              </w:rPr>
            </w:pPr>
            <w:r>
              <w:rPr>
                <w:rFonts w:ascii="Arial" w:cs="Arial" w:eastAsia="Arial" w:hAnsi="Arial"/>
                <w:sz w:val="20"/>
                <w:szCs w:val="20"/>
                <w:b w:val="1"/>
                <w:bCs w:val="1"/>
                <w:color w:val="auto"/>
              </w:rPr>
              <w:t>United States</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103,186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103,823</w:t>
            </w:r>
          </w:p>
        </w:tc>
      </w:tr>
      <w:tr>
        <w:trPr>
          <w:trHeight w:val="285"/>
        </w:trPr>
        <w:tc>
          <w:tcPr>
            <w:tcW w:w="7520" w:type="dxa"/>
            <w:vAlign w:val="bottom"/>
          </w:tcPr>
          <w:p>
            <w:pPr>
              <w:spacing w:after="0"/>
              <w:rPr>
                <w:sz w:val="20"/>
                <w:szCs w:val="20"/>
                <w:color w:val="auto"/>
              </w:rPr>
            </w:pPr>
            <w:r>
              <w:rPr>
                <w:rFonts w:ascii="Arial" w:cs="Arial" w:eastAsia="Arial" w:hAnsi="Arial"/>
                <w:sz w:val="20"/>
                <w:szCs w:val="20"/>
                <w:b w:val="1"/>
                <w:bCs w:val="1"/>
                <w:color w:val="auto"/>
              </w:rPr>
              <w:t>India</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18,153</w:t>
            </w:r>
          </w:p>
        </w:tc>
      </w:tr>
      <w:tr>
        <w:trPr>
          <w:trHeight w:val="285"/>
        </w:trPr>
        <w:tc>
          <w:tcPr>
            <w:tcW w:w="7520" w:type="dxa"/>
            <w:vAlign w:val="bottom"/>
          </w:tcPr>
          <w:p>
            <w:pPr>
              <w:spacing w:after="0"/>
              <w:rPr>
                <w:sz w:val="20"/>
                <w:szCs w:val="20"/>
                <w:color w:val="auto"/>
              </w:rPr>
            </w:pPr>
            <w:r>
              <w:rPr>
                <w:rFonts w:ascii="Arial" w:cs="Arial" w:eastAsia="Arial" w:hAnsi="Arial"/>
                <w:sz w:val="20"/>
                <w:szCs w:val="20"/>
                <w:b w:val="1"/>
                <w:bCs w:val="1"/>
                <w:color w:val="auto"/>
              </w:rPr>
              <w:t>China</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10,384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11,619</w:t>
            </w:r>
          </w:p>
        </w:tc>
      </w:tr>
      <w:tr>
        <w:trPr>
          <w:trHeight w:val="285"/>
        </w:trPr>
        <w:tc>
          <w:tcPr>
            <w:tcW w:w="7520" w:type="dxa"/>
            <w:vAlign w:val="bottom"/>
          </w:tcPr>
          <w:p>
            <w:pPr>
              <w:spacing w:after="0"/>
              <w:rPr>
                <w:sz w:val="20"/>
                <w:szCs w:val="20"/>
                <w:color w:val="auto"/>
              </w:rPr>
            </w:pPr>
            <w:r>
              <w:rPr>
                <w:rFonts w:ascii="Arial" w:cs="Arial" w:eastAsia="Arial" w:hAnsi="Arial"/>
                <w:sz w:val="20"/>
                <w:szCs w:val="20"/>
                <w:b w:val="1"/>
                <w:bCs w:val="1"/>
                <w:color w:val="auto"/>
              </w:rPr>
              <w:t>New Zealand</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6,775</w:t>
            </w:r>
          </w:p>
        </w:tc>
      </w:tr>
      <w:tr>
        <w:trPr>
          <w:trHeight w:val="285"/>
        </w:trPr>
        <w:tc>
          <w:tcPr>
            <w:tcW w:w="7520" w:type="dxa"/>
            <w:vAlign w:val="bottom"/>
          </w:tcPr>
          <w:p>
            <w:pPr>
              <w:spacing w:after="0"/>
              <w:rPr>
                <w:sz w:val="20"/>
                <w:szCs w:val="20"/>
                <w:color w:val="auto"/>
              </w:rPr>
            </w:pPr>
            <w:r>
              <w:rPr>
                <w:rFonts w:ascii="Arial" w:cs="Arial" w:eastAsia="Arial" w:hAnsi="Arial"/>
                <w:sz w:val="20"/>
                <w:szCs w:val="20"/>
                <w:b w:val="1"/>
                <w:bCs w:val="1"/>
                <w:color w:val="auto"/>
              </w:rPr>
              <w:t>Mexico</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4,418</w:t>
            </w:r>
          </w:p>
        </w:tc>
      </w:tr>
      <w:tr>
        <w:trPr>
          <w:trHeight w:val="313"/>
        </w:trPr>
        <w:tc>
          <w:tcPr>
            <w:tcW w:w="7520" w:type="dxa"/>
            <w:vAlign w:val="bottom"/>
          </w:tcPr>
          <w:p>
            <w:pPr>
              <w:spacing w:after="0"/>
              <w:rPr>
                <w:sz w:val="20"/>
                <w:szCs w:val="20"/>
                <w:color w:val="auto"/>
              </w:rPr>
            </w:pPr>
            <w:r>
              <w:rPr>
                <w:rFonts w:ascii="Arial" w:cs="Arial" w:eastAsia="Arial" w:hAnsi="Arial"/>
                <w:sz w:val="20"/>
                <w:szCs w:val="20"/>
                <w:b w:val="1"/>
                <w:bCs w:val="1"/>
                <w:color w:val="auto"/>
              </w:rPr>
              <w:t>Others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2,726</w:t>
            </w:r>
          </w:p>
        </w:tc>
      </w:tr>
      <w:tr>
        <w:trPr>
          <w:trHeight w:val="275"/>
        </w:trPr>
        <w:tc>
          <w:tcPr>
            <w:tcW w:w="7520" w:type="dxa"/>
            <w:vAlign w:val="bottom"/>
          </w:tcPr>
          <w:p>
            <w:pPr>
              <w:ind w:left="240"/>
              <w:spacing w:after="0"/>
              <w:rPr>
                <w:sz w:val="20"/>
                <w:szCs w:val="20"/>
                <w:color w:val="auto"/>
              </w:rPr>
            </w:pPr>
            <w:r>
              <w:rPr>
                <w:rFonts w:ascii="Arial" w:cs="Arial" w:eastAsia="Arial" w:hAnsi="Arial"/>
                <w:sz w:val="20"/>
                <w:szCs w:val="20"/>
                <w:b w:val="1"/>
                <w:bCs w:val="1"/>
                <w:color w:val="auto"/>
              </w:rPr>
              <w:t>Total</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136,804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147,514</w:t>
            </w:r>
          </w:p>
        </w:tc>
      </w:tr>
      <w:tr>
        <w:trPr>
          <w:trHeight w:val="20"/>
        </w:trPr>
        <w:tc>
          <w:tcPr>
            <w:tcW w:w="7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-1336040</wp:posOffset>
            </wp:positionV>
            <wp:extent cx="6553200" cy="135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93">
                      <a:extLst>
                        <a:ext uri="{28A0092B-C50C-407E-A947-70E740481C1C}"/>
                      </a:extLst>
                    </a:blip>
                    <a:srcRect/>
                    <a:stretch>
                      <a:fillRect/>
                    </a:stretch>
                  </pic:blipFill>
                  <pic:spPr bwMode="auto">
                    <a:xfrm>
                      <a:off x="0" y="0"/>
                      <a:ext cx="6553200" cy="13557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90170</wp:posOffset>
                </wp:positionH>
                <wp:positionV relativeFrom="paragraph">
                  <wp:posOffset>604520</wp:posOffset>
                </wp:positionV>
                <wp:extent cx="633412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47.6pt" to="505.85pt,4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604520</wp:posOffset>
                </wp:positionV>
                <wp:extent cx="6334125"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47.6pt" to="505.85pt,47.6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114</w:t>
      </w:r>
    </w:p>
    <w:p>
      <w:pPr>
        <w:sectPr>
          <w:pgSz w:w="12240" w:h="15840" w:orient="portrait"/>
          <w:cols w:equalWidth="0" w:num="1">
            <w:col w:w="10270"/>
          </w:cols>
          <w:pgMar w:left="990" w:top="216" w:right="980" w:bottom="0" w:gutter="0" w:footer="0" w:header="0"/>
          <w:type w:val="continuous"/>
        </w:sectPr>
      </w:pPr>
    </w:p>
    <w:bookmarkStart w:id="114" w:name="page115"/>
    <w:bookmarkEnd w:id="114"/>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ENPHASE ENERGY, INC.</w:t>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40" w:lineRule="exact"/>
        <w:rPr>
          <w:sz w:val="20"/>
          <w:szCs w:val="20"/>
          <w:color w:val="auto"/>
        </w:rPr>
      </w:pPr>
    </w:p>
    <w:p>
      <w:pPr>
        <w:ind w:left="10" w:right="20" w:firstLine="540"/>
        <w:spacing w:after="0" w:line="287" w:lineRule="auto"/>
        <w:rPr>
          <w:sz w:val="20"/>
          <w:szCs w:val="20"/>
          <w:color w:val="auto"/>
        </w:rPr>
      </w:pPr>
      <w:r>
        <w:rPr>
          <w:rFonts w:ascii="Arial" w:cs="Arial" w:eastAsia="Arial" w:hAnsi="Arial"/>
          <w:sz w:val="20"/>
          <w:szCs w:val="20"/>
          <w:b w:val="1"/>
          <w:bCs w:val="1"/>
          <w:color w:val="auto"/>
        </w:rPr>
        <w:t>The segment assets are not reviewed by the CODM at a different asset level or category and is reviewed at the consolidated level.</w:t>
      </w:r>
    </w:p>
    <w:p>
      <w:pPr>
        <w:spacing w:after="0" w:line="50" w:lineRule="exact"/>
        <w:rPr>
          <w:sz w:val="20"/>
          <w:szCs w:val="20"/>
          <w:color w:val="auto"/>
        </w:rPr>
      </w:pPr>
    </w:p>
    <w:p>
      <w:pPr>
        <w:ind w:left="550" w:hanging="550"/>
        <w:spacing w:after="0"/>
        <w:tabs>
          <w:tab w:leader="none" w:pos="55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w:t>
      </w:r>
    </w:p>
    <w:p>
      <w:pPr>
        <w:spacing w:after="0" w:line="130" w:lineRule="exact"/>
        <w:rPr>
          <w:sz w:val="20"/>
          <w:szCs w:val="20"/>
          <w:color w:val="auto"/>
        </w:rPr>
      </w:pPr>
    </w:p>
    <w:p>
      <w:pPr>
        <w:jc w:val="both"/>
        <w:ind w:left="10" w:right="20" w:firstLine="540"/>
        <w:spacing w:after="0" w:line="255" w:lineRule="auto"/>
        <w:rPr>
          <w:sz w:val="20"/>
          <w:szCs w:val="20"/>
          <w:color w:val="auto"/>
        </w:rPr>
      </w:pPr>
      <w:r>
        <w:rPr>
          <w:rFonts w:ascii="Arial" w:cs="Arial" w:eastAsia="Arial" w:hAnsi="Arial"/>
          <w:sz w:val="20"/>
          <w:szCs w:val="20"/>
          <w:b w:val="1"/>
          <w:bCs w:val="1"/>
          <w:color w:val="auto"/>
        </w:rPr>
        <w:t xml:space="preserve">In September 2025, the Company invested $6.3 million in cash to purchase convertible notes with an aggregate principal amount of $7.0 million issued by SunPower. The CEO of SunPower also serves as a member of the Company’s Board of Directors, and therefore this transaction constitutes a related party transaction. The notes bear an interest rate of 7% per annum and mature on July 1, 2029. The initial conversion rate is 467.8363 shares of SunPower common stock per $1,000 principal amount of notes (equivalent to a conversion price of approximately $2.14 per share). The terms of the transaction were reviewed and approved by the Company’s Audit Committee and were determined to be on an arm’s-length basis. See Note </w:t>
      </w:r>
      <w:r>
        <w:rPr>
          <w:rFonts w:ascii="Arial" w:cs="Arial" w:eastAsia="Arial" w:hAnsi="Arial"/>
          <w:sz w:val="20"/>
          <w:szCs w:val="20"/>
          <w:b w:val="1"/>
          <w:bCs w:val="1"/>
          <w:color w:val="0000FF"/>
        </w:rPr>
        <w:t>7</w:t>
      </w:r>
      <w:r>
        <w:rPr>
          <w:rFonts w:ascii="Arial" w:cs="Arial" w:eastAsia="Arial" w:hAnsi="Arial"/>
          <w:sz w:val="20"/>
          <w:szCs w:val="20"/>
          <w:b w:val="1"/>
          <w:bCs w:val="1"/>
          <w:color w:val="auto"/>
        </w:rPr>
        <w:t>. “Fair Value Measurements” for additional information related to this purchase.</w:t>
      </w:r>
    </w:p>
    <w:p>
      <w:pPr>
        <w:spacing w:after="0" w:line="145" w:lineRule="exact"/>
        <w:rPr>
          <w:sz w:val="20"/>
          <w:szCs w:val="20"/>
          <w:color w:val="auto"/>
        </w:rPr>
      </w:pPr>
    </w:p>
    <w:p>
      <w:pPr>
        <w:ind w:left="550" w:hanging="550"/>
        <w:spacing w:after="0"/>
        <w:tabs>
          <w:tab w:leader="none" w:pos="55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130" w:lineRule="exact"/>
        <w:rPr>
          <w:sz w:val="20"/>
          <w:szCs w:val="20"/>
          <w:color w:val="auto"/>
        </w:rPr>
      </w:pPr>
    </w:p>
    <w:p>
      <w:pPr>
        <w:jc w:val="both"/>
        <w:ind w:left="10" w:firstLine="540"/>
        <w:spacing w:after="0" w:line="254" w:lineRule="auto"/>
        <w:rPr>
          <w:sz w:val="20"/>
          <w:szCs w:val="20"/>
          <w:color w:val="auto"/>
        </w:rPr>
      </w:pPr>
      <w:r>
        <w:rPr>
          <w:rFonts w:ascii="Arial" w:cs="Arial" w:eastAsia="Arial" w:hAnsi="Arial"/>
          <w:sz w:val="20"/>
          <w:szCs w:val="20"/>
          <w:b w:val="1"/>
          <w:bCs w:val="1"/>
          <w:color w:val="auto"/>
        </w:rPr>
        <w:t>On January 20, 2026, the Company notified employees of actions approved by management to better align the Company’s workforce and cost structure with its business needs and strategic priorities (the “2026 Restructuring Plan”). In connection with the 2026 Restructuring Plan, the Company estimates that it will incur approximately $4.6 million in restructuring and asset impairment charges, of which approximately $4.2 million will be expected to be incurred in the first quarter of 2026 and approximately $3.7 million will be total cash expenditures. The estimated impact of charges related to the 2026 Restructuring Plan is expected to be approximately $3.8 million in employee severance and benefits related to the reduction in headcount affecting less than 6% of the Company's workforce, or approximately 160 employees, $0.7 million in asset impairment charges and $0.1 million related to office closures. Because the 2026 Restructuring Plan was approved and communicated to employees after December 31, 2025, the Company has not recognized any related charges in the consolidated financial statements for the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4838700</wp:posOffset>
                </wp:positionV>
                <wp:extent cx="633412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381pt" to="505.85pt,38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4838700</wp:posOffset>
                </wp:positionV>
                <wp:extent cx="633412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381pt" to="505.85pt,381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115</w:t>
      </w:r>
    </w:p>
    <w:p>
      <w:pPr>
        <w:sectPr>
          <w:pgSz w:w="12240" w:h="15840" w:orient="portrait"/>
          <w:cols w:equalWidth="0" w:num="1">
            <w:col w:w="10270"/>
          </w:cols>
          <w:pgMar w:left="990" w:top="216" w:right="980" w:bottom="0" w:gutter="0" w:footer="0" w:header="0"/>
          <w:type w:val="continuous"/>
        </w:sectPr>
      </w:pPr>
    </w:p>
    <w:bookmarkStart w:id="115" w:name="page116"/>
    <w:bookmarkEnd w:id="115"/>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Changes in and Disagreements with Accountants on Accounting and Financial Disclosure</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None.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0"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8"/>
          <w:szCs w:val="18"/>
          <w:b w:val="1"/>
          <w:bCs w:val="1"/>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December 31, 2025.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30"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9"/>
          <w:szCs w:val="19"/>
          <w:b w:val="1"/>
          <w:bCs w:val="1"/>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based on criteria set forth in Internal Control – Integrated Framework issued by the Committee of Sponsoring Organizations of the Treadway Commission (2013). As a result of this assessment, management concluded that, as of December 31, 2025, our internal control over financial reporting was effective. Our independent registered public accounting firm, Deloitte &amp; Touche LLP, has issued an audit report on our internal control over financial reporting, which appears in Part II, Item 8 of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There were no changes in our internal control over financial reporting that occurred during the most recent year ended December 31, 2025 that materially affected, or are reasonably likely to materially affect, our internal control over financial reporting.</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Controls</w:t>
      </w:r>
    </w:p>
    <w:p>
      <w:pPr>
        <w:spacing w:after="0" w:line="130" w:lineRule="exact"/>
        <w:rPr>
          <w:sz w:val="20"/>
          <w:szCs w:val="20"/>
          <w:color w:val="auto"/>
        </w:rPr>
      </w:pPr>
    </w:p>
    <w:p>
      <w:pPr>
        <w:jc w:val="both"/>
        <w:ind w:right="20" w:firstLine="540"/>
        <w:spacing w:after="0" w:line="272" w:lineRule="auto"/>
        <w:rPr>
          <w:sz w:val="20"/>
          <w:szCs w:val="20"/>
          <w:color w:val="auto"/>
        </w:rPr>
      </w:pPr>
      <w:r>
        <w:rPr>
          <w:rFonts w:ascii="Arial" w:cs="Arial" w:eastAsia="Arial" w:hAnsi="Arial"/>
          <w:sz w:val="19"/>
          <w:szCs w:val="19"/>
          <w:b w:val="1"/>
          <w:bCs w:val="1"/>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have been detected by us.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Rule 10b5-1 Trading Plans</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There are no disclosures required by this Item 9B, including those relating to “Rule 10b5-1 trading arrangements” and “non-Rule 10b5-1 trading arrangements,” as those terms are defined in Item 408 of Regulation S-K.</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1516380</wp:posOffset>
                </wp:positionV>
                <wp:extent cx="633412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9.4pt" to="505.35pt,119.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1516380</wp:posOffset>
                </wp:positionV>
                <wp:extent cx="6334125"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19.4pt" to="505.35pt,119.4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116</w:t>
      </w:r>
    </w:p>
    <w:p>
      <w:pPr>
        <w:sectPr>
          <w:pgSz w:w="12240" w:h="15840" w:orient="portrait"/>
          <w:cols w:equalWidth="0" w:num="1">
            <w:col w:w="10260"/>
          </w:cols>
          <w:pgMar w:left="1000" w:top="216" w:right="980" w:bottom="0" w:gutter="0" w:footer="0" w:header="0"/>
          <w:type w:val="continuous"/>
        </w:sectPr>
      </w:pPr>
    </w:p>
    <w:bookmarkStart w:id="116" w:name="page117"/>
    <w:bookmarkEnd w:id="116"/>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PART III</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30" w:lineRule="exact"/>
        <w:rPr>
          <w:sz w:val="20"/>
          <w:szCs w:val="20"/>
          <w:color w:val="auto"/>
        </w:rPr>
      </w:pPr>
    </w:p>
    <w:p>
      <w:pPr>
        <w:jc w:val="both"/>
        <w:ind w:right="20" w:firstLine="540"/>
        <w:spacing w:after="0" w:line="311" w:lineRule="auto"/>
        <w:rPr>
          <w:sz w:val="20"/>
          <w:szCs w:val="20"/>
          <w:color w:val="auto"/>
        </w:rPr>
      </w:pPr>
      <w:r>
        <w:rPr>
          <w:rFonts w:ascii="Arial" w:cs="Arial" w:eastAsia="Arial" w:hAnsi="Arial"/>
          <w:sz w:val="18"/>
          <w:szCs w:val="18"/>
          <w:b w:val="1"/>
          <w:bCs w:val="1"/>
          <w:color w:val="auto"/>
        </w:rPr>
        <w:t>The information required regarding our directors is incorporated by reference from the information contained in the section entitled “Election of Directors” in our definitive Proxy Statement for the 2026 Annual Meeting of Stockholders (our “Proxy Statement”), a copy of which will be filed with the SEC on or before April 30, 2026.</w:t>
      </w:r>
    </w:p>
    <w:p>
      <w:pPr>
        <w:spacing w:after="0" w:line="35"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The information required regarding our executive officers is incorporated by reference from the information contained in the section entitled “Management” in our Proxy Statement.</w:t>
      </w:r>
    </w:p>
    <w:p>
      <w:pPr>
        <w:spacing w:after="0" w:line="50"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20"/>
          <w:szCs w:val="20"/>
          <w:b w:val="1"/>
          <w:bCs w:val="1"/>
          <w:color w:val="auto"/>
        </w:rPr>
        <w:t>The information required regarding Section 16(a) beneficial ownership reporting compliance is incorporated by reference from the information contained in the section entitled “Delinquent Section 16(a) Reports” in our Proxy Statement.</w:t>
      </w:r>
    </w:p>
    <w:p>
      <w:pPr>
        <w:spacing w:after="0" w:line="70" w:lineRule="exact"/>
        <w:rPr>
          <w:sz w:val="20"/>
          <w:szCs w:val="20"/>
          <w:color w:val="auto"/>
        </w:rPr>
      </w:pPr>
    </w:p>
    <w:p>
      <w:pPr>
        <w:jc w:val="both"/>
        <w:ind w:firstLine="540"/>
        <w:spacing w:after="0" w:line="262" w:lineRule="auto"/>
        <w:rPr>
          <w:sz w:val="20"/>
          <w:szCs w:val="20"/>
          <w:color w:val="auto"/>
        </w:rPr>
      </w:pPr>
      <w:r>
        <w:rPr>
          <w:rFonts w:ascii="Arial" w:cs="Arial" w:eastAsia="Arial" w:hAnsi="Arial"/>
          <w:sz w:val="20"/>
          <w:szCs w:val="20"/>
          <w:b w:val="1"/>
          <w:bCs w:val="1"/>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Committees of the Board” in our Proxy Statement.</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Policy</w:t>
      </w:r>
    </w:p>
    <w:p>
      <w:pPr>
        <w:spacing w:after="0" w:line="130" w:lineRule="exact"/>
        <w:rPr>
          <w:sz w:val="20"/>
          <w:szCs w:val="20"/>
          <w:color w:val="auto"/>
        </w:rPr>
      </w:pPr>
    </w:p>
    <w:p>
      <w:pPr>
        <w:jc w:val="both"/>
        <w:ind w:right="20" w:firstLine="540"/>
        <w:spacing w:after="0" w:line="259" w:lineRule="auto"/>
        <w:rPr>
          <w:sz w:val="20"/>
          <w:szCs w:val="20"/>
          <w:color w:val="auto"/>
        </w:rPr>
      </w:pPr>
      <w:r>
        <w:rPr>
          <w:rFonts w:ascii="Arial" w:cs="Arial" w:eastAsia="Arial" w:hAnsi="Arial"/>
          <w:sz w:val="20"/>
          <w:szCs w:val="20"/>
          <w:b w:val="1"/>
          <w:bCs w:val="1"/>
          <w:color w:val="auto"/>
        </w:rPr>
        <w:t>We have adopted a Policy Against Trading on the Basis of Inside Information governing the purchase, sale and/or other dispositions of our securities by our directors, officers and employees. A copy of this policy is filed as an exhibit to this Annual Report on Form 10-K. The information required regarding our insider trading policies and procedures is incorporated by reference from the information contained in the section entitled “Insider Trading Policy” in our Proxy Statement.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Conduct</w:t>
      </w:r>
    </w:p>
    <w:p>
      <w:pPr>
        <w:spacing w:after="0" w:line="130" w:lineRule="exact"/>
        <w:rPr>
          <w:sz w:val="20"/>
          <w:szCs w:val="20"/>
          <w:color w:val="auto"/>
        </w:rPr>
      </w:pPr>
    </w:p>
    <w:p>
      <w:pPr>
        <w:jc w:val="both"/>
        <w:ind w:firstLine="540"/>
        <w:spacing w:after="0" w:line="257" w:lineRule="auto"/>
        <w:rPr>
          <w:sz w:val="20"/>
          <w:szCs w:val="20"/>
          <w:color w:val="auto"/>
        </w:rPr>
      </w:pPr>
      <w:r>
        <w:rPr>
          <w:rFonts w:ascii="Arial" w:cs="Arial" w:eastAsia="Arial" w:hAnsi="Arial"/>
          <w:sz w:val="20"/>
          <w:szCs w:val="20"/>
          <w:b w:val="1"/>
          <w:bCs w:val="1"/>
          <w:color w:val="auto"/>
        </w:rPr>
        <w:t xml:space="preserve">We have a written code of conduct that applies to all our executive officers, directors and employees. Our Code of Conduct is available on our website at </w:t>
      </w:r>
      <w:r>
        <w:rPr>
          <w:rFonts w:ascii="Arial" w:cs="Arial" w:eastAsia="Arial" w:hAnsi="Arial"/>
          <w:sz w:val="20"/>
          <w:szCs w:val="20"/>
          <w:b w:val="1"/>
          <w:bCs w:val="1"/>
          <w:i w:val="1"/>
          <w:iCs w:val="1"/>
          <w:color w:val="auto"/>
        </w:rPr>
        <w:t>http://investor.enphase.com/corporate-governance</w:t>
      </w:r>
      <w:r>
        <w:rPr>
          <w:rFonts w:ascii="Arial" w:cs="Arial" w:eastAsia="Arial" w:hAnsi="Arial"/>
          <w:sz w:val="20"/>
          <w:szCs w:val="20"/>
          <w:b w:val="1"/>
          <w:bCs w:val="1"/>
          <w:color w:val="auto"/>
        </w:rPr>
        <w:t>. A copy of our Code of Conduct may also be obtained free of charge by writing to our Secretary, Enphase Energy, Inc., 47281 Bayside Parkway, Fremont, CA 94538.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30" w:lineRule="exact"/>
        <w:rPr>
          <w:sz w:val="20"/>
          <w:szCs w:val="20"/>
          <w:color w:val="auto"/>
        </w:rPr>
      </w:pPr>
    </w:p>
    <w:p>
      <w:pPr>
        <w:jc w:val="both"/>
        <w:ind w:right="20" w:firstLine="540"/>
        <w:spacing w:after="0" w:line="262" w:lineRule="auto"/>
        <w:rPr>
          <w:sz w:val="20"/>
          <w:szCs w:val="20"/>
          <w:color w:val="auto"/>
        </w:rPr>
      </w:pPr>
      <w:r>
        <w:rPr>
          <w:rFonts w:ascii="Arial" w:cs="Arial" w:eastAsia="Arial" w:hAnsi="Arial"/>
          <w:sz w:val="20"/>
          <w:szCs w:val="20"/>
          <w:b w:val="1"/>
          <w:bCs w:val="1"/>
          <w:color w:val="auto"/>
        </w:rPr>
        <w:t>The information required regarding the compensation of our directors and executive officers is incorporated by reference from the information contained in the sections entitled “Executive Compensation,” “Director Compensation,” “Compensation Committee Interlocks and Insider Participation” and “Compensation Committee Report” in our Proxy Statement.</w:t>
      </w:r>
    </w:p>
    <w:p>
      <w:pPr>
        <w:spacing w:after="0" w:line="76" w:lineRule="exact"/>
        <w:rPr>
          <w:sz w:val="20"/>
          <w:szCs w:val="20"/>
          <w:color w:val="auto"/>
        </w:rPr>
      </w:pPr>
    </w:p>
    <w:p>
      <w:pPr>
        <w:ind w:left="900" w:right="640" w:hanging="899"/>
        <w:spacing w:after="0" w:line="29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31"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 information required regarding security ownership of our 5% or greater stockholders and of our directors and executive officers is incorporated by reference from the information contained in the section entitled “Security Ownership of Certain Beneficial Owners and Management” in our Proxy Statement.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30" w:lineRule="exact"/>
        <w:rPr>
          <w:sz w:val="20"/>
          <w:szCs w:val="20"/>
          <w:color w:val="auto"/>
        </w:rPr>
      </w:pPr>
    </w:p>
    <w:p>
      <w:pPr>
        <w:jc w:val="both"/>
        <w:ind w:right="20" w:firstLine="540"/>
        <w:spacing w:after="0" w:line="268" w:lineRule="auto"/>
        <w:rPr>
          <w:sz w:val="20"/>
          <w:szCs w:val="20"/>
          <w:color w:val="auto"/>
        </w:rPr>
      </w:pPr>
      <w:r>
        <w:rPr>
          <w:rFonts w:ascii="Arial" w:cs="Arial" w:eastAsia="Arial" w:hAnsi="Arial"/>
          <w:sz w:val="20"/>
          <w:szCs w:val="20"/>
          <w:b w:val="1"/>
          <w:bCs w:val="1"/>
          <w:color w:val="auto"/>
        </w:rPr>
        <w:t>The information required regarding securities authorized for issuance under our equity compensation plans is incorporated by reference from the information contained in the section entitled “Equity Compensation Plan Information” in our Proxy Statement.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30"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20"/>
          <w:szCs w:val="20"/>
          <w:b w:val="1"/>
          <w:bCs w:val="1"/>
          <w:color w:val="auto"/>
        </w:rPr>
        <w:t>The information required regarding related transactions is incorporated herein by reference from the information contained in the section entitled “Transactions With Related Persons” and, with respect to director independence, the section entitled “Election of Directors” in our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868045</wp:posOffset>
                </wp:positionV>
                <wp:extent cx="633412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8.35pt" to="505.35pt,68.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868045</wp:posOffset>
                </wp:positionV>
                <wp:extent cx="6334125"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8.35pt" to="505.35pt,68.35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117</w:t>
      </w:r>
    </w:p>
    <w:p>
      <w:pPr>
        <w:sectPr>
          <w:pgSz w:w="12240" w:h="15840" w:orient="portrait"/>
          <w:cols w:equalWidth="0" w:num="1">
            <w:col w:w="10260"/>
          </w:cols>
          <w:pgMar w:left="1000" w:top="216" w:right="980" w:bottom="0" w:gutter="0" w:footer="0" w:header="0"/>
          <w:type w:val="continuous"/>
        </w:sectPr>
      </w:pPr>
    </w:p>
    <w:bookmarkStart w:id="117" w:name="page118"/>
    <w:bookmarkEnd w:id="117"/>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130" w:lineRule="exact"/>
        <w:rPr>
          <w:sz w:val="20"/>
          <w:szCs w:val="20"/>
          <w:color w:val="auto"/>
        </w:rPr>
      </w:pPr>
    </w:p>
    <w:p>
      <w:pPr>
        <w:jc w:val="both"/>
        <w:ind w:firstLine="540"/>
        <w:spacing w:after="0" w:line="289" w:lineRule="auto"/>
        <w:rPr>
          <w:sz w:val="20"/>
          <w:szCs w:val="20"/>
          <w:color w:val="auto"/>
        </w:rPr>
      </w:pPr>
      <w:r>
        <w:rPr>
          <w:rFonts w:ascii="Arial" w:cs="Arial" w:eastAsia="Arial" w:hAnsi="Arial"/>
          <w:sz w:val="19"/>
          <w:szCs w:val="19"/>
          <w:b w:val="1"/>
          <w:bCs w:val="1"/>
          <w:color w:val="auto"/>
        </w:rPr>
        <w:t>The information required is incorporated by reference from the information contained in the sections entitled “Principal Accountant Fees and Services” and “Pre-Approval Policies and Procedures” in the Proposal entitled “Ratification of Selection of Independent Registered Public Accounting Firm” in our Proxy Statement.</w:t>
      </w:r>
    </w:p>
    <w:p>
      <w:pPr>
        <w:spacing w:after="0" w:line="111"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PART IV</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Financial Statements</w:t>
      </w:r>
    </w:p>
    <w:p>
      <w:pPr>
        <w:spacing w:after="0" w:line="130" w:lineRule="exact"/>
        <w:rPr>
          <w:sz w:val="20"/>
          <w:szCs w:val="20"/>
          <w:color w:val="auto"/>
        </w:rPr>
      </w:pPr>
    </w:p>
    <w:p>
      <w:pPr>
        <w:jc w:val="both"/>
        <w:ind w:firstLine="540"/>
        <w:spacing w:after="0" w:line="289" w:lineRule="auto"/>
        <w:rPr>
          <w:sz w:val="20"/>
          <w:szCs w:val="20"/>
          <w:color w:val="auto"/>
        </w:rPr>
      </w:pPr>
      <w:r>
        <w:rPr>
          <w:rFonts w:ascii="Arial" w:cs="Arial" w:eastAsia="Arial" w:hAnsi="Arial"/>
          <w:sz w:val="19"/>
          <w:szCs w:val="19"/>
          <w:b w:val="1"/>
          <w:bCs w:val="1"/>
          <w:color w:val="auto"/>
        </w:rPr>
        <w:t>The information concerning our consolidated financial statements, and Report of Independent Registered Public Accounting Firm required by this Item is incorporated by reference herein to the section of this Annual Report on Form 10-K in Part II, Item 8, Consolidated Financial Statements and Supplementary Data.</w:t>
      </w:r>
    </w:p>
    <w:p>
      <w:pPr>
        <w:spacing w:after="0" w:line="51"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20"/>
          <w:szCs w:val="20"/>
          <w:b w:val="1"/>
          <w:bCs w:val="1"/>
          <w:color w:val="auto"/>
        </w:rPr>
        <w:t>No schedules are provided because they are not applicable, not required under the instructions, or the requested information is shown in the financial statements or related notes thereto.</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130" w:lineRule="exact"/>
        <w:rPr>
          <w:sz w:val="20"/>
          <w:szCs w:val="20"/>
          <w:color w:val="auto"/>
        </w:rPr>
      </w:pPr>
    </w:p>
    <w:p>
      <w:pPr>
        <w:jc w:val="both"/>
        <w:ind w:firstLine="540"/>
        <w:spacing w:after="0" w:line="287" w:lineRule="auto"/>
        <w:rPr>
          <w:sz w:val="20"/>
          <w:szCs w:val="20"/>
          <w:color w:val="auto"/>
        </w:rPr>
      </w:pPr>
      <w:r>
        <w:rPr>
          <w:rFonts w:ascii="Arial" w:cs="Arial" w:eastAsia="Arial" w:hAnsi="Arial"/>
          <w:sz w:val="20"/>
          <w:szCs w:val="20"/>
          <w:b w:val="1"/>
          <w:bCs w:val="1"/>
          <w:color w:val="auto"/>
        </w:rPr>
        <w:t>The exhibits listed below are filed as part of this Annual Report on Form 10-K or incorporated herein by reference, in each case as indicated below.</w:t>
      </w:r>
    </w:p>
    <w:p>
      <w:pPr>
        <w:sectPr>
          <w:pgSz w:w="12240" w:h="15840" w:orient="portrait"/>
          <w:cols w:equalWidth="0" w:num="1">
            <w:col w:w="10240"/>
          </w:cols>
          <w:pgMar w:left="1000" w:top="216" w:right="1000" w:bottom="0" w:gutter="0" w:footer="0" w:header="0"/>
        </w:sect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Exhibit</w:t>
      </w:r>
    </w:p>
    <w:p>
      <w:pPr>
        <w:ind w:left="140"/>
        <w:spacing w:after="0"/>
        <w:rPr>
          <w:sz w:val="20"/>
          <w:szCs w:val="20"/>
          <w:color w:val="auto"/>
        </w:rPr>
      </w:pPr>
      <w:r>
        <w:rPr>
          <w:rFonts w:ascii="Arial" w:cs="Arial" w:eastAsia="Arial" w:hAnsi="Arial"/>
          <w:sz w:val="15"/>
          <w:szCs w:val="15"/>
          <w:b w:val="1"/>
          <w:bCs w:val="1"/>
          <w:color w:val="auto"/>
        </w:rPr>
        <w:t>Number</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3.1</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3.2</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3.3</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3.4</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3.5</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3.6</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4.1</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4.2</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4.3</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4.4</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4.5</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00FF"/>
        </w:rPr>
        <w:t>4.6</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00FF"/>
        </w:rPr>
        <w:t>10.1</w:t>
      </w:r>
      <w:r>
        <w:rPr>
          <w:rFonts w:ascii="Arial" w:cs="Arial" w:eastAsia="Arial" w:hAnsi="Arial"/>
          <w:sz w:val="20"/>
          <w:szCs w:val="20"/>
          <w:b w:val="1"/>
          <w:bCs w:val="1"/>
          <w:color w:val="000000"/>
          <w:vertAlign w:val="superscript"/>
        </w:rPr>
        <w:t>+</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00FF"/>
        </w:rPr>
        <w:t>10.2</w:t>
      </w:r>
      <w:r>
        <w:rPr>
          <w:rFonts w:ascii="Arial" w:cs="Arial" w:eastAsia="Arial" w:hAnsi="Arial"/>
          <w:sz w:val="20"/>
          <w:szCs w:val="20"/>
          <w:b w:val="1"/>
          <w:bCs w:val="1"/>
          <w:color w:val="000000"/>
          <w:vertAlign w:val="superscript"/>
        </w:rPr>
        <w:t>+</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00FF"/>
        </w:rPr>
        <w:t>10.3</w:t>
      </w:r>
      <w:r>
        <w:rPr>
          <w:rFonts w:ascii="Arial" w:cs="Arial" w:eastAsia="Arial" w:hAnsi="Arial"/>
          <w:sz w:val="20"/>
          <w:szCs w:val="20"/>
          <w:b w:val="1"/>
          <w:bCs w:val="1"/>
          <w:color w:val="000000"/>
          <w:vertAlign w:val="superscript"/>
        </w:rPr>
        <w:t>+</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00FF"/>
        </w:rPr>
        <w:t>10.4</w:t>
      </w:r>
      <w:r>
        <w:rPr>
          <w:rFonts w:ascii="Arial" w:cs="Arial" w:eastAsia="Arial" w:hAnsi="Arial"/>
          <w:sz w:val="20"/>
          <w:szCs w:val="20"/>
          <w:b w:val="1"/>
          <w:bCs w:val="1"/>
          <w:color w:val="000000"/>
          <w:vertAlign w:val="superscript"/>
        </w:rPr>
        <w:t>+</w:t>
      </w:r>
    </w:p>
    <w:p>
      <w:pPr>
        <w:spacing w:after="0" w:line="31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00FF"/>
        </w:rPr>
        <w:t>10.5</w:t>
      </w:r>
      <w:r>
        <w:rPr>
          <w:rFonts w:ascii="Arial" w:cs="Arial" w:eastAsia="Arial" w:hAnsi="Arial"/>
          <w:sz w:val="20"/>
          <w:szCs w:val="20"/>
          <w:b w:val="1"/>
          <w:bCs w:val="1"/>
          <w:color w:val="0000FF"/>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67945</wp:posOffset>
            </wp:positionV>
            <wp:extent cx="6540500" cy="52641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94">
                      <a:extLst>
                        <a:ext uri="{28A0092B-C50C-407E-A947-70E740481C1C}"/>
                      </a:extLst>
                    </a:blip>
                    <a:srcRect/>
                    <a:stretch>
                      <a:fillRect/>
                    </a:stretch>
                  </pic:blipFill>
                  <pic:spPr bwMode="auto">
                    <a:xfrm>
                      <a:off x="0" y="0"/>
                      <a:ext cx="6540500" cy="5264150"/>
                    </a:xfrm>
                    <a:prstGeom prst="rect">
                      <a:avLst/>
                    </a:prstGeom>
                    <a:noFill/>
                  </pic:spPr>
                </pic:pic>
              </a:graphicData>
            </a:graphic>
          </wp:anchor>
        </w:drawing>
      </w:r>
    </w:p>
    <w:p>
      <w:pPr>
        <w:spacing w:after="0" w:line="120"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0000FF"/>
        </w:rPr>
        <w:t>Amended and Restated Certificate of Incorporation of Enphase Energy, Inc.</w:t>
      </w:r>
    </w:p>
    <w:p>
      <w:pPr>
        <w:spacing w:after="0" w:line="1" w:lineRule="exact"/>
        <w:rPr>
          <w:sz w:val="20"/>
          <w:szCs w:val="20"/>
          <w:color w:val="auto"/>
        </w:rPr>
      </w:pPr>
    </w:p>
    <w:p>
      <w:pPr>
        <w:ind w:right="500"/>
        <w:spacing w:after="0" w:line="324" w:lineRule="auto"/>
        <w:rPr>
          <w:sz w:val="20"/>
          <w:szCs w:val="20"/>
          <w:color w:val="auto"/>
        </w:rPr>
      </w:pPr>
      <w:r>
        <w:rPr>
          <w:rFonts w:ascii="Arial" w:cs="Arial" w:eastAsia="Arial" w:hAnsi="Arial"/>
          <w:sz w:val="14"/>
          <w:szCs w:val="14"/>
          <w:b w:val="1"/>
          <w:bCs w:val="1"/>
          <w:color w:val="0000FF"/>
        </w:rPr>
        <w:t>Certificate of Amendment of the Amended and Restated Certificate of Incorporation of Enphase Energy, Inc.</w:t>
      </w:r>
    </w:p>
    <w:p>
      <w:pPr>
        <w:ind w:right="500"/>
        <w:spacing w:after="0" w:line="324" w:lineRule="auto"/>
        <w:rPr>
          <w:sz w:val="20"/>
          <w:szCs w:val="20"/>
          <w:color w:val="auto"/>
        </w:rPr>
      </w:pPr>
      <w:r>
        <w:rPr>
          <w:rFonts w:ascii="Arial" w:cs="Arial" w:eastAsia="Arial" w:hAnsi="Arial"/>
          <w:sz w:val="14"/>
          <w:szCs w:val="14"/>
          <w:b w:val="1"/>
          <w:bCs w:val="1"/>
          <w:color w:val="0000FF"/>
        </w:rPr>
        <w:t>Certificate of Amendment of the Amended and Restated Certificate of Incorporation of Enphase Energy, Inc.</w:t>
      </w:r>
    </w:p>
    <w:p>
      <w:pPr>
        <w:ind w:right="500"/>
        <w:spacing w:after="0" w:line="324" w:lineRule="auto"/>
        <w:rPr>
          <w:sz w:val="20"/>
          <w:szCs w:val="20"/>
          <w:color w:val="auto"/>
        </w:rPr>
      </w:pPr>
      <w:r>
        <w:rPr>
          <w:rFonts w:ascii="Arial" w:cs="Arial" w:eastAsia="Arial" w:hAnsi="Arial"/>
          <w:sz w:val="14"/>
          <w:szCs w:val="14"/>
          <w:b w:val="1"/>
          <w:bCs w:val="1"/>
          <w:color w:val="0000FF"/>
        </w:rPr>
        <w:t>Certificate of Amendment of the Amended and Restated Certificate of Incorporation of Enphase Energy, Inc.</w:t>
      </w:r>
    </w:p>
    <w:p>
      <w:pPr>
        <w:ind w:right="500"/>
        <w:spacing w:after="0" w:line="323" w:lineRule="auto"/>
        <w:rPr>
          <w:sz w:val="20"/>
          <w:szCs w:val="20"/>
          <w:color w:val="auto"/>
        </w:rPr>
      </w:pPr>
      <w:r>
        <w:rPr>
          <w:rFonts w:ascii="Arial" w:cs="Arial" w:eastAsia="Arial" w:hAnsi="Arial"/>
          <w:sz w:val="14"/>
          <w:szCs w:val="14"/>
          <w:b w:val="1"/>
          <w:bCs w:val="1"/>
          <w:color w:val="0000FF"/>
        </w:rPr>
        <w:t>Certificate of Amendment of the Amended and Restated Certificate of Incorporation of Enphase Energy, Inc.</w:t>
      </w:r>
    </w:p>
    <w:p>
      <w:pPr>
        <w:spacing w:after="0"/>
        <w:rPr>
          <w:sz w:val="20"/>
          <w:szCs w:val="20"/>
          <w:color w:val="auto"/>
        </w:rPr>
      </w:pPr>
      <w:r>
        <w:rPr>
          <w:rFonts w:ascii="Arial" w:cs="Arial" w:eastAsia="Arial" w:hAnsi="Arial"/>
          <w:sz w:val="16"/>
          <w:szCs w:val="16"/>
          <w:b w:val="1"/>
          <w:bCs w:val="1"/>
          <w:color w:val="0000FF"/>
        </w:rPr>
        <w:t>Amended and Restated Bylaws of Enphase Energy, Inc.</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0000FF"/>
        </w:rPr>
        <w:t>Specimen Common Stock Certificate of Enphase Energy, Inc.</w:t>
      </w:r>
    </w:p>
    <w:p>
      <w:pPr>
        <w:spacing w:after="0" w:line="69"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b w:val="1"/>
          <w:bCs w:val="1"/>
          <w:color w:val="0000FF"/>
        </w:rPr>
        <w:t>Indenture, dated March 1, 2021, between Enphase Energy, Inc. and U.S. Bank National Association.</w:t>
      </w:r>
    </w:p>
    <w:p>
      <w:pPr>
        <w:spacing w:after="0" w:line="1"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b w:val="1"/>
          <w:bCs w:val="1"/>
          <w:color w:val="0000FF"/>
        </w:rPr>
        <w:t>Indenture, dated March 1, 2021, between Enphase Energy, Inc. and U.S. Bank National Association.</w:t>
      </w:r>
    </w:p>
    <w:p>
      <w:pPr>
        <w:spacing w:after="0" w:line="1"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b w:val="1"/>
          <w:bCs w:val="1"/>
          <w:color w:val="0000FF"/>
        </w:rPr>
        <w:t>Form of 0% Convertible Senior Note due 2026 (included in Exhibit 4.2).</w:t>
      </w:r>
    </w:p>
    <w:p>
      <w:pPr>
        <w:spacing w:after="0" w:line="1"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b w:val="1"/>
          <w:bCs w:val="1"/>
          <w:color w:val="0000FF"/>
        </w:rPr>
        <w:t>Form of 0% Convertible Senior Note due 2028 (included in Exhibit 4.3).</w:t>
      </w:r>
    </w:p>
    <w:p>
      <w:pPr>
        <w:spacing w:after="0" w:line="7"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b w:val="1"/>
          <w:bCs w:val="1"/>
          <w:color w:val="0000FF"/>
        </w:rPr>
        <w:t>Description of Registrant’s Securities Registered Pursuant to Section 12 of the Securities Exchange Act of 1934, as amended.</w:t>
      </w:r>
    </w:p>
    <w:p>
      <w:pPr>
        <w:spacing w:after="0" w:line="22"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b w:val="1"/>
          <w:bCs w:val="1"/>
          <w:color w:val="0000FF"/>
        </w:rPr>
        <w:t>Form of Indemnification Agreement by and between Enphase Energy, Inc. and each of its directors and officers.</w:t>
      </w:r>
    </w:p>
    <w:p>
      <w:pPr>
        <w:spacing w:after="0" w:line="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b w:val="1"/>
          <w:bCs w:val="1"/>
          <w:color w:val="0000FF"/>
        </w:rPr>
        <w:t>Amended and Restated 2021 Equity Incentive Plan and forms of agreement thereunder.</w:t>
      </w:r>
    </w:p>
    <w:p>
      <w:pPr>
        <w:spacing w:after="0" w:line="1" w:lineRule="exact"/>
        <w:rPr>
          <w:sz w:val="20"/>
          <w:szCs w:val="20"/>
          <w:color w:val="auto"/>
        </w:rPr>
      </w:pPr>
    </w:p>
    <w:p>
      <w:pPr>
        <w:ind w:right="620"/>
        <w:spacing w:after="0" w:line="285" w:lineRule="auto"/>
        <w:rPr>
          <w:sz w:val="20"/>
          <w:szCs w:val="20"/>
          <w:color w:val="auto"/>
        </w:rPr>
      </w:pPr>
      <w:r>
        <w:rPr>
          <w:rFonts w:ascii="Arial" w:cs="Arial" w:eastAsia="Arial" w:hAnsi="Arial"/>
          <w:sz w:val="16"/>
          <w:szCs w:val="16"/>
          <w:b w:val="1"/>
          <w:bCs w:val="1"/>
          <w:color w:val="0000FF"/>
        </w:rPr>
        <w:t>2011 Equity Incentive Plan, as amended, and forms of agreement thereunder.</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0000FF"/>
        </w:rPr>
        <w:t>2011 Employee Stock Purchase Plan, as amended.</w:t>
      </w:r>
    </w:p>
    <w:p>
      <w:pPr>
        <w:spacing w:after="0" w:line="164" w:lineRule="exact"/>
        <w:rPr>
          <w:sz w:val="20"/>
          <w:szCs w:val="20"/>
          <w:color w:val="auto"/>
        </w:rPr>
      </w:pPr>
    </w:p>
    <w:p>
      <w:pPr>
        <w:jc w:val="both"/>
        <w:ind w:right="300"/>
        <w:spacing w:after="0" w:line="267" w:lineRule="auto"/>
        <w:rPr>
          <w:sz w:val="20"/>
          <w:szCs w:val="20"/>
          <w:color w:val="auto"/>
        </w:rPr>
      </w:pPr>
      <w:r>
        <w:rPr>
          <w:rFonts w:ascii="Arial" w:cs="Arial" w:eastAsia="Arial" w:hAnsi="Arial"/>
          <w:sz w:val="16"/>
          <w:szCs w:val="16"/>
          <w:b w:val="1"/>
          <w:bCs w:val="1"/>
          <w:color w:val="0000FF"/>
        </w:rPr>
        <w:t>Flextronics Logistics Services Agreement by and between Enphase Energy, Inc. and Flextronics America, LLC, dated May 1, 2009.</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Incorporation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234315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3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84.5pt,2.2pt" o:allowincell="f" strokecolor="#000000" strokeweight="1pt"/>
            </w:pict>
          </mc:Fallback>
        </mc:AlternateConten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80" w:type="dxa"/>
            <w:vAlign w:val="bottom"/>
          </w:tcPr>
          <w:p>
            <w:pPr>
              <w:spacing w:after="0"/>
              <w:rPr>
                <w:sz w:val="19"/>
                <w:szCs w:val="19"/>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SEC File No.</w:t>
            </w: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80" w:type="dxa"/>
            <w:vAlign w:val="bottom"/>
          </w:tcPr>
          <w:p>
            <w:pPr>
              <w:spacing w:after="0"/>
              <w:rPr>
                <w:sz w:val="19"/>
                <w:szCs w:val="19"/>
                <w:color w:val="auto"/>
              </w:rPr>
            </w:pPr>
          </w:p>
        </w:tc>
        <w:tc>
          <w:tcPr>
            <w:tcW w:w="960" w:type="dxa"/>
            <w:vAlign w:val="bottom"/>
          </w:tcPr>
          <w:p>
            <w:pPr>
              <w:ind w:left="6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80"/>
        </w:trPr>
        <w:tc>
          <w:tcPr>
            <w:tcW w:w="5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8-K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8"/>
              </w:rPr>
              <w:t>3.1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4/6/2012</w:t>
            </w:r>
          </w:p>
        </w:tc>
        <w:tc>
          <w:tcPr>
            <w:tcW w:w="0" w:type="dxa"/>
            <w:vAlign w:val="bottom"/>
          </w:tcPr>
          <w:p>
            <w:pPr>
              <w:spacing w:after="0"/>
              <w:rPr>
                <w:sz w:val="1"/>
                <w:szCs w:val="1"/>
                <w:color w:val="auto"/>
              </w:rPr>
            </w:pPr>
          </w:p>
        </w:tc>
      </w:tr>
      <w:tr>
        <w:trPr>
          <w:trHeight w:val="435"/>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rPr>
              <w:t>10-Q</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3.1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8/9/2017</w:t>
            </w:r>
          </w:p>
        </w:tc>
        <w:tc>
          <w:tcPr>
            <w:tcW w:w="0" w:type="dxa"/>
            <w:vAlign w:val="bottom"/>
          </w:tcPr>
          <w:p>
            <w:pPr>
              <w:spacing w:after="0"/>
              <w:rPr>
                <w:sz w:val="1"/>
                <w:szCs w:val="1"/>
                <w:color w:val="auto"/>
              </w:rPr>
            </w:pPr>
          </w:p>
        </w:tc>
      </w:tr>
      <w:tr>
        <w:trPr>
          <w:trHeight w:val="435"/>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rPr>
              <w:t>10-Q</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2.1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8/6/2018</w:t>
            </w:r>
          </w:p>
        </w:tc>
        <w:tc>
          <w:tcPr>
            <w:tcW w:w="0" w:type="dxa"/>
            <w:vAlign w:val="bottom"/>
          </w:tcPr>
          <w:p>
            <w:pPr>
              <w:spacing w:after="0"/>
              <w:rPr>
                <w:sz w:val="1"/>
                <w:szCs w:val="1"/>
                <w:color w:val="auto"/>
              </w:rPr>
            </w:pPr>
          </w:p>
        </w:tc>
      </w:tr>
      <w:tr>
        <w:trPr>
          <w:trHeight w:val="435"/>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8-K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3.1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5/27/2020</w:t>
            </w:r>
          </w:p>
        </w:tc>
        <w:tc>
          <w:tcPr>
            <w:tcW w:w="0" w:type="dxa"/>
            <w:vAlign w:val="bottom"/>
          </w:tcPr>
          <w:p>
            <w:pPr>
              <w:spacing w:after="0"/>
              <w:rPr>
                <w:sz w:val="1"/>
                <w:szCs w:val="1"/>
                <w:color w:val="auto"/>
              </w:rPr>
            </w:pPr>
          </w:p>
        </w:tc>
      </w:tr>
      <w:tr>
        <w:trPr>
          <w:trHeight w:val="435"/>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6"/>
              </w:rPr>
              <w:t>S-8</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333-256290</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4.5</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5/19/2021</w:t>
            </w:r>
          </w:p>
        </w:tc>
        <w:tc>
          <w:tcPr>
            <w:tcW w:w="0" w:type="dxa"/>
            <w:vAlign w:val="bottom"/>
          </w:tcPr>
          <w:p>
            <w:pPr>
              <w:spacing w:after="0"/>
              <w:rPr>
                <w:sz w:val="1"/>
                <w:szCs w:val="1"/>
                <w:color w:val="auto"/>
              </w:rPr>
            </w:pPr>
          </w:p>
        </w:tc>
      </w:tr>
      <w:tr>
        <w:trPr>
          <w:trHeight w:val="337"/>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8-K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3.1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4/8/2022</w:t>
            </w:r>
          </w:p>
        </w:tc>
        <w:tc>
          <w:tcPr>
            <w:tcW w:w="0" w:type="dxa"/>
            <w:vAlign w:val="bottom"/>
          </w:tcPr>
          <w:p>
            <w:pPr>
              <w:spacing w:after="0"/>
              <w:rPr>
                <w:sz w:val="1"/>
                <w:szCs w:val="1"/>
                <w:color w:val="auto"/>
              </w:rPr>
            </w:pPr>
          </w:p>
        </w:tc>
      </w:tr>
      <w:tr>
        <w:trPr>
          <w:trHeight w:val="240"/>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7"/>
              </w:rPr>
              <w:t>10-K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4.1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2/10/2025</w:t>
            </w:r>
          </w:p>
        </w:tc>
        <w:tc>
          <w:tcPr>
            <w:tcW w:w="0" w:type="dxa"/>
            <w:vAlign w:val="bottom"/>
          </w:tcPr>
          <w:p>
            <w:pPr>
              <w:spacing w:after="0"/>
              <w:rPr>
                <w:sz w:val="1"/>
                <w:szCs w:val="1"/>
                <w:color w:val="auto"/>
              </w:rPr>
            </w:pPr>
          </w:p>
        </w:tc>
      </w:tr>
      <w:tr>
        <w:trPr>
          <w:trHeight w:val="338"/>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8-K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8"/>
              </w:rPr>
              <w:t>4.1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3/1/2021</w:t>
            </w:r>
          </w:p>
        </w:tc>
        <w:tc>
          <w:tcPr>
            <w:tcW w:w="0" w:type="dxa"/>
            <w:vAlign w:val="bottom"/>
          </w:tcPr>
          <w:p>
            <w:pPr>
              <w:spacing w:after="0"/>
              <w:rPr>
                <w:sz w:val="1"/>
                <w:szCs w:val="1"/>
                <w:color w:val="auto"/>
              </w:rPr>
            </w:pPr>
          </w:p>
        </w:tc>
      </w:tr>
      <w:tr>
        <w:trPr>
          <w:trHeight w:val="435"/>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8-K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8"/>
              </w:rPr>
              <w:t>4.2</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3/1/2021</w:t>
            </w:r>
          </w:p>
        </w:tc>
        <w:tc>
          <w:tcPr>
            <w:tcW w:w="0" w:type="dxa"/>
            <w:vAlign w:val="bottom"/>
          </w:tcPr>
          <w:p>
            <w:pPr>
              <w:spacing w:after="0"/>
              <w:rPr>
                <w:sz w:val="1"/>
                <w:szCs w:val="1"/>
                <w:color w:val="auto"/>
              </w:rPr>
            </w:pPr>
          </w:p>
        </w:tc>
      </w:tr>
      <w:tr>
        <w:trPr>
          <w:trHeight w:val="435"/>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8-K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8"/>
              </w:rPr>
              <w:t>4.1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3/1/2021</w:t>
            </w:r>
          </w:p>
        </w:tc>
        <w:tc>
          <w:tcPr>
            <w:tcW w:w="0" w:type="dxa"/>
            <w:vAlign w:val="bottom"/>
          </w:tcPr>
          <w:p>
            <w:pPr>
              <w:spacing w:after="0"/>
              <w:rPr>
                <w:sz w:val="1"/>
                <w:szCs w:val="1"/>
                <w:color w:val="auto"/>
              </w:rPr>
            </w:pPr>
          </w:p>
        </w:tc>
      </w:tr>
      <w:tr>
        <w:trPr>
          <w:trHeight w:val="435"/>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8-K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8"/>
              </w:rPr>
              <w:t>4.2</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3/1/2021</w:t>
            </w:r>
          </w:p>
        </w:tc>
        <w:tc>
          <w:tcPr>
            <w:tcW w:w="0" w:type="dxa"/>
            <w:vAlign w:val="bottom"/>
          </w:tcPr>
          <w:p>
            <w:pPr>
              <w:spacing w:after="0"/>
              <w:rPr>
                <w:sz w:val="1"/>
                <w:szCs w:val="1"/>
                <w:color w:val="auto"/>
              </w:rPr>
            </w:pPr>
          </w:p>
        </w:tc>
      </w:tr>
      <w:tr>
        <w:trPr>
          <w:trHeight w:val="540"/>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7"/>
              </w:rPr>
              <w:t>10-K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4.11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2/11/2022</w:t>
            </w:r>
          </w:p>
        </w:tc>
        <w:tc>
          <w:tcPr>
            <w:tcW w:w="0" w:type="dxa"/>
            <w:vAlign w:val="bottom"/>
          </w:tcPr>
          <w:p>
            <w:pPr>
              <w:spacing w:after="0"/>
              <w:rPr>
                <w:sz w:val="1"/>
                <w:szCs w:val="1"/>
                <w:color w:val="auto"/>
              </w:rPr>
            </w:pPr>
          </w:p>
        </w:tc>
      </w:tr>
      <w:tr>
        <w:trPr>
          <w:trHeight w:val="540"/>
        </w:trPr>
        <w:tc>
          <w:tcPr>
            <w:tcW w:w="1660" w:type="dxa"/>
            <w:vAlign w:val="bottom"/>
            <w:gridSpan w:val="3"/>
          </w:tcPr>
          <w:p>
            <w:pPr>
              <w:ind w:left="60"/>
              <w:spacing w:after="0"/>
              <w:rPr>
                <w:sz w:val="20"/>
                <w:szCs w:val="20"/>
                <w:color w:val="auto"/>
              </w:rPr>
            </w:pPr>
            <w:r>
              <w:rPr>
                <w:rFonts w:ascii="Arial" w:cs="Arial" w:eastAsia="Arial" w:hAnsi="Arial"/>
                <w:sz w:val="16"/>
                <w:szCs w:val="16"/>
                <w:b w:val="1"/>
                <w:bCs w:val="1"/>
                <w:color w:val="auto"/>
              </w:rPr>
              <w:t>S-1/A   333-174925</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rPr>
              <w:t>10.1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8/24/2011</w:t>
            </w:r>
          </w:p>
        </w:tc>
        <w:tc>
          <w:tcPr>
            <w:tcW w:w="0" w:type="dxa"/>
            <w:vAlign w:val="bottom"/>
          </w:tcPr>
          <w:p>
            <w:pPr>
              <w:spacing w:after="0"/>
              <w:rPr>
                <w:sz w:val="1"/>
                <w:szCs w:val="1"/>
                <w:color w:val="auto"/>
              </w:rPr>
            </w:pPr>
          </w:p>
        </w:tc>
      </w:tr>
      <w:tr>
        <w:trPr>
          <w:trHeight w:val="435"/>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rPr>
              <w:t>10-Q</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rPr>
              <w:t>10.1</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7/22/2025</w:t>
            </w:r>
          </w:p>
        </w:tc>
        <w:tc>
          <w:tcPr>
            <w:tcW w:w="0" w:type="dxa"/>
            <w:vAlign w:val="bottom"/>
          </w:tcPr>
          <w:p>
            <w:pPr>
              <w:spacing w:after="0"/>
              <w:rPr>
                <w:sz w:val="1"/>
                <w:szCs w:val="1"/>
                <w:color w:val="auto"/>
              </w:rPr>
            </w:pPr>
          </w:p>
        </w:tc>
      </w:tr>
      <w:tr>
        <w:trPr>
          <w:trHeight w:val="320"/>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9"/>
              </w:rPr>
              <w:t>DEF</w:t>
            </w:r>
          </w:p>
        </w:tc>
        <w:tc>
          <w:tcPr>
            <w:tcW w:w="1140" w:type="dxa"/>
            <w:vAlign w:val="bottom"/>
            <w:gridSpan w:val="2"/>
            <w:vMerge w:val="restart"/>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8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Appendix A</w:t>
            </w:r>
          </w:p>
        </w:tc>
        <w:tc>
          <w:tcPr>
            <w:tcW w:w="10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8"/>
              </w:rPr>
              <w:t>3/18/2016</w:t>
            </w:r>
          </w:p>
        </w:tc>
        <w:tc>
          <w:tcPr>
            <w:tcW w:w="0" w:type="dxa"/>
            <w:vAlign w:val="bottom"/>
          </w:tcPr>
          <w:p>
            <w:pPr>
              <w:spacing w:after="0"/>
              <w:rPr>
                <w:sz w:val="1"/>
                <w:szCs w:val="1"/>
                <w:color w:val="auto"/>
              </w:rPr>
            </w:pPr>
          </w:p>
        </w:tc>
      </w:tr>
      <w:tr>
        <w:trPr>
          <w:trHeight w:val="115"/>
        </w:trPr>
        <w:tc>
          <w:tcPr>
            <w:tcW w:w="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14A</w:t>
            </w: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9"/>
              </w:rPr>
              <w:t>DEF</w:t>
            </w:r>
          </w:p>
        </w:tc>
        <w:tc>
          <w:tcPr>
            <w:tcW w:w="1140" w:type="dxa"/>
            <w:vAlign w:val="bottom"/>
            <w:gridSpan w:val="2"/>
            <w:vMerge w:val="restart"/>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80" w:type="dxa"/>
            <w:vAlign w:val="bottom"/>
          </w:tcPr>
          <w:p>
            <w:pPr>
              <w:spacing w:after="0"/>
              <w:rPr>
                <w:sz w:val="19"/>
                <w:szCs w:val="19"/>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Appendix A</w:t>
            </w:r>
          </w:p>
        </w:tc>
        <w:tc>
          <w:tcPr>
            <w:tcW w:w="10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8"/>
              </w:rPr>
              <w:t>3/31/2017</w:t>
            </w:r>
          </w:p>
        </w:tc>
        <w:tc>
          <w:tcPr>
            <w:tcW w:w="0" w:type="dxa"/>
            <w:vAlign w:val="bottom"/>
          </w:tcPr>
          <w:p>
            <w:pPr>
              <w:spacing w:after="0"/>
              <w:rPr>
                <w:sz w:val="1"/>
                <w:szCs w:val="1"/>
                <w:color w:val="auto"/>
              </w:rPr>
            </w:pPr>
          </w:p>
        </w:tc>
      </w:tr>
      <w:tr>
        <w:trPr>
          <w:trHeight w:val="115"/>
        </w:trPr>
        <w:tc>
          <w:tcPr>
            <w:tcW w:w="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14A</w:t>
            </w: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4"/>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7"/>
              </w:rPr>
              <w:t>10-K</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99"/>
              </w:rPr>
              <w:t>001-35480</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rPr>
              <w:t>10.5</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2/10/2025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Filed</w:t>
      </w:r>
    </w:p>
    <w:p>
      <w:pPr>
        <w:jc w:val="center"/>
        <w:ind w:right="100"/>
        <w:spacing w:after="0"/>
        <w:rPr>
          <w:sz w:val="20"/>
          <w:szCs w:val="20"/>
          <w:color w:val="auto"/>
        </w:rPr>
      </w:pPr>
      <w:r>
        <w:rPr>
          <w:rFonts w:ascii="Arial" w:cs="Arial" w:eastAsia="Arial" w:hAnsi="Arial"/>
          <w:sz w:val="15"/>
          <w:szCs w:val="15"/>
          <w:b w:val="1"/>
          <w:bCs w:val="1"/>
          <w:color w:val="auto"/>
        </w:rPr>
        <w:t>Herewith</w:t>
      </w:r>
    </w:p>
    <w:p>
      <w:pPr>
        <w:spacing w:after="0" w:line="7579" w:lineRule="exact"/>
        <w:rPr>
          <w:sz w:val="20"/>
          <w:szCs w:val="20"/>
          <w:color w:val="auto"/>
        </w:rPr>
      </w:pPr>
    </w:p>
    <w:p>
      <w:pPr>
        <w:sectPr>
          <w:pgSz w:w="12240" w:h="15840" w:orient="portrait"/>
          <w:cols w:equalWidth="0" w:num="4">
            <w:col w:w="740" w:space="300"/>
            <w:col w:w="4440" w:space="120"/>
            <w:col w:w="3700" w:space="180"/>
            <w:col w:w="760"/>
          </w:cols>
          <w:pgMar w:left="1000" w:top="216" w:right="1000" w:bottom="0" w:gutter="0" w:footer="0" w:header="0"/>
          <w:type w:val="continuous"/>
        </w:sectPr>
      </w:pPr>
    </w:p>
    <w:p>
      <w:pPr>
        <w:jc w:val="center"/>
        <w:ind w:left="780"/>
        <w:spacing w:after="0"/>
        <w:rPr>
          <w:sz w:val="20"/>
          <w:szCs w:val="20"/>
          <w:color w:val="auto"/>
        </w:rPr>
      </w:pPr>
      <w:r>
        <w:rPr>
          <w:rFonts w:ascii="Arial" w:cs="Arial" w:eastAsia="Arial" w:hAnsi="Arial"/>
          <w:sz w:val="16"/>
          <w:szCs w:val="16"/>
          <w:b w:val="1"/>
          <w:bCs w:val="1"/>
          <w:color w:val="0000FF"/>
        </w:rPr>
        <w:t>Amendment #1 to the Flextronics Logistics Services</w:t>
      </w:r>
    </w:p>
    <w:p>
      <w:pPr>
        <w:spacing w:after="0" w:line="24" w:lineRule="exact"/>
        <w:rPr>
          <w:sz w:val="20"/>
          <w:szCs w:val="20"/>
          <w:color w:val="auto"/>
        </w:rPr>
      </w:pPr>
    </w:p>
    <w:p>
      <w:pPr>
        <w:ind w:left="1040" w:right="60" w:hanging="740"/>
        <w:spacing w:after="0" w:line="264" w:lineRule="auto"/>
        <w:tabs>
          <w:tab w:leader="none" w:pos="1020" w:val="left"/>
        </w:tabs>
        <w:rPr>
          <w:sz w:val="20"/>
          <w:szCs w:val="20"/>
          <w:color w:val="auto"/>
        </w:rPr>
      </w:pPr>
      <w:r>
        <w:rPr>
          <w:rFonts w:ascii="Arial" w:cs="Arial" w:eastAsia="Arial" w:hAnsi="Arial"/>
          <w:sz w:val="16"/>
          <w:szCs w:val="16"/>
          <w:b w:val="1"/>
          <w:bCs w:val="1"/>
          <w:color w:val="0000FF"/>
        </w:rPr>
        <w:t>10.6</w:t>
      </w:r>
      <w:r>
        <w:rPr>
          <w:sz w:val="20"/>
          <w:szCs w:val="20"/>
          <w:color w:val="auto"/>
        </w:rPr>
        <w:tab/>
      </w:r>
      <w:r>
        <w:rPr>
          <w:rFonts w:ascii="Arial" w:cs="Arial" w:eastAsia="Arial" w:hAnsi="Arial"/>
          <w:sz w:val="16"/>
          <w:szCs w:val="16"/>
          <w:b w:val="1"/>
          <w:bCs w:val="1"/>
          <w:color w:val="0000FF"/>
        </w:rPr>
        <w:t>Agreement, by and between Enphase Energy, Inc. and Flextronics America, LLC, dated July 28, 2016.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423545</wp:posOffset>
                </wp:positionV>
                <wp:extent cx="633412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3.35pt" to="505.35pt,33.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423545</wp:posOffset>
                </wp:positionV>
                <wp:extent cx="6334125"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33.35pt" to="505.35pt,33.35pt" o:allowincell="f" strokecolor="#828282" strokeweight="0.25pt"/>
            </w:pict>
          </mc:Fallback>
        </mc:AlternateConten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20" w:type="dxa"/>
            <w:vAlign w:val="bottom"/>
          </w:tcPr>
          <w:p>
            <w:pPr>
              <w:spacing w:after="0"/>
              <w:rPr>
                <w:sz w:val="20"/>
                <w:szCs w:val="20"/>
                <w:color w:val="auto"/>
              </w:rPr>
            </w:pPr>
            <w:r>
              <w:rPr>
                <w:rFonts w:ascii="Arial" w:cs="Arial" w:eastAsia="Arial" w:hAnsi="Arial"/>
                <w:sz w:val="16"/>
                <w:szCs w:val="16"/>
                <w:b w:val="1"/>
                <w:bCs w:val="1"/>
                <w:color w:val="auto"/>
              </w:rPr>
              <w:t>10-Q</w:t>
            </w:r>
          </w:p>
        </w:tc>
        <w:tc>
          <w:tcPr>
            <w:tcW w:w="1180" w:type="dxa"/>
            <w:vAlign w:val="bottom"/>
          </w:tcPr>
          <w:p>
            <w:pPr>
              <w:jc w:val="right"/>
              <w:ind w:right="180"/>
              <w:spacing w:after="0"/>
              <w:rPr>
                <w:sz w:val="20"/>
                <w:szCs w:val="20"/>
                <w:color w:val="auto"/>
              </w:rPr>
            </w:pPr>
            <w:r>
              <w:rPr>
                <w:rFonts w:ascii="Arial" w:cs="Arial" w:eastAsia="Arial" w:hAnsi="Arial"/>
                <w:sz w:val="16"/>
                <w:szCs w:val="16"/>
                <w:b w:val="1"/>
                <w:bCs w:val="1"/>
                <w:color w:val="auto"/>
              </w:rPr>
              <w:t>001-35480</w:t>
            </w:r>
          </w:p>
        </w:tc>
        <w:tc>
          <w:tcPr>
            <w:tcW w:w="820" w:type="dxa"/>
            <w:vAlign w:val="bottom"/>
          </w:tcPr>
          <w:p>
            <w:pPr>
              <w:jc w:val="right"/>
              <w:ind w:right="160"/>
              <w:spacing w:after="0"/>
              <w:rPr>
                <w:sz w:val="20"/>
                <w:szCs w:val="20"/>
                <w:color w:val="auto"/>
              </w:rPr>
            </w:pPr>
            <w:r>
              <w:rPr>
                <w:rFonts w:ascii="Arial" w:cs="Arial" w:eastAsia="Arial" w:hAnsi="Arial"/>
                <w:sz w:val="16"/>
                <w:szCs w:val="16"/>
                <w:b w:val="1"/>
                <w:bCs w:val="1"/>
                <w:color w:val="auto"/>
              </w:rPr>
              <w:t>10.4</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11/2/2016</w:t>
            </w:r>
          </w:p>
        </w:tc>
      </w:tr>
    </w:tbl>
    <w:p>
      <w:pPr>
        <w:spacing w:after="0" w:line="409" w:lineRule="exact"/>
        <w:rPr>
          <w:sz w:val="20"/>
          <w:szCs w:val="20"/>
          <w:color w:val="auto"/>
        </w:rPr>
      </w:pPr>
    </w:p>
    <w:p>
      <w:pPr>
        <w:sectPr>
          <w:pgSz w:w="12240" w:h="15840" w:orient="portrait"/>
          <w:cols w:equalWidth="0" w:num="2">
            <w:col w:w="4960" w:space="720"/>
            <w:col w:w="4560"/>
          </w:cols>
          <w:pgMar w:left="1000" w:top="216"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828282"/>
        </w:rPr>
        <w:t>Enphase Energy, Inc. | 2025 Form 10-K | 118</w:t>
      </w:r>
    </w:p>
    <w:p>
      <w:pPr>
        <w:sectPr>
          <w:pgSz w:w="12240" w:h="15840" w:orient="portrait"/>
          <w:cols w:equalWidth="0" w:num="1">
            <w:col w:w="10240"/>
          </w:cols>
          <w:pgMar w:left="1000" w:top="216" w:right="1000" w:bottom="0" w:gutter="0" w:footer="0" w:header="0"/>
          <w:type w:val="continuous"/>
        </w:sectPr>
      </w:pPr>
    </w:p>
    <w:bookmarkStart w:id="118" w:name="page119"/>
    <w:bookmarkEnd w:id="118"/>
    <w:p>
      <w:pPr>
        <w:ind w:left="32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389255</wp:posOffset>
            </wp:positionV>
            <wp:extent cx="6540500" cy="85693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95">
                      <a:extLst>
                        <a:ext uri="{28A0092B-C50C-407E-A947-70E740481C1C}"/>
                      </a:extLst>
                    </a:blip>
                    <a:srcRect/>
                    <a:stretch>
                      <a:fillRect/>
                    </a:stretch>
                  </pic:blipFill>
                  <pic:spPr bwMode="auto">
                    <a:xfrm>
                      <a:off x="0" y="0"/>
                      <a:ext cx="6540500" cy="856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 w:type="dxa"/>
            <w:vAlign w:val="bottom"/>
          </w:tcPr>
          <w:p>
            <w:pPr>
              <w:spacing w:after="0"/>
              <w:rPr>
                <w:sz w:val="16"/>
                <w:szCs w:val="16"/>
                <w:color w:val="auto"/>
              </w:rPr>
            </w:pP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Flextronics Manufacturing Services Agreement by and</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640" w:type="dxa"/>
            <w:vAlign w:val="bottom"/>
          </w:tcPr>
          <w:p>
            <w:pPr>
              <w:jc w:val="center"/>
              <w:ind w:right="100"/>
              <w:spacing w:after="0" w:line="192" w:lineRule="exact"/>
              <w:rPr>
                <w:sz w:val="20"/>
                <w:szCs w:val="20"/>
                <w:color w:val="auto"/>
              </w:rPr>
            </w:pPr>
            <w:r>
              <w:rPr>
                <w:rFonts w:ascii="Arial" w:cs="Arial" w:eastAsia="Arial" w:hAnsi="Arial"/>
                <w:sz w:val="16"/>
                <w:szCs w:val="16"/>
                <w:b w:val="1"/>
                <w:bCs w:val="1"/>
                <w:color w:val="0000FF"/>
                <w:w w:val="98"/>
              </w:rPr>
              <w:t>10.7</w:t>
            </w:r>
            <w:r>
              <w:rPr>
                <w:rFonts w:ascii="Arial" w:cs="Arial" w:eastAsia="Arial" w:hAnsi="Arial"/>
                <w:sz w:val="20"/>
                <w:szCs w:val="20"/>
                <w:b w:val="1"/>
                <w:bCs w:val="1"/>
                <w:color w:val="0000FF"/>
                <w:w w:val="98"/>
                <w:vertAlign w:val="superscript"/>
              </w:rPr>
              <w:t>#</w:t>
            </w: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w w:val="95"/>
              </w:rPr>
              <w:t>between Enphase Energy, Inc. and Flextronics Industrial, Ltd.,</w:t>
            </w:r>
          </w:p>
        </w:tc>
        <w:tc>
          <w:tcPr>
            <w:tcW w:w="640" w:type="dxa"/>
            <w:vAlign w:val="bottom"/>
          </w:tcPr>
          <w:p>
            <w:pPr>
              <w:ind w:left="140"/>
              <w:spacing w:after="0"/>
              <w:rPr>
                <w:sz w:val="20"/>
                <w:szCs w:val="20"/>
                <w:color w:val="auto"/>
              </w:rPr>
            </w:pPr>
            <w:r>
              <w:rPr>
                <w:rFonts w:ascii="Arial" w:cs="Arial" w:eastAsia="Arial" w:hAnsi="Arial"/>
                <w:sz w:val="16"/>
                <w:szCs w:val="16"/>
                <w:b w:val="1"/>
                <w:bCs w:val="1"/>
                <w:color w:val="auto"/>
              </w:rPr>
              <w:t>10-K</w:t>
            </w:r>
          </w:p>
        </w:tc>
        <w:tc>
          <w:tcPr>
            <w:tcW w:w="1180" w:type="dxa"/>
            <w:vAlign w:val="bottom"/>
          </w:tcPr>
          <w:p>
            <w:pPr>
              <w:jc w:val="right"/>
              <w:ind w:right="180"/>
              <w:spacing w:after="0"/>
              <w:rPr>
                <w:sz w:val="20"/>
                <w:szCs w:val="20"/>
                <w:color w:val="auto"/>
              </w:rPr>
            </w:pPr>
            <w:r>
              <w:rPr>
                <w:rFonts w:ascii="Arial" w:cs="Arial" w:eastAsia="Arial" w:hAnsi="Arial"/>
                <w:sz w:val="16"/>
                <w:szCs w:val="16"/>
                <w:b w:val="1"/>
                <w:bCs w:val="1"/>
                <w:color w:val="auto"/>
              </w:rPr>
              <w:t>001-35480</w:t>
            </w:r>
          </w:p>
        </w:tc>
        <w:tc>
          <w:tcPr>
            <w:tcW w:w="820" w:type="dxa"/>
            <w:vAlign w:val="bottom"/>
          </w:tcPr>
          <w:p>
            <w:pPr>
              <w:jc w:val="right"/>
              <w:ind w:right="160"/>
              <w:spacing w:after="0"/>
              <w:rPr>
                <w:sz w:val="20"/>
                <w:szCs w:val="20"/>
                <w:color w:val="auto"/>
              </w:rPr>
            </w:pPr>
            <w:r>
              <w:rPr>
                <w:rFonts w:ascii="Arial" w:cs="Arial" w:eastAsia="Arial" w:hAnsi="Arial"/>
                <w:sz w:val="16"/>
                <w:szCs w:val="16"/>
                <w:b w:val="1"/>
                <w:bCs w:val="1"/>
                <w:color w:val="auto"/>
              </w:rPr>
              <w:t>10.7</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2/10/2025</w:t>
            </w:r>
          </w:p>
        </w:tc>
      </w:tr>
      <w:tr>
        <w:trPr>
          <w:trHeight w:val="211"/>
        </w:trPr>
        <w:tc>
          <w:tcPr>
            <w:tcW w:w="64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dated March 1, 2009, as amended.</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2"/>
        </w:trPr>
        <w:tc>
          <w:tcPr>
            <w:tcW w:w="640" w:type="dxa"/>
            <w:vAlign w:val="bottom"/>
          </w:tcPr>
          <w:p>
            <w:pPr>
              <w:spacing w:after="0"/>
              <w:rPr>
                <w:sz w:val="24"/>
                <w:szCs w:val="24"/>
                <w:color w:val="auto"/>
              </w:rPr>
            </w:pP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w w:val="94"/>
              </w:rPr>
              <w:t>Amendment to Flextronics Manufacturing Services Agreement</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2"/>
        </w:trPr>
        <w:tc>
          <w:tcPr>
            <w:tcW w:w="640" w:type="dxa"/>
            <w:vAlign w:val="bottom"/>
          </w:tcPr>
          <w:p>
            <w:pPr>
              <w:jc w:val="center"/>
              <w:ind w:right="100"/>
              <w:spacing w:after="0" w:line="192" w:lineRule="exact"/>
              <w:rPr>
                <w:sz w:val="20"/>
                <w:szCs w:val="20"/>
                <w:color w:val="auto"/>
              </w:rPr>
            </w:pPr>
            <w:r>
              <w:rPr>
                <w:rFonts w:ascii="Arial" w:cs="Arial" w:eastAsia="Arial" w:hAnsi="Arial"/>
                <w:sz w:val="16"/>
                <w:szCs w:val="16"/>
                <w:b w:val="1"/>
                <w:bCs w:val="1"/>
                <w:color w:val="0000FF"/>
                <w:w w:val="98"/>
              </w:rPr>
              <w:t>10.8</w:t>
            </w:r>
            <w:r>
              <w:rPr>
                <w:rFonts w:ascii="Arial" w:cs="Arial" w:eastAsia="Arial" w:hAnsi="Arial"/>
                <w:sz w:val="20"/>
                <w:szCs w:val="20"/>
                <w:b w:val="1"/>
                <w:bCs w:val="1"/>
                <w:color w:val="0000FF"/>
                <w:w w:val="98"/>
                <w:vertAlign w:val="superscript"/>
              </w:rPr>
              <w:t>#</w:t>
            </w: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by and between Enphase Energy, Inc. and Flextronics</w:t>
            </w:r>
          </w:p>
        </w:tc>
        <w:tc>
          <w:tcPr>
            <w:tcW w:w="640" w:type="dxa"/>
            <w:vAlign w:val="bottom"/>
          </w:tcPr>
          <w:p>
            <w:pPr>
              <w:ind w:left="140"/>
              <w:spacing w:after="0"/>
              <w:rPr>
                <w:sz w:val="20"/>
                <w:szCs w:val="20"/>
                <w:color w:val="auto"/>
              </w:rPr>
            </w:pPr>
            <w:r>
              <w:rPr>
                <w:rFonts w:ascii="Arial" w:cs="Arial" w:eastAsia="Arial" w:hAnsi="Arial"/>
                <w:sz w:val="16"/>
                <w:szCs w:val="16"/>
                <w:b w:val="1"/>
                <w:bCs w:val="1"/>
                <w:color w:val="auto"/>
              </w:rPr>
              <w:t>10-K</w:t>
            </w:r>
          </w:p>
        </w:tc>
        <w:tc>
          <w:tcPr>
            <w:tcW w:w="1180" w:type="dxa"/>
            <w:vAlign w:val="bottom"/>
          </w:tcPr>
          <w:p>
            <w:pPr>
              <w:jc w:val="right"/>
              <w:ind w:right="180"/>
              <w:spacing w:after="0"/>
              <w:rPr>
                <w:sz w:val="20"/>
                <w:szCs w:val="20"/>
                <w:color w:val="auto"/>
              </w:rPr>
            </w:pPr>
            <w:r>
              <w:rPr>
                <w:rFonts w:ascii="Arial" w:cs="Arial" w:eastAsia="Arial" w:hAnsi="Arial"/>
                <w:sz w:val="16"/>
                <w:szCs w:val="16"/>
                <w:b w:val="1"/>
                <w:bCs w:val="1"/>
                <w:color w:val="auto"/>
              </w:rPr>
              <w:t>001-35480</w:t>
            </w:r>
          </w:p>
        </w:tc>
        <w:tc>
          <w:tcPr>
            <w:tcW w:w="820" w:type="dxa"/>
            <w:vAlign w:val="bottom"/>
          </w:tcPr>
          <w:p>
            <w:pPr>
              <w:jc w:val="right"/>
              <w:ind w:right="160"/>
              <w:spacing w:after="0"/>
              <w:rPr>
                <w:sz w:val="20"/>
                <w:szCs w:val="20"/>
                <w:color w:val="auto"/>
              </w:rPr>
            </w:pPr>
            <w:r>
              <w:rPr>
                <w:rFonts w:ascii="Arial" w:cs="Arial" w:eastAsia="Arial" w:hAnsi="Arial"/>
                <w:sz w:val="16"/>
                <w:szCs w:val="16"/>
                <w:b w:val="1"/>
                <w:bCs w:val="1"/>
                <w:color w:val="auto"/>
              </w:rPr>
              <w:t>10.8</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2/13/2023</w:t>
            </w:r>
          </w:p>
        </w:tc>
      </w:tr>
      <w:tr>
        <w:trPr>
          <w:trHeight w:val="211"/>
        </w:trPr>
        <w:tc>
          <w:tcPr>
            <w:tcW w:w="64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Industrial, Ltd., dated August 22, 2018.</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22"/>
        </w:trPr>
        <w:tc>
          <w:tcPr>
            <w:tcW w:w="640" w:type="dxa"/>
            <w:vAlign w:val="bottom"/>
          </w:tcPr>
          <w:p>
            <w:pPr>
              <w:spacing w:after="0"/>
              <w:rPr>
                <w:sz w:val="24"/>
                <w:szCs w:val="24"/>
                <w:color w:val="auto"/>
              </w:rPr>
            </w:pP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Amendment No. 2 to Flextronics Manufacturing Services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2"/>
        </w:trPr>
        <w:tc>
          <w:tcPr>
            <w:tcW w:w="640" w:type="dxa"/>
            <w:vAlign w:val="bottom"/>
          </w:tcPr>
          <w:p>
            <w:pPr>
              <w:jc w:val="center"/>
              <w:ind w:right="100"/>
              <w:spacing w:after="0"/>
              <w:rPr>
                <w:sz w:val="20"/>
                <w:szCs w:val="20"/>
                <w:color w:val="auto"/>
              </w:rPr>
            </w:pPr>
            <w:r>
              <w:rPr>
                <w:rFonts w:ascii="Arial" w:cs="Arial" w:eastAsia="Arial" w:hAnsi="Arial"/>
                <w:sz w:val="16"/>
                <w:szCs w:val="16"/>
                <w:b w:val="1"/>
                <w:bCs w:val="1"/>
                <w:color w:val="0000FF"/>
                <w:w w:val="96"/>
              </w:rPr>
              <w:t>10.9</w:t>
            </w: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Agreement by and between Enphase Energy, Inc. and</w:t>
            </w:r>
          </w:p>
        </w:tc>
        <w:tc>
          <w:tcPr>
            <w:tcW w:w="640" w:type="dxa"/>
            <w:vAlign w:val="bottom"/>
          </w:tcPr>
          <w:p>
            <w:pPr>
              <w:ind w:left="120"/>
              <w:spacing w:after="0"/>
              <w:rPr>
                <w:sz w:val="20"/>
                <w:szCs w:val="20"/>
                <w:color w:val="auto"/>
              </w:rPr>
            </w:pPr>
            <w:r>
              <w:rPr>
                <w:rFonts w:ascii="Arial" w:cs="Arial" w:eastAsia="Arial" w:hAnsi="Arial"/>
                <w:sz w:val="16"/>
                <w:szCs w:val="16"/>
                <w:b w:val="1"/>
                <w:bCs w:val="1"/>
                <w:color w:val="auto"/>
              </w:rPr>
              <w:t>10-Q</w:t>
            </w:r>
          </w:p>
        </w:tc>
        <w:tc>
          <w:tcPr>
            <w:tcW w:w="1180" w:type="dxa"/>
            <w:vAlign w:val="bottom"/>
          </w:tcPr>
          <w:p>
            <w:pPr>
              <w:jc w:val="right"/>
              <w:ind w:right="180"/>
              <w:spacing w:after="0"/>
              <w:rPr>
                <w:sz w:val="20"/>
                <w:szCs w:val="20"/>
                <w:color w:val="auto"/>
              </w:rPr>
            </w:pPr>
            <w:r>
              <w:rPr>
                <w:rFonts w:ascii="Arial" w:cs="Arial" w:eastAsia="Arial" w:hAnsi="Arial"/>
                <w:sz w:val="16"/>
                <w:szCs w:val="16"/>
                <w:b w:val="1"/>
                <w:bCs w:val="1"/>
                <w:color w:val="auto"/>
              </w:rPr>
              <w:t>001-35480</w:t>
            </w:r>
          </w:p>
        </w:tc>
        <w:tc>
          <w:tcPr>
            <w:tcW w:w="820" w:type="dxa"/>
            <w:vAlign w:val="bottom"/>
          </w:tcPr>
          <w:p>
            <w:pPr>
              <w:jc w:val="right"/>
              <w:ind w:right="160"/>
              <w:spacing w:after="0"/>
              <w:rPr>
                <w:sz w:val="20"/>
                <w:szCs w:val="20"/>
                <w:color w:val="auto"/>
              </w:rPr>
            </w:pPr>
            <w:r>
              <w:rPr>
                <w:rFonts w:ascii="Arial" w:cs="Arial" w:eastAsia="Arial" w:hAnsi="Arial"/>
                <w:sz w:val="16"/>
                <w:szCs w:val="16"/>
                <w:b w:val="1"/>
                <w:bCs w:val="1"/>
                <w:color w:val="auto"/>
              </w:rPr>
              <w:t>10.3</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4/26/2022</w:t>
            </w:r>
          </w:p>
        </w:tc>
      </w:tr>
      <w:tr>
        <w:trPr>
          <w:trHeight w:val="211"/>
        </w:trPr>
        <w:tc>
          <w:tcPr>
            <w:tcW w:w="64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Flextronics Industrial, Ltd., dated March 30, 2022.</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2"/>
        </w:trPr>
        <w:tc>
          <w:tcPr>
            <w:tcW w:w="640" w:type="dxa"/>
            <w:vAlign w:val="bottom"/>
          </w:tcPr>
          <w:p>
            <w:pPr>
              <w:spacing w:after="0"/>
              <w:rPr>
                <w:sz w:val="24"/>
                <w:szCs w:val="24"/>
                <w:color w:val="auto"/>
              </w:rPr>
            </w:pP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Amendment No. 3 to Flextronics Manufacturing Services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2"/>
        </w:trPr>
        <w:tc>
          <w:tcPr>
            <w:tcW w:w="640" w:type="dxa"/>
            <w:vAlign w:val="bottom"/>
          </w:tcPr>
          <w:p>
            <w:pPr>
              <w:jc w:val="center"/>
              <w:ind w:right="100"/>
              <w:spacing w:after="0" w:line="192" w:lineRule="exact"/>
              <w:rPr>
                <w:sz w:val="20"/>
                <w:szCs w:val="20"/>
                <w:color w:val="auto"/>
              </w:rPr>
            </w:pPr>
            <w:r>
              <w:rPr>
                <w:rFonts w:ascii="Arial" w:cs="Arial" w:eastAsia="Arial" w:hAnsi="Arial"/>
                <w:sz w:val="16"/>
                <w:szCs w:val="16"/>
                <w:b w:val="1"/>
                <w:bCs w:val="1"/>
                <w:color w:val="0000FF"/>
                <w:w w:val="96"/>
              </w:rPr>
              <w:t>10.10</w:t>
            </w:r>
            <w:r>
              <w:rPr>
                <w:rFonts w:ascii="Arial" w:cs="Arial" w:eastAsia="Arial" w:hAnsi="Arial"/>
                <w:sz w:val="20"/>
                <w:szCs w:val="20"/>
                <w:b w:val="1"/>
                <w:bCs w:val="1"/>
                <w:color w:val="0000FF"/>
                <w:w w:val="96"/>
                <w:vertAlign w:val="superscript"/>
              </w:rPr>
              <w:t>#</w:t>
            </w: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Agreement by and between Enphase Energy, Inc. and</w:t>
            </w:r>
          </w:p>
        </w:tc>
        <w:tc>
          <w:tcPr>
            <w:tcW w:w="640" w:type="dxa"/>
            <w:vAlign w:val="bottom"/>
          </w:tcPr>
          <w:p>
            <w:pPr>
              <w:ind w:left="120"/>
              <w:spacing w:after="0"/>
              <w:rPr>
                <w:sz w:val="20"/>
                <w:szCs w:val="20"/>
                <w:color w:val="auto"/>
              </w:rPr>
            </w:pPr>
            <w:r>
              <w:rPr>
                <w:rFonts w:ascii="Arial" w:cs="Arial" w:eastAsia="Arial" w:hAnsi="Arial"/>
                <w:sz w:val="16"/>
                <w:szCs w:val="16"/>
                <w:b w:val="1"/>
                <w:bCs w:val="1"/>
                <w:color w:val="auto"/>
              </w:rPr>
              <w:t>10-Q</w:t>
            </w:r>
          </w:p>
        </w:tc>
        <w:tc>
          <w:tcPr>
            <w:tcW w:w="1180" w:type="dxa"/>
            <w:vAlign w:val="bottom"/>
          </w:tcPr>
          <w:p>
            <w:pPr>
              <w:jc w:val="right"/>
              <w:ind w:right="180"/>
              <w:spacing w:after="0"/>
              <w:rPr>
                <w:sz w:val="20"/>
                <w:szCs w:val="20"/>
                <w:color w:val="auto"/>
              </w:rPr>
            </w:pPr>
            <w:r>
              <w:rPr>
                <w:rFonts w:ascii="Arial" w:cs="Arial" w:eastAsia="Arial" w:hAnsi="Arial"/>
                <w:sz w:val="16"/>
                <w:szCs w:val="16"/>
                <w:b w:val="1"/>
                <w:bCs w:val="1"/>
                <w:color w:val="auto"/>
              </w:rPr>
              <w:t>001-35480</w:t>
            </w:r>
          </w:p>
        </w:tc>
        <w:tc>
          <w:tcPr>
            <w:tcW w:w="820" w:type="dxa"/>
            <w:vAlign w:val="bottom"/>
          </w:tcPr>
          <w:p>
            <w:pPr>
              <w:jc w:val="right"/>
              <w:ind w:right="160"/>
              <w:spacing w:after="0"/>
              <w:rPr>
                <w:sz w:val="20"/>
                <w:szCs w:val="20"/>
                <w:color w:val="auto"/>
              </w:rPr>
            </w:pPr>
            <w:r>
              <w:rPr>
                <w:rFonts w:ascii="Arial" w:cs="Arial" w:eastAsia="Arial" w:hAnsi="Arial"/>
                <w:sz w:val="16"/>
                <w:szCs w:val="16"/>
                <w:b w:val="1"/>
                <w:bCs w:val="1"/>
                <w:color w:val="auto"/>
              </w:rPr>
              <w:t>10.1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7/27/2023</w:t>
            </w:r>
          </w:p>
        </w:tc>
      </w:tr>
      <w:tr>
        <w:trPr>
          <w:trHeight w:val="211"/>
        </w:trPr>
        <w:tc>
          <w:tcPr>
            <w:tcW w:w="64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6"/>
                <w:szCs w:val="16"/>
                <w:b w:val="1"/>
                <w:bCs w:val="1"/>
                <w:color w:val="0000FF"/>
              </w:rPr>
              <w:t>Flextronics Industrial, Ltd., dated as of June 22, 2023.</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80" w:lineRule="exact"/>
        <w:rPr>
          <w:sz w:val="20"/>
          <w:szCs w:val="20"/>
          <w:color w:val="auto"/>
        </w:rPr>
      </w:pPr>
    </w:p>
    <w:p>
      <w:pPr>
        <w:sectPr>
          <w:pgSz w:w="12240" w:h="15840" w:orient="portrait"/>
          <w:cols w:equalWidth="0" w:num="1">
            <w:col w:w="9640"/>
          </w:cols>
          <w:pgMar w:left="1220" w:top="216" w:right="1380" w:bottom="0" w:gutter="0" w:footer="0" w:header="0"/>
        </w:sectPr>
      </w:pPr>
    </w:p>
    <w:tbl>
      <w:tblPr>
        <w:tblLayout w:type="fixed"/>
        <w:tblInd w:w="0" w:type="dxa"/>
        <w:tblCellMar>
          <w:top w:w="0" w:type="dxa"/>
          <w:left w:w="0" w:type="dxa"/>
          <w:bottom w:w="0" w:type="dxa"/>
          <w:right w:w="0" w:type="dxa"/>
        </w:tblCellMar>
      </w:tblPr>
      <w:tr>
        <w:trPr>
          <w:trHeight w:val="192"/>
        </w:trPr>
        <w:tc>
          <w:tcPr>
            <w:tcW w:w="64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Amendment No. 4 to Flextronics Manufacturing Services</w:t>
            </w:r>
          </w:p>
        </w:tc>
        <w:tc>
          <w:tcPr>
            <w:tcW w:w="0" w:type="dxa"/>
            <w:vAlign w:val="bottom"/>
          </w:tcPr>
          <w:p>
            <w:pPr>
              <w:spacing w:after="0"/>
              <w:rPr>
                <w:sz w:val="1"/>
                <w:szCs w:val="1"/>
                <w:color w:val="auto"/>
              </w:rPr>
            </w:pPr>
          </w:p>
        </w:tc>
      </w:tr>
      <w:tr>
        <w:trPr>
          <w:trHeight w:val="192"/>
        </w:trPr>
        <w:tc>
          <w:tcPr>
            <w:tcW w:w="640" w:type="dxa"/>
            <w:vAlign w:val="bottom"/>
          </w:tcPr>
          <w:p>
            <w:pPr>
              <w:jc w:val="center"/>
              <w:ind w:right="100"/>
              <w:spacing w:after="0"/>
              <w:rPr>
                <w:sz w:val="20"/>
                <w:szCs w:val="20"/>
                <w:color w:val="auto"/>
              </w:rPr>
            </w:pPr>
            <w:r>
              <w:rPr>
                <w:rFonts w:ascii="Arial" w:cs="Arial" w:eastAsia="Arial" w:hAnsi="Arial"/>
                <w:sz w:val="16"/>
                <w:szCs w:val="16"/>
                <w:b w:val="1"/>
                <w:bCs w:val="1"/>
                <w:color w:val="0000FF"/>
                <w:w w:val="94"/>
              </w:rPr>
              <w:t>10.11</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Agreements by and between Enphase Energy, Inc. and</w:t>
            </w: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Flextronics Industrial , Ltd., dated as of July 30, 2024</w:t>
            </w:r>
            <w:r>
              <w:rPr>
                <w:rFonts w:ascii="Arial" w:cs="Arial" w:eastAsia="Arial" w:hAnsi="Arial"/>
                <w:sz w:val="16"/>
                <w:szCs w:val="16"/>
                <w:b w:val="1"/>
                <w:bCs w:val="1"/>
                <w:color w:val="000000"/>
              </w:rPr>
              <w:t>.</w:t>
            </w:r>
          </w:p>
        </w:tc>
        <w:tc>
          <w:tcPr>
            <w:tcW w:w="0" w:type="dxa"/>
            <w:vAlign w:val="bottom"/>
          </w:tcPr>
          <w:p>
            <w:pPr>
              <w:spacing w:after="0"/>
              <w:rPr>
                <w:sz w:val="1"/>
                <w:szCs w:val="1"/>
                <w:color w:val="auto"/>
              </w:rPr>
            </w:pPr>
          </w:p>
        </w:tc>
      </w:tr>
      <w:tr>
        <w:trPr>
          <w:trHeight w:val="325"/>
        </w:trPr>
        <w:tc>
          <w:tcPr>
            <w:tcW w:w="640" w:type="dxa"/>
            <w:vAlign w:val="bottom"/>
          </w:tcPr>
          <w:p>
            <w:pPr>
              <w:jc w:val="center"/>
              <w:ind w:right="100"/>
              <w:spacing w:after="0"/>
              <w:rPr>
                <w:sz w:val="20"/>
                <w:szCs w:val="20"/>
                <w:color w:val="auto"/>
              </w:rPr>
            </w:pPr>
            <w:r>
              <w:rPr>
                <w:rFonts w:ascii="Arial" w:cs="Arial" w:eastAsia="Arial" w:hAnsi="Arial"/>
                <w:sz w:val="16"/>
                <w:szCs w:val="16"/>
                <w:b w:val="1"/>
                <w:bCs w:val="1"/>
                <w:color w:val="0000FF"/>
                <w:w w:val="96"/>
              </w:rPr>
              <w:t>10.12</w:t>
            </w:r>
            <w:r>
              <w:rPr>
                <w:rFonts w:ascii="Arial" w:cs="Arial" w:eastAsia="Arial" w:hAnsi="Arial"/>
                <w:sz w:val="20"/>
                <w:szCs w:val="20"/>
                <w:b w:val="1"/>
                <w:bCs w:val="1"/>
                <w:color w:val="000000"/>
                <w:w w:val="96"/>
                <w:vertAlign w:val="superscript"/>
              </w:rPr>
              <w:t>+</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Non-employee Director Compensation Policy.</w:t>
            </w:r>
          </w:p>
        </w:tc>
        <w:tc>
          <w:tcPr>
            <w:tcW w:w="0" w:type="dxa"/>
            <w:vAlign w:val="bottom"/>
          </w:tcPr>
          <w:p>
            <w:pPr>
              <w:spacing w:after="0"/>
              <w:rPr>
                <w:sz w:val="1"/>
                <w:szCs w:val="1"/>
                <w:color w:val="auto"/>
              </w:rPr>
            </w:pPr>
          </w:p>
        </w:tc>
      </w:tr>
      <w:tr>
        <w:trPr>
          <w:trHeight w:val="240"/>
        </w:trPr>
        <w:tc>
          <w:tcPr>
            <w:tcW w:w="640" w:type="dxa"/>
            <w:vAlign w:val="bottom"/>
          </w:tcPr>
          <w:p>
            <w:pPr>
              <w:jc w:val="center"/>
              <w:ind w:right="100"/>
              <w:spacing w:after="0"/>
              <w:rPr>
                <w:sz w:val="20"/>
                <w:szCs w:val="20"/>
                <w:color w:val="auto"/>
              </w:rPr>
            </w:pPr>
            <w:r>
              <w:rPr>
                <w:rFonts w:ascii="Arial" w:cs="Arial" w:eastAsia="Arial" w:hAnsi="Arial"/>
                <w:sz w:val="16"/>
                <w:szCs w:val="16"/>
                <w:b w:val="1"/>
                <w:bCs w:val="1"/>
                <w:color w:val="0000FF"/>
                <w:w w:val="96"/>
              </w:rPr>
              <w:t>10.13</w:t>
            </w:r>
            <w:r>
              <w:rPr>
                <w:rFonts w:ascii="Arial" w:cs="Arial" w:eastAsia="Arial" w:hAnsi="Arial"/>
                <w:sz w:val="20"/>
                <w:szCs w:val="20"/>
                <w:b w:val="1"/>
                <w:bCs w:val="1"/>
                <w:color w:val="000000"/>
                <w:w w:val="96"/>
                <w:vertAlign w:val="superscript"/>
              </w:rPr>
              <w:t>+</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Severance and Change in Control Benefit Plan.</w:t>
            </w:r>
          </w:p>
        </w:tc>
        <w:tc>
          <w:tcPr>
            <w:tcW w:w="0" w:type="dxa"/>
            <w:vAlign w:val="bottom"/>
          </w:tcPr>
          <w:p>
            <w:pPr>
              <w:spacing w:after="0"/>
              <w:rPr>
                <w:sz w:val="1"/>
                <w:szCs w:val="1"/>
                <w:color w:val="auto"/>
              </w:rPr>
            </w:pPr>
          </w:p>
        </w:tc>
      </w:tr>
      <w:tr>
        <w:trPr>
          <w:trHeight w:val="283"/>
        </w:trPr>
        <w:tc>
          <w:tcPr>
            <w:tcW w:w="640" w:type="dxa"/>
            <w:vAlign w:val="bottom"/>
          </w:tcPr>
          <w:p>
            <w:pPr>
              <w:jc w:val="center"/>
              <w:ind w:right="100"/>
              <w:spacing w:after="0"/>
              <w:rPr>
                <w:sz w:val="20"/>
                <w:szCs w:val="20"/>
                <w:color w:val="auto"/>
              </w:rPr>
            </w:pPr>
            <w:r>
              <w:rPr>
                <w:rFonts w:ascii="Arial" w:cs="Arial" w:eastAsia="Arial" w:hAnsi="Arial"/>
                <w:sz w:val="16"/>
                <w:szCs w:val="16"/>
                <w:b w:val="1"/>
                <w:bCs w:val="1"/>
                <w:color w:val="0000FF"/>
                <w:w w:val="96"/>
              </w:rPr>
              <w:t>10.14</w:t>
            </w:r>
            <w:r>
              <w:rPr>
                <w:rFonts w:ascii="Arial" w:cs="Arial" w:eastAsia="Arial" w:hAnsi="Arial"/>
                <w:sz w:val="20"/>
                <w:szCs w:val="20"/>
                <w:b w:val="1"/>
                <w:bCs w:val="1"/>
                <w:color w:val="000000"/>
                <w:w w:val="96"/>
                <w:vertAlign w:val="superscript"/>
              </w:rPr>
              <w:t>+</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Performance Bonus Program Summary.</w:t>
            </w:r>
          </w:p>
        </w:tc>
        <w:tc>
          <w:tcPr>
            <w:tcW w:w="0" w:type="dxa"/>
            <w:vAlign w:val="bottom"/>
          </w:tcPr>
          <w:p>
            <w:pPr>
              <w:spacing w:after="0"/>
              <w:rPr>
                <w:sz w:val="1"/>
                <w:szCs w:val="1"/>
                <w:color w:val="auto"/>
              </w:rPr>
            </w:pPr>
          </w:p>
        </w:tc>
      </w:tr>
      <w:tr>
        <w:trPr>
          <w:trHeight w:val="249"/>
        </w:trPr>
        <w:tc>
          <w:tcPr>
            <w:tcW w:w="640" w:type="dxa"/>
            <w:vAlign w:val="bottom"/>
          </w:tcPr>
          <w:p>
            <w:pPr>
              <w:spacing w:after="0"/>
              <w:rPr>
                <w:sz w:val="21"/>
                <w:szCs w:val="21"/>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5"/>
              </w:rPr>
              <w:t>Salcomp Manufacturing Services Agreement by and between</w:t>
            </w:r>
          </w:p>
        </w:tc>
        <w:tc>
          <w:tcPr>
            <w:tcW w:w="0" w:type="dxa"/>
            <w:vAlign w:val="bottom"/>
          </w:tcPr>
          <w:p>
            <w:pPr>
              <w:spacing w:after="0"/>
              <w:rPr>
                <w:sz w:val="1"/>
                <w:szCs w:val="1"/>
                <w:color w:val="auto"/>
              </w:rPr>
            </w:pPr>
          </w:p>
        </w:tc>
      </w:tr>
      <w:tr>
        <w:trPr>
          <w:trHeight w:val="192"/>
        </w:trPr>
        <w:tc>
          <w:tcPr>
            <w:tcW w:w="640" w:type="dxa"/>
            <w:vAlign w:val="bottom"/>
          </w:tcPr>
          <w:p>
            <w:pPr>
              <w:jc w:val="center"/>
              <w:ind w:right="100"/>
              <w:spacing w:after="0" w:line="192" w:lineRule="exact"/>
              <w:rPr>
                <w:sz w:val="20"/>
                <w:szCs w:val="20"/>
                <w:color w:val="auto"/>
              </w:rPr>
            </w:pPr>
            <w:r>
              <w:rPr>
                <w:rFonts w:ascii="Arial" w:cs="Arial" w:eastAsia="Arial" w:hAnsi="Arial"/>
                <w:sz w:val="16"/>
                <w:szCs w:val="16"/>
                <w:b w:val="1"/>
                <w:bCs w:val="1"/>
                <w:color w:val="0000FF"/>
                <w:w w:val="96"/>
              </w:rPr>
              <w:t>10.15</w:t>
            </w:r>
            <w:r>
              <w:rPr>
                <w:rFonts w:ascii="Arial" w:cs="Arial" w:eastAsia="Arial" w:hAnsi="Arial"/>
                <w:sz w:val="20"/>
                <w:szCs w:val="20"/>
                <w:b w:val="1"/>
                <w:bCs w:val="1"/>
                <w:color w:val="000000"/>
                <w:w w:val="96"/>
                <w:vertAlign w:val="superscript"/>
              </w:rPr>
              <w:t>#</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Enphase Energy, Inc. and Salcomp Manufacturing India</w:t>
            </w: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Private Ltd., dated October 1, 2019.</w:t>
            </w:r>
          </w:p>
        </w:tc>
        <w:tc>
          <w:tcPr>
            <w:tcW w:w="0" w:type="dxa"/>
            <w:vAlign w:val="bottom"/>
          </w:tcPr>
          <w:p>
            <w:pPr>
              <w:spacing w:after="0"/>
              <w:rPr>
                <w:sz w:val="1"/>
                <w:szCs w:val="1"/>
                <w:color w:val="auto"/>
              </w:rPr>
            </w:pPr>
          </w:p>
        </w:tc>
      </w:tr>
      <w:tr>
        <w:trPr>
          <w:trHeight w:val="428"/>
        </w:trPr>
        <w:tc>
          <w:tcPr>
            <w:tcW w:w="64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0000FF"/>
                <w:w w:val="99"/>
              </w:rPr>
              <w:t>10.16</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3"/>
              </w:rPr>
              <w:t>Bayside Parkway Lease by and between Enphase Energy, Inc.</w:t>
            </w:r>
          </w:p>
        </w:tc>
        <w:tc>
          <w:tcPr>
            <w:tcW w:w="0" w:type="dxa"/>
            <w:vAlign w:val="bottom"/>
          </w:tcPr>
          <w:p>
            <w:pPr>
              <w:spacing w:after="0"/>
              <w:rPr>
                <w:sz w:val="1"/>
                <w:szCs w:val="1"/>
                <w:color w:val="auto"/>
              </w:rPr>
            </w:pPr>
          </w:p>
        </w:tc>
      </w:tr>
      <w:tr>
        <w:trPr>
          <w:trHeight w:val="115"/>
        </w:trPr>
        <w:tc>
          <w:tcPr>
            <w:tcW w:w="640" w:type="dxa"/>
            <w:vAlign w:val="bottom"/>
            <w:vMerge w:val="continue"/>
          </w:tcPr>
          <w:p>
            <w:pPr>
              <w:spacing w:after="0"/>
              <w:rPr>
                <w:sz w:val="9"/>
                <w:szCs w:val="9"/>
                <w:color w:val="auto"/>
              </w:rPr>
            </w:pPr>
          </w:p>
        </w:tc>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0000FF"/>
              </w:rPr>
              <w:t>and Dollinger Bayside Associates, dated April 12, 2018.</w:t>
            </w: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640" w:type="dxa"/>
            <w:vAlign w:val="bottom"/>
          </w:tcPr>
          <w:p>
            <w:pPr>
              <w:spacing w:after="0"/>
              <w:rPr>
                <w:sz w:val="24"/>
                <w:szCs w:val="24"/>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3"/>
              </w:rPr>
              <w:t>Bayside Parkway Lease by and between Enphase Energy, Inc.</w:t>
            </w:r>
          </w:p>
        </w:tc>
        <w:tc>
          <w:tcPr>
            <w:tcW w:w="0" w:type="dxa"/>
            <w:vAlign w:val="bottom"/>
          </w:tcPr>
          <w:p>
            <w:pPr>
              <w:spacing w:after="0"/>
              <w:rPr>
                <w:sz w:val="1"/>
                <w:szCs w:val="1"/>
                <w:color w:val="auto"/>
              </w:rPr>
            </w:pPr>
          </w:p>
        </w:tc>
      </w:tr>
      <w:tr>
        <w:trPr>
          <w:trHeight w:val="192"/>
        </w:trPr>
        <w:tc>
          <w:tcPr>
            <w:tcW w:w="640" w:type="dxa"/>
            <w:vAlign w:val="bottom"/>
          </w:tcPr>
          <w:p>
            <w:pPr>
              <w:jc w:val="center"/>
              <w:ind w:right="120"/>
              <w:spacing w:after="0"/>
              <w:rPr>
                <w:sz w:val="20"/>
                <w:szCs w:val="20"/>
                <w:color w:val="auto"/>
              </w:rPr>
            </w:pPr>
            <w:r>
              <w:rPr>
                <w:rFonts w:ascii="Arial" w:cs="Arial" w:eastAsia="Arial" w:hAnsi="Arial"/>
                <w:sz w:val="16"/>
                <w:szCs w:val="16"/>
                <w:b w:val="1"/>
                <w:bCs w:val="1"/>
                <w:color w:val="0000FF"/>
                <w:w w:val="99"/>
              </w:rPr>
              <w:t>10.17</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7"/>
              </w:rPr>
              <w:t>and Dollinger Bayside Associates, amendment dated March</w:t>
            </w: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17, 2020.</w:t>
            </w:r>
          </w:p>
        </w:tc>
        <w:tc>
          <w:tcPr>
            <w:tcW w:w="0" w:type="dxa"/>
            <w:vAlign w:val="bottom"/>
          </w:tcPr>
          <w:p>
            <w:pPr>
              <w:spacing w:after="0"/>
              <w:rPr>
                <w:sz w:val="1"/>
                <w:szCs w:val="1"/>
                <w:color w:val="auto"/>
              </w:rPr>
            </w:pPr>
          </w:p>
        </w:tc>
      </w:tr>
      <w:tr>
        <w:trPr>
          <w:trHeight w:val="242"/>
        </w:trPr>
        <w:tc>
          <w:tcPr>
            <w:tcW w:w="640" w:type="dxa"/>
            <w:vAlign w:val="bottom"/>
          </w:tcPr>
          <w:p>
            <w:pPr>
              <w:spacing w:after="0"/>
              <w:rPr>
                <w:sz w:val="21"/>
                <w:szCs w:val="21"/>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3"/>
              </w:rPr>
              <w:t>Bayside Parkway Lease by and between Enphase Energy, Inc.</w:t>
            </w:r>
          </w:p>
        </w:tc>
        <w:tc>
          <w:tcPr>
            <w:tcW w:w="0" w:type="dxa"/>
            <w:vAlign w:val="bottom"/>
          </w:tcPr>
          <w:p>
            <w:pPr>
              <w:spacing w:after="0"/>
              <w:rPr>
                <w:sz w:val="1"/>
                <w:szCs w:val="1"/>
                <w:color w:val="auto"/>
              </w:rPr>
            </w:pPr>
          </w:p>
        </w:tc>
      </w:tr>
      <w:tr>
        <w:trPr>
          <w:trHeight w:val="192"/>
        </w:trPr>
        <w:tc>
          <w:tcPr>
            <w:tcW w:w="640" w:type="dxa"/>
            <w:vAlign w:val="bottom"/>
          </w:tcPr>
          <w:p>
            <w:pPr>
              <w:jc w:val="center"/>
              <w:ind w:right="120"/>
              <w:spacing w:after="0"/>
              <w:rPr>
                <w:sz w:val="20"/>
                <w:szCs w:val="20"/>
                <w:color w:val="auto"/>
              </w:rPr>
            </w:pPr>
            <w:r>
              <w:rPr>
                <w:rFonts w:ascii="Arial" w:cs="Arial" w:eastAsia="Arial" w:hAnsi="Arial"/>
                <w:sz w:val="16"/>
                <w:szCs w:val="16"/>
                <w:b w:val="1"/>
                <w:bCs w:val="1"/>
                <w:color w:val="0000FF"/>
                <w:w w:val="99"/>
              </w:rPr>
              <w:t>10.18</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6"/>
              </w:rPr>
              <w:t>and Dollinger Bayside Associates, amendment dated May 9,</w:t>
            </w: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2020.</w:t>
            </w:r>
          </w:p>
        </w:tc>
        <w:tc>
          <w:tcPr>
            <w:tcW w:w="0" w:type="dxa"/>
            <w:vAlign w:val="bottom"/>
          </w:tcPr>
          <w:p>
            <w:pPr>
              <w:spacing w:after="0"/>
              <w:rPr>
                <w:sz w:val="1"/>
                <w:szCs w:val="1"/>
                <w:color w:val="auto"/>
              </w:rPr>
            </w:pPr>
          </w:p>
        </w:tc>
      </w:tr>
      <w:tr>
        <w:trPr>
          <w:trHeight w:val="242"/>
        </w:trPr>
        <w:tc>
          <w:tcPr>
            <w:tcW w:w="640" w:type="dxa"/>
            <w:vAlign w:val="bottom"/>
          </w:tcPr>
          <w:p>
            <w:pPr>
              <w:spacing w:after="0"/>
              <w:rPr>
                <w:sz w:val="21"/>
                <w:szCs w:val="21"/>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3"/>
              </w:rPr>
              <w:t>Bayside Parkway Lease by and between Enphase Energy, Inc.</w:t>
            </w:r>
          </w:p>
        </w:tc>
        <w:tc>
          <w:tcPr>
            <w:tcW w:w="0" w:type="dxa"/>
            <w:vAlign w:val="bottom"/>
          </w:tcPr>
          <w:p>
            <w:pPr>
              <w:spacing w:after="0"/>
              <w:rPr>
                <w:sz w:val="1"/>
                <w:szCs w:val="1"/>
                <w:color w:val="auto"/>
              </w:rPr>
            </w:pPr>
          </w:p>
        </w:tc>
      </w:tr>
      <w:tr>
        <w:trPr>
          <w:trHeight w:val="192"/>
        </w:trPr>
        <w:tc>
          <w:tcPr>
            <w:tcW w:w="640" w:type="dxa"/>
            <w:vAlign w:val="bottom"/>
          </w:tcPr>
          <w:p>
            <w:pPr>
              <w:jc w:val="center"/>
              <w:ind w:right="120"/>
              <w:spacing w:after="0"/>
              <w:rPr>
                <w:sz w:val="20"/>
                <w:szCs w:val="20"/>
                <w:color w:val="auto"/>
              </w:rPr>
            </w:pPr>
            <w:r>
              <w:rPr>
                <w:rFonts w:ascii="Arial" w:cs="Arial" w:eastAsia="Arial" w:hAnsi="Arial"/>
                <w:sz w:val="16"/>
                <w:szCs w:val="16"/>
                <w:b w:val="1"/>
                <w:bCs w:val="1"/>
                <w:color w:val="0000FF"/>
                <w:w w:val="99"/>
              </w:rPr>
              <w:t>10.19</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5"/>
              </w:rPr>
              <w:t>and Dollinger Bayside Associates, amendment dated August</w:t>
            </w: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12, 2024.</w:t>
            </w:r>
          </w:p>
        </w:tc>
        <w:tc>
          <w:tcPr>
            <w:tcW w:w="0" w:type="dxa"/>
            <w:vAlign w:val="bottom"/>
          </w:tcPr>
          <w:p>
            <w:pPr>
              <w:spacing w:after="0"/>
              <w:rPr>
                <w:sz w:val="1"/>
                <w:szCs w:val="1"/>
                <w:color w:val="auto"/>
              </w:rPr>
            </w:pPr>
          </w:p>
        </w:tc>
      </w:tr>
      <w:tr>
        <w:trPr>
          <w:trHeight w:val="233"/>
        </w:trPr>
        <w:tc>
          <w:tcPr>
            <w:tcW w:w="64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0000FF"/>
                <w:w w:val="99"/>
              </w:rPr>
              <w:t>10.20</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9"/>
              </w:rPr>
              <w:t>Form of Convertible Note Hedge Transaction Confirmation</w:t>
            </w:r>
          </w:p>
        </w:tc>
        <w:tc>
          <w:tcPr>
            <w:tcW w:w="0" w:type="dxa"/>
            <w:vAlign w:val="bottom"/>
          </w:tcPr>
          <w:p>
            <w:pPr>
              <w:spacing w:after="0"/>
              <w:rPr>
                <w:sz w:val="1"/>
                <w:szCs w:val="1"/>
                <w:color w:val="auto"/>
              </w:rPr>
            </w:pPr>
          </w:p>
        </w:tc>
      </w:tr>
      <w:tr>
        <w:trPr>
          <w:trHeight w:val="115"/>
        </w:trPr>
        <w:tc>
          <w:tcPr>
            <w:tcW w:w="640" w:type="dxa"/>
            <w:vAlign w:val="bottom"/>
            <w:vMerge w:val="continue"/>
          </w:tcPr>
          <w:p>
            <w:pPr>
              <w:spacing w:after="0"/>
              <w:rPr>
                <w:sz w:val="9"/>
                <w:szCs w:val="9"/>
                <w:color w:val="auto"/>
              </w:rPr>
            </w:pPr>
          </w:p>
        </w:tc>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0000FF"/>
              </w:rPr>
              <w:t>(2021).</w:t>
            </w: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640" w:type="dxa"/>
            <w:vAlign w:val="bottom"/>
          </w:tcPr>
          <w:p>
            <w:pPr>
              <w:jc w:val="center"/>
              <w:ind w:right="120"/>
              <w:spacing w:after="0"/>
              <w:rPr>
                <w:sz w:val="20"/>
                <w:szCs w:val="20"/>
                <w:color w:val="auto"/>
              </w:rPr>
            </w:pPr>
            <w:r>
              <w:rPr>
                <w:rFonts w:ascii="Arial" w:cs="Arial" w:eastAsia="Arial" w:hAnsi="Arial"/>
                <w:sz w:val="16"/>
                <w:szCs w:val="16"/>
                <w:b w:val="1"/>
                <w:bCs w:val="1"/>
                <w:color w:val="0000FF"/>
                <w:w w:val="99"/>
              </w:rPr>
              <w:t>10.21</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Form of Warrant Confirmation (2021).</w:t>
            </w:r>
          </w:p>
        </w:tc>
        <w:tc>
          <w:tcPr>
            <w:tcW w:w="0" w:type="dxa"/>
            <w:vAlign w:val="bottom"/>
          </w:tcPr>
          <w:p>
            <w:pPr>
              <w:spacing w:after="0"/>
              <w:rPr>
                <w:sz w:val="1"/>
                <w:szCs w:val="1"/>
                <w:color w:val="auto"/>
              </w:rPr>
            </w:pPr>
          </w:p>
        </w:tc>
      </w:tr>
      <w:tr>
        <w:trPr>
          <w:trHeight w:val="435"/>
        </w:trPr>
        <w:tc>
          <w:tcPr>
            <w:tcW w:w="640" w:type="dxa"/>
            <w:vAlign w:val="bottom"/>
          </w:tcPr>
          <w:p>
            <w:pPr>
              <w:jc w:val="center"/>
              <w:ind w:right="120"/>
              <w:spacing w:after="0"/>
              <w:rPr>
                <w:sz w:val="20"/>
                <w:szCs w:val="20"/>
                <w:color w:val="auto"/>
              </w:rPr>
            </w:pPr>
            <w:r>
              <w:rPr>
                <w:rFonts w:ascii="Arial" w:cs="Arial" w:eastAsia="Arial" w:hAnsi="Arial"/>
                <w:sz w:val="16"/>
                <w:szCs w:val="16"/>
                <w:b w:val="1"/>
                <w:bCs w:val="1"/>
                <w:color w:val="0000FF"/>
                <w:w w:val="99"/>
              </w:rPr>
              <w:t>10.22</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Additional Call Option Transaction Confirmation (2021).</w:t>
            </w:r>
          </w:p>
        </w:tc>
        <w:tc>
          <w:tcPr>
            <w:tcW w:w="0" w:type="dxa"/>
            <w:vAlign w:val="bottom"/>
          </w:tcPr>
          <w:p>
            <w:pPr>
              <w:spacing w:after="0"/>
              <w:rPr>
                <w:sz w:val="1"/>
                <w:szCs w:val="1"/>
                <w:color w:val="auto"/>
              </w:rPr>
            </w:pPr>
          </w:p>
        </w:tc>
      </w:tr>
      <w:tr>
        <w:trPr>
          <w:trHeight w:val="435"/>
        </w:trPr>
        <w:tc>
          <w:tcPr>
            <w:tcW w:w="640" w:type="dxa"/>
            <w:vAlign w:val="bottom"/>
          </w:tcPr>
          <w:p>
            <w:pPr>
              <w:jc w:val="center"/>
              <w:ind w:right="120"/>
              <w:spacing w:after="0"/>
              <w:rPr>
                <w:sz w:val="20"/>
                <w:szCs w:val="20"/>
                <w:color w:val="auto"/>
              </w:rPr>
            </w:pPr>
            <w:r>
              <w:rPr>
                <w:rFonts w:ascii="Arial" w:cs="Arial" w:eastAsia="Arial" w:hAnsi="Arial"/>
                <w:sz w:val="16"/>
                <w:szCs w:val="16"/>
                <w:b w:val="1"/>
                <w:bCs w:val="1"/>
                <w:color w:val="0000FF"/>
                <w:w w:val="99"/>
              </w:rPr>
              <w:t>10.23</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Additional Warrant Confirmations (2021).</w:t>
            </w:r>
          </w:p>
        </w:tc>
        <w:tc>
          <w:tcPr>
            <w:tcW w:w="0" w:type="dxa"/>
            <w:vAlign w:val="bottom"/>
          </w:tcPr>
          <w:p>
            <w:pPr>
              <w:spacing w:after="0"/>
              <w:rPr>
                <w:sz w:val="1"/>
                <w:szCs w:val="1"/>
                <w:color w:val="auto"/>
              </w:rPr>
            </w:pPr>
          </w:p>
        </w:tc>
      </w:tr>
      <w:tr>
        <w:trPr>
          <w:trHeight w:val="320"/>
        </w:trPr>
        <w:tc>
          <w:tcPr>
            <w:tcW w:w="64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0000FF"/>
                <w:w w:val="96"/>
              </w:rPr>
              <w:t>10.24</w:t>
            </w:r>
            <w:r>
              <w:rPr>
                <w:rFonts w:ascii="Arial" w:cs="Arial" w:eastAsia="Arial" w:hAnsi="Arial"/>
                <w:sz w:val="20"/>
                <w:szCs w:val="20"/>
                <w:b w:val="1"/>
                <w:bCs w:val="1"/>
                <w:color w:val="000000"/>
                <w:w w:val="96"/>
                <w:vertAlign w:val="superscript"/>
              </w:rPr>
              <w:t>+</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3"/>
              </w:rPr>
              <w:t>Offer Letter, by and between Enphase Energy, Inc. and Mandy</w:t>
            </w:r>
          </w:p>
        </w:tc>
        <w:tc>
          <w:tcPr>
            <w:tcW w:w="0" w:type="dxa"/>
            <w:vAlign w:val="bottom"/>
          </w:tcPr>
          <w:p>
            <w:pPr>
              <w:spacing w:after="0"/>
              <w:rPr>
                <w:sz w:val="1"/>
                <w:szCs w:val="1"/>
                <w:color w:val="auto"/>
              </w:rPr>
            </w:pPr>
          </w:p>
        </w:tc>
      </w:tr>
      <w:tr>
        <w:trPr>
          <w:trHeight w:val="161"/>
        </w:trPr>
        <w:tc>
          <w:tcPr>
            <w:tcW w:w="640" w:type="dxa"/>
            <w:vAlign w:val="bottom"/>
            <w:vMerge w:val="continue"/>
          </w:tcPr>
          <w:p>
            <w:pPr>
              <w:spacing w:after="0"/>
              <w:rPr>
                <w:sz w:val="13"/>
                <w:szCs w:val="13"/>
                <w:color w:val="auto"/>
              </w:rPr>
            </w:pPr>
          </w:p>
        </w:tc>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0000FF"/>
              </w:rPr>
              <w:t>Yang, effective February 15, 2022.</w:t>
            </w:r>
          </w:p>
        </w:tc>
        <w:tc>
          <w:tcPr>
            <w:tcW w:w="0" w:type="dxa"/>
            <w:vAlign w:val="bottom"/>
          </w:tcPr>
          <w:p>
            <w:pPr>
              <w:spacing w:after="0"/>
              <w:rPr>
                <w:sz w:val="1"/>
                <w:szCs w:val="1"/>
                <w:color w:val="auto"/>
              </w:rPr>
            </w:pPr>
          </w:p>
        </w:tc>
      </w:tr>
      <w:tr>
        <w:trPr>
          <w:trHeight w:val="50"/>
        </w:trPr>
        <w:tc>
          <w:tcPr>
            <w:tcW w:w="640" w:type="dxa"/>
            <w:vAlign w:val="bottom"/>
          </w:tcPr>
          <w:p>
            <w:pPr>
              <w:spacing w:after="0"/>
              <w:rPr>
                <w:sz w:val="4"/>
                <w:szCs w:val="4"/>
                <w:color w:val="auto"/>
              </w:rPr>
            </w:pPr>
          </w:p>
        </w:tc>
        <w:tc>
          <w:tcPr>
            <w:tcW w:w="4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640" w:type="dxa"/>
            <w:vAlign w:val="bottom"/>
          </w:tcPr>
          <w:p>
            <w:pPr>
              <w:jc w:val="center"/>
              <w:ind w:right="100"/>
              <w:spacing w:after="0"/>
              <w:rPr>
                <w:sz w:val="20"/>
                <w:szCs w:val="20"/>
                <w:color w:val="auto"/>
              </w:rPr>
            </w:pPr>
            <w:r>
              <w:rPr>
                <w:rFonts w:ascii="Arial" w:cs="Arial" w:eastAsia="Arial" w:hAnsi="Arial"/>
                <w:sz w:val="16"/>
                <w:szCs w:val="16"/>
                <w:b w:val="1"/>
                <w:bCs w:val="1"/>
                <w:color w:val="0000FF"/>
                <w:w w:val="96"/>
              </w:rPr>
              <w:t>19.1</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Policy Against Trading on the Basis of Inside Information.</w:t>
            </w:r>
          </w:p>
        </w:tc>
        <w:tc>
          <w:tcPr>
            <w:tcW w:w="0" w:type="dxa"/>
            <w:vAlign w:val="bottom"/>
          </w:tcPr>
          <w:p>
            <w:pPr>
              <w:spacing w:after="0"/>
              <w:rPr>
                <w:sz w:val="1"/>
                <w:szCs w:val="1"/>
                <w:color w:val="auto"/>
              </w:rPr>
            </w:pPr>
          </w:p>
        </w:tc>
      </w:tr>
      <w:tr>
        <w:trPr>
          <w:trHeight w:val="240"/>
        </w:trPr>
        <w:tc>
          <w:tcPr>
            <w:tcW w:w="640" w:type="dxa"/>
            <w:vAlign w:val="bottom"/>
          </w:tcPr>
          <w:p>
            <w:pPr>
              <w:jc w:val="center"/>
              <w:ind w:right="100"/>
              <w:spacing w:after="0"/>
              <w:rPr>
                <w:sz w:val="20"/>
                <w:szCs w:val="20"/>
                <w:color w:val="auto"/>
              </w:rPr>
            </w:pPr>
            <w:r>
              <w:rPr>
                <w:rFonts w:ascii="Arial" w:cs="Arial" w:eastAsia="Arial" w:hAnsi="Arial"/>
                <w:sz w:val="16"/>
                <w:szCs w:val="16"/>
                <w:b w:val="1"/>
                <w:bCs w:val="1"/>
                <w:color w:val="0000FF"/>
                <w:w w:val="96"/>
              </w:rPr>
              <w:t>21.1</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List of Subsidiaries of the Registrant</w:t>
            </w:r>
            <w:r>
              <w:rPr>
                <w:rFonts w:ascii="Arial" w:cs="Arial" w:eastAsia="Arial" w:hAnsi="Arial"/>
                <w:sz w:val="16"/>
                <w:szCs w:val="16"/>
                <w:b w:val="1"/>
                <w:bCs w:val="1"/>
                <w:color w:val="000000"/>
              </w:rPr>
              <w:t>.</w:t>
            </w:r>
          </w:p>
        </w:tc>
        <w:tc>
          <w:tcPr>
            <w:tcW w:w="0" w:type="dxa"/>
            <w:vAlign w:val="bottom"/>
          </w:tcPr>
          <w:p>
            <w:pPr>
              <w:spacing w:after="0"/>
              <w:rPr>
                <w:sz w:val="1"/>
                <w:szCs w:val="1"/>
                <w:color w:val="auto"/>
              </w:rPr>
            </w:pPr>
          </w:p>
        </w:tc>
      </w:tr>
      <w:tr>
        <w:trPr>
          <w:trHeight w:val="223"/>
        </w:trPr>
        <w:tc>
          <w:tcPr>
            <w:tcW w:w="64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0000FF"/>
                <w:w w:val="96"/>
              </w:rPr>
              <w:t>23.1</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8"/>
              </w:rPr>
              <w:t>Consent of Deloitte &amp; Touche LLP, Independent Registered</w:t>
            </w:r>
          </w:p>
        </w:tc>
        <w:tc>
          <w:tcPr>
            <w:tcW w:w="0" w:type="dxa"/>
            <w:vAlign w:val="bottom"/>
          </w:tcPr>
          <w:p>
            <w:pPr>
              <w:spacing w:after="0"/>
              <w:rPr>
                <w:sz w:val="1"/>
                <w:szCs w:val="1"/>
                <w:color w:val="auto"/>
              </w:rPr>
            </w:pPr>
          </w:p>
        </w:tc>
      </w:tr>
      <w:tr>
        <w:trPr>
          <w:trHeight w:val="115"/>
        </w:trPr>
        <w:tc>
          <w:tcPr>
            <w:tcW w:w="640" w:type="dxa"/>
            <w:vAlign w:val="bottom"/>
            <w:vMerge w:val="continue"/>
          </w:tcPr>
          <w:p>
            <w:pPr>
              <w:spacing w:after="0"/>
              <w:rPr>
                <w:sz w:val="9"/>
                <w:szCs w:val="9"/>
                <w:color w:val="auto"/>
              </w:rPr>
            </w:pPr>
          </w:p>
        </w:tc>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0000FF"/>
              </w:rPr>
              <w:t>Public Accounting Firm</w:t>
            </w:r>
            <w:r>
              <w:rPr>
                <w:rFonts w:ascii="Arial" w:cs="Arial" w:eastAsia="Arial" w:hAnsi="Arial"/>
                <w:sz w:val="16"/>
                <w:szCs w:val="16"/>
                <w:b w:val="1"/>
                <w:bCs w:val="1"/>
                <w:color w:val="000000"/>
              </w:rPr>
              <w:t>.</w:t>
            </w: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64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0000FF"/>
                <w:w w:val="96"/>
              </w:rPr>
              <w:t>24.1</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4"/>
              </w:rPr>
              <w:t>Power of Attorney (incorporated by reference to the signature</w:t>
            </w:r>
          </w:p>
        </w:tc>
        <w:tc>
          <w:tcPr>
            <w:tcW w:w="0" w:type="dxa"/>
            <w:vAlign w:val="bottom"/>
          </w:tcPr>
          <w:p>
            <w:pPr>
              <w:spacing w:after="0"/>
              <w:rPr>
                <w:sz w:val="1"/>
                <w:szCs w:val="1"/>
                <w:color w:val="auto"/>
              </w:rPr>
            </w:pPr>
          </w:p>
        </w:tc>
      </w:tr>
      <w:tr>
        <w:trPr>
          <w:trHeight w:val="115"/>
        </w:trPr>
        <w:tc>
          <w:tcPr>
            <w:tcW w:w="640" w:type="dxa"/>
            <w:vAlign w:val="bottom"/>
            <w:vMerge w:val="continue"/>
          </w:tcPr>
          <w:p>
            <w:pPr>
              <w:spacing w:after="0"/>
              <w:rPr>
                <w:sz w:val="9"/>
                <w:szCs w:val="9"/>
                <w:color w:val="auto"/>
              </w:rPr>
            </w:pPr>
          </w:p>
        </w:tc>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0000FF"/>
              </w:rPr>
              <w:t>page of this Annual Report on Form 10-K).</w:t>
            </w: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64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0000FF"/>
                <w:w w:val="96"/>
              </w:rPr>
              <w:t>31.1</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Certification of Chief Executive Officer pursuant to Rule</w:t>
            </w:r>
          </w:p>
        </w:tc>
        <w:tc>
          <w:tcPr>
            <w:tcW w:w="0" w:type="dxa"/>
            <w:vAlign w:val="bottom"/>
          </w:tcPr>
          <w:p>
            <w:pPr>
              <w:spacing w:after="0"/>
              <w:rPr>
                <w:sz w:val="1"/>
                <w:szCs w:val="1"/>
                <w:color w:val="auto"/>
              </w:rPr>
            </w:pPr>
          </w:p>
        </w:tc>
      </w:tr>
      <w:tr>
        <w:trPr>
          <w:trHeight w:val="115"/>
        </w:trPr>
        <w:tc>
          <w:tcPr>
            <w:tcW w:w="640" w:type="dxa"/>
            <w:vAlign w:val="bottom"/>
            <w:vMerge w:val="continue"/>
          </w:tcPr>
          <w:p>
            <w:pPr>
              <w:spacing w:after="0"/>
              <w:rPr>
                <w:sz w:val="9"/>
                <w:szCs w:val="9"/>
                <w:color w:val="auto"/>
              </w:rPr>
            </w:pPr>
          </w:p>
        </w:tc>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0000FF"/>
              </w:rPr>
              <w:t>13a-14(a)/15d-14(a).</w:t>
            </w: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4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0000FF"/>
                <w:w w:val="96"/>
              </w:rPr>
              <w:t>31.2</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Certification of Chief Financial Officer pursuant to Rule</w:t>
            </w:r>
          </w:p>
        </w:tc>
        <w:tc>
          <w:tcPr>
            <w:tcW w:w="0" w:type="dxa"/>
            <w:vAlign w:val="bottom"/>
          </w:tcPr>
          <w:p>
            <w:pPr>
              <w:spacing w:after="0"/>
              <w:rPr>
                <w:sz w:val="1"/>
                <w:szCs w:val="1"/>
                <w:color w:val="auto"/>
              </w:rPr>
            </w:pPr>
          </w:p>
        </w:tc>
      </w:tr>
      <w:tr>
        <w:trPr>
          <w:trHeight w:val="115"/>
        </w:trPr>
        <w:tc>
          <w:tcPr>
            <w:tcW w:w="640" w:type="dxa"/>
            <w:vAlign w:val="bottom"/>
            <w:vMerge w:val="continue"/>
          </w:tcPr>
          <w:p>
            <w:pPr>
              <w:spacing w:after="0"/>
              <w:rPr>
                <w:sz w:val="9"/>
                <w:szCs w:val="9"/>
                <w:color w:val="auto"/>
              </w:rPr>
            </w:pPr>
          </w:p>
        </w:tc>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0000FF"/>
              </w:rPr>
              <w:t>13a-14(a)/15d-14(a).</w:t>
            </w: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w w:val="99"/>
              </w:rPr>
              <w:t>Certification of Chief Executive Officer and Chief Financial</w:t>
            </w:r>
          </w:p>
        </w:tc>
        <w:tc>
          <w:tcPr>
            <w:tcW w:w="0" w:type="dxa"/>
            <w:vAlign w:val="bottom"/>
          </w:tcPr>
          <w:p>
            <w:pPr>
              <w:spacing w:after="0"/>
              <w:rPr>
                <w:sz w:val="1"/>
                <w:szCs w:val="1"/>
                <w:color w:val="auto"/>
              </w:rPr>
            </w:pPr>
          </w:p>
        </w:tc>
      </w:tr>
      <w:tr>
        <w:trPr>
          <w:trHeight w:val="192"/>
        </w:trPr>
        <w:tc>
          <w:tcPr>
            <w:tcW w:w="64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0000FF"/>
              </w:rPr>
              <w:t>32.1</w:t>
            </w:r>
            <w:r>
              <w:rPr>
                <w:rFonts w:ascii="Arial" w:cs="Arial" w:eastAsia="Arial" w:hAnsi="Arial"/>
                <w:sz w:val="16"/>
                <w:szCs w:val="16"/>
                <w:b w:val="1"/>
                <w:bCs w:val="1"/>
                <w:color w:val="000000"/>
              </w:rPr>
              <w:t>*</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Officer pursuant to 18 U.S.C. Section 1350 as Adopted</w:t>
            </w:r>
          </w:p>
        </w:tc>
        <w:tc>
          <w:tcPr>
            <w:tcW w:w="0" w:type="dxa"/>
            <w:vAlign w:val="bottom"/>
          </w:tcPr>
          <w:p>
            <w:pPr>
              <w:spacing w:after="0"/>
              <w:rPr>
                <w:sz w:val="1"/>
                <w:szCs w:val="1"/>
                <w:color w:val="auto"/>
              </w:rPr>
            </w:pPr>
          </w:p>
        </w:tc>
      </w:tr>
      <w:tr>
        <w:trPr>
          <w:trHeight w:val="115"/>
        </w:trPr>
        <w:tc>
          <w:tcPr>
            <w:tcW w:w="640" w:type="dxa"/>
            <w:vAlign w:val="bottom"/>
            <w:vMerge w:val="continue"/>
          </w:tcPr>
          <w:p>
            <w:pPr>
              <w:spacing w:after="0"/>
              <w:rPr>
                <w:sz w:val="9"/>
                <w:szCs w:val="9"/>
                <w:color w:val="auto"/>
              </w:rPr>
            </w:pPr>
          </w:p>
        </w:tc>
        <w:tc>
          <w:tcPr>
            <w:tcW w:w="4620" w:type="dxa"/>
            <w:vAlign w:val="bottom"/>
            <w:vMerge w:val="restart"/>
          </w:tcPr>
          <w:p>
            <w:pPr>
              <w:ind w:left="180"/>
              <w:spacing w:after="0"/>
              <w:rPr>
                <w:sz w:val="20"/>
                <w:szCs w:val="20"/>
                <w:color w:val="auto"/>
              </w:rPr>
            </w:pPr>
            <w:r>
              <w:rPr>
                <w:rFonts w:ascii="Arial" w:cs="Arial" w:eastAsia="Arial" w:hAnsi="Arial"/>
                <w:sz w:val="16"/>
                <w:szCs w:val="16"/>
                <w:b w:val="1"/>
                <w:bCs w:val="1"/>
                <w:color w:val="0000FF"/>
                <w:w w:val="93"/>
              </w:rPr>
              <w:t>Pursuant to Section 906 of the Sarbanes-Oxley Act of 2002, as</w:t>
            </w:r>
          </w:p>
        </w:tc>
        <w:tc>
          <w:tcPr>
            <w:tcW w:w="0" w:type="dxa"/>
            <w:vAlign w:val="bottom"/>
          </w:tcPr>
          <w:p>
            <w:pPr>
              <w:spacing w:after="0"/>
              <w:rPr>
                <w:sz w:val="1"/>
                <w:szCs w:val="1"/>
                <w:color w:val="auto"/>
              </w:rPr>
            </w:pPr>
          </w:p>
        </w:tc>
      </w:tr>
      <w:tr>
        <w:trPr>
          <w:trHeight w:val="77"/>
        </w:trPr>
        <w:tc>
          <w:tcPr>
            <w:tcW w:w="64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amended.</w:t>
            </w:r>
          </w:p>
        </w:tc>
        <w:tc>
          <w:tcPr>
            <w:tcW w:w="0" w:type="dxa"/>
            <w:vAlign w:val="bottom"/>
          </w:tcPr>
          <w:p>
            <w:pPr>
              <w:spacing w:after="0"/>
              <w:rPr>
                <w:sz w:val="1"/>
                <w:szCs w:val="1"/>
                <w:color w:val="auto"/>
              </w:rPr>
            </w:pPr>
          </w:p>
        </w:tc>
      </w:tr>
      <w:tr>
        <w:trPr>
          <w:trHeight w:val="244"/>
        </w:trPr>
        <w:tc>
          <w:tcPr>
            <w:tcW w:w="640" w:type="dxa"/>
            <w:vAlign w:val="bottom"/>
          </w:tcPr>
          <w:p>
            <w:pPr>
              <w:jc w:val="center"/>
              <w:ind w:right="100"/>
              <w:spacing w:after="0"/>
              <w:rPr>
                <w:sz w:val="20"/>
                <w:szCs w:val="20"/>
                <w:color w:val="auto"/>
              </w:rPr>
            </w:pPr>
            <w:r>
              <w:rPr>
                <w:rFonts w:ascii="Arial" w:cs="Arial" w:eastAsia="Arial" w:hAnsi="Arial"/>
                <w:sz w:val="16"/>
                <w:szCs w:val="16"/>
                <w:b w:val="1"/>
                <w:bCs w:val="1"/>
                <w:color w:val="0000FF"/>
                <w:w w:val="96"/>
              </w:rPr>
              <w:t>97.1</w:t>
            </w:r>
          </w:p>
        </w:tc>
        <w:tc>
          <w:tcPr>
            <w:tcW w:w="4620" w:type="dxa"/>
            <w:vAlign w:val="bottom"/>
          </w:tcPr>
          <w:p>
            <w:pPr>
              <w:ind w:left="180"/>
              <w:spacing w:after="0"/>
              <w:rPr>
                <w:sz w:val="20"/>
                <w:szCs w:val="20"/>
                <w:color w:val="auto"/>
              </w:rPr>
            </w:pPr>
            <w:r>
              <w:rPr>
                <w:rFonts w:ascii="Arial" w:cs="Arial" w:eastAsia="Arial" w:hAnsi="Arial"/>
                <w:sz w:val="16"/>
                <w:szCs w:val="16"/>
                <w:b w:val="1"/>
                <w:bCs w:val="1"/>
                <w:color w:val="0000FF"/>
              </w:rPr>
              <w:t>Incentive Compensation Recoupment Policy</w:t>
            </w:r>
            <w:r>
              <w:rPr>
                <w:rFonts w:ascii="Arial" w:cs="Arial" w:eastAsia="Arial" w:hAnsi="Arial"/>
                <w:sz w:val="16"/>
                <w:szCs w:val="16"/>
                <w:b w:val="1"/>
                <w:bCs w:val="1"/>
                <w:color w:val="00000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-55245</wp:posOffset>
                </wp:positionH>
                <wp:positionV relativeFrom="paragraph">
                  <wp:posOffset>485775</wp:posOffset>
                </wp:positionV>
                <wp:extent cx="6333490"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9pt,38.25pt" to="494.35pt,38.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-55245</wp:posOffset>
                </wp:positionH>
                <wp:positionV relativeFrom="paragraph">
                  <wp:posOffset>485775</wp:posOffset>
                </wp:positionV>
                <wp:extent cx="6333490"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9pt,38.25pt" to="494.35pt,38.25pt" o:allowincell="f" strokecolor="#828282" strokeweight="0.25pt"/>
            </w:pict>
          </mc:Fallback>
        </mc:AlternateConten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2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10-K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10.11</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2/10/2025</w:t>
            </w:r>
          </w:p>
        </w:tc>
      </w:tr>
      <w:tr>
        <w:trPr>
          <w:trHeight w:val="480"/>
        </w:trPr>
        <w:tc>
          <w:tcPr>
            <w:tcW w:w="52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10-K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10.11</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2/16/2021</w:t>
            </w:r>
          </w:p>
        </w:tc>
      </w:tr>
      <w:tr>
        <w:trPr>
          <w:trHeight w:val="247"/>
        </w:trPr>
        <w:tc>
          <w:tcPr>
            <w:tcW w:w="520" w:type="dxa"/>
            <w:vAlign w:val="bottom"/>
          </w:tcPr>
          <w:p>
            <w:pPr>
              <w:jc w:val="center"/>
              <w:ind w:right="80"/>
              <w:spacing w:after="0"/>
              <w:rPr>
                <w:sz w:val="20"/>
                <w:szCs w:val="20"/>
                <w:color w:val="auto"/>
              </w:rPr>
            </w:pPr>
            <w:r>
              <w:rPr>
                <w:rFonts w:ascii="Arial" w:cs="Arial" w:eastAsia="Arial" w:hAnsi="Arial"/>
                <w:sz w:val="16"/>
                <w:szCs w:val="16"/>
                <w:b w:val="1"/>
                <w:bCs w:val="1"/>
                <w:color w:val="auto"/>
              </w:rPr>
              <w:t>10-Q</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10.5</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9"/>
              </w:rPr>
              <w:t>5/8/2013</w:t>
            </w:r>
          </w:p>
        </w:tc>
      </w:tr>
      <w:tr>
        <w:trPr>
          <w:trHeight w:val="240"/>
        </w:trPr>
        <w:tc>
          <w:tcPr>
            <w:tcW w:w="52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10-K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10.15</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2/10/2025</w:t>
            </w:r>
          </w:p>
        </w:tc>
      </w:tr>
      <w:tr>
        <w:trPr>
          <w:trHeight w:val="533"/>
        </w:trPr>
        <w:tc>
          <w:tcPr>
            <w:tcW w:w="52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10-K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10.24</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2/16/2021</w:t>
            </w:r>
          </w:p>
        </w:tc>
      </w:tr>
      <w:tr>
        <w:trPr>
          <w:trHeight w:val="735"/>
        </w:trPr>
        <w:tc>
          <w:tcPr>
            <w:tcW w:w="52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10-K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10.45</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3/15/2019</w:t>
            </w:r>
          </w:p>
        </w:tc>
      </w:tr>
      <w:tr>
        <w:trPr>
          <w:trHeight w:val="645"/>
        </w:trPr>
        <w:tc>
          <w:tcPr>
            <w:tcW w:w="52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10-K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10.26</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2/16/2021</w:t>
            </w:r>
          </w:p>
        </w:tc>
      </w:tr>
      <w:tr>
        <w:trPr>
          <w:trHeight w:val="645"/>
        </w:trPr>
        <w:tc>
          <w:tcPr>
            <w:tcW w:w="52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10-K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10.27</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2/16/2021</w:t>
            </w:r>
          </w:p>
        </w:tc>
      </w:tr>
      <w:tr>
        <w:trPr>
          <w:trHeight w:val="645"/>
        </w:trPr>
        <w:tc>
          <w:tcPr>
            <w:tcW w:w="52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10-K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10.27</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2/10/2025</w:t>
            </w:r>
          </w:p>
        </w:tc>
      </w:tr>
      <w:tr>
        <w:trPr>
          <w:trHeight w:val="540"/>
        </w:trPr>
        <w:tc>
          <w:tcPr>
            <w:tcW w:w="52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8-K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10.2</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9"/>
              </w:rPr>
              <w:t>3/1/2021</w:t>
            </w:r>
          </w:p>
        </w:tc>
      </w:tr>
      <w:tr>
        <w:trPr>
          <w:trHeight w:val="435"/>
        </w:trPr>
        <w:tc>
          <w:tcPr>
            <w:tcW w:w="52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8-K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10.3</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9"/>
              </w:rPr>
              <w:t>3/1/2021</w:t>
            </w:r>
          </w:p>
        </w:tc>
      </w:tr>
      <w:tr>
        <w:trPr>
          <w:trHeight w:val="435"/>
        </w:trPr>
        <w:tc>
          <w:tcPr>
            <w:tcW w:w="52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8-K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10.1</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3/15/2021</w:t>
            </w:r>
          </w:p>
        </w:tc>
      </w:tr>
      <w:tr>
        <w:trPr>
          <w:trHeight w:val="435"/>
        </w:trPr>
        <w:tc>
          <w:tcPr>
            <w:tcW w:w="52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8-K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10.2</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3/15/2021</w:t>
            </w:r>
          </w:p>
        </w:tc>
      </w:tr>
      <w:tr>
        <w:trPr>
          <w:trHeight w:val="435"/>
        </w:trPr>
        <w:tc>
          <w:tcPr>
            <w:tcW w:w="520" w:type="dxa"/>
            <w:vAlign w:val="bottom"/>
          </w:tcPr>
          <w:p>
            <w:pPr>
              <w:jc w:val="center"/>
              <w:ind w:right="80"/>
              <w:spacing w:after="0"/>
              <w:rPr>
                <w:sz w:val="20"/>
                <w:szCs w:val="20"/>
                <w:color w:val="auto"/>
              </w:rPr>
            </w:pPr>
            <w:r>
              <w:rPr>
                <w:rFonts w:ascii="Arial" w:cs="Arial" w:eastAsia="Arial" w:hAnsi="Arial"/>
                <w:sz w:val="16"/>
                <w:szCs w:val="16"/>
                <w:b w:val="1"/>
                <w:bCs w:val="1"/>
                <w:color w:val="auto"/>
              </w:rPr>
              <w:t>10-Q</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10.1</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4/26/2022</w:t>
            </w:r>
          </w:p>
        </w:tc>
      </w:tr>
      <w:tr>
        <w:trPr>
          <w:trHeight w:val="337"/>
        </w:trPr>
        <w:tc>
          <w:tcPr>
            <w:tcW w:w="52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10-K</w:t>
            </w: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001-35480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19.1</w:t>
            </w:r>
          </w:p>
        </w:tc>
        <w:tc>
          <w:tcPr>
            <w:tcW w:w="9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2/10/2025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660" w:val="left"/>
          <w:tab w:leader="none" w:pos="1940" w:val="left"/>
          <w:tab w:leader="none" w:pos="2800" w:val="left"/>
        </w:tabs>
        <w:rPr>
          <w:sz w:val="20"/>
          <w:szCs w:val="20"/>
          <w:color w:val="auto"/>
        </w:rPr>
      </w:pPr>
      <w:r>
        <w:rPr>
          <w:rFonts w:ascii="Arial" w:cs="Arial" w:eastAsia="Arial" w:hAnsi="Arial"/>
          <w:sz w:val="16"/>
          <w:szCs w:val="16"/>
          <w:b w:val="1"/>
          <w:bCs w:val="1"/>
          <w:color w:val="auto"/>
        </w:rPr>
        <w:t>10-K</w:t>
      </w:r>
      <w:r>
        <w:rPr>
          <w:sz w:val="20"/>
          <w:szCs w:val="20"/>
          <w:color w:val="auto"/>
        </w:rPr>
        <w:tab/>
      </w:r>
      <w:r>
        <w:rPr>
          <w:rFonts w:ascii="Arial" w:cs="Arial" w:eastAsia="Arial" w:hAnsi="Arial"/>
          <w:sz w:val="16"/>
          <w:szCs w:val="16"/>
          <w:b w:val="1"/>
          <w:bCs w:val="1"/>
          <w:color w:val="auto"/>
        </w:rPr>
        <w:t>001-35480</w:t>
      </w:r>
      <w:r>
        <w:rPr>
          <w:sz w:val="20"/>
          <w:szCs w:val="20"/>
          <w:color w:val="auto"/>
        </w:rPr>
        <w:tab/>
      </w:r>
      <w:r>
        <w:rPr>
          <w:rFonts w:ascii="Arial" w:cs="Arial" w:eastAsia="Arial" w:hAnsi="Arial"/>
          <w:sz w:val="16"/>
          <w:szCs w:val="16"/>
          <w:b w:val="1"/>
          <w:bCs w:val="1"/>
          <w:color w:val="auto"/>
        </w:rPr>
        <w:t>97.1</w:t>
      </w:r>
      <w:r>
        <w:rPr>
          <w:sz w:val="20"/>
          <w:szCs w:val="20"/>
          <w:color w:val="auto"/>
        </w:rPr>
        <w:tab/>
      </w:r>
      <w:r>
        <w:rPr>
          <w:rFonts w:ascii="Arial" w:cs="Arial" w:eastAsia="Arial" w:hAnsi="Arial"/>
          <w:sz w:val="15"/>
          <w:szCs w:val="15"/>
          <w:b w:val="1"/>
          <w:bCs w:val="1"/>
          <w:color w:val="auto"/>
        </w:rPr>
        <w:t>2/9/2024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782" w:lineRule="exact"/>
        <w:rPr>
          <w:sz w:val="20"/>
          <w:szCs w:val="20"/>
          <w:color w:val="auto"/>
        </w:rPr>
      </w:pPr>
    </w:p>
    <w:p>
      <w:pPr>
        <w:sectPr>
          <w:pgSz w:w="12240" w:h="15840" w:orient="portrait"/>
          <w:cols w:equalWidth="0" w:num="3">
            <w:col w:w="5260" w:space="200"/>
            <w:col w:w="3480" w:space="600"/>
            <w:col w:w="100"/>
          </w:cols>
          <w:pgMar w:left="1220" w:top="216" w:right="13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1"/>
          <w:szCs w:val="11"/>
          <w:b w:val="1"/>
          <w:bCs w:val="1"/>
          <w:color w:val="828282"/>
        </w:rPr>
        <w:t>Enphase Energy, Inc. | 2025 Form 10-K | 119</w:t>
      </w:r>
    </w:p>
    <w:p>
      <w:pPr>
        <w:sectPr>
          <w:pgSz w:w="12240" w:h="15840" w:orient="portrait"/>
          <w:cols w:equalWidth="0" w:num="1">
            <w:col w:w="9640"/>
          </w:cols>
          <w:pgMar w:left="1220" w:top="216" w:right="1380" w:bottom="0" w:gutter="0" w:footer="0" w:header="0"/>
          <w:type w:val="continuous"/>
        </w:sectPr>
      </w:pPr>
    </w:p>
    <w:bookmarkStart w:id="119" w:name="page120"/>
    <w:bookmarkEnd w:id="119"/>
    <w:p>
      <w:pPr>
        <w:ind w:left="55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389255</wp:posOffset>
            </wp:positionV>
            <wp:extent cx="6540500" cy="17113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96">
                      <a:extLst>
                        <a:ext uri="{28A0092B-C50C-407E-A947-70E740481C1C}"/>
                      </a:extLst>
                    </a:blip>
                    <a:srcRect/>
                    <a:stretch>
                      <a:fillRect/>
                    </a:stretch>
                  </pic:blipFill>
                  <pic:spPr bwMode="auto">
                    <a:xfrm>
                      <a:off x="0" y="0"/>
                      <a:ext cx="6540500" cy="171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30" w:type="dxa"/>
        <w:tblCellMar>
          <w:top w:w="0" w:type="dxa"/>
          <w:left w:w="0" w:type="dxa"/>
          <w:bottom w:w="0" w:type="dxa"/>
          <w:right w:w="0" w:type="dxa"/>
        </w:tblCellMar>
      </w:tblPr>
      <w:tr>
        <w:trPr>
          <w:trHeight w:val="211"/>
        </w:trPr>
        <w:tc>
          <w:tcPr>
            <w:tcW w:w="780" w:type="dxa"/>
            <w:vAlign w:val="bottom"/>
          </w:tcPr>
          <w:p>
            <w:pPr>
              <w:jc w:val="center"/>
              <w:ind w:right="40"/>
              <w:spacing w:after="0"/>
              <w:rPr>
                <w:sz w:val="20"/>
                <w:szCs w:val="20"/>
                <w:color w:val="auto"/>
              </w:rPr>
            </w:pPr>
            <w:r>
              <w:rPr>
                <w:rFonts w:ascii="Arial" w:cs="Arial" w:eastAsia="Arial" w:hAnsi="Arial"/>
                <w:sz w:val="16"/>
                <w:szCs w:val="16"/>
                <w:b w:val="1"/>
                <w:bCs w:val="1"/>
                <w:color w:val="auto"/>
              </w:rPr>
              <w:t>101.INS</w:t>
            </w:r>
          </w:p>
        </w:tc>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XBRL Instance Document.</w:t>
            </w:r>
          </w:p>
        </w:tc>
        <w:tc>
          <w:tcPr>
            <w:tcW w:w="2340" w:type="dxa"/>
            <w:vAlign w:val="bottom"/>
          </w:tcPr>
          <w:p>
            <w:pPr>
              <w:ind w:left="2240"/>
              <w:spacing w:after="0"/>
              <w:rPr>
                <w:sz w:val="20"/>
                <w:szCs w:val="20"/>
                <w:color w:val="auto"/>
              </w:rPr>
            </w:pPr>
            <w:r>
              <w:rPr>
                <w:rFonts w:ascii="Arial" w:cs="Arial" w:eastAsia="Arial" w:hAnsi="Arial"/>
                <w:sz w:val="16"/>
                <w:szCs w:val="16"/>
                <w:b w:val="1"/>
                <w:bCs w:val="1"/>
                <w:color w:val="auto"/>
                <w:w w:val="74"/>
              </w:rPr>
              <w:t>X</w:t>
            </w:r>
          </w:p>
        </w:tc>
        <w:tc>
          <w:tcPr>
            <w:tcW w:w="0" w:type="dxa"/>
            <w:vAlign w:val="bottom"/>
          </w:tcPr>
          <w:p>
            <w:pPr>
              <w:spacing w:after="0"/>
              <w:rPr>
                <w:sz w:val="1"/>
                <w:szCs w:val="1"/>
                <w:color w:val="auto"/>
              </w:rPr>
            </w:pPr>
          </w:p>
        </w:tc>
      </w:tr>
      <w:tr>
        <w:trPr>
          <w:trHeight w:val="240"/>
        </w:trPr>
        <w:tc>
          <w:tcPr>
            <w:tcW w:w="780" w:type="dxa"/>
            <w:vAlign w:val="bottom"/>
          </w:tcPr>
          <w:p>
            <w:pPr>
              <w:jc w:val="center"/>
              <w:ind w:right="40"/>
              <w:spacing w:after="0"/>
              <w:rPr>
                <w:sz w:val="20"/>
                <w:szCs w:val="20"/>
                <w:color w:val="auto"/>
              </w:rPr>
            </w:pPr>
            <w:r>
              <w:rPr>
                <w:rFonts w:ascii="Arial" w:cs="Arial" w:eastAsia="Arial" w:hAnsi="Arial"/>
                <w:sz w:val="16"/>
                <w:szCs w:val="16"/>
                <w:b w:val="1"/>
                <w:bCs w:val="1"/>
                <w:color w:val="auto"/>
              </w:rPr>
              <w:t>101.SCH</w:t>
            </w:r>
          </w:p>
        </w:tc>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XBRL Taxonomy Extension Schema Document.</w:t>
            </w:r>
          </w:p>
        </w:tc>
        <w:tc>
          <w:tcPr>
            <w:tcW w:w="2340" w:type="dxa"/>
            <w:vAlign w:val="bottom"/>
          </w:tcPr>
          <w:p>
            <w:pPr>
              <w:ind w:left="2240"/>
              <w:spacing w:after="0"/>
              <w:rPr>
                <w:sz w:val="20"/>
                <w:szCs w:val="20"/>
                <w:color w:val="auto"/>
              </w:rPr>
            </w:pPr>
            <w:r>
              <w:rPr>
                <w:rFonts w:ascii="Arial" w:cs="Arial" w:eastAsia="Arial" w:hAnsi="Arial"/>
                <w:sz w:val="16"/>
                <w:szCs w:val="16"/>
                <w:b w:val="1"/>
                <w:bCs w:val="1"/>
                <w:color w:val="auto"/>
                <w:w w:val="74"/>
              </w:rPr>
              <w:t>X</w:t>
            </w:r>
          </w:p>
        </w:tc>
        <w:tc>
          <w:tcPr>
            <w:tcW w:w="0" w:type="dxa"/>
            <w:vAlign w:val="bottom"/>
          </w:tcPr>
          <w:p>
            <w:pPr>
              <w:spacing w:after="0"/>
              <w:rPr>
                <w:sz w:val="1"/>
                <w:szCs w:val="1"/>
                <w:color w:val="auto"/>
              </w:rPr>
            </w:pPr>
          </w:p>
        </w:tc>
      </w:tr>
      <w:tr>
        <w:trPr>
          <w:trHeight w:val="338"/>
        </w:trPr>
        <w:tc>
          <w:tcPr>
            <w:tcW w:w="780" w:type="dxa"/>
            <w:vAlign w:val="bottom"/>
          </w:tcPr>
          <w:p>
            <w:pPr>
              <w:jc w:val="center"/>
              <w:ind w:right="40"/>
              <w:spacing w:after="0"/>
              <w:rPr>
                <w:sz w:val="20"/>
                <w:szCs w:val="20"/>
                <w:color w:val="auto"/>
              </w:rPr>
            </w:pPr>
            <w:r>
              <w:rPr>
                <w:rFonts w:ascii="Arial" w:cs="Arial" w:eastAsia="Arial" w:hAnsi="Arial"/>
                <w:sz w:val="16"/>
                <w:szCs w:val="16"/>
                <w:b w:val="1"/>
                <w:bCs w:val="1"/>
                <w:color w:val="auto"/>
                <w:w w:val="96"/>
              </w:rPr>
              <w:t>101.CAL</w:t>
            </w:r>
          </w:p>
        </w:tc>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XBRL Taxonomy Extension Calculation Linkbase Document.</w:t>
            </w:r>
          </w:p>
        </w:tc>
        <w:tc>
          <w:tcPr>
            <w:tcW w:w="2340" w:type="dxa"/>
            <w:vAlign w:val="bottom"/>
          </w:tcPr>
          <w:p>
            <w:pPr>
              <w:ind w:left="2240"/>
              <w:spacing w:after="0"/>
              <w:rPr>
                <w:sz w:val="20"/>
                <w:szCs w:val="20"/>
                <w:color w:val="auto"/>
              </w:rPr>
            </w:pPr>
            <w:r>
              <w:rPr>
                <w:rFonts w:ascii="Arial" w:cs="Arial" w:eastAsia="Arial" w:hAnsi="Arial"/>
                <w:sz w:val="16"/>
                <w:szCs w:val="16"/>
                <w:b w:val="1"/>
                <w:bCs w:val="1"/>
                <w:color w:val="auto"/>
                <w:w w:val="74"/>
              </w:rPr>
              <w:t>X</w:t>
            </w:r>
          </w:p>
        </w:tc>
        <w:tc>
          <w:tcPr>
            <w:tcW w:w="0" w:type="dxa"/>
            <w:vAlign w:val="bottom"/>
          </w:tcPr>
          <w:p>
            <w:pPr>
              <w:spacing w:after="0"/>
              <w:rPr>
                <w:sz w:val="1"/>
                <w:szCs w:val="1"/>
                <w:color w:val="auto"/>
              </w:rPr>
            </w:pPr>
          </w:p>
        </w:tc>
      </w:tr>
      <w:tr>
        <w:trPr>
          <w:trHeight w:val="435"/>
        </w:trPr>
        <w:tc>
          <w:tcPr>
            <w:tcW w:w="780" w:type="dxa"/>
            <w:vAlign w:val="bottom"/>
          </w:tcPr>
          <w:p>
            <w:pPr>
              <w:jc w:val="center"/>
              <w:ind w:right="40"/>
              <w:spacing w:after="0"/>
              <w:rPr>
                <w:sz w:val="20"/>
                <w:szCs w:val="20"/>
                <w:color w:val="auto"/>
              </w:rPr>
            </w:pPr>
            <w:r>
              <w:rPr>
                <w:rFonts w:ascii="Arial" w:cs="Arial" w:eastAsia="Arial" w:hAnsi="Arial"/>
                <w:sz w:val="16"/>
                <w:szCs w:val="16"/>
                <w:b w:val="1"/>
                <w:bCs w:val="1"/>
                <w:color w:val="auto"/>
                <w:w w:val="98"/>
              </w:rPr>
              <w:t>101.DEF</w:t>
            </w:r>
          </w:p>
        </w:tc>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XBRL Taxonomy Extension Definition Linkbase Document.</w:t>
            </w:r>
          </w:p>
        </w:tc>
        <w:tc>
          <w:tcPr>
            <w:tcW w:w="2340" w:type="dxa"/>
            <w:vAlign w:val="bottom"/>
          </w:tcPr>
          <w:p>
            <w:pPr>
              <w:ind w:left="2240"/>
              <w:spacing w:after="0"/>
              <w:rPr>
                <w:sz w:val="20"/>
                <w:szCs w:val="20"/>
                <w:color w:val="auto"/>
              </w:rPr>
            </w:pPr>
            <w:r>
              <w:rPr>
                <w:rFonts w:ascii="Arial" w:cs="Arial" w:eastAsia="Arial" w:hAnsi="Arial"/>
                <w:sz w:val="16"/>
                <w:szCs w:val="16"/>
                <w:b w:val="1"/>
                <w:bCs w:val="1"/>
                <w:color w:val="auto"/>
                <w:w w:val="74"/>
              </w:rPr>
              <w:t>X</w:t>
            </w:r>
          </w:p>
        </w:tc>
        <w:tc>
          <w:tcPr>
            <w:tcW w:w="0" w:type="dxa"/>
            <w:vAlign w:val="bottom"/>
          </w:tcPr>
          <w:p>
            <w:pPr>
              <w:spacing w:after="0"/>
              <w:rPr>
                <w:sz w:val="1"/>
                <w:szCs w:val="1"/>
                <w:color w:val="auto"/>
              </w:rPr>
            </w:pPr>
          </w:p>
        </w:tc>
      </w:tr>
      <w:tr>
        <w:trPr>
          <w:trHeight w:val="435"/>
        </w:trPr>
        <w:tc>
          <w:tcPr>
            <w:tcW w:w="780" w:type="dxa"/>
            <w:vAlign w:val="bottom"/>
          </w:tcPr>
          <w:p>
            <w:pPr>
              <w:jc w:val="center"/>
              <w:ind w:right="40"/>
              <w:spacing w:after="0"/>
              <w:rPr>
                <w:sz w:val="20"/>
                <w:szCs w:val="20"/>
                <w:color w:val="auto"/>
              </w:rPr>
            </w:pPr>
            <w:r>
              <w:rPr>
                <w:rFonts w:ascii="Arial" w:cs="Arial" w:eastAsia="Arial" w:hAnsi="Arial"/>
                <w:sz w:val="16"/>
                <w:szCs w:val="16"/>
                <w:b w:val="1"/>
                <w:bCs w:val="1"/>
                <w:color w:val="auto"/>
                <w:w w:val="96"/>
              </w:rPr>
              <w:t>101.LAB</w:t>
            </w:r>
          </w:p>
        </w:tc>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XBRL Taxonomy Extension Label Linkbase Document.</w:t>
            </w:r>
          </w:p>
        </w:tc>
        <w:tc>
          <w:tcPr>
            <w:tcW w:w="2340" w:type="dxa"/>
            <w:vAlign w:val="bottom"/>
          </w:tcPr>
          <w:p>
            <w:pPr>
              <w:ind w:left="2240"/>
              <w:spacing w:after="0"/>
              <w:rPr>
                <w:sz w:val="20"/>
                <w:szCs w:val="20"/>
                <w:color w:val="auto"/>
              </w:rPr>
            </w:pPr>
            <w:r>
              <w:rPr>
                <w:rFonts w:ascii="Arial" w:cs="Arial" w:eastAsia="Arial" w:hAnsi="Arial"/>
                <w:sz w:val="16"/>
                <w:szCs w:val="16"/>
                <w:b w:val="1"/>
                <w:bCs w:val="1"/>
                <w:color w:val="auto"/>
                <w:w w:val="74"/>
              </w:rPr>
              <w:t>X</w:t>
            </w:r>
          </w:p>
        </w:tc>
        <w:tc>
          <w:tcPr>
            <w:tcW w:w="0" w:type="dxa"/>
            <w:vAlign w:val="bottom"/>
          </w:tcPr>
          <w:p>
            <w:pPr>
              <w:spacing w:after="0"/>
              <w:rPr>
                <w:sz w:val="1"/>
                <w:szCs w:val="1"/>
                <w:color w:val="auto"/>
              </w:rPr>
            </w:pPr>
          </w:p>
        </w:tc>
      </w:tr>
      <w:tr>
        <w:trPr>
          <w:trHeight w:val="435"/>
        </w:trPr>
        <w:tc>
          <w:tcPr>
            <w:tcW w:w="780" w:type="dxa"/>
            <w:vAlign w:val="bottom"/>
          </w:tcPr>
          <w:p>
            <w:pPr>
              <w:jc w:val="center"/>
              <w:ind w:right="60"/>
              <w:spacing w:after="0"/>
              <w:rPr>
                <w:sz w:val="20"/>
                <w:szCs w:val="20"/>
                <w:color w:val="auto"/>
              </w:rPr>
            </w:pPr>
            <w:r>
              <w:rPr>
                <w:rFonts w:ascii="Arial" w:cs="Arial" w:eastAsia="Arial" w:hAnsi="Arial"/>
                <w:sz w:val="16"/>
                <w:szCs w:val="16"/>
                <w:b w:val="1"/>
                <w:bCs w:val="1"/>
                <w:color w:val="auto"/>
                <w:w w:val="99"/>
              </w:rPr>
              <w:t>101.PRE</w:t>
            </w:r>
          </w:p>
        </w:tc>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XBRL Taxonomy Extension Presentation Document.</w:t>
            </w:r>
          </w:p>
        </w:tc>
        <w:tc>
          <w:tcPr>
            <w:tcW w:w="2340" w:type="dxa"/>
            <w:vAlign w:val="bottom"/>
          </w:tcPr>
          <w:p>
            <w:pPr>
              <w:ind w:left="2240"/>
              <w:spacing w:after="0"/>
              <w:rPr>
                <w:sz w:val="20"/>
                <w:szCs w:val="20"/>
                <w:color w:val="auto"/>
              </w:rPr>
            </w:pPr>
            <w:r>
              <w:rPr>
                <w:rFonts w:ascii="Arial" w:cs="Arial" w:eastAsia="Arial" w:hAnsi="Arial"/>
                <w:sz w:val="16"/>
                <w:szCs w:val="16"/>
                <w:b w:val="1"/>
                <w:bCs w:val="1"/>
                <w:color w:val="auto"/>
                <w:w w:val="74"/>
              </w:rPr>
              <w:t>X</w:t>
            </w:r>
          </w:p>
        </w:tc>
        <w:tc>
          <w:tcPr>
            <w:tcW w:w="0" w:type="dxa"/>
            <w:vAlign w:val="bottom"/>
          </w:tcPr>
          <w:p>
            <w:pPr>
              <w:spacing w:after="0"/>
              <w:rPr>
                <w:sz w:val="1"/>
                <w:szCs w:val="1"/>
                <w:color w:val="auto"/>
              </w:rPr>
            </w:pPr>
          </w:p>
        </w:tc>
      </w:tr>
      <w:tr>
        <w:trPr>
          <w:trHeight w:val="320"/>
        </w:trPr>
        <w:tc>
          <w:tcPr>
            <w:tcW w:w="78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auto"/>
                <w:w w:val="97"/>
              </w:rPr>
              <w:t>104</w:t>
            </w:r>
          </w:p>
        </w:tc>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Cover Page Interactive Data File (formatted as Inline XBRL</w:t>
            </w:r>
          </w:p>
        </w:tc>
        <w:tc>
          <w:tcPr>
            <w:tcW w:w="2340" w:type="dxa"/>
            <w:vAlign w:val="bottom"/>
            <w:vMerge w:val="restart"/>
          </w:tcPr>
          <w:p>
            <w:pPr>
              <w:ind w:left="2240"/>
              <w:spacing w:after="0"/>
              <w:rPr>
                <w:sz w:val="20"/>
                <w:szCs w:val="20"/>
                <w:color w:val="auto"/>
              </w:rPr>
            </w:pPr>
            <w:r>
              <w:rPr>
                <w:rFonts w:ascii="Arial" w:cs="Arial" w:eastAsia="Arial" w:hAnsi="Arial"/>
                <w:sz w:val="16"/>
                <w:szCs w:val="16"/>
                <w:b w:val="1"/>
                <w:bCs w:val="1"/>
                <w:color w:val="auto"/>
                <w:w w:val="74"/>
              </w:rPr>
              <w:t>X</w:t>
            </w:r>
          </w:p>
        </w:tc>
        <w:tc>
          <w:tcPr>
            <w:tcW w:w="0" w:type="dxa"/>
            <w:vAlign w:val="bottom"/>
          </w:tcPr>
          <w:p>
            <w:pPr>
              <w:spacing w:after="0"/>
              <w:rPr>
                <w:sz w:val="1"/>
                <w:szCs w:val="1"/>
                <w:color w:val="auto"/>
              </w:rPr>
            </w:pPr>
          </w:p>
        </w:tc>
      </w:tr>
      <w:tr>
        <w:trPr>
          <w:trHeight w:val="115"/>
        </w:trPr>
        <w:tc>
          <w:tcPr>
            <w:tcW w:w="780" w:type="dxa"/>
            <w:vAlign w:val="bottom"/>
            <w:vMerge w:val="continue"/>
          </w:tcPr>
          <w:p>
            <w:pPr>
              <w:spacing w:after="0"/>
              <w:rPr>
                <w:sz w:val="9"/>
                <w:szCs w:val="9"/>
                <w:color w:val="auto"/>
              </w:rPr>
            </w:pPr>
          </w:p>
        </w:tc>
        <w:tc>
          <w:tcPr>
            <w:tcW w:w="6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and contained in Exhibits 101).</w:t>
            </w: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80" w:type="dxa"/>
            <w:vAlign w:val="bottom"/>
          </w:tcPr>
          <w:p>
            <w:pPr>
              <w:spacing w:after="0"/>
              <w:rPr>
                <w:sz w:val="8"/>
                <w:szCs w:val="8"/>
                <w:color w:val="auto"/>
              </w:rPr>
            </w:pPr>
          </w:p>
        </w:tc>
        <w:tc>
          <w:tcPr>
            <w:tcW w:w="6620" w:type="dxa"/>
            <w:vAlign w:val="bottom"/>
            <w:vMerge w:val="continue"/>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151130</wp:posOffset>
                </wp:positionV>
                <wp:extent cx="63817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9pt" to="50.25pt,11.9pt" o:allowincell="f" strokecolor="#000000" strokeweight="1pt"/>
            </w:pict>
          </mc:Fallback>
        </mc:AlternateContent>
      </w:r>
    </w:p>
    <w:p>
      <w:pPr>
        <w:spacing w:after="0" w:line="200" w:lineRule="exact"/>
        <w:rPr>
          <w:sz w:val="20"/>
          <w:szCs w:val="20"/>
          <w:color w:val="auto"/>
        </w:rPr>
      </w:pPr>
    </w:p>
    <w:p>
      <w:pPr>
        <w:spacing w:after="0" w:line="258" w:lineRule="exact"/>
        <w:rPr>
          <w:sz w:val="20"/>
          <w:szCs w:val="20"/>
          <w:color w:val="auto"/>
        </w:rPr>
      </w:pPr>
    </w:p>
    <w:p>
      <w:pPr>
        <w:ind w:left="330" w:hanging="330"/>
        <w:spacing w:after="0"/>
        <w:tabs>
          <w:tab w:leader="none" w:pos="33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Management compensatory plan or arrangement.</w:t>
      </w:r>
    </w:p>
    <w:p>
      <w:pPr>
        <w:spacing w:after="0" w:line="130" w:lineRule="exact"/>
        <w:rPr>
          <w:sz w:val="20"/>
          <w:szCs w:val="20"/>
          <w:color w:val="auto"/>
        </w:rPr>
      </w:pPr>
    </w:p>
    <w:p>
      <w:pPr>
        <w:jc w:val="both"/>
        <w:ind w:left="370" w:right="20" w:hanging="370"/>
        <w:spacing w:after="0" w:line="268" w:lineRule="auto"/>
        <w:tabs>
          <w:tab w:leader="none" w:pos="341"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Pursuant to Item 601(b)(10) of Regulation S-K, certain portions of this exhibit have been omitted by means of marking such portions with asterisks because we have determined that the information is both not material and is the type that we treat as private or confidential.</w:t>
      </w:r>
    </w:p>
    <w:p>
      <w:pPr>
        <w:spacing w:after="0" w:line="70" w:lineRule="exact"/>
        <w:rPr>
          <w:sz w:val="20"/>
          <w:szCs w:val="20"/>
          <w:color w:val="auto"/>
        </w:rPr>
      </w:pPr>
    </w:p>
    <w:p>
      <w:pPr>
        <w:jc w:val="both"/>
        <w:ind w:left="370" w:hanging="370"/>
        <w:spacing w:after="0" w:line="262" w:lineRule="auto"/>
        <w:tabs>
          <w:tab w:leader="none" w:pos="355"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The certifications attached as Exhibit 32.1 accompany this Annual Report on Form 10-K pursuant to 18 U.S.C. Section 1350, as adopted pursuant to Section 906 of the Sarbanes-Oxley Act, and shall not be deemed “filed” by Enphase Energy, Inc. for purposes of Section 18 of the Securities Exchange Act of 1934, as amended, nor shall they be deemed incorporated by reference in any filing.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5640705</wp:posOffset>
                </wp:positionV>
                <wp:extent cx="6334125"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444.15pt" to="505.85pt,444.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90170</wp:posOffset>
                </wp:positionH>
                <wp:positionV relativeFrom="paragraph">
                  <wp:posOffset>5640705</wp:posOffset>
                </wp:positionV>
                <wp:extent cx="633412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444.15pt" to="505.85pt,444.15pt" o:allowincell="f" strokecolor="#828282" strokeweight="0.25pt"/>
            </w:pict>
          </mc:Fallback>
        </mc:AlternateContent>
      </w:r>
    </w:p>
    <w:p>
      <w:pPr>
        <w:sectPr>
          <w:pgSz w:w="12240" w:h="15840" w:orient="portrait"/>
          <w:cols w:equalWidth="0" w:num="1">
            <w:col w:w="10270"/>
          </w:cols>
          <w:pgMar w:left="99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
        <w:spacing w:after="0"/>
        <w:rPr>
          <w:sz w:val="20"/>
          <w:szCs w:val="20"/>
          <w:color w:val="auto"/>
        </w:rPr>
      </w:pPr>
      <w:r>
        <w:rPr>
          <w:rFonts w:ascii="Arial" w:cs="Arial" w:eastAsia="Arial" w:hAnsi="Arial"/>
          <w:sz w:val="11"/>
          <w:szCs w:val="11"/>
          <w:b w:val="1"/>
          <w:bCs w:val="1"/>
          <w:color w:val="828282"/>
        </w:rPr>
        <w:t>Enphase Energy, Inc. | 2025 Form 10-K | 120</w:t>
      </w:r>
    </w:p>
    <w:p>
      <w:pPr>
        <w:sectPr>
          <w:pgSz w:w="12240" w:h="15840" w:orient="portrait"/>
          <w:cols w:equalWidth="0" w:num="1">
            <w:col w:w="10270"/>
          </w:cols>
          <w:pgMar w:left="990" w:top="216" w:right="980" w:bottom="0" w:gutter="0" w:footer="0" w:header="0"/>
          <w:type w:val="continuous"/>
        </w:sectPr>
      </w:pPr>
    </w:p>
    <w:bookmarkStart w:id="120" w:name="page121"/>
    <w:bookmarkEnd w:id="120"/>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8336280</wp:posOffset>
                </wp:positionV>
                <wp:extent cx="633412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56.4pt" to="505.35pt,656.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8336280</wp:posOffset>
                </wp:positionV>
                <wp:extent cx="6334125"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656.4pt" to="505.35pt,656.4pt" o:allowincell="f" strokecolor="#828282" strokeweight="0.25pt"/>
            </w:pict>
          </mc:Fallback>
        </mc:AlternateContent>
      </w:r>
    </w:p>
    <w:p>
      <w:pPr>
        <w:sectPr>
          <w:pgSz w:w="12240" w:h="15840" w:orient="portrait"/>
          <w:cols w:equalWidth="0" w:num="1">
            <w:col w:w="9800"/>
          </w:cols>
          <w:pgMar w:left="1000" w:top="21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20"/>
        <w:spacing w:after="0"/>
        <w:rPr>
          <w:sz w:val="20"/>
          <w:szCs w:val="20"/>
          <w:color w:val="auto"/>
        </w:rPr>
      </w:pPr>
      <w:r>
        <w:rPr>
          <w:rFonts w:ascii="Arial" w:cs="Arial" w:eastAsia="Arial" w:hAnsi="Arial"/>
          <w:sz w:val="11"/>
          <w:szCs w:val="11"/>
          <w:b w:val="1"/>
          <w:bCs w:val="1"/>
          <w:color w:val="828282"/>
        </w:rPr>
        <w:t>Enphase Energy, Inc. | 2025 Form 10-K | 121</w:t>
      </w:r>
    </w:p>
    <w:p>
      <w:pPr>
        <w:sectPr>
          <w:pgSz w:w="12240" w:h="15840" w:orient="portrait"/>
          <w:cols w:equalWidth="0" w:num="1">
            <w:col w:w="9800"/>
          </w:cols>
          <w:pgMar w:left="1000" w:top="216" w:right="1440" w:bottom="0" w:gutter="0" w:footer="0" w:header="0"/>
          <w:type w:val="continuous"/>
        </w:sectPr>
      </w:pPr>
    </w:p>
    <w:bookmarkStart w:id="121" w:name="page122"/>
    <w:bookmarkEnd w:id="121"/>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30"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 on February 13, 2026.</w:t>
      </w:r>
    </w:p>
    <w:p>
      <w:pPr>
        <w:spacing w:after="0" w:line="128"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Enphase Energy, Inc.</w:t>
      </w:r>
    </w:p>
    <w:p>
      <w:pPr>
        <w:spacing w:after="0" w:line="337" w:lineRule="exact"/>
        <w:rPr>
          <w:sz w:val="20"/>
          <w:szCs w:val="20"/>
          <w:color w:val="auto"/>
        </w:rPr>
      </w:pPr>
    </w:p>
    <w:p>
      <w:pPr>
        <w:ind w:left="5920"/>
        <w:spacing w:after="0"/>
        <w:tabs>
          <w:tab w:leader="none" w:pos="6360" w:val="left"/>
        </w:tabs>
        <w:rPr>
          <w:sz w:val="20"/>
          <w:szCs w:val="20"/>
          <w:color w:val="auto"/>
        </w:rPr>
      </w:pPr>
      <w:r>
        <w:rPr>
          <w:rFonts w:ascii="Arial" w:cs="Arial" w:eastAsia="Arial" w:hAnsi="Arial"/>
          <w:sz w:val="18"/>
          <w:szCs w:val="18"/>
          <w:b w:val="1"/>
          <w:bCs w:val="1"/>
          <w:color w:val="auto"/>
        </w:rPr>
        <w:t>By:</w:t>
        <w:tab/>
        <w:t>/s/ BADRINARAYANAN KOTHANDARAMAN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4013200</wp:posOffset>
                </wp:positionH>
                <wp:positionV relativeFrom="paragraph">
                  <wp:posOffset>26035</wp:posOffset>
                </wp:positionV>
                <wp:extent cx="271462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4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pt,2.05pt" to="529.75pt,2.05pt" o:allowincell="f" strokecolor="#000000" strokeweight="1pt"/>
            </w:pict>
          </mc:Fallback>
        </mc:AlternateContent>
      </w:r>
    </w:p>
    <w:p>
      <w:pPr>
        <w:spacing w:after="0" w:line="24"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Badrinarayanan Kothandaraman</w:t>
      </w:r>
    </w:p>
    <w:p>
      <w:pPr>
        <w:spacing w:after="0" w:line="78"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7094220</wp:posOffset>
                </wp:positionV>
                <wp:extent cx="633412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58.6pt" to="505.35pt,558.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7094220</wp:posOffset>
                </wp:positionV>
                <wp:extent cx="6334125"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558.6pt" to="505.35pt,558.6pt" o:allowincell="f" strokecolor="#828282" strokeweight="0.25pt"/>
            </w:pict>
          </mc:Fallback>
        </mc:AlternateContent>
      </w:r>
    </w:p>
    <w:p>
      <w:pPr>
        <w:sectPr>
          <w:pgSz w:w="12240" w:h="15840" w:orient="portrait"/>
          <w:cols w:equalWidth="0" w:num="1">
            <w:col w:w="10240"/>
          </w:cols>
          <w:pgMar w:left="1000" w:top="21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828282"/>
        </w:rPr>
        <w:t>Enphase Energy, Inc. | 2025 Form 10-K | 122</w:t>
      </w:r>
    </w:p>
    <w:p>
      <w:pPr>
        <w:sectPr>
          <w:pgSz w:w="12240" w:h="15840" w:orient="portrait"/>
          <w:cols w:equalWidth="0" w:num="1">
            <w:col w:w="10240"/>
          </w:cols>
          <w:pgMar w:left="1000" w:top="216" w:right="1000" w:bottom="0" w:gutter="0" w:footer="0" w:header="0"/>
          <w:type w:val="continuous"/>
        </w:sectPr>
      </w:pPr>
    </w:p>
    <w:bookmarkStart w:id="122" w:name="page123"/>
    <w:bookmarkEnd w:id="122"/>
    <w:p>
      <w:pPr>
        <w:ind w:left="540"/>
        <w:spacing w:after="0"/>
        <w:rPr>
          <w:sz w:val="20"/>
          <w:szCs w:val="20"/>
          <w:color w:val="auto"/>
        </w:rPr>
      </w:pPr>
      <w:r>
        <w:rPr>
          <w:rFonts w:ascii="Arial" w:cs="Arial" w:eastAsia="Arial" w:hAnsi="Arial"/>
          <w:sz w:val="20"/>
          <w:szCs w:val="20"/>
          <w:b w:val="1"/>
          <w:bCs w:val="1"/>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30"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20"/>
          <w:szCs w:val="20"/>
          <w:b w:val="1"/>
          <w:bCs w:val="1"/>
          <w:color w:val="auto"/>
        </w:rPr>
        <w:t>KNOW ALL PERSONS BY THESE PRESENTS, that each person whose signature appears below constitutes and appoints Badrinarayanan Kothandaraman and Mandy Yang,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her substitute or substitutes, may lawfully do or cause to be done by virtue hereof.</w:t>
      </w:r>
    </w:p>
    <w:p>
      <w:pPr>
        <w:spacing w:after="0" w:line="81" w:lineRule="exact"/>
        <w:rPr>
          <w:sz w:val="20"/>
          <w:szCs w:val="20"/>
          <w:color w:val="auto"/>
        </w:rPr>
      </w:pPr>
    </w:p>
    <w:p>
      <w:pPr>
        <w:jc w:val="both"/>
        <w:ind w:right="20" w:firstLine="540"/>
        <w:spacing w:after="0" w:line="287" w:lineRule="auto"/>
        <w:rPr>
          <w:sz w:val="20"/>
          <w:szCs w:val="20"/>
          <w:color w:val="auto"/>
        </w:rPr>
      </w:pPr>
      <w:r>
        <w:rPr>
          <w:rFonts w:ascii="Arial" w:cs="Arial" w:eastAsia="Arial" w:hAnsi="Arial"/>
          <w:sz w:val="20"/>
          <w:szCs w:val="20"/>
          <w:b w:val="1"/>
          <w:bCs w:val="1"/>
          <w:color w:val="auto"/>
        </w:rPr>
        <w:t>Pursuant to the requirements of the Securities Exchange Act of 1934, this report has been signed below by the following persons on behalf of the registrant and in the capacities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Signature</w:t>
            </w:r>
          </w:p>
        </w:tc>
        <w:tc>
          <w:tcPr>
            <w:tcW w:w="80" w:type="dxa"/>
            <w:vAlign w:val="bottom"/>
          </w:tcPr>
          <w:p>
            <w:pPr>
              <w:spacing w:after="0"/>
              <w:rPr>
                <w:sz w:val="17"/>
                <w:szCs w:val="17"/>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Title</w:t>
            </w:r>
          </w:p>
        </w:tc>
        <w:tc>
          <w:tcPr>
            <w:tcW w:w="60" w:type="dxa"/>
            <w:vAlign w:val="bottom"/>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505"/>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 BADRINARAYANAN KOTHANDARAMAN</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2"/>
              </w:rPr>
              <w:t>President and Chief Executive Officer</w:t>
            </w:r>
          </w:p>
        </w:tc>
        <w:tc>
          <w:tcPr>
            <w:tcW w:w="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February 13, 2026</w:t>
            </w:r>
          </w:p>
        </w:tc>
        <w:tc>
          <w:tcPr>
            <w:tcW w:w="0" w:type="dxa"/>
            <w:vAlign w:val="bottom"/>
          </w:tcPr>
          <w:p>
            <w:pPr>
              <w:spacing w:after="0"/>
              <w:rPr>
                <w:sz w:val="1"/>
                <w:szCs w:val="1"/>
                <w:color w:val="auto"/>
              </w:rPr>
            </w:pPr>
          </w:p>
        </w:tc>
      </w:tr>
      <w:tr>
        <w:trPr>
          <w:trHeight w:val="219"/>
        </w:trPr>
        <w:tc>
          <w:tcPr>
            <w:tcW w:w="4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Badrinarayanan Kothandaraman</w:t>
            </w:r>
          </w:p>
        </w:tc>
        <w:tc>
          <w:tcPr>
            <w:tcW w:w="8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43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9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7"/>
              </w:rPr>
              <w:t>/s/ MANDY YANG</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3"/>
              </w:rPr>
              <w:t>Executive Vice President and Chief Financial</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5"/>
              </w:rPr>
              <w:t>February 13, 2026</w:t>
            </w:r>
          </w:p>
        </w:tc>
        <w:tc>
          <w:tcPr>
            <w:tcW w:w="0" w:type="dxa"/>
            <w:vAlign w:val="bottom"/>
          </w:tcPr>
          <w:p>
            <w:pPr>
              <w:spacing w:after="0"/>
              <w:rPr>
                <w:sz w:val="1"/>
                <w:szCs w:val="1"/>
                <w:color w:val="auto"/>
              </w:rPr>
            </w:pPr>
          </w:p>
        </w:tc>
      </w:tr>
      <w:tr>
        <w:trPr>
          <w:trHeight w:val="58"/>
        </w:trPr>
        <w:tc>
          <w:tcPr>
            <w:tcW w:w="4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96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rPr>
              <w:t>Officer</w:t>
            </w:r>
          </w:p>
        </w:tc>
        <w:tc>
          <w:tcPr>
            <w:tcW w:w="6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Mandy Yang</w:t>
            </w:r>
          </w:p>
        </w:tc>
        <w:tc>
          <w:tcPr>
            <w:tcW w:w="80" w:type="dxa"/>
            <w:vAlign w:val="bottom"/>
          </w:tcPr>
          <w:p>
            <w:pPr>
              <w:spacing w:after="0"/>
              <w:rPr>
                <w:sz w:val="4"/>
                <w:szCs w:val="4"/>
                <w:color w:val="auto"/>
              </w:rPr>
            </w:pPr>
          </w:p>
        </w:tc>
        <w:tc>
          <w:tcPr>
            <w:tcW w:w="39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Officer)</w:t>
            </w:r>
          </w:p>
        </w:tc>
        <w:tc>
          <w:tcPr>
            <w:tcW w:w="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8"/>
              </w:rPr>
              <w:t>/s/ MARY ERGINSOY</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2"/>
              </w:rPr>
              <w:t>Vice President and Chief Accounting Officer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5"/>
              </w:rPr>
              <w:t>February 13, 2026</w:t>
            </w:r>
          </w:p>
        </w:tc>
        <w:tc>
          <w:tcPr>
            <w:tcW w:w="0" w:type="dxa"/>
            <w:vAlign w:val="bottom"/>
          </w:tcPr>
          <w:p>
            <w:pPr>
              <w:spacing w:after="0"/>
              <w:rPr>
                <w:sz w:val="1"/>
                <w:szCs w:val="1"/>
                <w:color w:val="auto"/>
              </w:rPr>
            </w:pPr>
          </w:p>
        </w:tc>
      </w:tr>
      <w:tr>
        <w:trPr>
          <w:trHeight w:val="58"/>
        </w:trPr>
        <w:tc>
          <w:tcPr>
            <w:tcW w:w="4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(Principal Accounting Officer)</w:t>
            </w:r>
          </w:p>
        </w:tc>
        <w:tc>
          <w:tcPr>
            <w:tcW w:w="6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Mary Erginsoy</w:t>
            </w:r>
          </w:p>
        </w:tc>
        <w:tc>
          <w:tcPr>
            <w:tcW w:w="80" w:type="dxa"/>
            <w:vAlign w:val="bottom"/>
          </w:tcPr>
          <w:p>
            <w:pPr>
              <w:spacing w:after="0"/>
              <w:rPr>
                <w:sz w:val="14"/>
                <w:szCs w:val="14"/>
                <w:color w:val="auto"/>
              </w:rPr>
            </w:pPr>
          </w:p>
        </w:tc>
        <w:tc>
          <w:tcPr>
            <w:tcW w:w="3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5"/>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 STEVEN J. GOMO</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w:t>
            </w:r>
          </w:p>
        </w:tc>
        <w:tc>
          <w:tcPr>
            <w:tcW w:w="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February 13, 2026</w:t>
            </w:r>
          </w:p>
        </w:tc>
        <w:tc>
          <w:tcPr>
            <w:tcW w:w="0" w:type="dxa"/>
            <w:vAlign w:val="bottom"/>
          </w:tcPr>
          <w:p>
            <w:pPr>
              <w:spacing w:after="0"/>
              <w:rPr>
                <w:sz w:val="1"/>
                <w:szCs w:val="1"/>
                <w:color w:val="auto"/>
              </w:rPr>
            </w:pPr>
          </w:p>
        </w:tc>
      </w:tr>
      <w:tr>
        <w:trPr>
          <w:trHeight w:val="280"/>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4"/>
              </w:rPr>
              <w:t>Steven J. Gomo</w:t>
            </w:r>
          </w:p>
        </w:tc>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 JAMIE HAENGGI</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w:t>
            </w:r>
          </w:p>
        </w:tc>
        <w:tc>
          <w:tcPr>
            <w:tcW w:w="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February 13, 2026</w:t>
            </w:r>
          </w:p>
        </w:tc>
        <w:tc>
          <w:tcPr>
            <w:tcW w:w="0" w:type="dxa"/>
            <w:vAlign w:val="bottom"/>
          </w:tcPr>
          <w:p>
            <w:pPr>
              <w:spacing w:after="0"/>
              <w:rPr>
                <w:sz w:val="1"/>
                <w:szCs w:val="1"/>
                <w:color w:val="auto"/>
              </w:rPr>
            </w:pPr>
          </w:p>
        </w:tc>
      </w:tr>
      <w:tr>
        <w:trPr>
          <w:trHeight w:val="239"/>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4"/>
              </w:rPr>
              <w:t>Jamie Haenggi</w:t>
            </w:r>
          </w:p>
        </w:tc>
        <w:tc>
          <w:tcPr>
            <w:tcW w:w="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 BENJAMIN KORTLANG</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w:t>
            </w:r>
          </w:p>
        </w:tc>
        <w:tc>
          <w:tcPr>
            <w:tcW w:w="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February 13, 2026</w:t>
            </w:r>
          </w:p>
        </w:tc>
        <w:tc>
          <w:tcPr>
            <w:tcW w:w="0" w:type="dxa"/>
            <w:vAlign w:val="bottom"/>
          </w:tcPr>
          <w:p>
            <w:pPr>
              <w:spacing w:after="0"/>
              <w:rPr>
                <w:sz w:val="1"/>
                <w:szCs w:val="1"/>
                <w:color w:val="auto"/>
              </w:rPr>
            </w:pPr>
          </w:p>
        </w:tc>
      </w:tr>
      <w:tr>
        <w:trPr>
          <w:trHeight w:val="280"/>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2"/>
              </w:rPr>
              <w:t>Benjamin Kortlang</w:t>
            </w:r>
          </w:p>
        </w:tc>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 JOSEPH MALCHOW</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w:t>
            </w:r>
          </w:p>
        </w:tc>
        <w:tc>
          <w:tcPr>
            <w:tcW w:w="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February 13, 2026</w:t>
            </w:r>
          </w:p>
        </w:tc>
        <w:tc>
          <w:tcPr>
            <w:tcW w:w="0" w:type="dxa"/>
            <w:vAlign w:val="bottom"/>
          </w:tcPr>
          <w:p>
            <w:pPr>
              <w:spacing w:after="0"/>
              <w:rPr>
                <w:sz w:val="1"/>
                <w:szCs w:val="1"/>
                <w:color w:val="auto"/>
              </w:rPr>
            </w:pPr>
          </w:p>
        </w:tc>
      </w:tr>
      <w:tr>
        <w:trPr>
          <w:trHeight w:val="280"/>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2"/>
              </w:rPr>
              <w:t>Joseph Malchow</w:t>
            </w:r>
          </w:p>
        </w:tc>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 RICHARD MORA</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w:t>
            </w:r>
          </w:p>
        </w:tc>
        <w:tc>
          <w:tcPr>
            <w:tcW w:w="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February 13, 2026</w:t>
            </w:r>
          </w:p>
        </w:tc>
        <w:tc>
          <w:tcPr>
            <w:tcW w:w="0" w:type="dxa"/>
            <w:vAlign w:val="bottom"/>
          </w:tcPr>
          <w:p>
            <w:pPr>
              <w:spacing w:after="0"/>
              <w:rPr>
                <w:sz w:val="1"/>
                <w:szCs w:val="1"/>
                <w:color w:val="auto"/>
              </w:rPr>
            </w:pPr>
          </w:p>
        </w:tc>
      </w:tr>
      <w:tr>
        <w:trPr>
          <w:trHeight w:val="280"/>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Richard Mora</w:t>
            </w:r>
          </w:p>
        </w:tc>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 THURMAN JOHN RODGERS</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w:t>
            </w:r>
          </w:p>
        </w:tc>
        <w:tc>
          <w:tcPr>
            <w:tcW w:w="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February 13, 2026</w:t>
            </w:r>
          </w:p>
        </w:tc>
        <w:tc>
          <w:tcPr>
            <w:tcW w:w="0" w:type="dxa"/>
            <w:vAlign w:val="bottom"/>
          </w:tcPr>
          <w:p>
            <w:pPr>
              <w:spacing w:after="0"/>
              <w:rPr>
                <w:sz w:val="1"/>
                <w:szCs w:val="1"/>
                <w:color w:val="auto"/>
              </w:rPr>
            </w:pPr>
          </w:p>
        </w:tc>
      </w:tr>
      <w:tr>
        <w:trPr>
          <w:trHeight w:val="265"/>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2"/>
              </w:rPr>
              <w:t>Thurman John Rodgers</w:t>
            </w:r>
          </w:p>
        </w:tc>
        <w:tc>
          <w:tcPr>
            <w:tcW w:w="8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wp:posOffset>
                </wp:positionH>
                <wp:positionV relativeFrom="paragraph">
                  <wp:posOffset>2490470</wp:posOffset>
                </wp:positionV>
                <wp:extent cx="633412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96.1pt" to="505.35pt,196.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2490470</wp:posOffset>
                </wp:positionV>
                <wp:extent cx="6334125"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3175">
                          <a:solidFill>
                            <a:srgbClr val="828282"/>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96.1pt" to="505.35pt,196.1pt" o:allowincell="f" strokecolor="#828282" strokeweight="0.25pt"/>
            </w:pict>
          </mc:Fallback>
        </mc:AlternateContent>
      </w:r>
    </w:p>
    <w:p>
      <w:pPr>
        <w:sectPr>
          <w:pgSz w:w="12240" w:h="15840" w:orient="portrait"/>
          <w:cols w:equalWidth="0" w:num="1">
            <w:col w:w="10260"/>
          </w:cols>
          <w:pgMar w:left="1000" w:top="21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828282"/>
        </w:rPr>
        <w:t>Enphase Energy, Inc. | 2025 Form 10-K | 123</w:t>
      </w:r>
    </w:p>
    <w:sectPr>
      <w:pgSz w:w="12240" w:h="15840" w:orient="portrait"/>
      <w:cols w:equalWidth="0" w:num="1">
        <w:col w:w="10260"/>
      </w:cols>
      <w:pgMar w:left="1000" w:top="216" w:right="9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endash "/>
      <w:numFmt w:val="bullet"/>
      <w:start w:val="1"/>
    </w:lvl>
    <w:lvl w:ilvl="1">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2"/>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3"/>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4"/>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5"/>
    </w:lvl>
  </w:abstractNum>
  <w:abstractNum w:abstractNumId="45">
    <w:nsid w:val="354FE9F9"/>
    <w:multiLevelType w:val="hybridMultilevel"/>
    <w:lvl w:ilvl="0">
      <w:lvlJc w:val="left"/>
      <w:lvlText w:val="%1."/>
      <w:numFmt w:val="decimal"/>
      <w:start w:val="6"/>
    </w:lvl>
  </w:abstractNum>
  <w:abstractNum w:abstractNumId="46">
    <w:nsid w:val="15B5AF5C"/>
    <w:multiLevelType w:val="hybridMultilevel"/>
    <w:lvl w:ilvl="0">
      <w:lvlJc w:val="left"/>
      <w:lvlText w:val="%1."/>
      <w:numFmt w:val="decimal"/>
      <w:start w:val="7"/>
    </w:lvl>
  </w:abstractNum>
  <w:abstractNum w:abstractNumId="47">
    <w:nsid w:val="741226BB"/>
    <w:multiLevelType w:val="hybridMultilevel"/>
    <w:lvl w:ilvl="0">
      <w:lvlJc w:val="left"/>
      <w:lvlText w:val="%1."/>
      <w:numFmt w:val="decimal"/>
      <w:start w:val="8"/>
    </w:lvl>
  </w:abstractNum>
  <w:abstractNum w:abstractNumId="48">
    <w:nsid w:val="D34B6A8"/>
    <w:multiLevelType w:val="hybridMultilevel"/>
    <w:lvl w:ilvl="0">
      <w:lvlJc w:val="left"/>
      <w:lvlText w:val="%1."/>
      <w:numFmt w:val="decimal"/>
      <w:start w:val="9"/>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0"/>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11"/>
    </w:lvl>
  </w:abstractNum>
  <w:abstractNum w:abstractNumId="55">
    <w:nsid w:val="310C50B3"/>
    <w:multiLevelType w:val="hybridMultilevel"/>
    <w:lvl w:ilvl="0">
      <w:lvlJc w:val="left"/>
      <w:lvlText w:val="%1."/>
      <w:numFmt w:val="decimal"/>
      <w:start w:val="12"/>
    </w:lvl>
  </w:abstractNum>
  <w:abstractNum w:abstractNumId="56">
    <w:nsid w:val="5FF87E05"/>
    <w:multiLevelType w:val="hybridMultilevel"/>
    <w:lvl w:ilvl="0">
      <w:lvlJc w:val="left"/>
      <w:lvlText w:val="%1."/>
      <w:numFmt w:val="decimal"/>
      <w:start w:val="13"/>
    </w:lvl>
  </w:abstractNum>
  <w:abstractNum w:abstractNumId="57">
    <w:nsid w:val="2F305DEF"/>
    <w:multiLevelType w:val="hybridMultilevel"/>
    <w:lvl w:ilvl="0">
      <w:lvlJc w:val="left"/>
      <w:lvlText w:val="%1."/>
      <w:numFmt w:val="decimal"/>
      <w:start w:val="14"/>
    </w:lvl>
  </w:abstractNum>
  <w:abstractNum w:abstractNumId="58">
    <w:nsid w:val="25A70BF7"/>
    <w:multiLevelType w:val="hybridMultilevel"/>
    <w:lvl w:ilvl="0">
      <w:lvlJc w:val="left"/>
      <w:lvlText w:val="%1."/>
      <w:numFmt w:val="decimal"/>
      <w:start w:val="15"/>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6"/>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17"/>
    </w:lvl>
  </w:abstractNum>
  <w:abstractNum w:abstractNumId="64">
    <w:nsid w:val="100F8FCA"/>
    <w:multiLevelType w:val="hybridMultilevel"/>
    <w:lvl w:ilvl="0">
      <w:lvlJc w:val="left"/>
      <w:lvlText w:val="%1."/>
      <w:numFmt w:val="decimal"/>
      <w:start w:val="18"/>
    </w:lvl>
  </w:abstractNum>
  <w:abstractNum w:abstractNumId="65">
    <w:nsid w:val="6590700B"/>
    <w:multiLevelType w:val="hybridMultilevel"/>
    <w:lvl w:ilvl="0">
      <w:lvlJc w:val="left"/>
      <w:lvlText w:val="%1."/>
      <w:numFmt w:val="decimal"/>
      <w:start w:val="19"/>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20"/>
    </w:lvl>
  </w:abstractNum>
  <w:abstractNum w:abstractNumId="68">
    <w:nsid w:val="98A3148"/>
    <w:multiLevelType w:val="hybridMultilevel"/>
    <w:lvl w:ilvl="0">
      <w:lvlJc w:val="left"/>
      <w:lvlText w:val="%1."/>
      <w:numFmt w:val="decimal"/>
      <w:start w:val="2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2026-04-01T15:17:36Z</dcterms:created>
  <dcterms:modified xsi:type="dcterms:W3CDTF">2026-04-01T15:17:36Z</dcterms:modified>
</cp:coreProperties>
</file>